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5T15:01:00Z"/>
        </w:trPr>
        <w:tc>
          <w:tcPr>
            <w:tcW w:w="2434" w:type="dxa"/>
            <w:vMerge w:val="restart"/>
          </w:tcPr>
          <w:p>
            <w:pPr>
              <w:rPr>
                <w:del w:id="1" w:author="svcMRProcess" w:date="2015-12-15T15:01:00Z"/>
              </w:rPr>
            </w:pPr>
          </w:p>
        </w:tc>
        <w:tc>
          <w:tcPr>
            <w:tcW w:w="2434" w:type="dxa"/>
            <w:vMerge w:val="restart"/>
          </w:tcPr>
          <w:p>
            <w:pPr>
              <w:jc w:val="center"/>
              <w:rPr>
                <w:del w:id="2" w:author="svcMRProcess" w:date="2015-12-15T15:01:00Z"/>
              </w:rPr>
            </w:pPr>
            <w:del w:id="3" w:author="svcMRProcess" w:date="2015-12-15T15:01:00Z">
              <w:r>
                <w:rPr>
                  <w:noProof/>
                  <w:lang w:eastAsia="en-AU"/>
                </w:rPr>
                <w:drawing>
                  <wp:inline distT="0" distB="0" distL="0" distR="0">
                    <wp:extent cx="533400" cy="469900"/>
                    <wp:effectExtent l="0" t="0" r="0" b="635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5-12-15T15:01:00Z"/>
              </w:rPr>
            </w:pPr>
            <w:del w:id="5" w:author="svcMRProcess" w:date="2015-12-15T15:0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2-15T15:01:00Z"/>
        </w:trPr>
        <w:tc>
          <w:tcPr>
            <w:tcW w:w="2434" w:type="dxa"/>
            <w:vMerge/>
          </w:tcPr>
          <w:p>
            <w:pPr>
              <w:rPr>
                <w:del w:id="7" w:author="svcMRProcess" w:date="2015-12-15T15:01:00Z"/>
              </w:rPr>
            </w:pPr>
          </w:p>
        </w:tc>
        <w:tc>
          <w:tcPr>
            <w:tcW w:w="2434" w:type="dxa"/>
            <w:vMerge/>
          </w:tcPr>
          <w:p>
            <w:pPr>
              <w:jc w:val="center"/>
              <w:rPr>
                <w:del w:id="8" w:author="svcMRProcess" w:date="2015-12-15T15:01:00Z"/>
              </w:rPr>
            </w:pPr>
          </w:p>
        </w:tc>
        <w:tc>
          <w:tcPr>
            <w:tcW w:w="2434" w:type="dxa"/>
          </w:tcPr>
          <w:p>
            <w:pPr>
              <w:keepNext/>
              <w:rPr>
                <w:del w:id="9" w:author="svcMRProcess" w:date="2015-12-15T15:01:00Z"/>
                <w:b/>
                <w:sz w:val="22"/>
              </w:rPr>
            </w:pPr>
            <w:del w:id="10" w:author="svcMRProcess" w:date="2015-12-15T15:01:00Z">
              <w:r>
                <w:rPr>
                  <w:b/>
                  <w:sz w:val="22"/>
                </w:rPr>
                <w:delText>at 16</w:delText>
              </w:r>
              <w:r>
                <w:rPr>
                  <w:b/>
                  <w:snapToGrid w:val="0"/>
                  <w:sz w:val="22"/>
                </w:rPr>
                <w:delText xml:space="preserve"> April 2010</w:delText>
              </w:r>
            </w:del>
          </w:p>
        </w:tc>
      </w:tr>
    </w:tbl>
    <w:p>
      <w:pPr>
        <w:pStyle w:val="WA"/>
        <w:spacing w:before="120"/>
      </w:pPr>
      <w:r>
        <w:t>Western Australia</w:t>
      </w:r>
    </w:p>
    <w:p>
      <w:pPr>
        <w:pStyle w:val="NameofActReg"/>
        <w:suppressLineNumbers/>
      </w:pPr>
      <w:r>
        <w:t>Road Safety Council Act 2002</w:t>
      </w:r>
    </w:p>
    <w:p>
      <w:pPr>
        <w:pStyle w:val="LongTitle"/>
        <w:suppressLineNumbers/>
        <w:spacing w:before="240"/>
      </w:pPr>
      <w:r>
        <w:rPr>
          <w:snapToGrid w:val="0"/>
        </w:rPr>
        <w:t>A</w:t>
      </w:r>
      <w:bookmarkStart w:id="11" w:name="_GoBack"/>
      <w:bookmarkEnd w:id="11"/>
      <w:r>
        <w:rPr>
          <w:snapToGrid w:val="0"/>
        </w:rPr>
        <w:t>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12" w:name="_Toc471793481"/>
      <w:bookmarkStart w:id="13" w:name="_Toc512746194"/>
      <w:bookmarkStart w:id="14" w:name="_Toc515958175"/>
      <w:bookmarkStart w:id="15" w:name="_Toc9949826"/>
      <w:bookmarkStart w:id="16" w:name="_Toc131414347"/>
      <w:bookmarkStart w:id="17" w:name="_Toc278982027"/>
      <w:bookmarkStart w:id="18" w:name="_Toc274311729"/>
      <w:r>
        <w:rPr>
          <w:rStyle w:val="CharSectno"/>
        </w:rPr>
        <w:t>1</w:t>
      </w:r>
      <w:r>
        <w:rPr>
          <w:snapToGrid w:val="0"/>
        </w:rPr>
        <w:t>.</w:t>
      </w:r>
      <w:r>
        <w:rPr>
          <w:snapToGrid w:val="0"/>
        </w:rPr>
        <w:tab/>
        <w:t>Short title</w:t>
      </w:r>
      <w:bookmarkEnd w:id="12"/>
      <w:bookmarkEnd w:id="13"/>
      <w:bookmarkEnd w:id="14"/>
      <w:bookmarkEnd w:id="15"/>
      <w:bookmarkEnd w:id="16"/>
      <w:bookmarkEnd w:id="17"/>
      <w:bookmarkEnd w:id="18"/>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19" w:name="_Toc471793482"/>
      <w:bookmarkStart w:id="20" w:name="_Toc512746195"/>
      <w:bookmarkStart w:id="21" w:name="_Toc515958176"/>
      <w:bookmarkStart w:id="22" w:name="_Toc9949827"/>
      <w:bookmarkStart w:id="23" w:name="_Toc131414348"/>
      <w:bookmarkStart w:id="24" w:name="_Toc278982028"/>
      <w:bookmarkStart w:id="25" w:name="_Toc274311730"/>
      <w:r>
        <w:rPr>
          <w:rStyle w:val="CharSectno"/>
        </w:rPr>
        <w:t>2</w:t>
      </w:r>
      <w:r>
        <w:rPr>
          <w:snapToGrid w:val="0"/>
        </w:rPr>
        <w:t>.</w:t>
      </w:r>
      <w:r>
        <w:rPr>
          <w:snapToGrid w:val="0"/>
        </w:rPr>
        <w:tab/>
        <w:t>Commencement</w:t>
      </w:r>
      <w:bookmarkEnd w:id="19"/>
      <w:bookmarkEnd w:id="20"/>
      <w:bookmarkEnd w:id="21"/>
      <w:bookmarkEnd w:id="22"/>
      <w:bookmarkEnd w:id="23"/>
      <w:bookmarkEnd w:id="24"/>
      <w:bookmarkEnd w:id="25"/>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26" w:name="_Toc131414349"/>
      <w:bookmarkStart w:id="27" w:name="_Toc278982029"/>
      <w:bookmarkStart w:id="28" w:name="_Toc274311731"/>
      <w:r>
        <w:rPr>
          <w:rStyle w:val="CharSectno"/>
        </w:rPr>
        <w:t>3</w:t>
      </w:r>
      <w:r>
        <w:t>.</w:t>
      </w:r>
      <w:r>
        <w:tab/>
      </w:r>
      <w:bookmarkEnd w:id="26"/>
      <w:r>
        <w:t>Terms used</w:t>
      </w:r>
      <w:bookmarkEnd w:id="27"/>
      <w:bookmarkEnd w:id="28"/>
    </w:p>
    <w:p>
      <w:pPr>
        <w:pStyle w:val="Subsection"/>
      </w:pPr>
      <w:r>
        <w:tab/>
      </w:r>
      <w:r>
        <w:tab/>
        <w:t xml:space="preserve">In this Act, unless the contrary intention appears — </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rPr>
        <w:t>Road Traffic Act 1974</w:t>
      </w:r>
      <w:r>
        <w:t>;</w:t>
      </w:r>
    </w:p>
    <w:p>
      <w:pPr>
        <w:pStyle w:val="Defstart"/>
      </w:pPr>
      <w:r>
        <w:tab/>
      </w:r>
      <w:r>
        <w:rPr>
          <w:rStyle w:val="CharDefText"/>
        </w:rPr>
        <w:t>the Account</w:t>
      </w:r>
      <w:r>
        <w:t xml:space="preserve"> means the account called the “Road Trauma Trust Account” that is referred to in section 12.</w:t>
      </w:r>
    </w:p>
    <w:p>
      <w:pPr>
        <w:pStyle w:val="Footnotesection"/>
      </w:pPr>
      <w:bookmarkStart w:id="29" w:name="_Toc131414350"/>
      <w:r>
        <w:tab/>
        <w:t>[Section 3 amended by No. 77 of 2006 Sch. 1 cl. 151(1).]</w:t>
      </w:r>
    </w:p>
    <w:p>
      <w:pPr>
        <w:pStyle w:val="Heading5"/>
      </w:pPr>
      <w:bookmarkStart w:id="30" w:name="_Toc278982030"/>
      <w:bookmarkStart w:id="31" w:name="_Toc274311732"/>
      <w:r>
        <w:rPr>
          <w:rStyle w:val="CharSectno"/>
        </w:rPr>
        <w:t>4</w:t>
      </w:r>
      <w:r>
        <w:t>.</w:t>
      </w:r>
      <w:r>
        <w:tab/>
        <w:t>Establishment</w:t>
      </w:r>
      <w:bookmarkEnd w:id="29"/>
      <w:bookmarkEnd w:id="30"/>
      <w:bookmarkEnd w:id="31"/>
    </w:p>
    <w:p>
      <w:pPr>
        <w:pStyle w:val="Subsection"/>
      </w:pPr>
      <w:r>
        <w:tab/>
      </w:r>
      <w:r>
        <w:tab/>
        <w:t>There is to be a body called the Road Safety Council.</w:t>
      </w:r>
    </w:p>
    <w:p>
      <w:pPr>
        <w:pStyle w:val="Heading5"/>
      </w:pPr>
      <w:bookmarkStart w:id="32" w:name="_Toc131414351"/>
      <w:bookmarkStart w:id="33" w:name="_Toc278982031"/>
      <w:bookmarkStart w:id="34" w:name="_Toc274311733"/>
      <w:r>
        <w:rPr>
          <w:rStyle w:val="CharSectno"/>
        </w:rPr>
        <w:t>5</w:t>
      </w:r>
      <w:r>
        <w:t>.</w:t>
      </w:r>
      <w:r>
        <w:tab/>
        <w:t>Functions</w:t>
      </w:r>
      <w:bookmarkEnd w:id="32"/>
      <w:bookmarkEnd w:id="33"/>
      <w:bookmarkEnd w:id="34"/>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t>(b)</w:t>
      </w:r>
      <w:r>
        <w:tab/>
        <w:t>to recommend to relevant bodies and persons the action that should be taken to implement those measures;</w:t>
      </w:r>
    </w:p>
    <w:p>
      <w:pPr>
        <w:pStyle w:val="Indenta"/>
      </w:pPr>
      <w:r>
        <w:tab/>
        <w:t>(c)</w:t>
      </w:r>
      <w:r>
        <w:tab/>
        <w:t>to coordinate the implementation of those measures by relevant bodies and persons;</w:t>
      </w:r>
    </w:p>
    <w:p>
      <w:pPr>
        <w:pStyle w:val="Indenta"/>
      </w:pPr>
      <w:r>
        <w:tab/>
        <w:t>(d)</w:t>
      </w:r>
      <w:r>
        <w:tab/>
        <w:t>to evaluate and monitor the effectiveness of those measures;</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p>
    <w:p>
      <w:pPr>
        <w:pStyle w:val="Heading5"/>
      </w:pPr>
      <w:bookmarkStart w:id="35" w:name="_Toc131414352"/>
      <w:bookmarkStart w:id="36" w:name="_Toc278982032"/>
      <w:bookmarkStart w:id="37" w:name="_Toc274311734"/>
      <w:r>
        <w:rPr>
          <w:rStyle w:val="CharSectno"/>
        </w:rPr>
        <w:t>6</w:t>
      </w:r>
      <w:r>
        <w:t>.</w:t>
      </w:r>
      <w:r>
        <w:tab/>
        <w:t>Membership</w:t>
      </w:r>
      <w:bookmarkEnd w:id="35"/>
      <w:bookmarkEnd w:id="36"/>
      <w:bookmarkEnd w:id="37"/>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w:t>
      </w:r>
      <w:r>
        <w:rPr>
          <w:b/>
          <w:bCs/>
          <w:i/>
          <w:iCs/>
        </w:rPr>
        <w:t>licensing provisions of this Act</w:t>
      </w:r>
      <w:r>
        <w: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w:t>
      </w:r>
      <w:r>
        <w:rPr>
          <w:b/>
          <w:bCs/>
          <w:i/>
          <w:iCs/>
        </w:rPr>
        <w:t>licensing provisions of this Act</w:t>
      </w:r>
      <w:r>
        <w:t xml:space="preserve">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w:t>
      </w:r>
    </w:p>
    <w:p>
      <w:pPr>
        <w:pStyle w:val="Heading5"/>
      </w:pPr>
      <w:bookmarkStart w:id="38" w:name="_Toc131414353"/>
      <w:bookmarkStart w:id="39" w:name="_Toc278982033"/>
      <w:bookmarkStart w:id="40" w:name="_Toc274311735"/>
      <w:r>
        <w:rPr>
          <w:rStyle w:val="CharSectno"/>
        </w:rPr>
        <w:t>7</w:t>
      </w:r>
      <w:r>
        <w:t>.</w:t>
      </w:r>
      <w:r>
        <w:tab/>
        <w:t>Deputy of member</w:t>
      </w:r>
      <w:bookmarkEnd w:id="38"/>
      <w:bookmarkEnd w:id="39"/>
      <w:bookmarkEnd w:id="40"/>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41" w:name="_Toc131414354"/>
      <w:bookmarkStart w:id="42" w:name="_Toc278982034"/>
      <w:bookmarkStart w:id="43" w:name="_Toc274311736"/>
      <w:r>
        <w:rPr>
          <w:rStyle w:val="CharSectno"/>
        </w:rPr>
        <w:t>8</w:t>
      </w:r>
      <w:r>
        <w:t>.</w:t>
      </w:r>
      <w:r>
        <w:tab/>
        <w:t>Nomination for appointment</w:t>
      </w:r>
      <w:bookmarkEnd w:id="41"/>
      <w:bookmarkEnd w:id="42"/>
      <w:bookmarkEnd w:id="43"/>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44" w:name="_Toc131414355"/>
      <w:bookmarkStart w:id="45" w:name="_Toc278982035"/>
      <w:bookmarkStart w:id="46" w:name="_Toc274311737"/>
      <w:r>
        <w:rPr>
          <w:rStyle w:val="CharSectno"/>
        </w:rPr>
        <w:t>9</w:t>
      </w:r>
      <w:r>
        <w:t>.</w:t>
      </w:r>
      <w:r>
        <w:tab/>
        <w:t>Duration of appointment as member or deputy</w:t>
      </w:r>
      <w:bookmarkEnd w:id="44"/>
      <w:bookmarkEnd w:id="45"/>
      <w:bookmarkEnd w:id="46"/>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47" w:name="_Toc131414356"/>
      <w:bookmarkStart w:id="48" w:name="_Toc278982036"/>
      <w:bookmarkStart w:id="49" w:name="_Toc274311738"/>
      <w:r>
        <w:rPr>
          <w:rStyle w:val="CharSectno"/>
        </w:rPr>
        <w:t>10</w:t>
      </w:r>
      <w:r>
        <w:t>.</w:t>
      </w:r>
      <w:r>
        <w:tab/>
        <w:t>Remuneration and allowances</w:t>
      </w:r>
      <w:bookmarkEnd w:id="47"/>
      <w:bookmarkEnd w:id="48"/>
      <w:bookmarkEnd w:id="49"/>
    </w:p>
    <w:p>
      <w:pPr>
        <w:pStyle w:val="Subsection"/>
        <w:spacing w:before="120"/>
      </w:pPr>
      <w:r>
        <w:tab/>
      </w:r>
      <w:r>
        <w:tab/>
        <w:t xml:space="preserve">Council members who are not public officers, and their deputies, are entitled to the remuneration and allowances determined by the Minister from time to time on the recommendation of the </w:t>
      </w:r>
      <w:del w:id="50" w:author="svcMRProcess" w:date="2015-12-15T15:01:00Z">
        <w:r>
          <w:delText xml:space="preserve">Minister for </w:delText>
        </w:r>
      </w:del>
      <w:r>
        <w:t xml:space="preserve">Public Sector </w:t>
      </w:r>
      <w:del w:id="51" w:author="svcMRProcess" w:date="2015-12-15T15:01:00Z">
        <w:r>
          <w:delText>Management</w:delText>
        </w:r>
      </w:del>
      <w:ins w:id="52" w:author="svcMRProcess" w:date="2015-12-15T15:01:00Z">
        <w:r>
          <w:t>Commissioner</w:t>
        </w:r>
      </w:ins>
      <w:r>
        <w:t>.</w:t>
      </w:r>
    </w:p>
    <w:p>
      <w:pPr>
        <w:pStyle w:val="Footnotesection"/>
        <w:rPr>
          <w:ins w:id="53" w:author="svcMRProcess" w:date="2015-12-15T15:01:00Z"/>
        </w:rPr>
      </w:pPr>
      <w:ins w:id="54" w:author="svcMRProcess" w:date="2015-12-15T15:01:00Z">
        <w:r>
          <w:tab/>
          <w:t>[Section 10 amended by No. 39 of 2010 s. 89.]</w:t>
        </w:r>
      </w:ins>
    </w:p>
    <w:p>
      <w:pPr>
        <w:pStyle w:val="Heading5"/>
        <w:spacing w:before="180"/>
      </w:pPr>
      <w:bookmarkStart w:id="55" w:name="_Toc131414357"/>
      <w:bookmarkStart w:id="56" w:name="_Toc278982037"/>
      <w:bookmarkStart w:id="57" w:name="_Toc274311739"/>
      <w:r>
        <w:rPr>
          <w:rStyle w:val="CharSectno"/>
        </w:rPr>
        <w:t>11</w:t>
      </w:r>
      <w:r>
        <w:t>.</w:t>
      </w:r>
      <w:r>
        <w:tab/>
        <w:t>Meetings</w:t>
      </w:r>
      <w:bookmarkEnd w:id="55"/>
      <w:bookmarkEnd w:id="56"/>
      <w:bookmarkEnd w:id="57"/>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58" w:name="_Toc131414358"/>
      <w:bookmarkStart w:id="59" w:name="_Toc278982038"/>
      <w:bookmarkStart w:id="60" w:name="_Toc274311740"/>
      <w:r>
        <w:rPr>
          <w:rStyle w:val="CharSectno"/>
        </w:rPr>
        <w:t>12</w:t>
      </w:r>
      <w:r>
        <w:t>.</w:t>
      </w:r>
      <w:r>
        <w:tab/>
        <w:t>Road Trauma Trust</w:t>
      </w:r>
      <w:bookmarkEnd w:id="58"/>
      <w:r>
        <w:t xml:space="preserve"> Account</w:t>
      </w:r>
      <w:bookmarkEnd w:id="59"/>
      <w:bookmarkEnd w:id="60"/>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spacing w:before="120"/>
      </w:pPr>
      <w:r>
        <w:tab/>
        <w:t>(2)</w:t>
      </w:r>
      <w:r>
        <w:tab/>
        <w:t xml:space="preserve">There is to be credited to the Account — </w:t>
      </w:r>
    </w:p>
    <w:p>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 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the provisions of the </w:t>
      </w:r>
      <w:r>
        <w:rPr>
          <w:i/>
        </w:rPr>
        <w:t>Road Traffic Act 1974</w:t>
      </w:r>
      <w:r>
        <w:t xml:space="preserve"> about traffic infringement notices,</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the </w:t>
      </w:r>
      <w:r>
        <w:rPr>
          <w:i/>
        </w:rPr>
        <w:t>Road Traffic Act 1974</w:t>
      </w:r>
      <w:r>
        <w:t xml:space="preserve"> for an offence if dealt with under section 102.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spacing w:before="160"/>
      </w:pPr>
      <w:r>
        <w:tab/>
      </w:r>
      <w:r>
        <w:rPr>
          <w:rStyle w:val="CharDefText"/>
        </w:rPr>
        <w:t>traffic infringement notice</w:t>
      </w:r>
      <w:r>
        <w:t xml:space="preserve"> includes a notice that, because of the </w:t>
      </w:r>
      <w:r>
        <w:rPr>
          <w:i/>
        </w:rPr>
        <w:t>Road Traffic Act 1974</w:t>
      </w:r>
      <w:r>
        <w:t xml:space="preserve"> section 102D(2), is to be regarded as being a traffic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on the recommendation of the Council.</w:t>
      </w:r>
    </w:p>
    <w:p>
      <w:pPr>
        <w:pStyle w:val="Subsection"/>
      </w:pPr>
      <w:r>
        <w:tab/>
        <w:t>(7)</w:t>
      </w:r>
      <w:r>
        <w:tab/>
        <w:t>The Governor may make regulations specifying offences to which subsection (2)(a) applies.</w:t>
      </w:r>
    </w:p>
    <w:p>
      <w:pPr>
        <w:pStyle w:val="Footnotesection"/>
      </w:pPr>
      <w:bookmarkStart w:id="61" w:name="_Toc131414359"/>
      <w:r>
        <w:tab/>
        <w:t>[Section 12 amended by No. 77 of 2006 Sch. 1 cl. 151(2)-(4); No. 23 of 2009 s. 29.]</w:t>
      </w:r>
    </w:p>
    <w:p>
      <w:pPr>
        <w:pStyle w:val="Heading5"/>
      </w:pPr>
      <w:bookmarkStart w:id="62" w:name="_Toc278982039"/>
      <w:bookmarkStart w:id="63" w:name="_Toc274311741"/>
      <w:r>
        <w:rPr>
          <w:rStyle w:val="CharSectno"/>
        </w:rPr>
        <w:t>13</w:t>
      </w:r>
      <w:r>
        <w:t>.</w:t>
      </w:r>
      <w:r>
        <w:tab/>
        <w:t>Annual report</w:t>
      </w:r>
      <w:bookmarkEnd w:id="61"/>
      <w:bookmarkEnd w:id="62"/>
      <w:bookmarkEnd w:id="63"/>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64" w:name="_Toc131414360"/>
      <w:bookmarkStart w:id="65" w:name="_Toc278982040"/>
      <w:bookmarkStart w:id="66" w:name="_Toc274311742"/>
      <w:r>
        <w:rPr>
          <w:rStyle w:val="CharSectno"/>
        </w:rPr>
        <w:t>14</w:t>
      </w:r>
      <w:r>
        <w:t>.</w:t>
      </w:r>
      <w:r>
        <w:tab/>
        <w:t>Protection from liability for wrongdoing</w:t>
      </w:r>
      <w:bookmarkEnd w:id="64"/>
      <w:bookmarkEnd w:id="65"/>
      <w:bookmarkEnd w:id="6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Ednotesection"/>
      </w:pPr>
      <w:r>
        <w:rPr>
          <w:rStyle w:val="CharSectno"/>
        </w:rPr>
        <w:t>[</w:t>
      </w:r>
      <w:r>
        <w:rPr>
          <w:rStyle w:val="CharSectno"/>
          <w:b/>
          <w:bCs/>
        </w:rPr>
        <w:t>15</w:t>
      </w:r>
      <w:r>
        <w:rPr>
          <w:b/>
          <w:bCs/>
        </w:rPr>
        <w:t>.</w:t>
      </w:r>
      <w:r>
        <w:tab/>
        <w:t>Omitted under the Reprints Act 1984 s. 7(4)(e).]</w:t>
      </w:r>
    </w:p>
    <w:p>
      <w:pPr>
        <w:pStyle w:val="Ednotesection"/>
        <w:spacing w:before="600"/>
        <w:ind w:left="890" w:hanging="890"/>
      </w:pPr>
      <w:r>
        <w:rPr>
          <w:rStyle w:val="CharSectno"/>
        </w:rPr>
        <w:t>[Schedule 1 o</w:t>
      </w:r>
      <w:r>
        <w:t>mitted under the Reprints Act 1984 s. 7(4)(e).]</w:t>
      </w:r>
    </w:p>
    <w:p>
      <w:pPr>
        <w:pStyle w:val="CentredBaseLine"/>
        <w:jc w:val="center"/>
        <w:rPr>
          <w:del w:id="67" w:author="svcMRProcess" w:date="2015-12-15T15:01:00Z"/>
        </w:rPr>
      </w:pPr>
      <w:del w:id="68" w:author="svcMRProcess" w:date="2015-12-15T15:01: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69" w:author="svcMRProcess" w:date="2015-12-15T15:01:00Z"/>
        </w:rPr>
      </w:pPr>
      <w:ins w:id="70" w:author="svcMRProcess" w:date="2015-12-15T15:01: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Ednotesection"/>
        <w:sectPr>
          <w:headerReference w:type="even" r:id="rId17"/>
          <w:headerReference w:type="default" r:id="rId18"/>
          <w:footerReference w:type="even" r:id="rId19"/>
          <w:footerReference w:type="default" r:id="rId20"/>
          <w:footerReference w:type="first" r:id="rId21"/>
          <w:pgSz w:w="11907" w:h="16840" w:code="9"/>
          <w:pgMar w:top="2381" w:right="2410" w:bottom="3544" w:left="2410" w:header="720" w:footer="3380" w:gutter="0"/>
          <w:pgNumType w:start="1"/>
          <w:cols w:space="720"/>
          <w:titlePg/>
          <w:docGrid w:linePitch="326"/>
        </w:sectPr>
      </w:pPr>
    </w:p>
    <w:p>
      <w:pPr>
        <w:pStyle w:val="nHeading2"/>
      </w:pPr>
      <w:bookmarkStart w:id="71" w:name="UpToHere"/>
      <w:bookmarkStart w:id="72" w:name="_Toc100458150"/>
      <w:bookmarkStart w:id="73" w:name="_Toc100566949"/>
      <w:bookmarkStart w:id="74" w:name="_Toc100568643"/>
      <w:bookmarkStart w:id="75" w:name="_Toc124041163"/>
      <w:bookmarkStart w:id="76" w:name="_Toc131414377"/>
      <w:bookmarkStart w:id="77" w:name="_Toc157322356"/>
      <w:bookmarkStart w:id="78" w:name="_Toc158004277"/>
      <w:bookmarkStart w:id="79" w:name="_Toc241286082"/>
      <w:bookmarkStart w:id="80" w:name="_Toc242788171"/>
      <w:bookmarkStart w:id="81" w:name="_Toc242861192"/>
      <w:bookmarkStart w:id="82" w:name="_Toc249324771"/>
      <w:bookmarkStart w:id="83" w:name="_Toc249324803"/>
      <w:bookmarkStart w:id="84" w:name="_Toc250012506"/>
      <w:bookmarkStart w:id="85" w:name="_Toc254077657"/>
      <w:bookmarkStart w:id="86" w:name="_Toc254597428"/>
      <w:bookmarkStart w:id="87" w:name="_Toc255897205"/>
      <w:bookmarkStart w:id="88" w:name="_Toc258915352"/>
      <w:bookmarkStart w:id="89" w:name="_Toc259009474"/>
      <w:bookmarkStart w:id="90" w:name="_Toc274311743"/>
      <w:bookmarkStart w:id="91" w:name="_Toc278981994"/>
      <w:bookmarkStart w:id="92" w:name="_Toc278982041"/>
      <w:bookmarkEnd w:id="71"/>
      <w:r>
        <w:t>Notes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nSubsection"/>
        <w:rPr>
          <w:snapToGrid w:val="0"/>
        </w:rPr>
      </w:pPr>
      <w:r>
        <w:rPr>
          <w:snapToGrid w:val="0"/>
          <w:vertAlign w:val="superscript"/>
        </w:rPr>
        <w:t>1</w:t>
      </w:r>
      <w:r>
        <w:rPr>
          <w:snapToGrid w:val="0"/>
        </w:rPr>
        <w:tab/>
        <w:t xml:space="preserve">This is a compilation of the </w:t>
      </w:r>
      <w:r>
        <w:rPr>
          <w:i/>
          <w:sz w:val="19"/>
        </w:rPr>
        <w:t xml:space="preserve">Road Safety Council Act 2002 </w:t>
      </w:r>
      <w:r>
        <w:rPr>
          <w:snapToGrid w:val="0"/>
        </w:rPr>
        <w:t>and includes the amendments made by the other written laws referred to in the following table</w:t>
      </w:r>
      <w:del w:id="93" w:author="svcMRProcess" w:date="2015-12-15T15:0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94" w:name="_Toc278982042"/>
      <w:bookmarkStart w:id="95" w:name="_Toc274311744"/>
      <w:r>
        <w:rPr>
          <w:snapToGrid w:val="0"/>
        </w:rPr>
        <w:t>Compilation table</w:t>
      </w:r>
      <w:bookmarkEnd w:id="94"/>
      <w:bookmarkEnd w:id="95"/>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44"/>
        <w:gridCol w:w="8"/>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 xml:space="preserve">Act other than s. 1, 2 and 12(4): 1 Jul 2002 (see s. 2(1) and </w:t>
            </w:r>
            <w:r>
              <w:rPr>
                <w:i/>
                <w:iCs/>
                <w:sz w:val="19"/>
              </w:rPr>
              <w:t>Gazette</w:t>
            </w:r>
            <w:r>
              <w:rPr>
                <w:sz w:val="19"/>
              </w:rPr>
              <w:t xml:space="preserve"> 1 Jul 2002 p. 3205);</w:t>
            </w:r>
            <w:r>
              <w:rPr>
                <w:sz w:val="19"/>
              </w:rPr>
              <w:br/>
              <w:t xml:space="preserve">s. 12(4): 1 Jan 2006 (see s. 2(2) and </w:t>
            </w:r>
            <w:r>
              <w:rPr>
                <w:i/>
                <w:iCs/>
                <w:sz w:val="19"/>
              </w:rPr>
              <w:t>Gazette</w:t>
            </w:r>
            <w:r>
              <w:rPr>
                <w:sz w:val="19"/>
              </w:rPr>
              <w:t xml:space="preserve"> 23 Dec 2005 p. 6244</w:t>
            </w:r>
            <w:r>
              <w:rPr>
                <w:sz w:val="19"/>
              </w:rPr>
              <w:noBreakHyphen/>
              <w:t>5)</w:t>
            </w:r>
          </w:p>
        </w:tc>
      </w:tr>
      <w:tr>
        <w:tc>
          <w:tcPr>
            <w:tcW w:w="2273" w:type="dxa"/>
          </w:tcPr>
          <w:p>
            <w:pPr>
              <w:pStyle w:val="nTable"/>
              <w:spacing w:after="40"/>
              <w:rPr>
                <w:i/>
                <w:sz w:val="19"/>
              </w:rPr>
            </w:pPr>
            <w:r>
              <w:rPr>
                <w:i/>
                <w:sz w:val="19"/>
              </w:rPr>
              <w:t xml:space="preserve">Local Government Amendment Act 2004 </w:t>
            </w:r>
            <w:r>
              <w:rPr>
                <w:iCs/>
                <w:sz w:val="19"/>
              </w:rPr>
              <w:t>s. 13</w:t>
            </w:r>
          </w:p>
        </w:tc>
        <w:tc>
          <w:tcPr>
            <w:tcW w:w="1135"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52" w:type="dxa"/>
            <w:gridSpan w:val="2"/>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c>
          <w:tcPr>
            <w:tcW w:w="2273"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napToGrid w:val="0"/>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73" w:type="dxa"/>
          </w:tcPr>
          <w:p>
            <w:pPr>
              <w:pStyle w:val="nTable"/>
              <w:spacing w:after="40"/>
              <w:rPr>
                <w:i/>
                <w:snapToGrid w:val="0"/>
                <w:sz w:val="19"/>
                <w:lang w:val="en-US"/>
              </w:rPr>
            </w:pPr>
            <w:r>
              <w:rPr>
                <w:i/>
                <w:iCs/>
                <w:snapToGrid w:val="0"/>
                <w:sz w:val="19"/>
                <w:lang w:val="en-US"/>
              </w:rPr>
              <w:t>Financial Legislation Amendment and Repeal Act 2006</w:t>
            </w:r>
            <w:r>
              <w:rPr>
                <w:iCs/>
                <w:snapToGrid w:val="0"/>
                <w:sz w:val="19"/>
                <w:lang w:val="en-US"/>
              </w:rPr>
              <w:t xml:space="preserve"> Sch. 1 cl. 151</w:t>
            </w:r>
          </w:p>
        </w:tc>
        <w:tc>
          <w:tcPr>
            <w:tcW w:w="1135"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76</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2273" w:type="dxa"/>
          </w:tcPr>
          <w:p>
            <w:pPr>
              <w:pStyle w:val="nTable"/>
              <w:spacing w:after="40"/>
              <w:rPr>
                <w:i/>
                <w:snapToGrid w:val="0"/>
                <w:sz w:val="19"/>
              </w:rPr>
            </w:pPr>
            <w:r>
              <w:rPr>
                <w:i/>
                <w:iCs/>
                <w:snapToGrid w:val="0"/>
                <w:sz w:val="19"/>
                <w:lang w:val="en-US"/>
              </w:rPr>
              <w:t>Road Traffic Amendment (Hoons) Act 2009</w:t>
            </w:r>
            <w:r>
              <w:rPr>
                <w:snapToGrid w:val="0"/>
                <w:sz w:val="19"/>
                <w:lang w:val="en-US"/>
              </w:rPr>
              <w:t xml:space="preserve"> Pt. 3 </w:t>
            </w:r>
          </w:p>
        </w:tc>
        <w:tc>
          <w:tcPr>
            <w:tcW w:w="1135" w:type="dxa"/>
          </w:tcPr>
          <w:p>
            <w:pPr>
              <w:pStyle w:val="nTable"/>
              <w:spacing w:after="40"/>
              <w:rPr>
                <w:sz w:val="19"/>
              </w:rPr>
            </w:pPr>
            <w:r>
              <w:rPr>
                <w:snapToGrid w:val="0"/>
                <w:sz w:val="19"/>
                <w:lang w:val="en-US"/>
              </w:rPr>
              <w:t>23 of 2009</w:t>
            </w:r>
          </w:p>
        </w:tc>
        <w:tc>
          <w:tcPr>
            <w:tcW w:w="1135" w:type="dxa"/>
          </w:tcPr>
          <w:p>
            <w:pPr>
              <w:pStyle w:val="nTable"/>
              <w:spacing w:after="40"/>
              <w:rPr>
                <w:sz w:val="19"/>
              </w:rPr>
            </w:pPr>
            <w:r>
              <w:rPr>
                <w:snapToGrid w:val="0"/>
                <w:sz w:val="19"/>
                <w:lang w:val="en-US"/>
              </w:rPr>
              <w:t>6 Oct 2009</w:t>
            </w:r>
          </w:p>
        </w:tc>
        <w:tc>
          <w:tcPr>
            <w:tcW w:w="2552" w:type="dxa"/>
            <w:gridSpan w:val="2"/>
          </w:tcPr>
          <w:p>
            <w:pPr>
              <w:pStyle w:val="nTable"/>
              <w:spacing w:after="40"/>
              <w:rPr>
                <w:sz w:val="19"/>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8" w:type="dxa"/>
          <w:cantSplit/>
        </w:trPr>
        <w:tc>
          <w:tcPr>
            <w:tcW w:w="7087" w:type="dxa"/>
            <w:gridSpan w:val="4"/>
          </w:tcPr>
          <w:p>
            <w:pPr>
              <w:pStyle w:val="nTable"/>
              <w:spacing w:after="40"/>
              <w:rPr>
                <w:snapToGrid w:val="0"/>
                <w:sz w:val="19"/>
                <w:lang w:val="en-US"/>
              </w:rPr>
            </w:pPr>
            <w:r>
              <w:rPr>
                <w:b/>
                <w:bCs/>
                <w:snapToGrid w:val="0"/>
                <w:sz w:val="19"/>
                <w:lang w:val="en-US"/>
              </w:rPr>
              <w:t xml:space="preserve">Reprint 1: The </w:t>
            </w:r>
            <w:r>
              <w:rPr>
                <w:b/>
                <w:bCs/>
                <w:i/>
                <w:sz w:val="19"/>
              </w:rPr>
              <w:t xml:space="preserve">Road Safety Council Act 2002 </w:t>
            </w:r>
            <w:r>
              <w:rPr>
                <w:b/>
                <w:bCs/>
                <w:snapToGrid w:val="0"/>
                <w:sz w:val="19"/>
                <w:lang w:val="en-US"/>
              </w:rPr>
              <w:t>as at 16 Apr 2010</w:t>
            </w:r>
            <w:r>
              <w:rPr>
                <w:snapToGrid w:val="0"/>
                <w:sz w:val="19"/>
                <w:lang w:val="en-US"/>
              </w:rPr>
              <w:t xml:space="preserve"> (includes amendments listed above)</w:t>
            </w:r>
          </w:p>
        </w:tc>
      </w:tr>
    </w:tbl>
    <w:p>
      <w:pPr>
        <w:pStyle w:val="nSubsection"/>
        <w:tabs>
          <w:tab w:val="clear" w:pos="454"/>
          <w:tab w:val="left" w:pos="567"/>
        </w:tabs>
        <w:spacing w:before="120"/>
        <w:ind w:left="567" w:hanging="567"/>
        <w:rPr>
          <w:del w:id="96" w:author="svcMRProcess" w:date="2015-12-15T15:01:00Z"/>
          <w:snapToGrid w:val="0"/>
        </w:rPr>
      </w:pPr>
      <w:del w:id="97" w:author="svcMRProcess" w:date="2015-12-15T15: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8" w:author="svcMRProcess" w:date="2015-12-15T15:01:00Z"/>
        </w:rPr>
      </w:pPr>
      <w:bookmarkStart w:id="99" w:name="_Toc7405065"/>
      <w:bookmarkStart w:id="100" w:name="_Toc274311745"/>
      <w:del w:id="101" w:author="svcMRProcess" w:date="2015-12-15T15:01:00Z">
        <w:r>
          <w:delText>Provisions that have not come into operation</w:delText>
        </w:r>
        <w:bookmarkEnd w:id="99"/>
        <w:bookmarkEnd w:id="10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135"/>
        <w:gridCol w:w="1135"/>
        <w:gridCol w:w="2552"/>
      </w:tblGrid>
      <w:tr>
        <w:trPr>
          <w:del w:id="102" w:author="svcMRProcess" w:date="2015-12-15T15:01:00Z"/>
        </w:trPr>
        <w:tc>
          <w:tcPr>
            <w:tcW w:w="2268" w:type="dxa"/>
          </w:tcPr>
          <w:p>
            <w:pPr>
              <w:pStyle w:val="nTable"/>
              <w:spacing w:after="40"/>
              <w:rPr>
                <w:del w:id="103" w:author="svcMRProcess" w:date="2015-12-15T15:01:00Z"/>
                <w:b/>
                <w:snapToGrid w:val="0"/>
                <w:sz w:val="19"/>
                <w:lang w:val="en-US"/>
              </w:rPr>
            </w:pPr>
            <w:del w:id="104" w:author="svcMRProcess" w:date="2015-12-15T15:01:00Z">
              <w:r>
                <w:rPr>
                  <w:b/>
                  <w:snapToGrid w:val="0"/>
                  <w:sz w:val="19"/>
                  <w:lang w:val="en-US"/>
                </w:rPr>
                <w:delText>Short title</w:delText>
              </w:r>
            </w:del>
          </w:p>
        </w:tc>
        <w:tc>
          <w:tcPr>
            <w:tcW w:w="1120" w:type="dxa"/>
          </w:tcPr>
          <w:p>
            <w:pPr>
              <w:pStyle w:val="nTable"/>
              <w:spacing w:after="40"/>
              <w:rPr>
                <w:del w:id="105" w:author="svcMRProcess" w:date="2015-12-15T15:01:00Z"/>
                <w:b/>
                <w:snapToGrid w:val="0"/>
                <w:sz w:val="19"/>
                <w:lang w:val="en-US"/>
              </w:rPr>
            </w:pPr>
            <w:del w:id="106" w:author="svcMRProcess" w:date="2015-12-15T15:01:00Z">
              <w:r>
                <w:rPr>
                  <w:b/>
                  <w:snapToGrid w:val="0"/>
                  <w:sz w:val="19"/>
                  <w:lang w:val="en-US"/>
                </w:rPr>
                <w:delText>Number and year</w:delText>
              </w:r>
            </w:del>
          </w:p>
        </w:tc>
        <w:tc>
          <w:tcPr>
            <w:tcW w:w="1135" w:type="dxa"/>
          </w:tcPr>
          <w:p>
            <w:pPr>
              <w:pStyle w:val="nTable"/>
              <w:spacing w:after="40"/>
              <w:rPr>
                <w:del w:id="107" w:author="svcMRProcess" w:date="2015-12-15T15:01:00Z"/>
                <w:b/>
                <w:snapToGrid w:val="0"/>
                <w:sz w:val="19"/>
                <w:lang w:val="en-US"/>
              </w:rPr>
            </w:pPr>
            <w:del w:id="108" w:author="svcMRProcess" w:date="2015-12-15T15:01:00Z">
              <w:r>
                <w:rPr>
                  <w:b/>
                  <w:snapToGrid w:val="0"/>
                  <w:sz w:val="19"/>
                  <w:lang w:val="en-US"/>
                </w:rPr>
                <w:delText>Assent</w:delText>
              </w:r>
            </w:del>
          </w:p>
        </w:tc>
        <w:tc>
          <w:tcPr>
            <w:tcW w:w="2552" w:type="dxa"/>
          </w:tcPr>
          <w:p>
            <w:pPr>
              <w:pStyle w:val="nTable"/>
              <w:spacing w:after="40"/>
              <w:rPr>
                <w:del w:id="109" w:author="svcMRProcess" w:date="2015-12-15T15:01:00Z"/>
                <w:b/>
                <w:snapToGrid w:val="0"/>
                <w:sz w:val="19"/>
                <w:lang w:val="en-US"/>
              </w:rPr>
            </w:pPr>
            <w:del w:id="110" w:author="svcMRProcess" w:date="2015-12-15T15:0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8"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del w:id="111" w:author="svcMRProcess" w:date="2015-12-15T15:01:00Z">
              <w:r>
                <w:rPr>
                  <w:iCs/>
                  <w:snapToGrid w:val="0"/>
                  <w:sz w:val="19"/>
                  <w:lang w:val="en-US"/>
                </w:rPr>
                <w:delText xml:space="preserve"> </w:delText>
              </w:r>
              <w:r>
                <w:rPr>
                  <w:iCs/>
                  <w:snapToGrid w:val="0"/>
                  <w:sz w:val="19"/>
                  <w:vertAlign w:val="superscript"/>
                  <w:lang w:val="en-US"/>
                </w:rPr>
                <w:delText>3</w:delText>
              </w:r>
            </w:del>
          </w:p>
        </w:tc>
        <w:tc>
          <w:tcPr>
            <w:tcW w:w="1135" w:type="dxa"/>
            <w:tcBorders>
              <w:bottom w:val="single" w:sz="8" w:space="0" w:color="auto"/>
            </w:tcBorders>
          </w:tcPr>
          <w:p>
            <w:pPr>
              <w:pStyle w:val="nTable"/>
              <w:spacing w:after="40"/>
              <w:rPr>
                <w:sz w:val="19"/>
              </w:rPr>
            </w:pPr>
            <w:r>
              <w:rPr>
                <w:snapToGrid w:val="0"/>
                <w:sz w:val="19"/>
                <w:lang w:val="en-US"/>
              </w:rPr>
              <w:t>39 of 2010</w:t>
            </w:r>
          </w:p>
        </w:tc>
        <w:tc>
          <w:tcPr>
            <w:tcW w:w="1135" w:type="dxa"/>
            <w:tcBorders>
              <w:bottom w:val="single" w:sz="8" w:space="0" w:color="auto"/>
            </w:tcBorders>
          </w:tcPr>
          <w:p>
            <w:pPr>
              <w:pStyle w:val="nTable"/>
              <w:spacing w:after="40"/>
              <w:rPr>
                <w:sz w:val="19"/>
              </w:rPr>
            </w:pPr>
            <w:r>
              <w:rPr>
                <w:snapToGrid w:val="0"/>
                <w:sz w:val="19"/>
                <w:lang w:val="en-US"/>
              </w:rPr>
              <w:t>1 Oct 2010</w:t>
            </w:r>
          </w:p>
        </w:tc>
        <w:tc>
          <w:tcPr>
            <w:tcW w:w="2552" w:type="dxa"/>
            <w:tcBorders>
              <w:bottom w:val="single" w:sz="8" w:space="0" w:color="auto"/>
            </w:tcBorders>
          </w:tcPr>
          <w:p>
            <w:pPr>
              <w:pStyle w:val="nTable"/>
              <w:spacing w:after="40"/>
              <w:rPr>
                <w:sz w:val="19"/>
              </w:rPr>
            </w:pPr>
            <w:r>
              <w:rPr>
                <w:snapToGrid w:val="0"/>
                <w:sz w:val="19"/>
                <w:lang w:val="en-US"/>
              </w:rPr>
              <w:t>1</w:t>
            </w:r>
            <w:del w:id="112" w:author="svcMRProcess" w:date="2015-12-15T15:01:00Z">
              <w:r>
                <w:rPr>
                  <w:snapToGrid w:val="0"/>
                  <w:sz w:val="19"/>
                  <w:lang w:val="en-US"/>
                </w:rPr>
                <w:delText> </w:delText>
              </w:r>
            </w:del>
            <w:ins w:id="113" w:author="svcMRProcess" w:date="2015-12-15T15:01:00Z">
              <w:r>
                <w:rPr>
                  <w:snapToGrid w:val="0"/>
                  <w:sz w:val="19"/>
                  <w:lang w:val="en-US"/>
                </w:rPr>
                <w:t xml:space="preserve">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The provisions of this Act amending those Acts have been omitted under the </w:t>
      </w:r>
      <w:r>
        <w:rPr>
          <w:i/>
          <w:iCs/>
        </w:rPr>
        <w:t>Reprints Act 1984</w:t>
      </w:r>
      <w:r>
        <w:t xml:space="preserve"> s. 7(4)(e).</w:t>
      </w:r>
    </w:p>
    <w:p>
      <w:pPr>
        <w:pStyle w:val="nSubsection"/>
        <w:rPr>
          <w:del w:id="114" w:author="svcMRProcess" w:date="2015-12-15T15:01:00Z"/>
          <w:snapToGrid w:val="0"/>
        </w:rPr>
      </w:pPr>
      <w:del w:id="115" w:author="svcMRProcess" w:date="2015-12-15T15:01:00Z">
        <w:r>
          <w:rPr>
            <w:vertAlign w:val="superscript"/>
          </w:rPr>
          <w:delText>3</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16" w:author="svcMRProcess" w:date="2015-12-15T15:01:00Z"/>
        </w:rPr>
      </w:pPr>
    </w:p>
    <w:p>
      <w:pPr>
        <w:pStyle w:val="nzHeading5"/>
        <w:rPr>
          <w:del w:id="117" w:author="svcMRProcess" w:date="2015-12-15T15:01:00Z"/>
        </w:rPr>
      </w:pPr>
      <w:bookmarkStart w:id="118" w:name="_Toc273538032"/>
      <w:bookmarkStart w:id="119" w:name="_Toc273964959"/>
      <w:bookmarkStart w:id="120" w:name="_Toc273971506"/>
      <w:del w:id="121" w:author="svcMRProcess" w:date="2015-12-15T15:01:00Z">
        <w:r>
          <w:rPr>
            <w:rStyle w:val="CharSectno"/>
          </w:rPr>
          <w:delText>89</w:delText>
        </w:r>
        <w:r>
          <w:delText>.</w:delText>
        </w:r>
        <w:r>
          <w:tab/>
          <w:delText>Various references to “Minister for Public Sector Management” amended</w:delText>
        </w:r>
        <w:bookmarkEnd w:id="118"/>
        <w:bookmarkEnd w:id="119"/>
        <w:bookmarkEnd w:id="120"/>
      </w:del>
    </w:p>
    <w:p>
      <w:pPr>
        <w:pStyle w:val="nzSubsection"/>
        <w:rPr>
          <w:del w:id="122" w:author="svcMRProcess" w:date="2015-12-15T15:01:00Z"/>
        </w:rPr>
      </w:pPr>
      <w:del w:id="123" w:author="svcMRProcess" w:date="2015-12-15T15:01:00Z">
        <w:r>
          <w:tab/>
          <w:delText>(1)</w:delText>
        </w:r>
        <w:r>
          <w:tab/>
          <w:delText>This section amends the Acts listed in the Table.</w:delText>
        </w:r>
      </w:del>
    </w:p>
    <w:p>
      <w:pPr>
        <w:pStyle w:val="nzSubsection"/>
        <w:rPr>
          <w:del w:id="124" w:author="svcMRProcess" w:date="2015-12-15T15:01:00Z"/>
        </w:rPr>
      </w:pPr>
      <w:del w:id="125" w:author="svcMRProcess" w:date="2015-12-15T15:01:00Z">
        <w:r>
          <w:tab/>
          <w:delText>(2)</w:delText>
        </w:r>
        <w:r>
          <w:tab/>
          <w:delText>In the provisions listed in the Table delete “Minister for Public Sector Management” and insert:</w:delText>
        </w:r>
      </w:del>
    </w:p>
    <w:p>
      <w:pPr>
        <w:pStyle w:val="BlankOpen"/>
        <w:rPr>
          <w:del w:id="126" w:author="svcMRProcess" w:date="2015-12-15T15:01:00Z"/>
        </w:rPr>
      </w:pPr>
    </w:p>
    <w:p>
      <w:pPr>
        <w:pStyle w:val="nzSubsection"/>
        <w:rPr>
          <w:del w:id="127" w:author="svcMRProcess" w:date="2015-12-15T15:01:00Z"/>
        </w:rPr>
      </w:pPr>
      <w:del w:id="128" w:author="svcMRProcess" w:date="2015-12-15T15:01:00Z">
        <w:r>
          <w:tab/>
        </w:r>
        <w:r>
          <w:tab/>
          <w:delText>Public Sector Commissioner</w:delText>
        </w:r>
      </w:del>
    </w:p>
    <w:p>
      <w:pPr>
        <w:pStyle w:val="BlankClose"/>
        <w:rPr>
          <w:del w:id="129" w:author="svcMRProcess" w:date="2015-12-15T15:01:00Z"/>
        </w:rPr>
      </w:pPr>
    </w:p>
    <w:p>
      <w:pPr>
        <w:pStyle w:val="BlankClose"/>
        <w:rPr>
          <w:del w:id="130" w:author="svcMRProcess" w:date="2015-12-15T15:01:00Z"/>
        </w:rPr>
      </w:pPr>
    </w:p>
    <w:p>
      <w:pPr>
        <w:pStyle w:val="THeading"/>
        <w:rPr>
          <w:del w:id="131" w:author="svcMRProcess" w:date="2015-12-15T15:01:00Z"/>
        </w:rPr>
      </w:pPr>
      <w:del w:id="132" w:author="svcMRProcess" w:date="2015-12-15T15:0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33" w:author="svcMRProcess" w:date="2015-12-15T15:01:00Z"/>
        </w:trPr>
        <w:tc>
          <w:tcPr>
            <w:tcW w:w="3403" w:type="dxa"/>
          </w:tcPr>
          <w:p>
            <w:pPr>
              <w:pStyle w:val="TableAm"/>
              <w:rPr>
                <w:del w:id="134" w:author="svcMRProcess" w:date="2015-12-15T15:01:00Z"/>
                <w:iCs/>
                <w:sz w:val="20"/>
              </w:rPr>
            </w:pPr>
            <w:del w:id="135" w:author="svcMRProcess" w:date="2015-12-15T15:01:00Z">
              <w:r>
                <w:rPr>
                  <w:i/>
                  <w:iCs/>
                  <w:sz w:val="20"/>
                </w:rPr>
                <w:delText>Road Safety Council Act 2002</w:delText>
              </w:r>
            </w:del>
          </w:p>
        </w:tc>
        <w:tc>
          <w:tcPr>
            <w:tcW w:w="3401" w:type="dxa"/>
          </w:tcPr>
          <w:p>
            <w:pPr>
              <w:pStyle w:val="TableAm"/>
              <w:rPr>
                <w:del w:id="136" w:author="svcMRProcess" w:date="2015-12-15T15:01:00Z"/>
                <w:sz w:val="20"/>
              </w:rPr>
            </w:pPr>
            <w:del w:id="137" w:author="svcMRProcess" w:date="2015-12-15T15:01:00Z">
              <w:r>
                <w:rPr>
                  <w:sz w:val="20"/>
                </w:rPr>
                <w:delText>s. 10</w:delText>
              </w:r>
            </w:del>
          </w:p>
        </w:tc>
      </w:tr>
    </w:tbl>
    <w:p>
      <w:pPr>
        <w:pStyle w:val="BlankClose"/>
        <w:rPr>
          <w:del w:id="138" w:author="svcMRProcess" w:date="2015-12-15T15:01:00Z"/>
        </w:rPr>
      </w:pPr>
    </w:p>
    <w:p>
      <w:pPr>
        <w:pStyle w:val="nSubsection"/>
        <w:rPr>
          <w:del w:id="139" w:author="svcMRProcess" w:date="2015-12-15T15:01:00Z"/>
        </w:rPr>
      </w:pPr>
    </w:p>
    <w:p>
      <w:pPr>
        <w:rPr>
          <w:del w:id="140" w:author="svcMRProcess" w:date="2015-12-15T15:01:00Z"/>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rPr>
          <w:del w:id="141" w:author="svcMRProcess" w:date="2015-12-15T15:01:00Z"/>
          <w:sz w:val="20"/>
        </w:rPr>
      </w:pPr>
    </w:p>
    <w:p>
      <w:pPr>
        <w:rPr>
          <w:del w:id="142" w:author="svcMRProcess" w:date="2015-12-15T15:01:00Z"/>
          <w:sz w:val="20"/>
        </w:rPr>
      </w:pPr>
    </w:p>
    <w:p>
      <w:pPr>
        <w:rPr>
          <w:del w:id="143" w:author="svcMRProcess" w:date="2015-12-15T15:01:00Z"/>
          <w:sz w:val="20"/>
        </w:rPr>
      </w:pPr>
    </w:p>
    <w:p>
      <w:pPr>
        <w:rPr>
          <w:del w:id="144" w:author="svcMRProcess" w:date="2015-12-15T15:01:00Z"/>
          <w:sz w:val="20"/>
        </w:rPr>
      </w:pPr>
    </w:p>
    <w:p>
      <w:pPr>
        <w:rPr>
          <w:del w:id="145" w:author="svcMRProcess" w:date="2015-12-15T15:01:00Z"/>
          <w:sz w:val="20"/>
        </w:rPr>
      </w:pPr>
    </w:p>
    <w:p>
      <w:pPr>
        <w:rPr>
          <w:del w:id="146" w:author="svcMRProcess" w:date="2015-12-15T15:01:00Z"/>
          <w:sz w:val="20"/>
        </w:rPr>
      </w:pPr>
    </w:p>
    <w:p>
      <w:pPr>
        <w:rPr>
          <w:del w:id="147" w:author="svcMRProcess" w:date="2015-12-15T15:01:00Z"/>
          <w:sz w:val="20"/>
        </w:rPr>
      </w:pPr>
    </w:p>
    <w:p>
      <w:pPr>
        <w:rPr>
          <w:del w:id="148" w:author="svcMRProcess" w:date="2015-12-15T15:01:00Z"/>
          <w:sz w:val="20"/>
        </w:rPr>
      </w:pPr>
    </w:p>
    <w:p>
      <w:pPr>
        <w:rPr>
          <w:del w:id="149" w:author="svcMRProcess" w:date="2015-12-15T15:01:00Z"/>
          <w:sz w:val="20"/>
        </w:rPr>
      </w:pPr>
    </w:p>
    <w:p>
      <w:pPr>
        <w:rPr>
          <w:del w:id="150" w:author="svcMRProcess" w:date="2015-12-15T15:01:00Z"/>
          <w:sz w:val="20"/>
        </w:rPr>
      </w:pPr>
    </w:p>
    <w:p>
      <w:pPr>
        <w:rPr>
          <w:del w:id="151" w:author="svcMRProcess" w:date="2015-12-15T15:01:00Z"/>
          <w:sz w:val="20"/>
        </w:rPr>
      </w:pPr>
    </w:p>
    <w:p>
      <w:pPr>
        <w:rPr>
          <w:del w:id="152" w:author="svcMRProcess" w:date="2015-12-15T15:01:00Z"/>
          <w:sz w:val="20"/>
        </w:rPr>
      </w:pPr>
    </w:p>
    <w:p>
      <w:pPr>
        <w:rPr>
          <w:del w:id="153" w:author="svcMRProcess" w:date="2015-12-15T15:01:00Z"/>
          <w:sz w:val="20"/>
        </w:rPr>
      </w:pPr>
    </w:p>
    <w:p>
      <w:pPr>
        <w:rPr>
          <w:del w:id="154" w:author="svcMRProcess" w:date="2015-12-15T15:01:00Z"/>
          <w:sz w:val="20"/>
        </w:rPr>
      </w:pPr>
    </w:p>
    <w:p>
      <w:pPr>
        <w:rPr>
          <w:del w:id="155" w:author="svcMRProcess" w:date="2015-12-15T15:01:00Z"/>
          <w:sz w:val="20"/>
        </w:rPr>
      </w:pPr>
    </w:p>
    <w:p>
      <w:pPr>
        <w:rPr>
          <w:del w:id="156" w:author="svcMRProcess" w:date="2015-12-15T15:01:00Z"/>
          <w:sz w:val="20"/>
        </w:rPr>
      </w:pPr>
    </w:p>
    <w:p>
      <w:pPr>
        <w:rPr>
          <w:del w:id="157" w:author="svcMRProcess" w:date="2015-12-15T15:01:00Z"/>
          <w:sz w:val="20"/>
        </w:rPr>
      </w:pPr>
    </w:p>
    <w:p>
      <w:pPr>
        <w:rPr>
          <w:del w:id="158" w:author="svcMRProcess" w:date="2015-12-15T15:01:00Z"/>
          <w:sz w:val="20"/>
        </w:rPr>
      </w:pPr>
    </w:p>
    <w:p>
      <w:pPr>
        <w:rPr>
          <w:del w:id="159" w:author="svcMRProcess" w:date="2015-12-15T15:01:00Z"/>
          <w:sz w:val="20"/>
        </w:rPr>
      </w:pPr>
    </w:p>
    <w:p>
      <w:pPr>
        <w:rPr>
          <w:del w:id="160" w:author="svcMRProcess" w:date="2015-12-15T15:01:00Z"/>
          <w:sz w:val="20"/>
        </w:rPr>
      </w:pPr>
    </w:p>
    <w:p>
      <w:pPr>
        <w:rPr>
          <w:del w:id="161" w:author="svcMRProcess" w:date="2015-12-15T15:01:00Z"/>
          <w:sz w:val="20"/>
        </w:rPr>
      </w:pPr>
    </w:p>
    <w:p>
      <w:pPr>
        <w:rPr>
          <w:del w:id="162" w:author="svcMRProcess" w:date="2015-12-15T15:01:00Z"/>
          <w:sz w:val="20"/>
        </w:rPr>
      </w:pPr>
    </w:p>
    <w:p>
      <w:pPr>
        <w:rPr>
          <w:del w:id="163" w:author="svcMRProcess" w:date="2015-12-15T15:01:00Z"/>
          <w:sz w:val="20"/>
        </w:rPr>
      </w:pPr>
    </w:p>
    <w:p>
      <w:pPr>
        <w:rPr>
          <w:del w:id="164" w:author="svcMRProcess" w:date="2015-12-15T15:01:00Z"/>
          <w:sz w:val="20"/>
        </w:rPr>
      </w:pPr>
    </w:p>
    <w:p>
      <w:pPr>
        <w:rPr>
          <w:del w:id="165" w:author="svcMRProcess" w:date="2015-12-15T15:01:00Z"/>
          <w:sz w:val="20"/>
        </w:rPr>
      </w:pPr>
    </w:p>
    <w:p>
      <w:pPr>
        <w:pStyle w:val="nSubsection"/>
        <w:rPr>
          <w:ins w:id="166" w:author="svcMRProcess" w:date="2015-12-15T15:01:00Z"/>
        </w:rPr>
      </w:pPr>
    </w:p>
    <w:p>
      <w:pPr>
        <w:rPr>
          <w:ins w:id="167" w:author="svcMRProcess" w:date="2015-12-15T15:01: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sz w:val="20"/>
        </w:rPr>
      </w:pPr>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618"/>
    <w:docVar w:name="WAFER_20151209114618" w:val="RemoveTrackChanges"/>
    <w:docVar w:name="WAFER_20151209114618_GUID" w:val="1a48de45-22d5-4559-85e2-67e82c3e76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2676</Words>
  <Characters>12770</Characters>
  <Application>Microsoft Office Word</Application>
  <DocSecurity>0</DocSecurity>
  <Lines>375</Lines>
  <Paragraphs>193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Road Safety Council Act 2002</vt:lpstr>
      <vt:lpstr>    Notes</vt:lpstr>
      <vt:lpstr>    Defined Terms</vt:lpstr>
    </vt:vector>
  </TitlesOfParts>
  <Manager/>
  <Company/>
  <LinksUpToDate>false</LinksUpToDate>
  <CharactersWithSpaces>15253</CharactersWithSpaces>
  <SharedDoc>false</SharedDoc>
  <HyperlinkBase/>
  <HLinks>
    <vt:vector size="12" baseType="variant">
      <vt:variant>
        <vt:i4>5439608</vt:i4>
      </vt:variant>
      <vt:variant>
        <vt:i4>15130</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01-c0-01 - 01-d0-02</dc:title>
  <dc:subject/>
  <dc:creator/>
  <cp:keywords/>
  <dc:description/>
  <cp:lastModifiedBy>svcMRProcess</cp:lastModifiedBy>
  <cp:revision>2</cp:revision>
  <cp:lastPrinted>2010-04-14T04:12:00Z</cp:lastPrinted>
  <dcterms:created xsi:type="dcterms:W3CDTF">2015-12-15T07:01:00Z</dcterms:created>
  <dcterms:modified xsi:type="dcterms:W3CDTF">2015-12-15T07:01:00Z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2112</vt:i4>
  </property>
  <property fmtid="{D5CDD505-2E9C-101B-9397-08002B2CF9AE}" pid="6" name="ReprintNo">
    <vt:lpwstr>1</vt:lpwstr>
  </property>
  <property fmtid="{D5CDD505-2E9C-101B-9397-08002B2CF9AE}" pid="7" name="FromSuffix">
    <vt:lpwstr>01-c0-01</vt:lpwstr>
  </property>
  <property fmtid="{D5CDD505-2E9C-101B-9397-08002B2CF9AE}" pid="8" name="FromAsAtDate">
    <vt:lpwstr>05 Nov 2010</vt:lpwstr>
  </property>
  <property fmtid="{D5CDD505-2E9C-101B-9397-08002B2CF9AE}" pid="9" name="ToSuffix">
    <vt:lpwstr>01-d0-02</vt:lpwstr>
  </property>
  <property fmtid="{D5CDD505-2E9C-101B-9397-08002B2CF9AE}" pid="10" name="ToAsAtDate">
    <vt:lpwstr>01 Dec 2010</vt:lpwstr>
  </property>
</Properties>
</file>