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2010</w:t>
      </w:r>
      <w:r>
        <w:fldChar w:fldCharType="end"/>
      </w:r>
      <w:r>
        <w:t xml:space="preserve">, </w:t>
      </w:r>
      <w:r>
        <w:fldChar w:fldCharType="begin"/>
      </w:r>
      <w:r>
        <w:instrText xml:space="preserve"> DocProperty FromSuffix </w:instrText>
      </w:r>
      <w:r>
        <w:fldChar w:fldCharType="separate"/>
      </w:r>
      <w:r>
        <w:t>01-j0-03</w:t>
      </w:r>
      <w:r>
        <w:fldChar w:fldCharType="end"/>
      </w:r>
      <w:r>
        <w:t>] and [</w:t>
      </w:r>
      <w:r>
        <w:fldChar w:fldCharType="begin"/>
      </w:r>
      <w:r>
        <w:instrText xml:space="preserve"> DocProperty ToAsAtDate</w:instrText>
      </w:r>
      <w:r>
        <w:fldChar w:fldCharType="separate"/>
      </w:r>
      <w:r>
        <w:t>18 Dec 2010</w:t>
      </w:r>
      <w:r>
        <w:fldChar w:fldCharType="end"/>
      </w:r>
      <w:r>
        <w:t xml:space="preserve">, </w:t>
      </w:r>
      <w:r>
        <w:fldChar w:fldCharType="begin"/>
      </w:r>
      <w:r>
        <w:instrText xml:space="preserve"> DocProperty ToSuffix</w:instrText>
      </w:r>
      <w:r>
        <w:fldChar w:fldCharType="separate"/>
      </w:r>
      <w:r>
        <w:t>01-k0-03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after="720"/>
        <w:ind w:left="238" w:right="488"/>
      </w:pPr>
      <w:r>
        <w:t>Financial Management Act 2006</w:t>
      </w:r>
    </w:p>
    <w:p>
      <w:pPr>
        <w:pStyle w:val="LongTitle"/>
        <w:suppressLineNumbers/>
        <w:spacing w:before="360"/>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bookmarkStart w:id="4" w:name="_Toc205018656"/>
      <w:bookmarkStart w:id="5" w:name="_Toc205018770"/>
      <w:bookmarkStart w:id="6" w:name="_Toc205019048"/>
      <w:bookmarkStart w:id="7" w:name="_Toc209837679"/>
      <w:bookmarkStart w:id="8" w:name="_Toc211654265"/>
      <w:bookmarkStart w:id="9" w:name="_Toc239738911"/>
      <w:bookmarkStart w:id="10" w:name="_Toc249427408"/>
      <w:bookmarkStart w:id="11" w:name="_Toc249950429"/>
      <w:bookmarkStart w:id="12" w:name="_Toc249950899"/>
      <w:bookmarkStart w:id="13" w:name="_Toc271102814"/>
      <w:bookmarkStart w:id="14" w:name="_Toc274135140"/>
      <w:bookmarkStart w:id="15" w:name="_Toc274135255"/>
      <w:bookmarkStart w:id="16" w:name="_Toc278377585"/>
      <w:bookmarkStart w:id="17" w:name="_Toc278967205"/>
      <w:bookmarkStart w:id="18" w:name="_Toc28059929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Heading5"/>
      </w:pPr>
      <w:bookmarkStart w:id="19" w:name="_Toc280599294"/>
      <w:bookmarkStart w:id="20" w:name="_Toc278967206"/>
      <w:r>
        <w:rPr>
          <w:rStyle w:val="CharSectno"/>
        </w:rPr>
        <w:t>1</w:t>
      </w:r>
      <w:r>
        <w:t>.</w:t>
      </w:r>
      <w:r>
        <w:tab/>
      </w:r>
      <w:r>
        <w:rPr>
          <w:snapToGrid w:val="0"/>
        </w:rPr>
        <w:t>Short title</w:t>
      </w:r>
      <w:bookmarkEnd w:id="19"/>
      <w:bookmarkEnd w:id="20"/>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21" w:name="_Toc280599295"/>
      <w:bookmarkStart w:id="22" w:name="_Toc278967207"/>
      <w:r>
        <w:rPr>
          <w:rStyle w:val="CharSectno"/>
        </w:rPr>
        <w:t>2</w:t>
      </w:r>
      <w:r>
        <w:rPr>
          <w:snapToGrid w:val="0"/>
        </w:rPr>
        <w:t>.</w:t>
      </w:r>
      <w:r>
        <w:rPr>
          <w:snapToGrid w:val="0"/>
        </w:rPr>
        <w:tab/>
      </w:r>
      <w:r>
        <w:t>Commencement</w:t>
      </w:r>
      <w:bookmarkEnd w:id="21"/>
      <w:bookmarkEnd w:id="22"/>
    </w:p>
    <w:p>
      <w:pPr>
        <w:pStyle w:val="Subsection"/>
        <w:rPr>
          <w:spacing w:val="-2"/>
        </w:rPr>
      </w:pPr>
      <w:r>
        <w:tab/>
      </w:r>
      <w:r>
        <w:tab/>
        <w:t xml:space="preserve">This Act </w:t>
      </w:r>
      <w:r>
        <w:rPr>
          <w:spacing w:val="-2"/>
        </w:rPr>
        <w:t>comes into operation on a day fixed by proclamation</w:t>
      </w:r>
      <w:r>
        <w:rPr>
          <w:spacing w:val="-2"/>
          <w:vertAlign w:val="superscript"/>
        </w:rPr>
        <w:t> 1</w:t>
      </w:r>
      <w:r>
        <w:rPr>
          <w:spacing w:val="-2"/>
        </w:rPr>
        <w:t>.</w:t>
      </w:r>
    </w:p>
    <w:p>
      <w:pPr>
        <w:pStyle w:val="Heading5"/>
      </w:pPr>
      <w:bookmarkStart w:id="23" w:name="_Toc280599296"/>
      <w:bookmarkStart w:id="24" w:name="_Toc278967208"/>
      <w:r>
        <w:rPr>
          <w:rStyle w:val="CharSectno"/>
        </w:rPr>
        <w:t>3</w:t>
      </w:r>
      <w:r>
        <w:t>.</w:t>
      </w:r>
      <w:r>
        <w:tab/>
        <w:t>Terms used in this Act</w:t>
      </w:r>
      <w:bookmarkEnd w:id="23"/>
      <w:bookmarkEnd w:id="24"/>
    </w:p>
    <w:p>
      <w:pPr>
        <w:pStyle w:val="Subsection"/>
      </w:pPr>
      <w:r>
        <w:tab/>
      </w:r>
      <w:r>
        <w:tab/>
        <w:t xml:space="preserve">In this Act, unless the contrary intention appears — </w:t>
      </w:r>
    </w:p>
    <w:p>
      <w:pPr>
        <w:pStyle w:val="Defstart"/>
      </w:pPr>
      <w:r>
        <w:rPr>
          <w:i/>
          <w:iCs/>
        </w:rPr>
        <w:tab/>
      </w:r>
      <w:r>
        <w:rPr>
          <w:rStyle w:val="CharDefText"/>
          <w:i w:val="0"/>
          <w:iCs/>
        </w:rPr>
        <w:t>accountable authority</w:t>
      </w:r>
      <w:r>
        <w:rPr>
          <w:bCs/>
        </w:rPr>
        <w:t>, of an agency,</w:t>
      </w:r>
      <w:r>
        <w:t xml:space="preserve"> means the person or body determined under section 54, 55 or 56, as the case requires;</w:t>
      </w:r>
    </w:p>
    <w:p>
      <w:pPr>
        <w:pStyle w:val="Defstart"/>
      </w:pPr>
      <w:r>
        <w:rPr>
          <w:b/>
          <w:bCs/>
          <w:i/>
          <w:iCs/>
          <w:szCs w:val="22"/>
        </w:rPr>
        <w:tab/>
      </w:r>
      <w:r>
        <w:rPr>
          <w:rStyle w:val="CharDefText"/>
          <w:i w:val="0"/>
          <w:iCs/>
          <w:szCs w:val="22"/>
        </w:rPr>
        <w:t>accounts</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rPr>
          <w:i/>
          <w:iCs/>
        </w:rPr>
        <w:tab/>
      </w:r>
      <w:r>
        <w:rPr>
          <w:rStyle w:val="CharDefText"/>
          <w:i w:val="0"/>
          <w:iCs/>
        </w:rPr>
        <w:t>agency</w:t>
      </w:r>
      <w:r>
        <w:t xml:space="preserve"> means a department, a sub</w:t>
      </w:r>
      <w:r>
        <w:noBreakHyphen/>
        <w:t>department or a statutory authority;</w:t>
      </w:r>
    </w:p>
    <w:p>
      <w:pPr>
        <w:pStyle w:val="Defstart"/>
      </w:pPr>
      <w:r>
        <w:rPr>
          <w:b/>
        </w:rPr>
        <w:tab/>
      </w:r>
      <w:r>
        <w:rPr>
          <w:rStyle w:val="CharDefText"/>
          <w:i w:val="0"/>
          <w:iCs/>
        </w:rPr>
        <w:t>agency special purpose account</w:t>
      </w:r>
      <w:r>
        <w:t xml:space="preserve"> means an account referred to in section 16(1);</w:t>
      </w:r>
    </w:p>
    <w:p>
      <w:pPr>
        <w:pStyle w:val="Defstart"/>
      </w:pPr>
      <w:r>
        <w:rPr>
          <w:b/>
        </w:rPr>
        <w:tab/>
      </w:r>
      <w:r>
        <w:rPr>
          <w:rStyle w:val="CharDefText"/>
          <w:i w:val="0"/>
          <w:iCs/>
        </w:rPr>
        <w:t>Appropriation Act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r>
      <w:r>
        <w:rPr>
          <w:rStyle w:val="CharDefText"/>
          <w:i w:val="0"/>
          <w:iCs/>
        </w:rPr>
        <w:t>bank</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tab/>
      </w:r>
      <w:r>
        <w:rPr>
          <w:rStyle w:val="CharDefText"/>
          <w:i w:val="0"/>
          <w:iCs/>
        </w:rPr>
        <w:t>Consolidated Account</w:t>
      </w:r>
      <w:r>
        <w:t xml:space="preserve"> means the account of that name established by the </w:t>
      </w:r>
      <w:r>
        <w:rPr>
          <w:i/>
        </w:rPr>
        <w:t>Constitution Act 1889</w:t>
      </w:r>
      <w:r>
        <w:t xml:space="preserve"> section 64 and referred to in section 8;</w:t>
      </w:r>
    </w:p>
    <w:p>
      <w:pPr>
        <w:pStyle w:val="Defstart"/>
      </w:pPr>
      <w:r>
        <w:rPr>
          <w:b/>
          <w:i/>
          <w:iCs/>
        </w:rPr>
        <w:lastRenderedPageBreak/>
        <w:tab/>
      </w:r>
      <w:r>
        <w:rPr>
          <w:rStyle w:val="CharDefText"/>
          <w:i w:val="0"/>
          <w:iCs/>
        </w:rPr>
        <w:t>department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r>
      <w:r>
        <w:rPr>
          <w:rStyle w:val="CharDefText"/>
          <w:i w:val="0"/>
          <w:iCs/>
        </w:rPr>
        <w:t>Joint Standing Committee on Audit</w:t>
      </w:r>
      <w:r>
        <w:t xml:space="preserve"> means the joint standing committee established by the Houses of Parliament under the </w:t>
      </w:r>
      <w:r>
        <w:rPr>
          <w:i/>
        </w:rPr>
        <w:t>Auditor General Act 2006</w:t>
      </w:r>
      <w:r>
        <w:t xml:space="preserve"> section 43;</w:t>
      </w:r>
    </w:p>
    <w:p>
      <w:pPr>
        <w:pStyle w:val="Defstart"/>
      </w:pPr>
      <w:r>
        <w:rPr>
          <w:b/>
          <w:i/>
          <w:iCs/>
        </w:rPr>
        <w:tab/>
      </w:r>
      <w:r>
        <w:rPr>
          <w:rStyle w:val="CharDefText"/>
          <w:i w:val="0"/>
          <w:iCs/>
        </w:rPr>
        <w:t>Minister</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i/>
          <w:iCs/>
        </w:rPr>
        <w:tab/>
      </w:r>
      <w:r>
        <w:rPr>
          <w:rStyle w:val="CharDefText"/>
          <w:i w:val="0"/>
          <w:iCs/>
        </w:rPr>
        <w:t>officer</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pPr>
      <w:r>
        <w:tab/>
        <w:t>(b)</w:t>
      </w:r>
      <w:r>
        <w:tab/>
        <w:t xml:space="preserve">who is charged with or performs any duty consisting of or relating to — </w:t>
      </w:r>
    </w:p>
    <w:p>
      <w:pPr>
        <w:pStyle w:val="Defsubpara"/>
        <w:keepLines w:val="0"/>
      </w:pPr>
      <w:r>
        <w:tab/>
        <w:t>(i)</w:t>
      </w:r>
      <w:r>
        <w:tab/>
        <w:t>keeping the accounts of the agency; or</w:t>
      </w:r>
    </w:p>
    <w:p>
      <w:pPr>
        <w:pStyle w:val="Defsubpara"/>
        <w:keepLines w:val="0"/>
      </w:pPr>
      <w:r>
        <w:tab/>
        <w:t>(ii)</w:t>
      </w:r>
      <w:r>
        <w:tab/>
        <w:t>collecting, receiving, keeping in custody, banking or accounting for public money or other money or statutory authority money; or</w:t>
      </w:r>
    </w:p>
    <w:p>
      <w:pPr>
        <w:pStyle w:val="Defsubpara"/>
        <w:keepLines w:val="0"/>
      </w:pPr>
      <w:r>
        <w:lastRenderedPageBreak/>
        <w:tab/>
        <w:t>(iii)</w:t>
      </w:r>
      <w:r>
        <w:tab/>
        <w:t>disbursing public money or other money or statutory authority money; or</w:t>
      </w:r>
    </w:p>
    <w:p>
      <w:pPr>
        <w:pStyle w:val="Defsubpara"/>
        <w:keepLines w:val="0"/>
      </w:pPr>
      <w:r>
        <w:tab/>
        <w:t>(iv)</w:t>
      </w:r>
      <w:r>
        <w:tab/>
        <w:t>purchasing, receiving, issuing, selling, keeping in custody, controlling, managing or disposing of, or accounting for, public property or other property;</w:t>
      </w:r>
    </w:p>
    <w:p>
      <w:pPr>
        <w:pStyle w:val="Defstart"/>
      </w:pPr>
      <w:r>
        <w:rPr>
          <w:i/>
          <w:iCs/>
        </w:rPr>
        <w:tab/>
      </w:r>
      <w:r>
        <w:rPr>
          <w:rStyle w:val="CharDefText"/>
          <w:i w:val="0"/>
          <w:iCs/>
        </w:rPr>
        <w:t>other money</w:t>
      </w:r>
      <w:r>
        <w:t xml:space="preserve"> means money collected, received or held by the State or a statutory authority for or on behalf of a person other than the State or a statutory authority;</w:t>
      </w:r>
    </w:p>
    <w:p>
      <w:pPr>
        <w:pStyle w:val="Defstart"/>
      </w:pPr>
      <w:r>
        <w:rPr>
          <w:b/>
          <w:i/>
          <w:iCs/>
        </w:rPr>
        <w:tab/>
      </w:r>
      <w:r>
        <w:rPr>
          <w:rStyle w:val="CharDefText"/>
          <w:i w:val="0"/>
          <w:iCs/>
        </w:rPr>
        <w:t>other property</w:t>
      </w:r>
      <w:r>
        <w:t xml:space="preserve"> means property that is held by the State or a statutory authority for or on behalf of a person other than the State or a statutory authority;</w:t>
      </w:r>
    </w:p>
    <w:p>
      <w:pPr>
        <w:pStyle w:val="Defstart"/>
      </w:pPr>
      <w:r>
        <w:rPr>
          <w:b/>
        </w:rPr>
        <w:tab/>
      </w:r>
      <w:r>
        <w:rPr>
          <w:rStyle w:val="CharDefText"/>
          <w:i w:val="0"/>
          <w:iCs/>
        </w:rPr>
        <w:t>Public Bank Account</w:t>
      </w:r>
      <w:r>
        <w:t xml:space="preserve"> means the account of that name constituted under section 11 and includes any other account stated by this Act or another written law to form part of the Public Bank Account;</w:t>
      </w:r>
    </w:p>
    <w:p>
      <w:pPr>
        <w:pStyle w:val="Defstart"/>
      </w:pPr>
      <w:r>
        <w:tab/>
      </w:r>
      <w:r>
        <w:rPr>
          <w:rStyle w:val="CharDefText"/>
          <w:i w:val="0"/>
          <w:iCs/>
        </w:rPr>
        <w:t>Public Bank Account Interest Earned Account</w:t>
      </w:r>
      <w:r>
        <w:t xml:space="preserve"> means the account of that name referred to in section 10(d);</w:t>
      </w:r>
    </w:p>
    <w:p>
      <w:pPr>
        <w:pStyle w:val="Defstart"/>
      </w:pPr>
      <w:r>
        <w:rPr>
          <w:b/>
        </w:rPr>
        <w:tab/>
      </w:r>
      <w:r>
        <w:rPr>
          <w:rStyle w:val="CharDefText"/>
          <w:i w:val="0"/>
          <w:iCs/>
        </w:rPr>
        <w:t>Public Ledger</w:t>
      </w:r>
      <w:r>
        <w:t xml:space="preserve"> means the accounts referred to in section 7;</w:t>
      </w:r>
    </w:p>
    <w:p>
      <w:pPr>
        <w:pStyle w:val="Defstart"/>
      </w:pPr>
      <w:r>
        <w:rPr>
          <w:b/>
        </w:rPr>
        <w:tab/>
      </w:r>
      <w:r>
        <w:rPr>
          <w:rStyle w:val="CharDefText"/>
          <w:i w:val="0"/>
          <w:iCs/>
        </w:rPr>
        <w:t>public money</w:t>
      </w:r>
      <w:r>
        <w:t xml:space="preserve"> means money collected, received or held by any person for or on behalf of the State;</w:t>
      </w:r>
    </w:p>
    <w:p>
      <w:pPr>
        <w:pStyle w:val="Defstart"/>
      </w:pPr>
      <w:r>
        <w:rPr>
          <w:b/>
        </w:rPr>
        <w:tab/>
      </w:r>
      <w:r>
        <w:rPr>
          <w:rStyle w:val="CharDefText"/>
          <w:i w:val="0"/>
          <w:iCs/>
        </w:rPr>
        <w:t>public property</w:t>
      </w:r>
      <w:r>
        <w:t xml:space="preserve"> means all property, other than public money and statutory authority money, held for or on behalf of the State or a statutory authority;</w:t>
      </w:r>
    </w:p>
    <w:p>
      <w:pPr>
        <w:pStyle w:val="Defstart"/>
      </w:pPr>
      <w:r>
        <w:rPr>
          <w:b/>
        </w:rPr>
        <w:tab/>
      </w:r>
      <w:r>
        <w:rPr>
          <w:rStyle w:val="CharDefText"/>
          <w:i w:val="0"/>
          <w:iCs/>
        </w:rPr>
        <w:t>resource agreement</w:t>
      </w:r>
      <w:r>
        <w:t xml:space="preserve"> means a resource agreement under Part 3 Division 5;</w:t>
      </w:r>
    </w:p>
    <w:p>
      <w:pPr>
        <w:pStyle w:val="Defstart"/>
      </w:pPr>
      <w:r>
        <w:rPr>
          <w:b/>
        </w:rPr>
        <w:tab/>
      </w:r>
      <w:r>
        <w:rPr>
          <w:rStyle w:val="CharDefText"/>
          <w:i w:val="0"/>
          <w:iCs/>
        </w:rPr>
        <w:t>special purpose account</w:t>
      </w:r>
      <w:r>
        <w:t xml:space="preserve"> means an agency special purpose account or an account referred to in section 10;</w:t>
      </w:r>
    </w:p>
    <w:p>
      <w:pPr>
        <w:pStyle w:val="Defstart"/>
      </w:pPr>
      <w:r>
        <w:rPr>
          <w:b/>
          <w:i/>
          <w:iCs/>
        </w:rPr>
        <w:tab/>
      </w:r>
      <w:r>
        <w:rPr>
          <w:rStyle w:val="CharDefText"/>
          <w:i w:val="0"/>
          <w:iCs/>
        </w:rPr>
        <w:t>statutory authority</w:t>
      </w:r>
      <w:r>
        <w:t xml:space="preserve"> means a person or body listed in Schedule 1;</w:t>
      </w:r>
    </w:p>
    <w:p>
      <w:pPr>
        <w:pStyle w:val="Defstart"/>
      </w:pPr>
      <w:r>
        <w:rPr>
          <w:b/>
          <w:i/>
          <w:iCs/>
        </w:rPr>
        <w:tab/>
      </w:r>
      <w:r>
        <w:rPr>
          <w:rStyle w:val="CharDefText"/>
          <w:i w:val="0"/>
          <w:iCs/>
        </w:rPr>
        <w:t>statutory authority money</w:t>
      </w:r>
      <w:r>
        <w:t xml:space="preserve"> means money collected, received or held by any person for or on behalf of a statutory authority;</w:t>
      </w:r>
    </w:p>
    <w:p>
      <w:pPr>
        <w:pStyle w:val="Defstart"/>
        <w:rPr>
          <w:iCs/>
        </w:rPr>
      </w:pPr>
      <w:r>
        <w:rPr>
          <w:b/>
          <w:i/>
          <w:iCs/>
        </w:rPr>
        <w:tab/>
      </w:r>
      <w:r>
        <w:rPr>
          <w:rStyle w:val="CharDefText"/>
          <w:i w:val="0"/>
          <w:iCs/>
        </w:rPr>
        <w:t>sub</w:t>
      </w:r>
      <w:r>
        <w:rPr>
          <w:rStyle w:val="CharDefText"/>
          <w:i w:val="0"/>
          <w:iCs/>
        </w:rPr>
        <w:noBreakHyphen/>
        <w:t>department</w:t>
      </w:r>
      <w:r>
        <w:t xml:space="preserve"> means an entity in respect of which a declaration under section 56(2) has effect;</w:t>
      </w:r>
    </w:p>
    <w:p>
      <w:pPr>
        <w:pStyle w:val="Defstart"/>
      </w:pPr>
      <w:r>
        <w:rPr>
          <w:b/>
          <w:i/>
          <w:iCs/>
        </w:rPr>
        <w:tab/>
      </w:r>
      <w:r>
        <w:rPr>
          <w:rStyle w:val="CharDefText"/>
          <w:i w:val="0"/>
          <w:iCs/>
        </w:rPr>
        <w:t>the estimates</w:t>
      </w:r>
      <w:r>
        <w:t xml:space="preserve"> means the annual estimates of receipts and payments in respect of the Consolidated Account;</w:t>
      </w:r>
    </w:p>
    <w:p>
      <w:pPr>
        <w:pStyle w:val="Defstart"/>
      </w:pPr>
      <w:r>
        <w:rPr>
          <w:b/>
          <w:i/>
          <w:iCs/>
        </w:rPr>
        <w:tab/>
      </w:r>
      <w:r>
        <w:rPr>
          <w:rStyle w:val="CharDefText"/>
          <w:i w:val="0"/>
          <w:iCs/>
        </w:rPr>
        <w:t>Treasurer</w:t>
      </w:r>
      <w:r>
        <w:t xml:space="preserve"> means the Treasurer of the State;</w:t>
      </w:r>
    </w:p>
    <w:p>
      <w:pPr>
        <w:pStyle w:val="Defstart"/>
      </w:pPr>
      <w:r>
        <w:rPr>
          <w:i/>
          <w:iCs/>
        </w:rPr>
        <w:tab/>
      </w:r>
      <w:r>
        <w:rPr>
          <w:rStyle w:val="CharDefText"/>
          <w:i w:val="0"/>
          <w:iCs/>
        </w:rPr>
        <w:t>Treasurer’s instructions</w:t>
      </w:r>
      <w:r>
        <w:t xml:space="preserve"> means instructions issued under section 78;</w:t>
      </w:r>
    </w:p>
    <w:p>
      <w:pPr>
        <w:pStyle w:val="Defstart"/>
      </w:pPr>
      <w:r>
        <w:rPr>
          <w:b/>
          <w:i/>
          <w:iCs/>
        </w:rPr>
        <w:tab/>
      </w:r>
      <w:r>
        <w:rPr>
          <w:rStyle w:val="CharDefText"/>
          <w:i w:val="0"/>
          <w:iCs/>
        </w:rPr>
        <w:t>Treasury</w:t>
      </w:r>
      <w:r>
        <w:t xml:space="preserve"> means the department of the Public Service principally assisting in the administration of this Act;</w:t>
      </w:r>
    </w:p>
    <w:p>
      <w:pPr>
        <w:pStyle w:val="Defstart"/>
      </w:pPr>
      <w:r>
        <w:rPr>
          <w:b/>
          <w:i/>
          <w:iCs/>
        </w:rPr>
        <w:tab/>
      </w:r>
      <w:r>
        <w:rPr>
          <w:rStyle w:val="CharDefText"/>
          <w:i w:val="0"/>
          <w:iCs/>
        </w:rPr>
        <w:t>Under Treasurer</w:t>
      </w:r>
      <w:r>
        <w:rPr>
          <w:i/>
          <w:iCs/>
        </w:rPr>
        <w:t xml:space="preserve"> </w:t>
      </w:r>
      <w:r>
        <w:t>means the chief executive officer of the Treasury.</w:t>
      </w:r>
    </w:p>
    <w:p>
      <w:pPr>
        <w:pStyle w:val="Heading5"/>
      </w:pPr>
      <w:bookmarkStart w:id="25" w:name="_Toc280599297"/>
      <w:bookmarkStart w:id="26" w:name="_Toc278967209"/>
      <w:r>
        <w:rPr>
          <w:rStyle w:val="CharSectno"/>
        </w:rPr>
        <w:t>4</w:t>
      </w:r>
      <w:r>
        <w:t>.</w:t>
      </w:r>
      <w:r>
        <w:tab/>
        <w:t>Relationship with other laws</w:t>
      </w:r>
      <w:bookmarkEnd w:id="25"/>
      <w:bookmarkEnd w:id="26"/>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27" w:name="_Toc280599298"/>
      <w:bookmarkStart w:id="28" w:name="_Toc278967210"/>
      <w:r>
        <w:rPr>
          <w:rStyle w:val="CharSectno"/>
        </w:rPr>
        <w:t>5</w:t>
      </w:r>
      <w:r>
        <w:t>.</w:t>
      </w:r>
      <w:r>
        <w:tab/>
        <w:t>Modified application of Act for certain purposes</w:t>
      </w:r>
      <w:bookmarkEnd w:id="27"/>
      <w:bookmarkEnd w:id="28"/>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keepNext/>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29" w:name="_Toc280599299"/>
      <w:bookmarkStart w:id="30" w:name="_Toc278967211"/>
      <w:r>
        <w:rPr>
          <w:rStyle w:val="CharSectno"/>
        </w:rPr>
        <w:t>6</w:t>
      </w:r>
      <w:r>
        <w:t>.</w:t>
      </w:r>
      <w:r>
        <w:tab/>
        <w:t>Amendment of Schedule 1 by regulations</w:t>
      </w:r>
      <w:bookmarkEnd w:id="29"/>
      <w:bookmarkEnd w:id="30"/>
    </w:p>
    <w:p>
      <w:pPr>
        <w:pStyle w:val="Subsection"/>
      </w:pPr>
      <w:r>
        <w:tab/>
      </w:r>
      <w:r>
        <w:tab/>
        <w:t>Schedule 1 may be amended by the regulations.</w:t>
      </w:r>
    </w:p>
    <w:p>
      <w:pPr>
        <w:pStyle w:val="Heading2"/>
      </w:pPr>
      <w:bookmarkStart w:id="31" w:name="_Toc189644438"/>
      <w:bookmarkStart w:id="32" w:name="_Toc202850294"/>
      <w:bookmarkStart w:id="33" w:name="_Toc202850408"/>
      <w:bookmarkStart w:id="34" w:name="_Toc205018663"/>
      <w:bookmarkStart w:id="35" w:name="_Toc205018777"/>
      <w:bookmarkStart w:id="36" w:name="_Toc205019055"/>
      <w:bookmarkStart w:id="37" w:name="_Toc209837686"/>
      <w:bookmarkStart w:id="38" w:name="_Toc211654272"/>
      <w:bookmarkStart w:id="39" w:name="_Toc239738918"/>
      <w:bookmarkStart w:id="40" w:name="_Toc249427415"/>
      <w:bookmarkStart w:id="41" w:name="_Toc249950436"/>
      <w:bookmarkStart w:id="42" w:name="_Toc249950906"/>
      <w:bookmarkStart w:id="43" w:name="_Toc271102821"/>
      <w:bookmarkStart w:id="44" w:name="_Toc274135147"/>
      <w:bookmarkStart w:id="45" w:name="_Toc274135262"/>
      <w:bookmarkStart w:id="46" w:name="_Toc278377592"/>
      <w:bookmarkStart w:id="47" w:name="_Toc278967212"/>
      <w:bookmarkStart w:id="48" w:name="_Toc280599300"/>
      <w:r>
        <w:rPr>
          <w:rStyle w:val="CharPartNo"/>
        </w:rPr>
        <w:t>Part 2</w:t>
      </w:r>
      <w:r>
        <w:t> — </w:t>
      </w:r>
      <w:r>
        <w:rPr>
          <w:rStyle w:val="CharPartText"/>
        </w:rPr>
        <w:t>Accounts</w:t>
      </w:r>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3"/>
      </w:pPr>
      <w:bookmarkStart w:id="49" w:name="_Toc189644439"/>
      <w:bookmarkStart w:id="50" w:name="_Toc202850295"/>
      <w:bookmarkStart w:id="51" w:name="_Toc202850409"/>
      <w:bookmarkStart w:id="52" w:name="_Toc205018664"/>
      <w:bookmarkStart w:id="53" w:name="_Toc205018778"/>
      <w:bookmarkStart w:id="54" w:name="_Toc205019056"/>
      <w:bookmarkStart w:id="55" w:name="_Toc209837687"/>
      <w:bookmarkStart w:id="56" w:name="_Toc211654273"/>
      <w:bookmarkStart w:id="57" w:name="_Toc239738919"/>
      <w:bookmarkStart w:id="58" w:name="_Toc249427416"/>
      <w:bookmarkStart w:id="59" w:name="_Toc249950437"/>
      <w:bookmarkStart w:id="60" w:name="_Toc249950907"/>
      <w:bookmarkStart w:id="61" w:name="_Toc271102822"/>
      <w:bookmarkStart w:id="62" w:name="_Toc274135148"/>
      <w:bookmarkStart w:id="63" w:name="_Toc274135263"/>
      <w:bookmarkStart w:id="64" w:name="_Toc278377593"/>
      <w:bookmarkStart w:id="65" w:name="_Toc278967213"/>
      <w:bookmarkStart w:id="66" w:name="_Toc280599301"/>
      <w:r>
        <w:rPr>
          <w:rStyle w:val="CharDivNo"/>
        </w:rPr>
        <w:t>Division 1</w:t>
      </w:r>
      <w:r>
        <w:t> — </w:t>
      </w:r>
      <w:r>
        <w:rPr>
          <w:rStyle w:val="CharDivText"/>
        </w:rPr>
        <w:t>Public Ledger</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280599302"/>
      <w:bookmarkStart w:id="68" w:name="_Toc278967214"/>
      <w:r>
        <w:rPr>
          <w:rStyle w:val="CharSectno"/>
        </w:rPr>
        <w:t>7</w:t>
      </w:r>
      <w:r>
        <w:t>.</w:t>
      </w:r>
      <w:r>
        <w:tab/>
        <w:t>Public Ledger</w:t>
      </w:r>
      <w:bookmarkEnd w:id="67"/>
      <w:bookmarkEnd w:id="68"/>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69" w:name="_Toc280599303"/>
      <w:bookmarkStart w:id="70" w:name="_Toc278967215"/>
      <w:r>
        <w:rPr>
          <w:rStyle w:val="CharSectno"/>
        </w:rPr>
        <w:t>8</w:t>
      </w:r>
      <w:r>
        <w:t>.</w:t>
      </w:r>
      <w:r>
        <w:tab/>
        <w:t>Consolidated Account</w:t>
      </w:r>
      <w:bookmarkEnd w:id="69"/>
      <w:bookmarkEnd w:id="70"/>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71" w:name="_Toc280599304"/>
      <w:bookmarkStart w:id="72" w:name="_Toc278967216"/>
      <w:r>
        <w:rPr>
          <w:rStyle w:val="CharSectno"/>
        </w:rPr>
        <w:t>9</w:t>
      </w:r>
      <w:r>
        <w:t>.</w:t>
      </w:r>
      <w:r>
        <w:tab/>
        <w:t>Treasurer’s Advance Account</w:t>
      </w:r>
      <w:bookmarkEnd w:id="71"/>
      <w:bookmarkEnd w:id="72"/>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73" w:name="_Toc280599305"/>
      <w:bookmarkStart w:id="74" w:name="_Toc278967217"/>
      <w:r>
        <w:rPr>
          <w:rStyle w:val="CharSectno"/>
        </w:rPr>
        <w:t>10</w:t>
      </w:r>
      <w:r>
        <w:t>.</w:t>
      </w:r>
      <w:r>
        <w:tab/>
        <w:t>Treasurer’s special purpose accounts</w:t>
      </w:r>
      <w:bookmarkEnd w:id="73"/>
      <w:bookmarkEnd w:id="74"/>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75" w:name="_Toc189644444"/>
      <w:bookmarkStart w:id="76" w:name="_Toc202850300"/>
      <w:bookmarkStart w:id="77" w:name="_Toc202850414"/>
      <w:bookmarkStart w:id="78" w:name="_Toc205018669"/>
      <w:bookmarkStart w:id="79" w:name="_Toc205018783"/>
      <w:bookmarkStart w:id="80" w:name="_Toc205019061"/>
      <w:bookmarkStart w:id="81" w:name="_Toc209837692"/>
      <w:bookmarkStart w:id="82" w:name="_Toc211654278"/>
      <w:bookmarkStart w:id="83" w:name="_Toc239738924"/>
      <w:bookmarkStart w:id="84" w:name="_Toc249427421"/>
      <w:bookmarkStart w:id="85" w:name="_Toc249950442"/>
      <w:bookmarkStart w:id="86" w:name="_Toc249950912"/>
      <w:bookmarkStart w:id="87" w:name="_Toc271102827"/>
      <w:bookmarkStart w:id="88" w:name="_Toc274135153"/>
      <w:bookmarkStart w:id="89" w:name="_Toc274135268"/>
      <w:bookmarkStart w:id="90" w:name="_Toc278377598"/>
      <w:bookmarkStart w:id="91" w:name="_Toc278967218"/>
      <w:bookmarkStart w:id="92" w:name="_Toc280599306"/>
      <w:r>
        <w:rPr>
          <w:rStyle w:val="CharDivNo"/>
        </w:rPr>
        <w:t>Division 2</w:t>
      </w:r>
      <w:r>
        <w:t> — </w:t>
      </w:r>
      <w:r>
        <w:rPr>
          <w:rStyle w:val="CharDivText"/>
        </w:rPr>
        <w:t>Public Bank Account and other bank accounts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p>
    <w:p>
      <w:pPr>
        <w:pStyle w:val="Heading5"/>
      </w:pPr>
      <w:bookmarkStart w:id="93" w:name="_Toc280599307"/>
      <w:bookmarkStart w:id="94" w:name="_Toc278967219"/>
      <w:r>
        <w:rPr>
          <w:rStyle w:val="CharSectno"/>
        </w:rPr>
        <w:t>11</w:t>
      </w:r>
      <w:r>
        <w:t>.</w:t>
      </w:r>
      <w:r>
        <w:tab/>
        <w:t>Public Bank Account</w:t>
      </w:r>
      <w:bookmarkEnd w:id="93"/>
      <w:bookmarkEnd w:id="9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w:t>
      </w:r>
      <w:r>
        <w:rPr>
          <w:rFonts w:ascii="Times" w:hAnsi="Times"/>
          <w:vertAlign w:val="superscript"/>
        </w:rPr>
        <w:t>2</w:t>
      </w:r>
      <w:r>
        <w:t xml:space="preserve"> in the name of the Government of Western Australia; and</w:t>
      </w:r>
    </w:p>
    <w:p>
      <w:pPr>
        <w:pStyle w:val="Indenta"/>
        <w:keepLines/>
      </w:pPr>
      <w:r>
        <w:tab/>
        <w:t>(b)</w:t>
      </w:r>
      <w:r>
        <w:tab/>
        <w:t>was in existence immediately before the commencement of this section,</w:t>
      </w:r>
    </w:p>
    <w:p>
      <w:pPr>
        <w:pStyle w:val="Subsection"/>
        <w:keepLines/>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95" w:name="_Toc280599308"/>
      <w:bookmarkStart w:id="96" w:name="_Toc278967220"/>
      <w:r>
        <w:rPr>
          <w:rStyle w:val="CharSectno"/>
        </w:rPr>
        <w:t>12</w:t>
      </w:r>
      <w:r>
        <w:t>.</w:t>
      </w:r>
      <w:r>
        <w:tab/>
        <w:t>Application of Public Bank Account</w:t>
      </w:r>
      <w:bookmarkEnd w:id="95"/>
      <w:bookmarkEnd w:id="9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spacing w:before="180"/>
      </w:pPr>
      <w:bookmarkStart w:id="97" w:name="_Toc280599309"/>
      <w:bookmarkStart w:id="98" w:name="_Toc278967221"/>
      <w:r>
        <w:rPr>
          <w:rStyle w:val="CharSectno"/>
        </w:rPr>
        <w:t>13</w:t>
      </w:r>
      <w:r>
        <w:t>.</w:t>
      </w:r>
      <w:r>
        <w:tab/>
        <w:t>Treasurer may authorise agencies to open and maintain bank accounts</w:t>
      </w:r>
      <w:bookmarkEnd w:id="97"/>
      <w:bookmarkEnd w:id="9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keepNext w:val="0"/>
        <w:keepLines w:val="0"/>
        <w:spacing w:before="180"/>
      </w:pPr>
      <w:bookmarkStart w:id="99" w:name="_Toc280599310"/>
      <w:bookmarkStart w:id="100" w:name="_Toc278967222"/>
      <w:r>
        <w:rPr>
          <w:rStyle w:val="CharSectno"/>
        </w:rPr>
        <w:t>14</w:t>
      </w:r>
      <w:r>
        <w:t>.</w:t>
      </w:r>
      <w:r>
        <w:tab/>
        <w:t>Bank accounts not to be overdrawn unless approved by Treasurer</w:t>
      </w:r>
      <w:bookmarkEnd w:id="99"/>
      <w:bookmarkEnd w:id="100"/>
    </w:p>
    <w:p>
      <w:pPr>
        <w:pStyle w:val="Subsection"/>
        <w:spacing w:before="120"/>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101" w:name="_Toc280599311"/>
      <w:bookmarkStart w:id="102" w:name="_Toc278967223"/>
      <w:r>
        <w:rPr>
          <w:rStyle w:val="CharSectno"/>
        </w:rPr>
        <w:t>15</w:t>
      </w:r>
      <w:r>
        <w:t>.</w:t>
      </w:r>
      <w:r>
        <w:tab/>
        <w:t>Restrictions on opening and maintaining certain bank accounts</w:t>
      </w:r>
      <w:bookmarkEnd w:id="101"/>
      <w:bookmarkEnd w:id="10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i/>
          <w:iCs/>
        </w:rPr>
        <w:tab/>
      </w:r>
      <w:r>
        <w:rPr>
          <w:rStyle w:val="CharDefText"/>
          <w:i w:val="0"/>
          <w:iCs/>
        </w:rPr>
        <w:t>other money</w:t>
      </w:r>
      <w:r>
        <w:t xml:space="preserve"> means other money to which section 36(2) applies.</w:t>
      </w:r>
    </w:p>
    <w:p>
      <w:pPr>
        <w:pStyle w:val="Heading3"/>
      </w:pPr>
      <w:bookmarkStart w:id="103" w:name="_Toc189644450"/>
      <w:bookmarkStart w:id="104" w:name="_Toc202850306"/>
      <w:bookmarkStart w:id="105" w:name="_Toc202850420"/>
      <w:bookmarkStart w:id="106" w:name="_Toc205018675"/>
      <w:bookmarkStart w:id="107" w:name="_Toc205018789"/>
      <w:bookmarkStart w:id="108" w:name="_Toc205019067"/>
      <w:bookmarkStart w:id="109" w:name="_Toc209837698"/>
      <w:bookmarkStart w:id="110" w:name="_Toc211654284"/>
      <w:bookmarkStart w:id="111" w:name="_Toc239738930"/>
      <w:bookmarkStart w:id="112" w:name="_Toc249427427"/>
      <w:bookmarkStart w:id="113" w:name="_Toc249950448"/>
      <w:bookmarkStart w:id="114" w:name="_Toc249950918"/>
      <w:bookmarkStart w:id="115" w:name="_Toc271102833"/>
      <w:bookmarkStart w:id="116" w:name="_Toc274135159"/>
      <w:bookmarkStart w:id="117" w:name="_Toc274135274"/>
      <w:bookmarkStart w:id="118" w:name="_Toc278377604"/>
      <w:bookmarkStart w:id="119" w:name="_Toc278967224"/>
      <w:bookmarkStart w:id="120" w:name="_Toc280599312"/>
      <w:r>
        <w:rPr>
          <w:rStyle w:val="CharDivNo"/>
        </w:rPr>
        <w:t>Division 3</w:t>
      </w:r>
      <w:r>
        <w:t> — </w:t>
      </w:r>
      <w:r>
        <w:rPr>
          <w:rStyle w:val="CharDivText"/>
        </w:rPr>
        <w:t>Agency special purpose accounts</w:t>
      </w:r>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pPr>
      <w:bookmarkStart w:id="121" w:name="_Toc280599313"/>
      <w:bookmarkStart w:id="122" w:name="_Toc278967225"/>
      <w:r>
        <w:rPr>
          <w:rStyle w:val="CharSectno"/>
        </w:rPr>
        <w:t>16</w:t>
      </w:r>
      <w:r>
        <w:t>.</w:t>
      </w:r>
      <w:r>
        <w:tab/>
        <w:t>Agency special purpose accounts</w:t>
      </w:r>
      <w:bookmarkEnd w:id="121"/>
      <w:bookmarkEnd w:id="122"/>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123" w:name="_Toc189644452"/>
      <w:bookmarkStart w:id="124" w:name="_Toc202850308"/>
      <w:bookmarkStart w:id="125" w:name="_Toc202850422"/>
      <w:bookmarkStart w:id="126" w:name="_Toc205018677"/>
      <w:bookmarkStart w:id="127" w:name="_Toc205018791"/>
      <w:bookmarkStart w:id="128" w:name="_Toc205019069"/>
      <w:bookmarkStart w:id="129" w:name="_Toc209837700"/>
      <w:bookmarkStart w:id="130" w:name="_Toc211654286"/>
      <w:bookmarkStart w:id="131" w:name="_Toc239738932"/>
      <w:bookmarkStart w:id="132" w:name="_Toc249427429"/>
      <w:bookmarkStart w:id="133" w:name="_Toc249950450"/>
      <w:bookmarkStart w:id="134" w:name="_Toc249950920"/>
      <w:bookmarkStart w:id="135" w:name="_Toc271102835"/>
      <w:bookmarkStart w:id="136" w:name="_Toc274135161"/>
      <w:bookmarkStart w:id="137" w:name="_Toc274135276"/>
      <w:bookmarkStart w:id="138" w:name="_Toc278377606"/>
      <w:bookmarkStart w:id="139" w:name="_Toc278967226"/>
      <w:bookmarkStart w:id="140" w:name="_Toc280599314"/>
      <w:r>
        <w:rPr>
          <w:rStyle w:val="CharDivNo"/>
        </w:rPr>
        <w:t>Division 4</w:t>
      </w:r>
      <w:r>
        <w:t> — </w:t>
      </w:r>
      <w:r>
        <w:rPr>
          <w:rStyle w:val="CharDivText"/>
        </w:rPr>
        <w:t>Administration of special purpose accounts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pPr>
      <w:bookmarkStart w:id="141" w:name="_Toc280599315"/>
      <w:bookmarkStart w:id="142" w:name="_Toc278967227"/>
      <w:r>
        <w:rPr>
          <w:rStyle w:val="CharSectno"/>
        </w:rPr>
        <w:t>17</w:t>
      </w:r>
      <w:r>
        <w:t>.</w:t>
      </w:r>
      <w:r>
        <w:tab/>
        <w:t>Special purpose statements and trust statements</w:t>
      </w:r>
      <w:bookmarkEnd w:id="141"/>
      <w:bookmarkEnd w:id="142"/>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143" w:name="_Toc280599316"/>
      <w:bookmarkStart w:id="144" w:name="_Toc278967228"/>
      <w:r>
        <w:rPr>
          <w:rStyle w:val="CharSectno"/>
        </w:rPr>
        <w:t>18</w:t>
      </w:r>
      <w:r>
        <w:t>.</w:t>
      </w:r>
      <w:r>
        <w:tab/>
        <w:t>Payments to and from special purpose accounts</w:t>
      </w:r>
      <w:bookmarkEnd w:id="143"/>
      <w:bookmarkEnd w:id="14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145" w:name="_Toc280599317"/>
      <w:bookmarkStart w:id="146" w:name="_Toc278967229"/>
      <w:r>
        <w:rPr>
          <w:rStyle w:val="CharSectno"/>
        </w:rPr>
        <w:t>19</w:t>
      </w:r>
      <w:r>
        <w:t>.</w:t>
      </w:r>
      <w:r>
        <w:tab/>
        <w:t>Special purpose accounts not to be overdrawn unless approved by Treasurer</w:t>
      </w:r>
      <w:bookmarkEnd w:id="145"/>
      <w:bookmarkEnd w:id="14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147" w:name="_Toc280599318"/>
      <w:bookmarkStart w:id="148" w:name="_Toc278967230"/>
      <w:r>
        <w:rPr>
          <w:rStyle w:val="CharSectno"/>
        </w:rPr>
        <w:t>20</w:t>
      </w:r>
      <w:r>
        <w:t>.</w:t>
      </w:r>
      <w:r>
        <w:tab/>
        <w:t>Transfer of excess amounts from special purpose accounts</w:t>
      </w:r>
      <w:bookmarkEnd w:id="147"/>
      <w:bookmarkEnd w:id="14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149" w:name="_Toc280599319"/>
      <w:bookmarkStart w:id="150" w:name="_Toc278967231"/>
      <w:r>
        <w:rPr>
          <w:rStyle w:val="CharSectno"/>
        </w:rPr>
        <w:t>21</w:t>
      </w:r>
      <w:r>
        <w:t>.</w:t>
      </w:r>
      <w:r>
        <w:tab/>
        <w:t>Closure of special purpose accounts and transfer of service</w:t>
      </w:r>
      <w:bookmarkEnd w:id="149"/>
      <w:bookmarkEnd w:id="150"/>
    </w:p>
    <w:p>
      <w:pPr>
        <w:pStyle w:val="Subsection"/>
      </w:pPr>
      <w:r>
        <w:tab/>
        <w:t>(1)</w:t>
      </w:r>
      <w:r>
        <w:tab/>
        <w:t>The Treasurer may, after consulting with the Minister, direct that a special purpose account operated by an agency, other than a special purpose account established by an Act, be closed.</w:t>
      </w:r>
    </w:p>
    <w:p>
      <w:pPr>
        <w:pStyle w:val="Subsection"/>
        <w:keepNext/>
      </w:pPr>
      <w:r>
        <w:tab/>
        <w:t>(2)</w:t>
      </w:r>
      <w:r>
        <w:tab/>
        <w:t xml:space="preserve">Subject to subsection (3), when a special purpose account is closed and all the liabilities of the account have been paid, the money standing to the credit of the account is to be credited — </w:t>
      </w:r>
    </w:p>
    <w:p>
      <w:pPr>
        <w:pStyle w:val="Indenta"/>
      </w:pPr>
      <w:r>
        <w:tab/>
        <w:t>(a)</w:t>
      </w:r>
      <w:r>
        <w:tab/>
        <w:t>to any account or fund, or in any other manner, specified in the special purpose statement or trust statement relating to that account; or</w:t>
      </w:r>
    </w:p>
    <w:p>
      <w:pPr>
        <w:pStyle w:val="Indenta"/>
      </w:pPr>
      <w:r>
        <w:tab/>
        <w:t>(b)</w:t>
      </w:r>
      <w:r>
        <w:tab/>
        <w:t xml:space="preserve">to the Consolidated Account if — </w:t>
      </w:r>
    </w:p>
    <w:p>
      <w:pPr>
        <w:pStyle w:val="Indenti"/>
      </w:pPr>
      <w:r>
        <w:tab/>
        <w:t>(i)</w:t>
      </w:r>
      <w:r>
        <w:tab/>
        <w:t>there is no special purpose statement or trust statement relating to that account; or</w:t>
      </w:r>
    </w:p>
    <w:p>
      <w:pPr>
        <w:pStyle w:val="Indenti"/>
      </w:pPr>
      <w:r>
        <w:tab/>
        <w:t>(ii)</w:t>
      </w:r>
      <w:r>
        <w:tab/>
        <w:t>no account, fund or manner is specified in the special purpose statement or trust statement relating to that account.</w:t>
      </w:r>
    </w:p>
    <w:p>
      <w:pPr>
        <w:pStyle w:val="Subsection"/>
      </w:pPr>
      <w:r>
        <w:tab/>
        <w:t>(3)</w:t>
      </w:r>
      <w:r>
        <w:tab/>
        <w:t xml:space="preserve">If a special purpose account has been established in relation to the provision of a particular service or performance of a particular function (the </w:t>
      </w:r>
      <w:r>
        <w:rPr>
          <w:rStyle w:val="CharDefText"/>
          <w:i w:val="0"/>
          <w:iCs/>
        </w:rPr>
        <w:t>relevant service</w:t>
      </w:r>
      <w:r>
        <w:t xml:space="preserve">) and — </w:t>
      </w:r>
    </w:p>
    <w:p>
      <w:pPr>
        <w:pStyle w:val="Indenta"/>
      </w:pPr>
      <w:r>
        <w:tab/>
        <w:t>(a)</w:t>
      </w:r>
      <w:r>
        <w:tab/>
        <w:t>the account is closed; or</w:t>
      </w:r>
    </w:p>
    <w:p>
      <w:pPr>
        <w:pStyle w:val="Indenta"/>
      </w:pPr>
      <w:r>
        <w:tab/>
        <w:t>(b)</w:t>
      </w:r>
      <w:r>
        <w:tab/>
        <w:t>the responsibility for the provision of the relevant service is transferred,</w:t>
      </w:r>
    </w:p>
    <w:p>
      <w:pPr>
        <w:pStyle w:val="Subsection"/>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pPr>
      <w:bookmarkStart w:id="151" w:name="_Toc280599320"/>
      <w:bookmarkStart w:id="152" w:name="_Toc278967232"/>
      <w:r>
        <w:rPr>
          <w:rStyle w:val="CharSectno"/>
        </w:rPr>
        <w:t>22</w:t>
      </w:r>
      <w:r>
        <w:t>.</w:t>
      </w:r>
      <w:r>
        <w:tab/>
        <w:t>Other laws not affected</w:t>
      </w:r>
      <w:bookmarkEnd w:id="151"/>
      <w:bookmarkEnd w:id="152"/>
    </w:p>
    <w:p>
      <w:pPr>
        <w:pStyle w:val="Subsection"/>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153" w:name="_Toc189644459"/>
      <w:bookmarkStart w:id="154" w:name="_Toc202850315"/>
      <w:bookmarkStart w:id="155" w:name="_Toc202850429"/>
      <w:bookmarkStart w:id="156" w:name="_Toc205018684"/>
      <w:bookmarkStart w:id="157" w:name="_Toc205018798"/>
      <w:bookmarkStart w:id="158" w:name="_Toc205019076"/>
      <w:bookmarkStart w:id="159" w:name="_Toc209837707"/>
      <w:bookmarkStart w:id="160" w:name="_Toc211654293"/>
      <w:bookmarkStart w:id="161" w:name="_Toc239738939"/>
      <w:bookmarkStart w:id="162" w:name="_Toc249427436"/>
      <w:bookmarkStart w:id="163" w:name="_Toc249950457"/>
      <w:bookmarkStart w:id="164" w:name="_Toc249950927"/>
      <w:bookmarkStart w:id="165" w:name="_Toc271102842"/>
      <w:bookmarkStart w:id="166" w:name="_Toc274135168"/>
      <w:bookmarkStart w:id="167" w:name="_Toc274135283"/>
      <w:bookmarkStart w:id="168" w:name="_Toc278377613"/>
      <w:bookmarkStart w:id="169" w:name="_Toc278967233"/>
      <w:bookmarkStart w:id="170" w:name="_Toc280599321"/>
      <w:r>
        <w:rPr>
          <w:rStyle w:val="CharPartNo"/>
        </w:rPr>
        <w:t>Part 3</w:t>
      </w:r>
      <w:r>
        <w:t> — </w:t>
      </w:r>
      <w:r>
        <w:rPr>
          <w:rStyle w:val="CharPartText"/>
        </w:rPr>
        <w:t>Funds management</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pPr>
      <w:bookmarkStart w:id="171" w:name="_Toc189644460"/>
      <w:bookmarkStart w:id="172" w:name="_Toc202850316"/>
      <w:bookmarkStart w:id="173" w:name="_Toc202850430"/>
      <w:bookmarkStart w:id="174" w:name="_Toc205018685"/>
      <w:bookmarkStart w:id="175" w:name="_Toc205018799"/>
      <w:bookmarkStart w:id="176" w:name="_Toc205019077"/>
      <w:bookmarkStart w:id="177" w:name="_Toc209837708"/>
      <w:bookmarkStart w:id="178" w:name="_Toc211654294"/>
      <w:bookmarkStart w:id="179" w:name="_Toc239738940"/>
      <w:bookmarkStart w:id="180" w:name="_Toc249427437"/>
      <w:bookmarkStart w:id="181" w:name="_Toc249950458"/>
      <w:bookmarkStart w:id="182" w:name="_Toc249950928"/>
      <w:bookmarkStart w:id="183" w:name="_Toc271102843"/>
      <w:bookmarkStart w:id="184" w:name="_Toc274135169"/>
      <w:bookmarkStart w:id="185" w:name="_Toc274135284"/>
      <w:bookmarkStart w:id="186" w:name="_Toc278377614"/>
      <w:bookmarkStart w:id="187" w:name="_Toc278967234"/>
      <w:bookmarkStart w:id="188" w:name="_Toc280599322"/>
      <w:r>
        <w:rPr>
          <w:rStyle w:val="CharDivNo"/>
        </w:rPr>
        <w:t>Division 1</w:t>
      </w:r>
      <w:r>
        <w:t> — </w:t>
      </w:r>
      <w:r>
        <w:rPr>
          <w:rStyle w:val="CharDivText"/>
        </w:rPr>
        <w:t>Supply and appropriation</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pPr>
        <w:pStyle w:val="Heading5"/>
      </w:pPr>
      <w:bookmarkStart w:id="189" w:name="_Toc280599323"/>
      <w:bookmarkStart w:id="190" w:name="_Toc278967235"/>
      <w:r>
        <w:rPr>
          <w:rStyle w:val="CharSectno"/>
        </w:rPr>
        <w:t>23</w:t>
      </w:r>
      <w:r>
        <w:t>.</w:t>
      </w:r>
      <w:r>
        <w:tab/>
        <w:t>Appropriation of certain receipts</w:t>
      </w:r>
      <w:bookmarkEnd w:id="189"/>
      <w:bookmarkEnd w:id="190"/>
    </w:p>
    <w:p>
      <w:pPr>
        <w:pStyle w:val="Subsection"/>
      </w:pPr>
      <w:r>
        <w:tab/>
        <w:t>(1)</w:t>
      </w:r>
      <w:r>
        <w:tab/>
        <w:t xml:space="preserve">In this section — </w:t>
      </w:r>
    </w:p>
    <w:p>
      <w:pPr>
        <w:pStyle w:val="Defstart"/>
      </w:pPr>
      <w:r>
        <w:rPr>
          <w:b/>
        </w:rPr>
        <w:tab/>
      </w:r>
      <w:r>
        <w:rPr>
          <w:rStyle w:val="CharDefText"/>
          <w:i w:val="0"/>
          <w:iCs/>
        </w:rPr>
        <w:t>determination</w:t>
      </w:r>
      <w:r>
        <w:t xml:space="preserve"> means a determination under subsection (2);</w:t>
      </w:r>
    </w:p>
    <w:p>
      <w:pPr>
        <w:pStyle w:val="Defstart"/>
      </w:pPr>
      <w:r>
        <w:rPr>
          <w:b/>
          <w:i/>
          <w:iCs/>
        </w:rPr>
        <w:tab/>
      </w:r>
      <w:r>
        <w:rPr>
          <w:rStyle w:val="CharDefText"/>
          <w:i w:val="0"/>
          <w:iCs/>
        </w:rPr>
        <w:t>prescribed receipts</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191" w:name="_Toc280599324"/>
      <w:bookmarkStart w:id="192" w:name="_Toc278967236"/>
      <w:r>
        <w:rPr>
          <w:rStyle w:val="CharSectno"/>
        </w:rPr>
        <w:t>24</w:t>
      </w:r>
      <w:r>
        <w:t>.</w:t>
      </w:r>
      <w:r>
        <w:tab/>
        <w:t>Payments before grant of supply</w:t>
      </w:r>
      <w:bookmarkEnd w:id="191"/>
      <w:bookmarkEnd w:id="192"/>
    </w:p>
    <w:p>
      <w:pPr>
        <w:pStyle w:val="Subsection"/>
      </w:pPr>
      <w:r>
        <w:tab/>
        <w:t>(1)</w:t>
      </w:r>
      <w:r>
        <w:tab/>
        <w:t xml:space="preserve">If, before the end of a financial year (the </w:t>
      </w:r>
      <w:r>
        <w:rPr>
          <w:rStyle w:val="CharDefText"/>
          <w:i w:val="0"/>
          <w:iCs/>
        </w:rPr>
        <w:t>previous year</w:t>
      </w:r>
      <w:r>
        <w:rPr>
          <w:bCs/>
        </w:rPr>
        <w:t>)</w:t>
      </w:r>
      <w:r>
        <w:t xml:space="preserve">, no supply is granted to meet the requirements of the next financial year (the </w:t>
      </w:r>
      <w:r>
        <w:rPr>
          <w:rStyle w:val="CharDefText"/>
          <w:i w:val="0"/>
          <w:iCs/>
        </w:rPr>
        <w:t>current year</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keepNext/>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193" w:name="_Toc280599325"/>
      <w:bookmarkStart w:id="194" w:name="_Toc278967237"/>
      <w:r>
        <w:rPr>
          <w:rStyle w:val="CharSectno"/>
        </w:rPr>
        <w:t>25</w:t>
      </w:r>
      <w:r>
        <w:t>.</w:t>
      </w:r>
      <w:r>
        <w:tab/>
        <w:t>Transfers of appropriations</w:t>
      </w:r>
      <w:bookmarkEnd w:id="193"/>
      <w:bookmarkEnd w:id="194"/>
    </w:p>
    <w:p>
      <w:pPr>
        <w:pStyle w:val="Subsection"/>
      </w:pPr>
      <w:r>
        <w:tab/>
        <w:t>(1)</w:t>
      </w:r>
      <w:r>
        <w:tab/>
        <w:t xml:space="preserve">In this section — </w:t>
      </w:r>
    </w:p>
    <w:p>
      <w:pPr>
        <w:pStyle w:val="Defstart"/>
      </w:pPr>
      <w:r>
        <w:rPr>
          <w:b/>
        </w:rPr>
        <w:tab/>
      </w:r>
      <w:r>
        <w:rPr>
          <w:rStyle w:val="CharDefText"/>
          <w:i w:val="0"/>
          <w:iCs/>
        </w:rPr>
        <w:t>general purpose</w:t>
      </w:r>
      <w:r>
        <w:t xml:space="preserve"> means a purpose — </w:t>
      </w:r>
    </w:p>
    <w:p>
      <w:pPr>
        <w:pStyle w:val="Defpara"/>
        <w:keepNext/>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195" w:name="_Toc280599326"/>
      <w:bookmarkStart w:id="196" w:name="_Toc278967238"/>
      <w:r>
        <w:rPr>
          <w:rStyle w:val="CharSectno"/>
        </w:rPr>
        <w:t>26</w:t>
      </w:r>
      <w:r>
        <w:t>.</w:t>
      </w:r>
      <w:r>
        <w:tab/>
        <w:t>Transfers to suspense account</w:t>
      </w:r>
      <w:bookmarkEnd w:id="195"/>
      <w:bookmarkEnd w:id="196"/>
    </w:p>
    <w:p>
      <w:pPr>
        <w:pStyle w:val="Subsection"/>
      </w:pPr>
      <w:r>
        <w:tab/>
        <w:t>(1)</w:t>
      </w:r>
      <w:r>
        <w:tab/>
        <w:t xml:space="preserve">In this section — </w:t>
      </w:r>
    </w:p>
    <w:p>
      <w:pPr>
        <w:pStyle w:val="Defstart"/>
      </w:pPr>
      <w:r>
        <w:rPr>
          <w:b/>
        </w:rPr>
        <w:tab/>
      </w:r>
      <w:r>
        <w:rPr>
          <w:rStyle w:val="CharDefText"/>
          <w:i w:val="0"/>
          <w:iCs/>
        </w:rPr>
        <w:t>operating account</w:t>
      </w:r>
      <w:r>
        <w:rPr>
          <w:i/>
          <w:iCs/>
        </w:rPr>
        <w:t xml:space="preserve"> </w:t>
      </w:r>
      <w:r>
        <w:t>means an agency special purpose account established for the purposes of the operations of the agency;</w:t>
      </w:r>
    </w:p>
    <w:p>
      <w:pPr>
        <w:pStyle w:val="Defstart"/>
      </w:pPr>
      <w:r>
        <w:rPr>
          <w:b/>
          <w:i/>
          <w:iCs/>
        </w:rPr>
        <w:tab/>
      </w:r>
      <w:r>
        <w:rPr>
          <w:rStyle w:val="CharDefText"/>
          <w:i w:val="0"/>
          <w:iCs/>
        </w:rPr>
        <w:t>relevant commitment</w:t>
      </w:r>
      <w:r>
        <w:t xml:space="preserve"> means a commitment — </w:t>
      </w:r>
    </w:p>
    <w:p>
      <w:pPr>
        <w:pStyle w:val="Defpara"/>
        <w:keepNext/>
      </w:pPr>
      <w:r>
        <w:tab/>
        <w:t>(a)</w:t>
      </w:r>
      <w:r>
        <w:tab/>
        <w:t>that is relevant to the financial year referred to in subsection (2); and</w:t>
      </w:r>
    </w:p>
    <w:p>
      <w:pPr>
        <w:pStyle w:val="Defpara"/>
        <w:keepNext/>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197" w:name="_Toc280599327"/>
      <w:bookmarkStart w:id="198" w:name="_Toc278967239"/>
      <w:r>
        <w:rPr>
          <w:rStyle w:val="CharSectno"/>
        </w:rPr>
        <w:t>27</w:t>
      </w:r>
      <w:r>
        <w:t>.</w:t>
      </w:r>
      <w:r>
        <w:tab/>
        <w:t>Expenditure in advance of appropriation</w:t>
      </w:r>
      <w:bookmarkEnd w:id="197"/>
      <w:bookmarkEnd w:id="19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pPr>
      <w:r>
        <w:tab/>
        <w:t>(2)</w:t>
      </w:r>
      <w:r>
        <w:tab/>
        <w:t>The Treasurer may authorise expenditure in a financial year that exceeds the amount appropriated by an Appropriation Act for that year for expenditure of that kind.</w:t>
      </w:r>
    </w:p>
    <w:p>
      <w:pPr>
        <w:pStyle w:val="Subsection"/>
      </w:pPr>
      <w:r>
        <w:tab/>
        <w:t>(3)</w:t>
      </w:r>
      <w:r>
        <w:tab/>
        <w:t>Expenditure may be authorised under subsection (1) or (2) only to make payments in respect of extraordinary or unforeseen matters.</w:t>
      </w:r>
    </w:p>
    <w:p>
      <w:pPr>
        <w:pStyle w:val="Subsection"/>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pPr>
      <w:bookmarkStart w:id="199" w:name="_Toc280599328"/>
      <w:bookmarkStart w:id="200" w:name="_Toc278967240"/>
      <w:r>
        <w:rPr>
          <w:rStyle w:val="CharSectno"/>
        </w:rPr>
        <w:t>28</w:t>
      </w:r>
      <w:r>
        <w:t>.</w:t>
      </w:r>
      <w:r>
        <w:tab/>
        <w:t>Authorised recoverable advances</w:t>
      </w:r>
      <w:bookmarkEnd w:id="199"/>
      <w:bookmarkEnd w:id="20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i/>
          <w:iCs/>
        </w:rPr>
        <w:tab/>
      </w:r>
      <w:r>
        <w:rPr>
          <w:rStyle w:val="CharDefText"/>
          <w:i w:val="0"/>
          <w:iCs/>
        </w:rPr>
        <w:t>public authority</w:t>
      </w:r>
      <w:r>
        <w:t xml:space="preserve"> means — </w:t>
      </w:r>
    </w:p>
    <w:p>
      <w:pPr>
        <w:pStyle w:val="Defpara"/>
        <w:keepNext/>
      </w:pPr>
      <w:r>
        <w:tab/>
        <w:t>(a)</w:t>
      </w:r>
      <w:r>
        <w:tab/>
        <w:t>a Minister of the State; or</w:t>
      </w:r>
    </w:p>
    <w:p>
      <w:pPr>
        <w:pStyle w:val="Defpara"/>
        <w:keepNext/>
      </w:pPr>
      <w:r>
        <w:tab/>
        <w:t>(b)</w:t>
      </w:r>
      <w:r>
        <w:tab/>
        <w:t>an agency, authority or instrumentality of the State; or</w:t>
      </w:r>
    </w:p>
    <w:p>
      <w:pPr>
        <w:pStyle w:val="Defpara"/>
        <w:keepNext/>
      </w:pPr>
      <w:r>
        <w:tab/>
        <w:t>(c)</w:t>
      </w:r>
      <w:r>
        <w:tab/>
        <w:t>a local government; or</w:t>
      </w:r>
    </w:p>
    <w:p>
      <w:pPr>
        <w:pStyle w:val="Defpara"/>
        <w:keepNext/>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201" w:name="_Toc280599329"/>
      <w:bookmarkStart w:id="202" w:name="_Toc278967241"/>
      <w:r>
        <w:rPr>
          <w:rStyle w:val="CharSectno"/>
        </w:rPr>
        <w:t>29</w:t>
      </w:r>
      <w:r>
        <w:t>.</w:t>
      </w:r>
      <w:r>
        <w:tab/>
        <w:t>Limits on expenditure</w:t>
      </w:r>
      <w:bookmarkEnd w:id="201"/>
      <w:bookmarkEnd w:id="20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203" w:name="_Toc280599330"/>
      <w:bookmarkStart w:id="204" w:name="_Toc278967242"/>
      <w:r>
        <w:rPr>
          <w:rStyle w:val="CharSectno"/>
        </w:rPr>
        <w:t>30</w:t>
      </w:r>
      <w:r>
        <w:t>.</w:t>
      </w:r>
      <w:r>
        <w:tab/>
        <w:t>Unexpended appropriations to lapse</w:t>
      </w:r>
      <w:bookmarkEnd w:id="203"/>
      <w:bookmarkEnd w:id="20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205" w:name="_Toc280599331"/>
      <w:bookmarkStart w:id="206" w:name="_Toc278967243"/>
      <w:r>
        <w:rPr>
          <w:rStyle w:val="CharSectno"/>
        </w:rPr>
        <w:t>31</w:t>
      </w:r>
      <w:r>
        <w:t>.</w:t>
      </w:r>
      <w:r>
        <w:tab/>
        <w:t>Payments from Public Bank Account Interest Earned Account</w:t>
      </w:r>
      <w:bookmarkEnd w:id="205"/>
      <w:bookmarkEnd w:id="20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207" w:name="_Toc189644470"/>
      <w:bookmarkStart w:id="208" w:name="_Toc202850326"/>
      <w:bookmarkStart w:id="209" w:name="_Toc202850440"/>
      <w:bookmarkStart w:id="210" w:name="_Toc205018695"/>
      <w:bookmarkStart w:id="211" w:name="_Toc205018809"/>
      <w:bookmarkStart w:id="212" w:name="_Toc205019087"/>
      <w:bookmarkStart w:id="213" w:name="_Toc209837718"/>
      <w:bookmarkStart w:id="214" w:name="_Toc211654304"/>
      <w:bookmarkStart w:id="215" w:name="_Toc239738950"/>
      <w:bookmarkStart w:id="216" w:name="_Toc249427447"/>
      <w:bookmarkStart w:id="217" w:name="_Toc249950468"/>
      <w:bookmarkStart w:id="218" w:name="_Toc249950938"/>
      <w:bookmarkStart w:id="219" w:name="_Toc271102853"/>
      <w:bookmarkStart w:id="220" w:name="_Toc274135179"/>
      <w:bookmarkStart w:id="221" w:name="_Toc274135294"/>
      <w:bookmarkStart w:id="222" w:name="_Toc278377624"/>
      <w:bookmarkStart w:id="223" w:name="_Toc278967244"/>
      <w:bookmarkStart w:id="224" w:name="_Toc280599332"/>
      <w:r>
        <w:rPr>
          <w:rStyle w:val="CharDivNo"/>
        </w:rPr>
        <w:t>Division 2</w:t>
      </w:r>
      <w:r>
        <w:t> — </w:t>
      </w:r>
      <w:r>
        <w:rPr>
          <w:rStyle w:val="CharDivText"/>
        </w:rPr>
        <w:t>Payments and transfers</w:t>
      </w:r>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5"/>
      </w:pPr>
      <w:bookmarkStart w:id="225" w:name="_Toc280599333"/>
      <w:bookmarkStart w:id="226" w:name="_Toc278967245"/>
      <w:r>
        <w:rPr>
          <w:rStyle w:val="CharSectno"/>
        </w:rPr>
        <w:t>32</w:t>
      </w:r>
      <w:r>
        <w:t>.</w:t>
      </w:r>
      <w:r>
        <w:tab/>
        <w:t>Certain payments and transfers to be authorised</w:t>
      </w:r>
      <w:bookmarkEnd w:id="225"/>
      <w:bookmarkEnd w:id="226"/>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i/>
          <w:iCs/>
        </w:rPr>
        <w:tab/>
      </w:r>
      <w:r>
        <w:rPr>
          <w:rStyle w:val="CharDefText"/>
          <w:i w:val="0"/>
          <w:iCs/>
        </w:rPr>
        <w:t>regulated payment</w:t>
      </w:r>
      <w:r>
        <w:t xml:space="preserve"> means — </w:t>
      </w:r>
    </w:p>
    <w:p>
      <w:pPr>
        <w:pStyle w:val="Defpara"/>
      </w:pPr>
      <w:r>
        <w:tab/>
        <w:t>(a)</w:t>
      </w:r>
      <w:r>
        <w:tab/>
        <w:t>a payment that is to be charged to an account forming part of the Public Ledger; or</w:t>
      </w:r>
    </w:p>
    <w:p>
      <w:pPr>
        <w:pStyle w:val="Defpara"/>
        <w:keepNext/>
      </w:pPr>
      <w:r>
        <w:tab/>
        <w:t>(b)</w:t>
      </w:r>
      <w:r>
        <w:tab/>
        <w:t>a payment made by an agency, whether to another agency or otherwise;</w:t>
      </w:r>
    </w:p>
    <w:p>
      <w:pPr>
        <w:pStyle w:val="Defstart"/>
      </w:pPr>
      <w:r>
        <w:rPr>
          <w:b/>
          <w:i/>
          <w:iCs/>
        </w:rPr>
        <w:tab/>
      </w:r>
      <w:r>
        <w:rPr>
          <w:rStyle w:val="CharDefText"/>
          <w:i w:val="0"/>
          <w:iCs/>
        </w:rPr>
        <w:t>regulated transfer</w:t>
      </w:r>
      <w:r>
        <w:rPr>
          <w:i/>
          <w:iCs/>
        </w:rPr>
        <w:t xml:space="preserve"> </w:t>
      </w:r>
      <w:r>
        <w:t xml:space="preserve">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227" w:name="_Toc280599334"/>
      <w:bookmarkStart w:id="228" w:name="_Toc278967246"/>
      <w:r>
        <w:rPr>
          <w:rStyle w:val="CharSectno"/>
        </w:rPr>
        <w:t>33</w:t>
      </w:r>
      <w:r>
        <w:t>.</w:t>
      </w:r>
      <w:r>
        <w:tab/>
        <w:t>Payments charged to Consolidated Account</w:t>
      </w:r>
      <w:bookmarkEnd w:id="227"/>
      <w:bookmarkEnd w:id="228"/>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229" w:name="_Toc280599335"/>
      <w:bookmarkStart w:id="230" w:name="_Toc278967247"/>
      <w:r>
        <w:rPr>
          <w:rStyle w:val="CharSectno"/>
        </w:rPr>
        <w:t>34</w:t>
      </w:r>
      <w:r>
        <w:t>.</w:t>
      </w:r>
      <w:r>
        <w:tab/>
        <w:t>Deposit of money received</w:t>
      </w:r>
      <w:bookmarkEnd w:id="229"/>
      <w:bookmarkEnd w:id="230"/>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231" w:name="_Toc280599336"/>
      <w:bookmarkStart w:id="232" w:name="_Toc278967248"/>
      <w:r>
        <w:rPr>
          <w:rStyle w:val="CharSectno"/>
        </w:rPr>
        <w:t>35</w:t>
      </w:r>
      <w:r>
        <w:t>.</w:t>
      </w:r>
      <w:r>
        <w:tab/>
        <w:t>Money paid into Public Bank Account</w:t>
      </w:r>
      <w:bookmarkEnd w:id="231"/>
      <w:bookmarkEnd w:id="232"/>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233" w:name="_Toc280599337"/>
      <w:bookmarkStart w:id="234" w:name="_Toc278967249"/>
      <w:r>
        <w:rPr>
          <w:rStyle w:val="CharSectno"/>
        </w:rPr>
        <w:t>36</w:t>
      </w:r>
      <w:r>
        <w:t>.</w:t>
      </w:r>
      <w:r>
        <w:tab/>
        <w:t>Other money to be credited to special purpose accounts</w:t>
      </w:r>
      <w:bookmarkEnd w:id="233"/>
      <w:bookmarkEnd w:id="234"/>
    </w:p>
    <w:p>
      <w:pPr>
        <w:pStyle w:val="Subsection"/>
      </w:pPr>
      <w:r>
        <w:tab/>
        <w:t>(1)</w:t>
      </w:r>
      <w:r>
        <w:tab/>
        <w:t xml:space="preserve">In this section — </w:t>
      </w:r>
    </w:p>
    <w:p>
      <w:pPr>
        <w:pStyle w:val="Defstart"/>
      </w:pPr>
      <w:r>
        <w:rPr>
          <w:b/>
          <w:i/>
          <w:iCs/>
        </w:rPr>
        <w:tab/>
      </w:r>
      <w:r>
        <w:rPr>
          <w:rStyle w:val="CharDefText"/>
          <w:i w:val="0"/>
          <w:iCs/>
        </w:rPr>
        <w:t>relevant accountable authority</w:t>
      </w:r>
      <w:r>
        <w:t xml:space="preserve"> means the accountable authority of the agency for the purposes of which the relevant person is employed or engaged;</w:t>
      </w:r>
    </w:p>
    <w:p>
      <w:pPr>
        <w:pStyle w:val="Defstart"/>
      </w:pPr>
      <w:r>
        <w:rPr>
          <w:b/>
          <w:i/>
          <w:iCs/>
        </w:rPr>
        <w:tab/>
      </w:r>
      <w:r>
        <w:rPr>
          <w:rStyle w:val="CharDefText"/>
          <w:i w:val="0"/>
          <w:iCs/>
        </w:rPr>
        <w:t>relevant person</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235" w:name="_Toc189644476"/>
      <w:bookmarkStart w:id="236" w:name="_Toc202850332"/>
      <w:bookmarkStart w:id="237" w:name="_Toc202850446"/>
      <w:bookmarkStart w:id="238" w:name="_Toc205018701"/>
      <w:bookmarkStart w:id="239" w:name="_Toc205018815"/>
      <w:bookmarkStart w:id="240" w:name="_Toc205019093"/>
      <w:bookmarkStart w:id="241" w:name="_Toc209837724"/>
      <w:bookmarkStart w:id="242" w:name="_Toc211654310"/>
      <w:bookmarkStart w:id="243" w:name="_Toc239738956"/>
      <w:bookmarkStart w:id="244" w:name="_Toc249427453"/>
      <w:bookmarkStart w:id="245" w:name="_Toc249950474"/>
      <w:bookmarkStart w:id="246" w:name="_Toc249950944"/>
      <w:bookmarkStart w:id="247" w:name="_Toc271102859"/>
      <w:bookmarkStart w:id="248" w:name="_Toc274135185"/>
      <w:bookmarkStart w:id="249" w:name="_Toc274135300"/>
      <w:bookmarkStart w:id="250" w:name="_Toc278377630"/>
      <w:bookmarkStart w:id="251" w:name="_Toc278967250"/>
      <w:bookmarkStart w:id="252" w:name="_Toc280599338"/>
      <w:r>
        <w:rPr>
          <w:rStyle w:val="CharDivNo"/>
        </w:rPr>
        <w:t>Division 3</w:t>
      </w:r>
      <w:r>
        <w:t> — </w:t>
      </w:r>
      <w:r>
        <w:rPr>
          <w:rStyle w:val="CharDivText"/>
        </w:rPr>
        <w:t>Investments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280599339"/>
      <w:bookmarkStart w:id="254" w:name="_Toc278967251"/>
      <w:r>
        <w:rPr>
          <w:rStyle w:val="CharSectno"/>
        </w:rPr>
        <w:t>37</w:t>
      </w:r>
      <w:r>
        <w:t>.</w:t>
      </w:r>
      <w:r>
        <w:tab/>
        <w:t>Investment by Treasurer</w:t>
      </w:r>
      <w:bookmarkEnd w:id="253"/>
      <w:bookmarkEnd w:id="25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255" w:name="_Toc280599340"/>
      <w:bookmarkStart w:id="256" w:name="_Toc278967252"/>
      <w:r>
        <w:rPr>
          <w:rStyle w:val="CharSectno"/>
        </w:rPr>
        <w:t>38</w:t>
      </w:r>
      <w:r>
        <w:t>.</w:t>
      </w:r>
      <w:r>
        <w:tab/>
        <w:t>Proceeds of investment by Treasurer</w:t>
      </w:r>
      <w:bookmarkEnd w:id="255"/>
      <w:bookmarkEnd w:id="256"/>
    </w:p>
    <w:p>
      <w:pPr>
        <w:pStyle w:val="Subsection"/>
      </w:pPr>
      <w:r>
        <w:tab/>
        <w:t>(1)</w:t>
      </w:r>
      <w:r>
        <w:tab/>
        <w:t xml:space="preserve">In this section — </w:t>
      </w:r>
    </w:p>
    <w:p>
      <w:pPr>
        <w:pStyle w:val="Defstart"/>
      </w:pPr>
      <w:r>
        <w:rPr>
          <w:b/>
          <w:i/>
          <w:iCs/>
        </w:rPr>
        <w:tab/>
      </w:r>
      <w:r>
        <w:rPr>
          <w:rStyle w:val="CharDefText"/>
          <w:i w:val="0"/>
          <w:iCs/>
        </w:rPr>
        <w:t>investment</w:t>
      </w:r>
      <w:r>
        <w:rPr>
          <w:i/>
          <w:iCs/>
        </w:rPr>
        <w:t xml:space="preserve"> </w:t>
      </w:r>
      <w:r>
        <w:t>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spacing w:before="180"/>
      </w:pPr>
      <w:bookmarkStart w:id="257" w:name="_Toc280599341"/>
      <w:bookmarkStart w:id="258" w:name="_Toc278967253"/>
      <w:r>
        <w:rPr>
          <w:rStyle w:val="CharSectno"/>
        </w:rPr>
        <w:t>39</w:t>
      </w:r>
      <w:r>
        <w:t>.</w:t>
      </w:r>
      <w:r>
        <w:tab/>
        <w:t>Investment by agencies</w:t>
      </w:r>
      <w:bookmarkEnd w:id="257"/>
      <w:bookmarkEnd w:id="258"/>
    </w:p>
    <w:p>
      <w:pPr>
        <w:pStyle w:val="Subsection"/>
        <w:spacing w:before="120"/>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spacing w:before="120"/>
      </w:pPr>
      <w:r>
        <w:tab/>
      </w:r>
      <w:r>
        <w:tab/>
        <w:t>whether in the Public Bank Account or in a bank account maintained under section 13 that does not form part of the Public Bank Account.</w:t>
      </w:r>
    </w:p>
    <w:p>
      <w:pPr>
        <w:pStyle w:val="Subsection"/>
        <w:spacing w:before="120"/>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keepLines/>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259" w:name="_Toc189644480"/>
      <w:bookmarkStart w:id="260" w:name="_Toc202850336"/>
      <w:bookmarkStart w:id="261" w:name="_Toc202850450"/>
      <w:bookmarkStart w:id="262" w:name="_Toc205018705"/>
      <w:bookmarkStart w:id="263" w:name="_Toc205018819"/>
      <w:bookmarkStart w:id="264" w:name="_Toc205019097"/>
      <w:bookmarkStart w:id="265" w:name="_Toc209837728"/>
      <w:bookmarkStart w:id="266" w:name="_Toc211654314"/>
      <w:bookmarkStart w:id="267" w:name="_Toc239738960"/>
      <w:bookmarkStart w:id="268" w:name="_Toc249427457"/>
      <w:bookmarkStart w:id="269" w:name="_Toc249950478"/>
      <w:bookmarkStart w:id="270" w:name="_Toc249950948"/>
      <w:bookmarkStart w:id="271" w:name="_Toc271102863"/>
      <w:bookmarkStart w:id="272" w:name="_Toc274135189"/>
      <w:bookmarkStart w:id="273" w:name="_Toc274135304"/>
      <w:bookmarkStart w:id="274" w:name="_Toc278377634"/>
      <w:bookmarkStart w:id="275" w:name="_Toc278967254"/>
      <w:bookmarkStart w:id="276" w:name="_Toc280599342"/>
      <w:r>
        <w:rPr>
          <w:rStyle w:val="CharDivNo"/>
        </w:rPr>
        <w:t>Division 4</w:t>
      </w:r>
      <w:r>
        <w:t> — </w:t>
      </w:r>
      <w:r>
        <w:rPr>
          <w:rStyle w:val="CharDivText"/>
        </w:rPr>
        <w:t>Annual estimates of statutory authorities</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280599343"/>
      <w:bookmarkStart w:id="278" w:name="_Toc278967255"/>
      <w:r>
        <w:rPr>
          <w:rStyle w:val="CharSectno"/>
        </w:rPr>
        <w:t>40</w:t>
      </w:r>
      <w:r>
        <w:t>.</w:t>
      </w:r>
      <w:r>
        <w:tab/>
        <w:t>Accountable authorities of statutory authorities to prepare and submit annual estimates</w:t>
      </w:r>
      <w:bookmarkEnd w:id="277"/>
      <w:bookmarkEnd w:id="278"/>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rStyle w:val="CharDefText"/>
          <w:i w:val="0"/>
          <w:iCs/>
        </w:rPr>
        <w:t>annual estimates</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279" w:name="_Toc189644482"/>
      <w:bookmarkStart w:id="280" w:name="_Toc202850338"/>
      <w:bookmarkStart w:id="281" w:name="_Toc202850452"/>
      <w:bookmarkStart w:id="282" w:name="_Toc205018707"/>
      <w:bookmarkStart w:id="283" w:name="_Toc205018821"/>
      <w:bookmarkStart w:id="284" w:name="_Toc205019099"/>
      <w:bookmarkStart w:id="285" w:name="_Toc209837730"/>
      <w:bookmarkStart w:id="286" w:name="_Toc211654316"/>
      <w:bookmarkStart w:id="287" w:name="_Toc239738962"/>
      <w:bookmarkStart w:id="288" w:name="_Toc249427459"/>
      <w:bookmarkStart w:id="289" w:name="_Toc249950480"/>
      <w:bookmarkStart w:id="290" w:name="_Toc249950950"/>
      <w:bookmarkStart w:id="291" w:name="_Toc271102865"/>
      <w:bookmarkStart w:id="292" w:name="_Toc274135191"/>
      <w:bookmarkStart w:id="293" w:name="_Toc274135306"/>
      <w:bookmarkStart w:id="294" w:name="_Toc278377636"/>
      <w:bookmarkStart w:id="295" w:name="_Toc278967256"/>
      <w:bookmarkStart w:id="296" w:name="_Toc280599344"/>
      <w:r>
        <w:rPr>
          <w:rStyle w:val="CharDivNo"/>
        </w:rPr>
        <w:t>Division 5</w:t>
      </w:r>
      <w:r>
        <w:t> — </w:t>
      </w:r>
      <w:r>
        <w:rPr>
          <w:rStyle w:val="CharDivText"/>
        </w:rPr>
        <w:t>Resource agreements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p>
    <w:p>
      <w:pPr>
        <w:pStyle w:val="Heading5"/>
      </w:pPr>
      <w:bookmarkStart w:id="297" w:name="_Toc280599345"/>
      <w:bookmarkStart w:id="298" w:name="_Toc278967257"/>
      <w:r>
        <w:rPr>
          <w:rStyle w:val="CharSectno"/>
        </w:rPr>
        <w:t>41</w:t>
      </w:r>
      <w:r>
        <w:t>.</w:t>
      </w:r>
      <w:r>
        <w:tab/>
        <w:t>Accountable authorities to submit draft resource agreements</w:t>
      </w:r>
      <w:bookmarkEnd w:id="297"/>
      <w:bookmarkEnd w:id="29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keepNext/>
      </w:pPr>
      <w:r>
        <w:tab/>
        <w:t>(b)</w:t>
      </w:r>
      <w:r>
        <w:tab/>
        <w:t>as otherwise directed in writing by the Treasurer.</w:t>
      </w:r>
    </w:p>
    <w:p>
      <w:pPr>
        <w:pStyle w:val="Heading5"/>
      </w:pPr>
      <w:bookmarkStart w:id="299" w:name="_Toc280599346"/>
      <w:bookmarkStart w:id="300" w:name="_Toc278967258"/>
      <w:r>
        <w:rPr>
          <w:rStyle w:val="CharSectno"/>
        </w:rPr>
        <w:t>42</w:t>
      </w:r>
      <w:r>
        <w:t>.</w:t>
      </w:r>
      <w:r>
        <w:tab/>
        <w:t>Period to which resource agreements relate</w:t>
      </w:r>
      <w:bookmarkEnd w:id="299"/>
      <w:bookmarkEnd w:id="300"/>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301" w:name="_Toc280599347"/>
      <w:bookmarkStart w:id="302" w:name="_Toc278967259"/>
      <w:r>
        <w:rPr>
          <w:rStyle w:val="CharSectno"/>
        </w:rPr>
        <w:t>43</w:t>
      </w:r>
      <w:r>
        <w:t>.</w:t>
      </w:r>
      <w:r>
        <w:tab/>
        <w:t>Matters to be included in resource agreements</w:t>
      </w:r>
      <w:bookmarkEnd w:id="301"/>
      <w:bookmarkEnd w:id="302"/>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303" w:name="_Toc280599348"/>
      <w:bookmarkStart w:id="304" w:name="_Toc278967260"/>
      <w:r>
        <w:rPr>
          <w:rStyle w:val="CharSectno"/>
        </w:rPr>
        <w:t>44</w:t>
      </w:r>
      <w:r>
        <w:t>.</w:t>
      </w:r>
      <w:r>
        <w:tab/>
        <w:t>Resource agreements to be agreed if possible</w:t>
      </w:r>
      <w:bookmarkEnd w:id="303"/>
      <w:bookmarkEnd w:id="30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305" w:name="_Toc280599349"/>
      <w:bookmarkStart w:id="306" w:name="_Toc278967261"/>
      <w:r>
        <w:rPr>
          <w:rStyle w:val="CharSectno"/>
        </w:rPr>
        <w:t>45</w:t>
      </w:r>
      <w:r>
        <w:t>.</w:t>
      </w:r>
      <w:r>
        <w:tab/>
        <w:t>Treasurer’s powers in relation to draft resource agreements</w:t>
      </w:r>
      <w:bookmarkEnd w:id="305"/>
      <w:bookmarkEnd w:id="306"/>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keepLines/>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307" w:name="_Toc280599350"/>
      <w:bookmarkStart w:id="308" w:name="_Toc278967262"/>
      <w:r>
        <w:rPr>
          <w:rStyle w:val="CharSectno"/>
        </w:rPr>
        <w:t>46</w:t>
      </w:r>
      <w:r>
        <w:t>.</w:t>
      </w:r>
      <w:r>
        <w:tab/>
        <w:t>Agreement as to draft resource agreements</w:t>
      </w:r>
      <w:bookmarkEnd w:id="307"/>
      <w:bookmarkEnd w:id="30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309" w:name="_Toc189644489"/>
      <w:bookmarkStart w:id="310" w:name="_Toc202850345"/>
      <w:bookmarkStart w:id="311" w:name="_Toc202850459"/>
      <w:bookmarkStart w:id="312" w:name="_Toc205018714"/>
      <w:bookmarkStart w:id="313" w:name="_Toc205018828"/>
      <w:bookmarkStart w:id="314" w:name="_Toc205019106"/>
      <w:bookmarkStart w:id="315" w:name="_Toc209837737"/>
      <w:bookmarkStart w:id="316" w:name="_Toc211654323"/>
      <w:bookmarkStart w:id="317" w:name="_Toc239738969"/>
      <w:bookmarkStart w:id="318" w:name="_Toc249427466"/>
      <w:bookmarkStart w:id="319" w:name="_Toc249950487"/>
      <w:bookmarkStart w:id="320" w:name="_Toc249950957"/>
      <w:bookmarkStart w:id="321" w:name="_Toc271102872"/>
      <w:bookmarkStart w:id="322" w:name="_Toc274135198"/>
      <w:bookmarkStart w:id="323" w:name="_Toc274135313"/>
      <w:bookmarkStart w:id="324" w:name="_Toc278377643"/>
      <w:bookmarkStart w:id="325" w:name="_Toc278967263"/>
      <w:bookmarkStart w:id="326" w:name="_Toc280599351"/>
      <w:r>
        <w:rPr>
          <w:rStyle w:val="CharDivNo"/>
        </w:rPr>
        <w:t>Division 6</w:t>
      </w:r>
      <w:r>
        <w:t> — </w:t>
      </w:r>
      <w:r>
        <w:rPr>
          <w:rStyle w:val="CharDivText"/>
        </w:rPr>
        <w:t>Write</w:t>
      </w:r>
      <w:r>
        <w:rPr>
          <w:rStyle w:val="CharDivText"/>
        </w:rPr>
        <w:noBreakHyphen/>
        <w:t>offs and recoveries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p>
    <w:p>
      <w:pPr>
        <w:pStyle w:val="Heading5"/>
      </w:pPr>
      <w:bookmarkStart w:id="327" w:name="_Toc280599352"/>
      <w:bookmarkStart w:id="328" w:name="_Toc278967264"/>
      <w:r>
        <w:rPr>
          <w:rStyle w:val="CharSectno"/>
        </w:rPr>
        <w:t>47</w:t>
      </w:r>
      <w:r>
        <w:t>.</w:t>
      </w:r>
      <w:r>
        <w:tab/>
        <w:t>Terms used in this Division</w:t>
      </w:r>
      <w:bookmarkEnd w:id="327"/>
      <w:bookmarkEnd w:id="328"/>
    </w:p>
    <w:p>
      <w:pPr>
        <w:pStyle w:val="Subsection"/>
      </w:pPr>
      <w:r>
        <w:tab/>
      </w:r>
      <w:r>
        <w:tab/>
        <w:t xml:space="preserve">In this Division — </w:t>
      </w:r>
    </w:p>
    <w:p>
      <w:pPr>
        <w:pStyle w:val="Defstart"/>
      </w:pPr>
      <w:r>
        <w:rPr>
          <w:b/>
          <w:i/>
          <w:iCs/>
        </w:rPr>
        <w:tab/>
      </w:r>
      <w:r>
        <w:rPr>
          <w:rStyle w:val="CharDefText"/>
          <w:i w:val="0"/>
          <w:iCs/>
        </w:rPr>
        <w:t>loss</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keepNext/>
      </w:pPr>
      <w:r>
        <w:rPr>
          <w:b/>
          <w:i/>
          <w:iCs/>
        </w:rPr>
        <w:tab/>
      </w:r>
      <w:r>
        <w:rPr>
          <w:rStyle w:val="CharDefText"/>
          <w:i w:val="0"/>
          <w:iCs/>
        </w:rPr>
        <w:t>official money</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i/>
          <w:iCs/>
        </w:rPr>
        <w:tab/>
      </w:r>
      <w:r>
        <w:rPr>
          <w:rStyle w:val="CharDefText"/>
          <w:i w:val="0"/>
          <w:iCs/>
        </w:rPr>
        <w:t>official property</w:t>
      </w:r>
      <w:r>
        <w:t xml:space="preserve"> means public property and other property;</w:t>
      </w:r>
    </w:p>
    <w:p>
      <w:pPr>
        <w:pStyle w:val="Defstart"/>
      </w:pPr>
      <w:r>
        <w:rPr>
          <w:b/>
          <w:i/>
          <w:iCs/>
        </w:rPr>
        <w:tab/>
      </w:r>
      <w:r>
        <w:rPr>
          <w:rStyle w:val="CharDefText"/>
          <w:i w:val="0"/>
          <w:iCs/>
        </w:rPr>
        <w:t>relevant authority</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spacing w:before="240"/>
      </w:pPr>
      <w:bookmarkStart w:id="329" w:name="_Toc280599353"/>
      <w:bookmarkStart w:id="330" w:name="_Toc278967265"/>
      <w:r>
        <w:rPr>
          <w:rStyle w:val="CharSectno"/>
        </w:rPr>
        <w:t>48</w:t>
      </w:r>
      <w:r>
        <w:t>.</w:t>
      </w:r>
      <w:r>
        <w:tab/>
        <w:t>Write</w:t>
      </w:r>
      <w:r>
        <w:noBreakHyphen/>
        <w:t>offs</w:t>
      </w:r>
      <w:bookmarkEnd w:id="329"/>
      <w:bookmarkEnd w:id="330"/>
    </w:p>
    <w:p>
      <w:pPr>
        <w:pStyle w:val="Subsection"/>
      </w:pPr>
      <w:r>
        <w:tab/>
        <w:t>(1)</w:t>
      </w:r>
      <w:r>
        <w:tab/>
        <w:t xml:space="preserve">In this section — </w:t>
      </w:r>
    </w:p>
    <w:p>
      <w:pPr>
        <w:pStyle w:val="Defstart"/>
      </w:pPr>
      <w:r>
        <w:rPr>
          <w:b/>
          <w:i/>
          <w:iCs/>
        </w:rPr>
        <w:tab/>
      </w:r>
      <w:r>
        <w:rPr>
          <w:rStyle w:val="CharDefText"/>
          <w:i w:val="0"/>
          <w:iCs/>
        </w:rPr>
        <w:t>relevant amounts</w:t>
      </w:r>
      <w:r>
        <w:t xml:space="preserve"> means — </w:t>
      </w:r>
    </w:p>
    <w:p>
      <w:pPr>
        <w:pStyle w:val="Defpara"/>
      </w:pPr>
      <w:r>
        <w:tab/>
        <w:t>(a)</w:t>
      </w:r>
      <w:r>
        <w:tab/>
        <w:t>amounts in respect of public property held for or on behalf of the State and revenue and other debts due to the State; or</w:t>
      </w:r>
    </w:p>
    <w:p>
      <w:pPr>
        <w:pStyle w:val="Defpara"/>
        <w:keepNext/>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331" w:name="_Toc280599354"/>
      <w:bookmarkStart w:id="332" w:name="_Toc278967266"/>
      <w:r>
        <w:rPr>
          <w:rStyle w:val="CharSectno"/>
        </w:rPr>
        <w:t>49</w:t>
      </w:r>
      <w:r>
        <w:t>.</w:t>
      </w:r>
      <w:r>
        <w:tab/>
        <w:t>Liability of officers for losses</w:t>
      </w:r>
      <w:bookmarkEnd w:id="331"/>
      <w:bookmarkEnd w:id="332"/>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keepNext/>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spacing w:before="180"/>
      </w:pPr>
      <w:bookmarkStart w:id="333" w:name="_Toc280599355"/>
      <w:bookmarkStart w:id="334" w:name="_Toc278967267"/>
      <w:r>
        <w:rPr>
          <w:rStyle w:val="CharSectno"/>
        </w:rPr>
        <w:t>50</w:t>
      </w:r>
      <w:r>
        <w:t>.</w:t>
      </w:r>
      <w:r>
        <w:tab/>
        <w:t>Recovery of amounts for which officers are liable</w:t>
      </w:r>
      <w:bookmarkEnd w:id="333"/>
      <w:bookmarkEnd w:id="334"/>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spacing w:before="180"/>
      </w:pPr>
      <w:bookmarkStart w:id="335" w:name="_Toc280599356"/>
      <w:bookmarkStart w:id="336" w:name="_Toc278967268"/>
      <w:r>
        <w:rPr>
          <w:rStyle w:val="CharSectno"/>
        </w:rPr>
        <w:t>51</w:t>
      </w:r>
      <w:r>
        <w:t>.</w:t>
      </w:r>
      <w:r>
        <w:tab/>
        <w:t>Under Treasurer and accountable authorities may direct investigations in respect of losses</w:t>
      </w:r>
      <w:bookmarkEnd w:id="335"/>
      <w:bookmarkEnd w:id="336"/>
    </w:p>
    <w:p>
      <w:pPr>
        <w:pStyle w:val="Subsection"/>
        <w:spacing w:before="120"/>
      </w:pPr>
      <w:r>
        <w:tab/>
        <w:t>(1)</w:t>
      </w:r>
      <w:r>
        <w:tab/>
        <w:t xml:space="preserve">In this section — </w:t>
      </w:r>
    </w:p>
    <w:p>
      <w:pPr>
        <w:pStyle w:val="Defstart"/>
      </w:pPr>
      <w:r>
        <w:rPr>
          <w:b/>
          <w:i/>
          <w:iCs/>
        </w:rPr>
        <w:tab/>
      </w:r>
      <w:r>
        <w:rPr>
          <w:rStyle w:val="CharDefText"/>
          <w:i w:val="0"/>
          <w:iCs/>
        </w:rPr>
        <w:t>authorised person</w:t>
      </w:r>
      <w:r>
        <w:t xml:space="preserve"> means a person authorised by a responsible person under subsection (2);</w:t>
      </w:r>
    </w:p>
    <w:p>
      <w:pPr>
        <w:pStyle w:val="Defstart"/>
      </w:pPr>
      <w:r>
        <w:rPr>
          <w:b/>
          <w:i/>
          <w:iCs/>
        </w:rPr>
        <w:tab/>
      </w:r>
      <w:r>
        <w:rPr>
          <w:rStyle w:val="CharDefText"/>
          <w:i w:val="0"/>
          <w:iCs/>
        </w:rPr>
        <w:t>official loss</w:t>
      </w:r>
      <w:r>
        <w:t xml:space="preserve"> means a loss of official money or official property;</w:t>
      </w:r>
    </w:p>
    <w:p>
      <w:pPr>
        <w:pStyle w:val="Defstart"/>
      </w:pPr>
      <w:r>
        <w:rPr>
          <w:b/>
          <w:i/>
          <w:iCs/>
        </w:rPr>
        <w:tab/>
      </w:r>
      <w:r>
        <w:rPr>
          <w:rStyle w:val="CharDefText"/>
          <w:i w:val="0"/>
          <w:iCs/>
        </w:rPr>
        <w:t>responsible person</w:t>
      </w:r>
      <w:r>
        <w:t xml:space="preserve"> means the Under Treasurer or the relevant accountable authority.</w:t>
      </w:r>
    </w:p>
    <w:p>
      <w:pPr>
        <w:pStyle w:val="Subsection"/>
        <w:spacing w:before="120"/>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spacing w:before="120"/>
      </w:pPr>
      <w:r>
        <w:tab/>
        <w:t>(3)</w:t>
      </w:r>
      <w:r>
        <w:tab/>
        <w:t xml:space="preserve">For the purposes of the investigation, the authorised person has all the powers conferred on a special inquirer by the </w:t>
      </w:r>
      <w:r>
        <w:rPr>
          <w:i/>
        </w:rPr>
        <w:t>Public Sector Management Act 1994</w:t>
      </w:r>
      <w:r>
        <w:t xml:space="preserve"> sections 24I and 24J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spacing w:before="120"/>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spacing w:before="120"/>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spacing w:before="120"/>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Footnotesection"/>
      </w:pPr>
      <w:r>
        <w:tab/>
        <w:t>[Section 51 amended by No. 39 of 2010 s. 76.]</w:t>
      </w:r>
    </w:p>
    <w:p>
      <w:pPr>
        <w:pStyle w:val="Heading2"/>
      </w:pPr>
      <w:bookmarkStart w:id="337" w:name="_Toc189644495"/>
      <w:bookmarkStart w:id="338" w:name="_Toc202850351"/>
      <w:bookmarkStart w:id="339" w:name="_Toc202850465"/>
      <w:bookmarkStart w:id="340" w:name="_Toc205018720"/>
      <w:bookmarkStart w:id="341" w:name="_Toc205018834"/>
      <w:bookmarkStart w:id="342" w:name="_Toc205019112"/>
      <w:bookmarkStart w:id="343" w:name="_Toc209837743"/>
      <w:bookmarkStart w:id="344" w:name="_Toc211654329"/>
      <w:bookmarkStart w:id="345" w:name="_Toc239738975"/>
      <w:bookmarkStart w:id="346" w:name="_Toc249427472"/>
      <w:bookmarkStart w:id="347" w:name="_Toc249950493"/>
      <w:bookmarkStart w:id="348" w:name="_Toc249950963"/>
      <w:bookmarkStart w:id="349" w:name="_Toc271102878"/>
      <w:bookmarkStart w:id="350" w:name="_Toc274135204"/>
      <w:bookmarkStart w:id="351" w:name="_Toc274135319"/>
      <w:bookmarkStart w:id="352" w:name="_Toc278377649"/>
      <w:bookmarkStart w:id="353" w:name="_Toc278967269"/>
      <w:bookmarkStart w:id="354" w:name="_Toc280599357"/>
      <w:r>
        <w:rPr>
          <w:rStyle w:val="CharPartNo"/>
        </w:rPr>
        <w:t>Part 4</w:t>
      </w:r>
      <w:r>
        <w:rPr>
          <w:rStyle w:val="CharDivNo"/>
        </w:rPr>
        <w:t> </w:t>
      </w:r>
      <w:r>
        <w:t>—</w:t>
      </w:r>
      <w:r>
        <w:rPr>
          <w:rStyle w:val="CharDivText"/>
        </w:rPr>
        <w:t> </w:t>
      </w:r>
      <w:r>
        <w:rPr>
          <w:rStyle w:val="CharPartText"/>
        </w:rPr>
        <w:t>Accountable authorities</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p>
    <w:p>
      <w:pPr>
        <w:pStyle w:val="Heading5"/>
        <w:spacing w:before="180"/>
      </w:pPr>
      <w:bookmarkStart w:id="355" w:name="_Toc280599358"/>
      <w:bookmarkStart w:id="356" w:name="_Toc278967270"/>
      <w:r>
        <w:rPr>
          <w:rStyle w:val="CharSectno"/>
        </w:rPr>
        <w:t>52</w:t>
      </w:r>
      <w:r>
        <w:t>.</w:t>
      </w:r>
      <w:r>
        <w:tab/>
        <w:t>Agencies to have accountable authority</w:t>
      </w:r>
      <w:bookmarkEnd w:id="355"/>
      <w:bookmarkEnd w:id="356"/>
    </w:p>
    <w:p>
      <w:pPr>
        <w:pStyle w:val="Subsection"/>
      </w:pPr>
      <w:r>
        <w:tab/>
      </w:r>
      <w:r>
        <w:tab/>
        <w:t>An agency is to have an accountable authority who is responsible to the Minister for the financial management of the services under the control of the agency.</w:t>
      </w:r>
    </w:p>
    <w:p>
      <w:pPr>
        <w:pStyle w:val="Heading5"/>
        <w:spacing w:before="180"/>
      </w:pPr>
      <w:bookmarkStart w:id="357" w:name="_Toc280599359"/>
      <w:bookmarkStart w:id="358" w:name="_Toc278967271"/>
      <w:r>
        <w:rPr>
          <w:rStyle w:val="CharSectno"/>
        </w:rPr>
        <w:t>53</w:t>
      </w:r>
      <w:r>
        <w:t>.</w:t>
      </w:r>
      <w:r>
        <w:tab/>
        <w:t>Functions of accountable authorities</w:t>
      </w:r>
      <w:bookmarkEnd w:id="357"/>
      <w:bookmarkEnd w:id="358"/>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spacing w:before="180"/>
      </w:pPr>
      <w:bookmarkStart w:id="359" w:name="_Toc280599360"/>
      <w:bookmarkStart w:id="360" w:name="_Toc278967272"/>
      <w:r>
        <w:rPr>
          <w:rStyle w:val="CharSectno"/>
        </w:rPr>
        <w:t>54</w:t>
      </w:r>
      <w:r>
        <w:t>.</w:t>
      </w:r>
      <w:r>
        <w:tab/>
        <w:t>Accountable authorities for departments</w:t>
      </w:r>
      <w:bookmarkEnd w:id="359"/>
      <w:bookmarkEnd w:id="360"/>
    </w:p>
    <w:p>
      <w:pPr>
        <w:pStyle w:val="Subsection"/>
        <w:spacing w:before="120"/>
      </w:pPr>
      <w:r>
        <w:tab/>
        <w:t>(1)</w:t>
      </w:r>
      <w:r>
        <w:tab/>
        <w:t>Subject to subsection (2), the chief executive officer of a department is the accountable authority of the department.</w:t>
      </w:r>
    </w:p>
    <w:p>
      <w:pPr>
        <w:pStyle w:val="Subsection"/>
        <w:spacing w:before="120"/>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361" w:name="_Toc280599361"/>
      <w:bookmarkStart w:id="362" w:name="_Toc278967273"/>
      <w:r>
        <w:rPr>
          <w:rStyle w:val="CharSectno"/>
        </w:rPr>
        <w:t>55</w:t>
      </w:r>
      <w:r>
        <w:t>.</w:t>
      </w:r>
      <w:r>
        <w:tab/>
        <w:t>Accountable authorities for statutory authorities</w:t>
      </w:r>
      <w:bookmarkEnd w:id="361"/>
      <w:bookmarkEnd w:id="36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363" w:name="_Toc280599362"/>
      <w:bookmarkStart w:id="364" w:name="_Toc278967274"/>
      <w:r>
        <w:rPr>
          <w:rStyle w:val="CharSectno"/>
        </w:rPr>
        <w:t>56</w:t>
      </w:r>
      <w:r>
        <w:t>.</w:t>
      </w:r>
      <w:r>
        <w:tab/>
        <w:t>Declarations by Treasurer as to agencies and accountable authorities</w:t>
      </w:r>
      <w:bookmarkEnd w:id="363"/>
      <w:bookmarkEnd w:id="364"/>
    </w:p>
    <w:p>
      <w:pPr>
        <w:pStyle w:val="Subsection"/>
      </w:pPr>
      <w:r>
        <w:tab/>
        <w:t>(1)</w:t>
      </w:r>
      <w:r>
        <w:tab/>
        <w:t xml:space="preserve">For the purposes of this section, the </w:t>
      </w:r>
      <w:r>
        <w:rPr>
          <w:rStyle w:val="CharDefText"/>
          <w:i w:val="0"/>
          <w:iCs/>
        </w:rPr>
        <w:t>prescribed conditions</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365" w:name="_Toc280599363"/>
      <w:bookmarkStart w:id="366" w:name="_Toc278967275"/>
      <w:r>
        <w:rPr>
          <w:rStyle w:val="CharSectno"/>
        </w:rPr>
        <w:t>57</w:t>
      </w:r>
      <w:r>
        <w:t>.</w:t>
      </w:r>
      <w:r>
        <w:tab/>
        <w:t>Chief finance officer</w:t>
      </w:r>
      <w:bookmarkEnd w:id="365"/>
      <w:bookmarkEnd w:id="36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keepNext/>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367" w:name="_Toc280599364"/>
      <w:bookmarkStart w:id="368" w:name="_Toc278967276"/>
      <w:r>
        <w:rPr>
          <w:rStyle w:val="CharSectno"/>
        </w:rPr>
        <w:t>58</w:t>
      </w:r>
      <w:r>
        <w:t>.</w:t>
      </w:r>
      <w:r>
        <w:tab/>
        <w:t>Accountable authorities to ensure agencies have financial management system</w:t>
      </w:r>
      <w:bookmarkEnd w:id="367"/>
      <w:bookmarkEnd w:id="36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369" w:name="_Toc189644503"/>
      <w:bookmarkStart w:id="370" w:name="_Toc202850359"/>
      <w:bookmarkStart w:id="371" w:name="_Toc202850473"/>
      <w:bookmarkStart w:id="372" w:name="_Toc205018728"/>
      <w:bookmarkStart w:id="373" w:name="_Toc205018842"/>
      <w:bookmarkStart w:id="374" w:name="_Toc205019120"/>
      <w:bookmarkStart w:id="375" w:name="_Toc209837751"/>
      <w:bookmarkStart w:id="376" w:name="_Toc211654337"/>
      <w:bookmarkStart w:id="377" w:name="_Toc239738983"/>
      <w:bookmarkStart w:id="378" w:name="_Toc249427480"/>
      <w:bookmarkStart w:id="379" w:name="_Toc249950501"/>
      <w:bookmarkStart w:id="380" w:name="_Toc249950971"/>
      <w:bookmarkStart w:id="381" w:name="_Toc271102886"/>
      <w:bookmarkStart w:id="382" w:name="_Toc274135212"/>
      <w:bookmarkStart w:id="383" w:name="_Toc274135327"/>
      <w:bookmarkStart w:id="384" w:name="_Toc278377657"/>
      <w:bookmarkStart w:id="385" w:name="_Toc278967277"/>
      <w:bookmarkStart w:id="386" w:name="_Toc280599365"/>
      <w:r>
        <w:rPr>
          <w:rStyle w:val="CharPartNo"/>
        </w:rPr>
        <w:t>Part 5</w:t>
      </w:r>
      <w:r>
        <w:t> — </w:t>
      </w:r>
      <w:r>
        <w:rPr>
          <w:rStyle w:val="CharPartText"/>
        </w:rPr>
        <w:t>Reports</w:t>
      </w:r>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3"/>
      </w:pPr>
      <w:bookmarkStart w:id="387" w:name="_Toc189644504"/>
      <w:bookmarkStart w:id="388" w:name="_Toc202850360"/>
      <w:bookmarkStart w:id="389" w:name="_Toc202850474"/>
      <w:bookmarkStart w:id="390" w:name="_Toc205018729"/>
      <w:bookmarkStart w:id="391" w:name="_Toc205018843"/>
      <w:bookmarkStart w:id="392" w:name="_Toc205019121"/>
      <w:bookmarkStart w:id="393" w:name="_Toc209837752"/>
      <w:bookmarkStart w:id="394" w:name="_Toc211654338"/>
      <w:bookmarkStart w:id="395" w:name="_Toc239738984"/>
      <w:bookmarkStart w:id="396" w:name="_Toc249427481"/>
      <w:bookmarkStart w:id="397" w:name="_Toc249950502"/>
      <w:bookmarkStart w:id="398" w:name="_Toc249950972"/>
      <w:bookmarkStart w:id="399" w:name="_Toc271102887"/>
      <w:bookmarkStart w:id="400" w:name="_Toc274135213"/>
      <w:bookmarkStart w:id="401" w:name="_Toc274135328"/>
      <w:bookmarkStart w:id="402" w:name="_Toc278377658"/>
      <w:bookmarkStart w:id="403" w:name="_Toc278967278"/>
      <w:bookmarkStart w:id="404" w:name="_Toc280599366"/>
      <w:r>
        <w:rPr>
          <w:rStyle w:val="CharDivNo"/>
        </w:rPr>
        <w:t>Division 1</w:t>
      </w:r>
      <w:r>
        <w:t> — </w:t>
      </w:r>
      <w:r>
        <w:rPr>
          <w:rStyle w:val="CharDivText"/>
        </w:rPr>
        <w:t>Treasurer’s reports</w:t>
      </w:r>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p>
    <w:p>
      <w:pPr>
        <w:pStyle w:val="Heading5"/>
      </w:pPr>
      <w:bookmarkStart w:id="405" w:name="_Toc280599367"/>
      <w:bookmarkStart w:id="406" w:name="_Toc278967279"/>
      <w:r>
        <w:rPr>
          <w:rStyle w:val="CharSectno"/>
        </w:rPr>
        <w:t>59</w:t>
      </w:r>
      <w:r>
        <w:t>.</w:t>
      </w:r>
      <w:r>
        <w:tab/>
        <w:t>Treasurer’s reports and statements</w:t>
      </w:r>
      <w:bookmarkEnd w:id="405"/>
      <w:bookmarkEnd w:id="40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407" w:name="_Toc189644506"/>
      <w:bookmarkStart w:id="408" w:name="_Toc202850362"/>
      <w:bookmarkStart w:id="409" w:name="_Toc202850476"/>
      <w:bookmarkStart w:id="410" w:name="_Toc205018731"/>
      <w:bookmarkStart w:id="411" w:name="_Toc205018845"/>
      <w:bookmarkStart w:id="412" w:name="_Toc205019123"/>
      <w:bookmarkStart w:id="413" w:name="_Toc209837754"/>
      <w:bookmarkStart w:id="414" w:name="_Toc211654340"/>
      <w:bookmarkStart w:id="415" w:name="_Toc239738986"/>
      <w:bookmarkStart w:id="416" w:name="_Toc249427483"/>
      <w:bookmarkStart w:id="417" w:name="_Toc249950504"/>
      <w:bookmarkStart w:id="418" w:name="_Toc249950974"/>
      <w:bookmarkStart w:id="419" w:name="_Toc271102889"/>
      <w:bookmarkStart w:id="420" w:name="_Toc274135215"/>
      <w:bookmarkStart w:id="421" w:name="_Toc274135330"/>
      <w:bookmarkStart w:id="422" w:name="_Toc278377660"/>
      <w:bookmarkStart w:id="423" w:name="_Toc278967280"/>
      <w:bookmarkStart w:id="424" w:name="_Toc280599368"/>
      <w:r>
        <w:rPr>
          <w:rStyle w:val="CharDivNo"/>
        </w:rPr>
        <w:t>Division 2</w:t>
      </w:r>
      <w:r>
        <w:t> — </w:t>
      </w:r>
      <w:r>
        <w:rPr>
          <w:rStyle w:val="CharDivText"/>
        </w:rPr>
        <w:t>Annual reports by agencies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Toc280599369"/>
      <w:bookmarkStart w:id="426" w:name="_Toc278967281"/>
      <w:r>
        <w:rPr>
          <w:rStyle w:val="CharSectno"/>
        </w:rPr>
        <w:t>60</w:t>
      </w:r>
      <w:r>
        <w:t>.</w:t>
      </w:r>
      <w:r>
        <w:tab/>
        <w:t>Terms used in sections 60 and 61</w:t>
      </w:r>
      <w:bookmarkEnd w:id="425"/>
      <w:bookmarkEnd w:id="426"/>
    </w:p>
    <w:p>
      <w:pPr>
        <w:pStyle w:val="Subsection"/>
      </w:pPr>
      <w:r>
        <w:tab/>
        <w:t>(1)</w:t>
      </w:r>
      <w:r>
        <w:tab/>
        <w:t xml:space="preserve">In this section and section 61 — </w:t>
      </w:r>
    </w:p>
    <w:p>
      <w:pPr>
        <w:pStyle w:val="Defstart"/>
      </w:pPr>
      <w:r>
        <w:rPr>
          <w:b/>
        </w:rPr>
        <w:tab/>
      </w:r>
      <w:r>
        <w:rPr>
          <w:rStyle w:val="CharDefText"/>
          <w:i w:val="0"/>
          <w:iCs/>
        </w:rPr>
        <w:t>affiliated body</w:t>
      </w:r>
      <w:r>
        <w:t xml:space="preserve">, of an agency, means — </w:t>
      </w:r>
    </w:p>
    <w:p>
      <w:pPr>
        <w:pStyle w:val="Defpara"/>
      </w:pPr>
      <w:r>
        <w:tab/>
        <w:t>(a)</w:t>
      </w:r>
      <w:r>
        <w:tab/>
        <w:t xml:space="preserve">a body — </w:t>
      </w:r>
    </w:p>
    <w:p>
      <w:pPr>
        <w:pStyle w:val="Defsubpara"/>
        <w:keepLines w:val="0"/>
      </w:pPr>
      <w:r>
        <w:tab/>
        <w:t>(i)</w:t>
      </w:r>
      <w:r>
        <w:tab/>
        <w:t>that is formed or incorporated by an instrument under a written law or by administrative action; and</w:t>
      </w:r>
    </w:p>
    <w:p>
      <w:pPr>
        <w:pStyle w:val="Defsubpara"/>
        <w:keepLines w:val="0"/>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i/>
          <w:iCs/>
        </w:rPr>
        <w:tab/>
      </w:r>
      <w:r>
        <w:rPr>
          <w:rStyle w:val="CharDefText"/>
          <w:i w:val="0"/>
          <w:iCs/>
        </w:rPr>
        <w:t>operational control</w:t>
      </w:r>
      <w:r>
        <w:rPr>
          <w:bCs/>
        </w:rPr>
        <w:t xml:space="preserve">, of </w:t>
      </w:r>
      <w:r>
        <w:t>an agency in relation to a body, means that the agency has the capacity to exercise direction over the operation of the body;</w:t>
      </w:r>
    </w:p>
    <w:p>
      <w:pPr>
        <w:pStyle w:val="Defstart"/>
      </w:pPr>
      <w:r>
        <w:rPr>
          <w:b/>
          <w:i/>
          <w:iCs/>
        </w:rPr>
        <w:tab/>
      </w:r>
      <w:r>
        <w:rPr>
          <w:rStyle w:val="CharDefText"/>
          <w:i w:val="0"/>
          <w:iCs/>
        </w:rPr>
        <w:t>related body</w:t>
      </w:r>
      <w:r>
        <w:t xml:space="preserve">, of an agency, means — </w:t>
      </w:r>
    </w:p>
    <w:p>
      <w:pPr>
        <w:pStyle w:val="Defpara"/>
        <w:keepNext/>
      </w:pPr>
      <w:r>
        <w:tab/>
        <w:t>(a)</w:t>
      </w:r>
      <w:r>
        <w:tab/>
        <w:t xml:space="preserve">a body — </w:t>
      </w:r>
    </w:p>
    <w:p>
      <w:pPr>
        <w:pStyle w:val="Defsubpara"/>
        <w:keepLines w:val="0"/>
      </w:pPr>
      <w:r>
        <w:tab/>
        <w:t>(i)</w:t>
      </w:r>
      <w:r>
        <w:tab/>
        <w:t>that is formed or incorporated under a written law or by administrative action taken independently of the agency; and</w:t>
      </w:r>
    </w:p>
    <w:p>
      <w:pPr>
        <w:pStyle w:val="Defsubpara"/>
        <w:keepLines w:val="0"/>
      </w:pPr>
      <w:r>
        <w:tab/>
        <w:t>(ii)</w:t>
      </w:r>
      <w:r>
        <w:tab/>
        <w:t>that is financially dependent on the agency; and</w:t>
      </w:r>
    </w:p>
    <w:p>
      <w:pPr>
        <w:pStyle w:val="Defsubpara"/>
        <w:keepLines w:val="0"/>
      </w:pPr>
      <w:r>
        <w:tab/>
        <w:t>(iii)</w:t>
      </w:r>
      <w:r>
        <w:tab/>
        <w:t>that is subject to the operational control of the agency; and</w:t>
      </w:r>
    </w:p>
    <w:p>
      <w:pPr>
        <w:pStyle w:val="Defsubpara"/>
      </w:pPr>
      <w:r>
        <w:tab/>
        <w:t>(iv)</w:t>
      </w:r>
      <w:r>
        <w:tab/>
        <w:t>that is not a subsidiary body of an agency nor itself an agency;</w:t>
      </w:r>
    </w:p>
    <w:p>
      <w:pPr>
        <w:pStyle w:val="Defpara"/>
        <w:keepNext/>
      </w:pPr>
      <w:r>
        <w:tab/>
      </w:r>
      <w:r>
        <w:tab/>
        <w:t>or</w:t>
      </w:r>
    </w:p>
    <w:p>
      <w:pPr>
        <w:pStyle w:val="Defpara"/>
      </w:pPr>
      <w:r>
        <w:tab/>
        <w:t>(b)</w:t>
      </w:r>
      <w:r>
        <w:tab/>
        <w:t>a body that is determined by the Treasurer, by written notice given to the agency, to be a related body of the agency;</w:t>
      </w:r>
    </w:p>
    <w:p>
      <w:pPr>
        <w:pStyle w:val="Defstart"/>
      </w:pPr>
      <w:r>
        <w:rPr>
          <w:b/>
          <w:i/>
          <w:iCs/>
        </w:rPr>
        <w:tab/>
      </w:r>
      <w:r>
        <w:rPr>
          <w:rStyle w:val="CharDefText"/>
          <w:i w:val="0"/>
          <w:iCs/>
        </w:rPr>
        <w:t>subsidiary body</w:t>
      </w:r>
      <w:r>
        <w:t xml:space="preserve">, of an agency, means — </w:t>
      </w:r>
    </w:p>
    <w:p>
      <w:pPr>
        <w:pStyle w:val="Defpara"/>
      </w:pPr>
      <w:r>
        <w:tab/>
        <w:t>(a)</w:t>
      </w:r>
      <w:r>
        <w:tab/>
        <w:t xml:space="preserve">a body — </w:t>
      </w:r>
    </w:p>
    <w:p>
      <w:pPr>
        <w:pStyle w:val="Defsubpara"/>
        <w:keepLines w:val="0"/>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keepLines w:val="0"/>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r>
      <w:r>
        <w:rPr>
          <w:rStyle w:val="CharDefText"/>
          <w:i w:val="0"/>
          <w:iCs/>
        </w:rPr>
        <w:t>specified</w:t>
      </w:r>
      <w:r>
        <w:t xml:space="preserve"> means specified in the regulations.</w:t>
      </w:r>
    </w:p>
    <w:p>
      <w:pPr>
        <w:pStyle w:val="Heading5"/>
        <w:spacing w:before="180"/>
      </w:pPr>
      <w:bookmarkStart w:id="427" w:name="_Toc280599370"/>
      <w:bookmarkStart w:id="428" w:name="_Toc278967282"/>
      <w:r>
        <w:rPr>
          <w:rStyle w:val="CharSectno"/>
        </w:rPr>
        <w:t>61</w:t>
      </w:r>
      <w:r>
        <w:t>.</w:t>
      </w:r>
      <w:r>
        <w:tab/>
        <w:t>Annual reports by accountable authorities</w:t>
      </w:r>
      <w:bookmarkEnd w:id="427"/>
      <w:bookmarkEnd w:id="428"/>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spacing w:before="120"/>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spacing w:before="120"/>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spacing w:before="120"/>
      </w:pPr>
      <w:r>
        <w:tab/>
      </w:r>
      <w:r>
        <w:tab/>
        <w:t>is to include in the annual report for a financial year a report on the affiliated body or related body that contains in respect of the financial year the information prescribed by the Treasurer’s instructions.</w:t>
      </w:r>
    </w:p>
    <w:p>
      <w:pPr>
        <w:pStyle w:val="Subsection"/>
        <w:spacing w:before="120"/>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429" w:name="_Toc280599371"/>
      <w:bookmarkStart w:id="430" w:name="_Toc278967283"/>
      <w:r>
        <w:rPr>
          <w:rStyle w:val="CharSectno"/>
        </w:rPr>
        <w:t>62</w:t>
      </w:r>
      <w:r>
        <w:t>.</w:t>
      </w:r>
      <w:r>
        <w:tab/>
        <w:t>Financial statements</w:t>
      </w:r>
      <w:bookmarkEnd w:id="429"/>
      <w:bookmarkEnd w:id="430"/>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keepNext/>
      </w:pPr>
      <w:r>
        <w:tab/>
        <w:t>(3)</w:t>
      </w:r>
      <w:r>
        <w:tab/>
        <w:t xml:space="preserve">In subsection (1) — </w:t>
      </w:r>
    </w:p>
    <w:p>
      <w:pPr>
        <w:pStyle w:val="Defstart"/>
      </w:pPr>
      <w:r>
        <w:tab/>
      </w:r>
      <w:r>
        <w:rPr>
          <w:rStyle w:val="CharDefText"/>
          <w:i w:val="0"/>
          <w:iCs/>
        </w:rPr>
        <w:t>Australian Accounting Standards Board</w:t>
      </w:r>
      <w:r>
        <w:t xml:space="preserve"> means the body of that name continued in existence under the Commonwealth </w:t>
      </w:r>
      <w:r>
        <w:rPr>
          <w:i/>
          <w:iCs/>
        </w:rPr>
        <w:t>Australian Securities and Investments Commission Act 2001</w:t>
      </w:r>
      <w:r>
        <w:t>.</w:t>
      </w:r>
    </w:p>
    <w:p>
      <w:pPr>
        <w:pStyle w:val="Heading5"/>
        <w:keepNext w:val="0"/>
        <w:keepLines w:val="0"/>
      </w:pPr>
      <w:bookmarkStart w:id="431" w:name="_Toc280599372"/>
      <w:bookmarkStart w:id="432" w:name="_Toc278967284"/>
      <w:r>
        <w:rPr>
          <w:rStyle w:val="CharSectno"/>
        </w:rPr>
        <w:t>63</w:t>
      </w:r>
      <w:r>
        <w:t>.</w:t>
      </w:r>
      <w:r>
        <w:tab/>
        <w:t>Accountable authorities to submit financial reports and other information</w:t>
      </w:r>
      <w:bookmarkEnd w:id="431"/>
      <w:bookmarkEnd w:id="432"/>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spacing w:before="180"/>
      </w:pPr>
      <w:bookmarkStart w:id="433" w:name="_Toc280599373"/>
      <w:bookmarkStart w:id="434" w:name="_Toc278967285"/>
      <w:r>
        <w:rPr>
          <w:rStyle w:val="CharSectno"/>
        </w:rPr>
        <w:t>64</w:t>
      </w:r>
      <w:r>
        <w:t>.</w:t>
      </w:r>
      <w:r>
        <w:tab/>
        <w:t>Minister to table accountable authority’s report</w:t>
      </w:r>
      <w:bookmarkEnd w:id="433"/>
      <w:bookmarkEnd w:id="434"/>
    </w:p>
    <w:p>
      <w:pPr>
        <w:pStyle w:val="Subsection"/>
        <w:spacing w:before="12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20"/>
      </w:pPr>
      <w:r>
        <w:tab/>
        <w:t>(2)</w:t>
      </w:r>
      <w:r>
        <w:tab/>
        <w:t xml:space="preserve">In subsection (1) — </w:t>
      </w:r>
    </w:p>
    <w:p>
      <w:pPr>
        <w:pStyle w:val="Defstart"/>
        <w:keepNext/>
        <w:keepLines/>
      </w:pPr>
      <w:r>
        <w:tab/>
      </w:r>
      <w:r>
        <w:rPr>
          <w:rStyle w:val="CharDefText"/>
          <w:i w:val="0"/>
          <w:iCs/>
        </w:rPr>
        <w:t>prescribed period</w:t>
      </w:r>
      <w:r>
        <w:rPr>
          <w:i/>
          <w:iCs/>
        </w:rPr>
        <w:t xml:space="preserve"> </w:t>
      </w:r>
      <w:r>
        <w:t xml:space="preserve">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keepNext w:val="0"/>
        <w:keepLines w:val="0"/>
        <w:spacing w:before="180"/>
      </w:pPr>
      <w:bookmarkStart w:id="435" w:name="_Toc280599374"/>
      <w:bookmarkStart w:id="436" w:name="_Toc278967286"/>
      <w:r>
        <w:rPr>
          <w:rStyle w:val="CharSectno"/>
        </w:rPr>
        <w:t>65</w:t>
      </w:r>
      <w:r>
        <w:t>.</w:t>
      </w:r>
      <w:r>
        <w:tab/>
        <w:t>Minister to inform Parliament if annual report and Auditor General’s opinion cannot be tabled on time</w:t>
      </w:r>
      <w:bookmarkEnd w:id="435"/>
      <w:bookmarkEnd w:id="436"/>
    </w:p>
    <w:p>
      <w:pPr>
        <w:pStyle w:val="Subsection"/>
        <w:spacing w:before="12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i/>
          <w:iCs/>
        </w:rPr>
        <w:tab/>
      </w:r>
      <w:r>
        <w:rPr>
          <w:rStyle w:val="CharDefText"/>
          <w:i w:val="0"/>
          <w:iCs/>
        </w:rPr>
        <w:t>prescribed period</w:t>
      </w:r>
      <w:r>
        <w:t xml:space="preserve"> means the prescribed period referred to in section 64.</w:t>
      </w:r>
    </w:p>
    <w:p>
      <w:pPr>
        <w:pStyle w:val="Heading3"/>
      </w:pPr>
      <w:bookmarkStart w:id="437" w:name="_Toc189644513"/>
      <w:bookmarkStart w:id="438" w:name="_Toc202850369"/>
      <w:bookmarkStart w:id="439" w:name="_Toc202850483"/>
      <w:bookmarkStart w:id="440" w:name="_Toc205018738"/>
      <w:bookmarkStart w:id="441" w:name="_Toc205018852"/>
      <w:bookmarkStart w:id="442" w:name="_Toc205019130"/>
      <w:bookmarkStart w:id="443" w:name="_Toc209837761"/>
      <w:bookmarkStart w:id="444" w:name="_Toc211654347"/>
      <w:bookmarkStart w:id="445" w:name="_Toc239738993"/>
      <w:bookmarkStart w:id="446" w:name="_Toc249427490"/>
      <w:bookmarkStart w:id="447" w:name="_Toc249950511"/>
      <w:bookmarkStart w:id="448" w:name="_Toc249950981"/>
      <w:bookmarkStart w:id="449" w:name="_Toc271102896"/>
      <w:bookmarkStart w:id="450" w:name="_Toc274135222"/>
      <w:bookmarkStart w:id="451" w:name="_Toc274135337"/>
      <w:bookmarkStart w:id="452" w:name="_Toc278377667"/>
      <w:bookmarkStart w:id="453" w:name="_Toc278967287"/>
      <w:bookmarkStart w:id="454" w:name="_Toc280599375"/>
      <w:r>
        <w:rPr>
          <w:rStyle w:val="CharDivNo"/>
        </w:rPr>
        <w:t>Division 3</w:t>
      </w:r>
      <w:r>
        <w:t> — </w:t>
      </w:r>
      <w:r>
        <w:rPr>
          <w:rStyle w:val="CharDivText"/>
        </w:rPr>
        <w:t>Reporting on abolition of agencies</w:t>
      </w:r>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spacing w:before="180"/>
      </w:pPr>
      <w:bookmarkStart w:id="455" w:name="_Toc280599376"/>
      <w:bookmarkStart w:id="456" w:name="_Toc278967288"/>
      <w:r>
        <w:rPr>
          <w:rStyle w:val="CharSectno"/>
        </w:rPr>
        <w:t>66</w:t>
      </w:r>
      <w:r>
        <w:t>.</w:t>
      </w:r>
      <w:r>
        <w:tab/>
        <w:t>Terms used in this Division</w:t>
      </w:r>
      <w:bookmarkEnd w:id="455"/>
      <w:bookmarkEnd w:id="456"/>
    </w:p>
    <w:p>
      <w:pPr>
        <w:pStyle w:val="Subsection"/>
      </w:pPr>
      <w:r>
        <w:tab/>
      </w:r>
      <w:r>
        <w:tab/>
        <w:t xml:space="preserve">In this Division — </w:t>
      </w:r>
    </w:p>
    <w:p>
      <w:pPr>
        <w:pStyle w:val="Defstart"/>
      </w:pPr>
      <w:r>
        <w:rPr>
          <w:i/>
          <w:iCs/>
        </w:rPr>
        <w:tab/>
      </w:r>
      <w:r>
        <w:rPr>
          <w:rStyle w:val="CharDefText"/>
          <w:i w:val="0"/>
          <w:iCs/>
        </w:rPr>
        <w:t>abolition</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rPr>
          <w:i/>
          <w:iCs/>
        </w:rPr>
        <w:tab/>
      </w:r>
      <w:r>
        <w:rPr>
          <w:rStyle w:val="CharDefText"/>
          <w:i w:val="0"/>
          <w:iCs/>
        </w:rPr>
        <w:t xml:space="preserve">final </w:t>
      </w:r>
      <w:r>
        <w:rPr>
          <w:b/>
          <w:i/>
          <w:iCs/>
        </w:rPr>
        <w:t>report</w:t>
      </w:r>
      <w:r>
        <w:t xml:space="preserve"> means a report prepared and submitted under section 68(3)(b);</w:t>
      </w:r>
    </w:p>
    <w:p>
      <w:pPr>
        <w:pStyle w:val="Defstart"/>
      </w:pPr>
      <w:r>
        <w:rPr>
          <w:i/>
          <w:iCs/>
        </w:rPr>
        <w:tab/>
      </w:r>
      <w:r>
        <w:rPr>
          <w:rStyle w:val="CharDefText"/>
          <w:i w:val="0"/>
          <w:iCs/>
        </w:rPr>
        <w:t>reporting officer</w:t>
      </w:r>
      <w:r>
        <w:t xml:space="preserve"> means a person appointed by the Treasurer under section 68(1).</w:t>
      </w:r>
    </w:p>
    <w:p>
      <w:pPr>
        <w:pStyle w:val="Heading5"/>
      </w:pPr>
      <w:bookmarkStart w:id="457" w:name="_Toc280599377"/>
      <w:bookmarkStart w:id="458" w:name="_Toc278967289"/>
      <w:r>
        <w:rPr>
          <w:rStyle w:val="CharSectno"/>
        </w:rPr>
        <w:t>67</w:t>
      </w:r>
      <w:r>
        <w:t>.</w:t>
      </w:r>
      <w:r>
        <w:tab/>
        <w:t>Purpose of this Division</w:t>
      </w:r>
      <w:bookmarkEnd w:id="457"/>
      <w:bookmarkEnd w:id="458"/>
    </w:p>
    <w:p>
      <w:pPr>
        <w:pStyle w:val="Subsection"/>
      </w:pPr>
      <w:r>
        <w:tab/>
      </w:r>
      <w:r>
        <w:tab/>
        <w:t>The purpose of this Division is to secure proper accountability on the abolition of an agency.</w:t>
      </w:r>
    </w:p>
    <w:p>
      <w:pPr>
        <w:pStyle w:val="Heading5"/>
      </w:pPr>
      <w:bookmarkStart w:id="459" w:name="_Toc280599378"/>
      <w:bookmarkStart w:id="460" w:name="_Toc278967290"/>
      <w:r>
        <w:rPr>
          <w:rStyle w:val="CharSectno"/>
        </w:rPr>
        <w:t>68</w:t>
      </w:r>
      <w:r>
        <w:t>.</w:t>
      </w:r>
      <w:r>
        <w:tab/>
        <w:t>Reporting on abolition of agency</w:t>
      </w:r>
      <w:bookmarkEnd w:id="459"/>
      <w:bookmarkEnd w:id="46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461" w:name="_Toc280599379"/>
      <w:bookmarkStart w:id="462" w:name="_Toc278967291"/>
      <w:r>
        <w:rPr>
          <w:rStyle w:val="CharSectno"/>
        </w:rPr>
        <w:t>69</w:t>
      </w:r>
      <w:r>
        <w:t>.</w:t>
      </w:r>
      <w:r>
        <w:tab/>
        <w:t>Content of final report</w:t>
      </w:r>
      <w:bookmarkEnd w:id="461"/>
      <w:bookmarkEnd w:id="462"/>
    </w:p>
    <w:p>
      <w:pPr>
        <w:pStyle w:val="Subsection"/>
        <w:keepNext/>
        <w:keepLines/>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463" w:name="_Toc280599380"/>
      <w:bookmarkStart w:id="464" w:name="_Toc278967292"/>
      <w:r>
        <w:rPr>
          <w:rStyle w:val="CharSectno"/>
        </w:rPr>
        <w:t>70</w:t>
      </w:r>
      <w:r>
        <w:t>.</w:t>
      </w:r>
      <w:r>
        <w:tab/>
        <w:t>Directions by Treasurer</w:t>
      </w:r>
      <w:bookmarkEnd w:id="463"/>
      <w:bookmarkEnd w:id="46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465" w:name="_Toc280599381"/>
      <w:bookmarkStart w:id="466" w:name="_Toc278967293"/>
      <w:r>
        <w:rPr>
          <w:rStyle w:val="CharSectno"/>
        </w:rPr>
        <w:t>71</w:t>
      </w:r>
      <w:r>
        <w:t>.</w:t>
      </w:r>
      <w:r>
        <w:tab/>
        <w:t>Reporting officers entitled to reasonable assistance and facilities and access to accounts</w:t>
      </w:r>
      <w:bookmarkEnd w:id="465"/>
      <w:bookmarkEnd w:id="46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467" w:name="_Toc280599382"/>
      <w:bookmarkStart w:id="468" w:name="_Toc278967294"/>
      <w:r>
        <w:rPr>
          <w:rStyle w:val="CharSectno"/>
        </w:rPr>
        <w:t>72</w:t>
      </w:r>
      <w:r>
        <w:t>.</w:t>
      </w:r>
      <w:r>
        <w:tab/>
        <w:t>Reporting officers to submit financial statements and information to Auditor General</w:t>
      </w:r>
      <w:bookmarkEnd w:id="467"/>
      <w:bookmarkEnd w:id="46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469" w:name="_Toc189644521"/>
      <w:bookmarkStart w:id="470" w:name="_Toc202850377"/>
      <w:bookmarkStart w:id="471" w:name="_Toc202850491"/>
      <w:bookmarkStart w:id="472" w:name="_Toc205018746"/>
      <w:bookmarkStart w:id="473" w:name="_Toc205018860"/>
      <w:bookmarkStart w:id="474" w:name="_Toc205019138"/>
      <w:bookmarkStart w:id="475" w:name="_Toc209837769"/>
      <w:bookmarkStart w:id="476" w:name="_Toc211654355"/>
      <w:bookmarkStart w:id="477" w:name="_Toc239739001"/>
      <w:bookmarkStart w:id="478" w:name="_Toc249427498"/>
      <w:bookmarkStart w:id="479" w:name="_Toc249950519"/>
      <w:bookmarkStart w:id="480" w:name="_Toc249950989"/>
      <w:bookmarkStart w:id="481" w:name="_Toc271102904"/>
      <w:bookmarkStart w:id="482" w:name="_Toc274135230"/>
      <w:bookmarkStart w:id="483" w:name="_Toc274135345"/>
      <w:bookmarkStart w:id="484" w:name="_Toc278377675"/>
      <w:bookmarkStart w:id="485" w:name="_Toc278967295"/>
      <w:bookmarkStart w:id="486" w:name="_Toc280599383"/>
      <w:r>
        <w:rPr>
          <w:rStyle w:val="CharPartNo"/>
        </w:rPr>
        <w:t>Part 6</w:t>
      </w:r>
      <w:r>
        <w:t> — </w:t>
      </w:r>
      <w:r>
        <w:rPr>
          <w:rStyle w:val="CharPartText"/>
        </w:rPr>
        <w:t>Miscellaneous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Heading3"/>
      </w:pPr>
      <w:bookmarkStart w:id="487" w:name="_Toc189644522"/>
      <w:bookmarkStart w:id="488" w:name="_Toc202850378"/>
      <w:bookmarkStart w:id="489" w:name="_Toc202850492"/>
      <w:bookmarkStart w:id="490" w:name="_Toc205018747"/>
      <w:bookmarkStart w:id="491" w:name="_Toc205018861"/>
      <w:bookmarkStart w:id="492" w:name="_Toc205019139"/>
      <w:bookmarkStart w:id="493" w:name="_Toc209837770"/>
      <w:bookmarkStart w:id="494" w:name="_Toc211654356"/>
      <w:bookmarkStart w:id="495" w:name="_Toc239739002"/>
      <w:bookmarkStart w:id="496" w:name="_Toc249427499"/>
      <w:bookmarkStart w:id="497" w:name="_Toc249950520"/>
      <w:bookmarkStart w:id="498" w:name="_Toc249950990"/>
      <w:bookmarkStart w:id="499" w:name="_Toc271102905"/>
      <w:bookmarkStart w:id="500" w:name="_Toc274135231"/>
      <w:bookmarkStart w:id="501" w:name="_Toc274135346"/>
      <w:bookmarkStart w:id="502" w:name="_Toc278377676"/>
      <w:bookmarkStart w:id="503" w:name="_Toc278967296"/>
      <w:bookmarkStart w:id="504" w:name="_Toc280599384"/>
      <w:r>
        <w:rPr>
          <w:rStyle w:val="CharDivNo"/>
        </w:rPr>
        <w:t>Division 1</w:t>
      </w:r>
      <w:r>
        <w:t> — </w:t>
      </w:r>
      <w:r>
        <w:rPr>
          <w:rStyle w:val="CharDivText"/>
        </w:rPr>
        <w:t>Delegations and authorisations</w:t>
      </w:r>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pPr>
      <w:bookmarkStart w:id="505" w:name="_Toc280599385"/>
      <w:bookmarkStart w:id="506" w:name="_Toc278967297"/>
      <w:r>
        <w:rPr>
          <w:rStyle w:val="CharSectno"/>
        </w:rPr>
        <w:t>73</w:t>
      </w:r>
      <w:r>
        <w:t>.</w:t>
      </w:r>
      <w:r>
        <w:tab/>
        <w:t>Term used in this Division</w:t>
      </w:r>
      <w:bookmarkEnd w:id="505"/>
      <w:bookmarkEnd w:id="506"/>
    </w:p>
    <w:p>
      <w:pPr>
        <w:pStyle w:val="Subsection"/>
      </w:pPr>
      <w:r>
        <w:tab/>
      </w:r>
      <w:r>
        <w:tab/>
        <w:t xml:space="preserve">In this Division — </w:t>
      </w:r>
    </w:p>
    <w:p>
      <w:pPr>
        <w:pStyle w:val="Defstart"/>
      </w:pPr>
      <w:r>
        <w:tab/>
      </w:r>
      <w:r>
        <w:rPr>
          <w:rStyle w:val="CharDefText"/>
          <w:i w:val="0"/>
          <w:iCs/>
        </w:rPr>
        <w:t>Treasury Corporation official</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507" w:name="_Toc280599386"/>
      <w:bookmarkStart w:id="508" w:name="_Toc278967298"/>
      <w:r>
        <w:rPr>
          <w:rStyle w:val="CharSectno"/>
        </w:rPr>
        <w:t>74</w:t>
      </w:r>
      <w:r>
        <w:t>.</w:t>
      </w:r>
      <w:r>
        <w:tab/>
        <w:t>Delegation by Treasurer</w:t>
      </w:r>
      <w:bookmarkEnd w:id="507"/>
      <w:bookmarkEnd w:id="50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509" w:name="_Toc280599387"/>
      <w:bookmarkStart w:id="510" w:name="_Toc278967299"/>
      <w:r>
        <w:rPr>
          <w:rStyle w:val="CharSectno"/>
        </w:rPr>
        <w:t>75</w:t>
      </w:r>
      <w:r>
        <w:t>.</w:t>
      </w:r>
      <w:r>
        <w:tab/>
        <w:t>Delegation by Ministers</w:t>
      </w:r>
      <w:bookmarkEnd w:id="509"/>
      <w:bookmarkEnd w:id="510"/>
    </w:p>
    <w:p>
      <w:pPr>
        <w:pStyle w:val="Subsection"/>
      </w:pPr>
      <w:r>
        <w:tab/>
      </w:r>
      <w:r>
        <w:tab/>
        <w:t>A Minister may delegate to an officer of the Treasury any power or duty delegated to the Minister under section 74(1).</w:t>
      </w:r>
    </w:p>
    <w:p>
      <w:pPr>
        <w:pStyle w:val="Heading5"/>
      </w:pPr>
      <w:bookmarkStart w:id="511" w:name="_Toc280599388"/>
      <w:bookmarkStart w:id="512" w:name="_Toc278967300"/>
      <w:r>
        <w:rPr>
          <w:rStyle w:val="CharSectno"/>
        </w:rPr>
        <w:t>76</w:t>
      </w:r>
      <w:r>
        <w:t>.</w:t>
      </w:r>
      <w:r>
        <w:tab/>
        <w:t>Delegation and authorisation by Under Treasurer</w:t>
      </w:r>
      <w:bookmarkEnd w:id="511"/>
      <w:bookmarkEnd w:id="5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513" w:name="_Toc280599389"/>
      <w:bookmarkStart w:id="514" w:name="_Toc278967301"/>
      <w:r>
        <w:rPr>
          <w:rStyle w:val="CharSectno"/>
        </w:rPr>
        <w:t>77</w:t>
      </w:r>
      <w:r>
        <w:t>.</w:t>
      </w:r>
      <w:r>
        <w:tab/>
        <w:t>General provisions about delegations and authorisations</w:t>
      </w:r>
      <w:bookmarkEnd w:id="513"/>
      <w:bookmarkEnd w:id="51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rStyle w:val="CharDefText"/>
          <w:i w:val="0"/>
          <w:iCs/>
        </w:rPr>
        <w:t>delegate</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515" w:name="_Toc189644528"/>
      <w:bookmarkStart w:id="516" w:name="_Toc202850384"/>
      <w:bookmarkStart w:id="517" w:name="_Toc202850498"/>
      <w:bookmarkStart w:id="518" w:name="_Toc205018753"/>
      <w:bookmarkStart w:id="519" w:name="_Toc205018867"/>
      <w:bookmarkStart w:id="520" w:name="_Toc205019145"/>
      <w:bookmarkStart w:id="521" w:name="_Toc209837776"/>
      <w:bookmarkStart w:id="522" w:name="_Toc211654362"/>
      <w:bookmarkStart w:id="523" w:name="_Toc239739008"/>
      <w:bookmarkStart w:id="524" w:name="_Toc249427505"/>
      <w:bookmarkStart w:id="525" w:name="_Toc249950526"/>
      <w:bookmarkStart w:id="526" w:name="_Toc249950996"/>
      <w:bookmarkStart w:id="527" w:name="_Toc271102911"/>
      <w:bookmarkStart w:id="528" w:name="_Toc274135237"/>
      <w:bookmarkStart w:id="529" w:name="_Toc274135352"/>
      <w:bookmarkStart w:id="530" w:name="_Toc278377682"/>
      <w:bookmarkStart w:id="531" w:name="_Toc278967302"/>
      <w:bookmarkStart w:id="532" w:name="_Toc280599390"/>
      <w:r>
        <w:rPr>
          <w:rStyle w:val="CharDivNo"/>
        </w:rPr>
        <w:t>Division 2</w:t>
      </w:r>
      <w:r>
        <w:t> — </w:t>
      </w:r>
      <w:r>
        <w:rPr>
          <w:rStyle w:val="CharDivText"/>
        </w:rPr>
        <w:t>Treasurer’s instructions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5"/>
      </w:pPr>
      <w:bookmarkStart w:id="533" w:name="_Toc280599391"/>
      <w:bookmarkStart w:id="534" w:name="_Toc278967303"/>
      <w:r>
        <w:rPr>
          <w:rStyle w:val="CharSectno"/>
        </w:rPr>
        <w:t>78</w:t>
      </w:r>
      <w:r>
        <w:t>.</w:t>
      </w:r>
      <w:r>
        <w:tab/>
        <w:t>Treasurer’s instructions</w:t>
      </w:r>
      <w:bookmarkEnd w:id="533"/>
      <w:bookmarkEnd w:id="534"/>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535" w:name="_Toc189644530"/>
      <w:bookmarkStart w:id="536" w:name="_Toc202850386"/>
      <w:bookmarkStart w:id="537" w:name="_Toc202850500"/>
      <w:bookmarkStart w:id="538" w:name="_Toc205018755"/>
      <w:bookmarkStart w:id="539" w:name="_Toc205018869"/>
      <w:bookmarkStart w:id="540" w:name="_Toc205019147"/>
      <w:bookmarkStart w:id="541" w:name="_Toc209837778"/>
      <w:bookmarkStart w:id="542" w:name="_Toc211654364"/>
      <w:bookmarkStart w:id="543" w:name="_Toc239739010"/>
      <w:bookmarkStart w:id="544" w:name="_Toc249427507"/>
      <w:bookmarkStart w:id="545" w:name="_Toc249950528"/>
      <w:bookmarkStart w:id="546" w:name="_Toc249950998"/>
      <w:bookmarkStart w:id="547" w:name="_Toc271102913"/>
      <w:bookmarkStart w:id="548" w:name="_Toc274135239"/>
      <w:bookmarkStart w:id="549" w:name="_Toc274135354"/>
      <w:bookmarkStart w:id="550" w:name="_Toc278377684"/>
      <w:bookmarkStart w:id="551" w:name="_Toc278967304"/>
      <w:bookmarkStart w:id="552" w:name="_Toc280599392"/>
      <w:r>
        <w:rPr>
          <w:rStyle w:val="CharDivNo"/>
        </w:rPr>
        <w:t>Division 3</w:t>
      </w:r>
      <w:r>
        <w:t> — </w:t>
      </w:r>
      <w:r>
        <w:rPr>
          <w:rStyle w:val="CharDivText"/>
        </w:rPr>
        <w:t>Miscellaneous powers and duties</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Heading5"/>
      </w:pPr>
      <w:bookmarkStart w:id="553" w:name="_Toc280599393"/>
      <w:bookmarkStart w:id="554" w:name="_Toc278967305"/>
      <w:r>
        <w:rPr>
          <w:rStyle w:val="CharSectno"/>
        </w:rPr>
        <w:t>79</w:t>
      </w:r>
      <w:r>
        <w:t>.</w:t>
      </w:r>
      <w:r>
        <w:tab/>
        <w:t>Treasurer’s power to require information</w:t>
      </w:r>
      <w:bookmarkEnd w:id="553"/>
      <w:bookmarkEnd w:id="55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555" w:name="_Toc280599394"/>
      <w:bookmarkStart w:id="556" w:name="_Toc278967306"/>
      <w:r>
        <w:rPr>
          <w:rStyle w:val="CharSectno"/>
        </w:rPr>
        <w:t>80</w:t>
      </w:r>
      <w:r>
        <w:t>.</w:t>
      </w:r>
      <w:r>
        <w:tab/>
        <w:t>Act of grace payments</w:t>
      </w:r>
      <w:bookmarkEnd w:id="555"/>
      <w:bookmarkEnd w:id="55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557" w:name="_Toc280599395"/>
      <w:bookmarkStart w:id="558" w:name="_Toc278967307"/>
      <w:r>
        <w:rPr>
          <w:rStyle w:val="CharSectno"/>
        </w:rPr>
        <w:t>81</w:t>
      </w:r>
      <w:r>
        <w:t>.</w:t>
      </w:r>
      <w:r>
        <w:tab/>
        <w:t>Certain actions and arrangements not to be taken or entered into</w:t>
      </w:r>
      <w:bookmarkEnd w:id="557"/>
      <w:bookmarkEnd w:id="55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559" w:name="_Toc280599396"/>
      <w:bookmarkStart w:id="560" w:name="_Toc278967308"/>
      <w:r>
        <w:rPr>
          <w:rStyle w:val="CharSectno"/>
        </w:rPr>
        <w:t>82</w:t>
      </w:r>
      <w:r>
        <w:t>.</w:t>
      </w:r>
      <w:r>
        <w:tab/>
        <w:t>Minister to report decisions not to provide certain information about agencies</w:t>
      </w:r>
      <w:bookmarkEnd w:id="559"/>
      <w:bookmarkEnd w:id="56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561" w:name="_Toc189644535"/>
      <w:bookmarkStart w:id="562" w:name="_Toc202850391"/>
      <w:bookmarkStart w:id="563" w:name="_Toc202850505"/>
      <w:bookmarkStart w:id="564" w:name="_Toc205018760"/>
      <w:bookmarkStart w:id="565" w:name="_Toc205018874"/>
      <w:bookmarkStart w:id="566" w:name="_Toc205019152"/>
      <w:bookmarkStart w:id="567" w:name="_Toc209837783"/>
      <w:bookmarkStart w:id="568" w:name="_Toc211654369"/>
      <w:bookmarkStart w:id="569" w:name="_Toc239739015"/>
      <w:bookmarkStart w:id="570" w:name="_Toc249427512"/>
      <w:bookmarkStart w:id="571" w:name="_Toc249950533"/>
      <w:bookmarkStart w:id="572" w:name="_Toc249951003"/>
      <w:bookmarkStart w:id="573" w:name="_Toc271102918"/>
      <w:bookmarkStart w:id="574" w:name="_Toc274135244"/>
      <w:bookmarkStart w:id="575" w:name="_Toc274135359"/>
      <w:bookmarkStart w:id="576" w:name="_Toc278377689"/>
      <w:bookmarkStart w:id="577" w:name="_Toc278967309"/>
      <w:bookmarkStart w:id="578" w:name="_Toc280599397"/>
      <w:r>
        <w:rPr>
          <w:rStyle w:val="CharDivNo"/>
        </w:rPr>
        <w:t>Division 4</w:t>
      </w:r>
      <w:r>
        <w:t> — </w:t>
      </w:r>
      <w:r>
        <w:rPr>
          <w:rStyle w:val="CharDivText"/>
        </w:rPr>
        <w:t>General</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pPr>
      <w:bookmarkStart w:id="579" w:name="_Toc280599398"/>
      <w:bookmarkStart w:id="580" w:name="_Toc278967310"/>
      <w:r>
        <w:rPr>
          <w:rStyle w:val="CharSectno"/>
        </w:rPr>
        <w:t>83</w:t>
      </w:r>
      <w:r>
        <w:t>.</w:t>
      </w:r>
      <w:r>
        <w:tab/>
        <w:t>Supplementary provision about laying documents before Parliament</w:t>
      </w:r>
      <w:bookmarkEnd w:id="579"/>
      <w:bookmarkEnd w:id="580"/>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581" w:name="_Toc280599399"/>
      <w:bookmarkStart w:id="582" w:name="_Toc278967311"/>
      <w:r>
        <w:rPr>
          <w:rStyle w:val="CharSectno"/>
        </w:rPr>
        <w:t>84</w:t>
      </w:r>
      <w:r>
        <w:t>.</w:t>
      </w:r>
      <w:r>
        <w:tab/>
        <w:t>Regulations</w:t>
      </w:r>
      <w:bookmarkEnd w:id="581"/>
      <w:bookmarkEnd w:id="58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583" w:name="_Toc280599400"/>
      <w:bookmarkStart w:id="584" w:name="_Toc278967312"/>
      <w:r>
        <w:rPr>
          <w:rStyle w:val="CharSectno"/>
        </w:rPr>
        <w:t>85</w:t>
      </w:r>
      <w:r>
        <w:t>.</w:t>
      </w:r>
      <w:r>
        <w:tab/>
        <w:t>Review of Act</w:t>
      </w:r>
      <w:bookmarkEnd w:id="583"/>
      <w:bookmarkEnd w:id="584"/>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85" w:name="_Toc189644539"/>
      <w:bookmarkStart w:id="586" w:name="_Toc202850395"/>
      <w:bookmarkStart w:id="587" w:name="_Toc202850509"/>
      <w:bookmarkStart w:id="588" w:name="_Toc205018764"/>
      <w:bookmarkStart w:id="589" w:name="_Toc205018878"/>
      <w:bookmarkStart w:id="590" w:name="_Toc205019156"/>
      <w:bookmarkStart w:id="591" w:name="_Toc209837787"/>
      <w:bookmarkStart w:id="592" w:name="_Toc211654373"/>
      <w:bookmarkStart w:id="593" w:name="_Toc239739019"/>
      <w:bookmarkStart w:id="594" w:name="_Toc249427516"/>
      <w:bookmarkStart w:id="595" w:name="_Toc249950537"/>
      <w:bookmarkStart w:id="596" w:name="_Toc249951007"/>
      <w:bookmarkStart w:id="597" w:name="_Toc271102922"/>
      <w:bookmarkStart w:id="598" w:name="_Toc274135248"/>
      <w:bookmarkStart w:id="599" w:name="_Toc274135363"/>
      <w:bookmarkStart w:id="600" w:name="_Toc278377693"/>
      <w:bookmarkStart w:id="601" w:name="_Toc278967313"/>
      <w:bookmarkStart w:id="602" w:name="_Toc280599401"/>
      <w:r>
        <w:rPr>
          <w:rStyle w:val="CharSchNo"/>
        </w:rPr>
        <w:t>Schedule 1</w:t>
      </w:r>
      <w:r>
        <w:rPr>
          <w:rStyle w:val="CharSDivNo"/>
        </w:rPr>
        <w:t> </w:t>
      </w:r>
      <w:r>
        <w:t>—</w:t>
      </w:r>
      <w:r>
        <w:rPr>
          <w:rStyle w:val="CharSDivText"/>
        </w:rPr>
        <w:t> </w:t>
      </w:r>
      <w:r>
        <w:rPr>
          <w:rStyle w:val="CharSchText"/>
        </w:rPr>
        <w:t>Statutory authorities</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 xml:space="preserve">Colleges established under the </w:t>
      </w:r>
      <w:r>
        <w:rPr>
          <w:i/>
          <w:iCs/>
          <w:snapToGrid w:val="0"/>
        </w:rPr>
        <w:t xml:space="preserve">Vocational Education and Training Act 1996 </w:t>
      </w:r>
      <w:r>
        <w:rPr>
          <w:snapToGrid w:val="0"/>
        </w:rPr>
        <w:t>section 35</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keepNext/>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line="260" w:lineRule="atLeast"/>
        <w:rPr>
          <w:snapToGrid w:val="0"/>
        </w:rPr>
      </w:pPr>
      <w:r>
        <w:rPr>
          <w:snapToGrid w:val="0"/>
        </w:rPr>
        <w:t>Health and Disability Services Complaints Office</w:t>
      </w:r>
    </w:p>
    <w:p>
      <w:pPr>
        <w:pStyle w:val="yMiscellaneousBody"/>
        <w:tabs>
          <w:tab w:val="left" w:pos="851"/>
        </w:tabs>
        <w:spacing w:before="0" w:line="260" w:lineRule="atLeast"/>
        <w:ind w:left="851" w:hanging="851"/>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del w:id="603" w:author="svcMRProcess" w:date="2020-02-15T13:30:00Z"/>
          <w:snapToGrid w:val="0"/>
        </w:rPr>
      </w:pPr>
      <w:del w:id="604" w:author="svcMRProcess" w:date="2020-02-15T13:30:00Z">
        <w:r>
          <w:rPr>
            <w:snapToGrid w:val="0"/>
          </w:rPr>
          <w:delText>The Agriculture Protection Board of Western Australia</w:delText>
        </w:r>
      </w:del>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Energy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w:t>
      </w:r>
      <w:ins w:id="605" w:author="svcMRProcess" w:date="2020-02-15T13:30:00Z">
        <w:r>
          <w:t> 24 of 2007 s. 36; No.</w:t>
        </w:r>
      </w:ins>
      <w:r>
        <w:t xml:space="preserve"> 38 of 2007 s. 195; No. 28 of 2008 s. 13; No. 16 of 2009 s. 69; No. 33 of 2010 s. 56; amended in Gazette 13 Jul 2007 p. 3454; 4 Jan 2008 p. 29; 8 Feb 2008 p. 323; 20 Aug 2010 p. 4072.] </w:t>
      </w:r>
    </w:p>
    <w:p>
      <w:pPr>
        <w:pStyle w:val="yScheduleHeading"/>
      </w:pPr>
      <w:bookmarkStart w:id="606" w:name="_Toc189644540"/>
      <w:bookmarkStart w:id="607" w:name="_Toc202850396"/>
      <w:bookmarkStart w:id="608" w:name="_Toc202850510"/>
      <w:bookmarkStart w:id="609" w:name="_Toc205018765"/>
      <w:bookmarkStart w:id="610" w:name="_Toc205018879"/>
      <w:bookmarkStart w:id="611" w:name="_Toc205019157"/>
      <w:bookmarkStart w:id="612" w:name="_Toc209837788"/>
      <w:bookmarkStart w:id="613" w:name="_Toc211654374"/>
      <w:bookmarkStart w:id="614" w:name="_Toc239739020"/>
      <w:bookmarkStart w:id="615" w:name="_Toc249427517"/>
      <w:bookmarkStart w:id="616" w:name="_Toc249950538"/>
      <w:bookmarkStart w:id="617" w:name="_Toc249951008"/>
      <w:bookmarkStart w:id="618" w:name="_Toc271102923"/>
      <w:bookmarkStart w:id="619" w:name="_Toc274135249"/>
      <w:bookmarkStart w:id="620" w:name="_Toc274135364"/>
      <w:bookmarkStart w:id="621" w:name="_Toc278377694"/>
      <w:bookmarkStart w:id="622" w:name="_Toc278967314"/>
      <w:bookmarkStart w:id="623" w:name="_Toc280599402"/>
      <w:r>
        <w:rPr>
          <w:rStyle w:val="CharSchNo"/>
        </w:rPr>
        <w:t>Schedule 2</w:t>
      </w:r>
      <w:r>
        <w:rPr>
          <w:rStyle w:val="CharSDivNo"/>
        </w:rPr>
        <w:t> </w:t>
      </w:r>
      <w:r>
        <w:t>—</w:t>
      </w:r>
      <w:r>
        <w:rPr>
          <w:rStyle w:val="CharSDivText"/>
        </w:rPr>
        <w:t> </w:t>
      </w:r>
      <w:r>
        <w:rPr>
          <w:rStyle w:val="CharSchText"/>
        </w:rPr>
        <w:t>Modifications to the Act as to certain administrations</w:t>
      </w:r>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624" w:name="_Toc189644541"/>
      <w:bookmarkStart w:id="625" w:name="_Toc202850397"/>
      <w:bookmarkStart w:id="626" w:name="_Toc202850511"/>
      <w:bookmarkStart w:id="627" w:name="_Toc205018766"/>
      <w:bookmarkStart w:id="628" w:name="_Toc205018880"/>
      <w:bookmarkStart w:id="629" w:name="_Toc205019158"/>
      <w:bookmarkStart w:id="630" w:name="_Toc209837789"/>
      <w:bookmarkStart w:id="631" w:name="_Toc211654375"/>
      <w:bookmarkStart w:id="632" w:name="_Toc239739021"/>
      <w:bookmarkStart w:id="633" w:name="_Toc249427518"/>
      <w:bookmarkStart w:id="634" w:name="_Toc249950539"/>
      <w:bookmarkStart w:id="635" w:name="_Toc249951009"/>
      <w:bookmarkStart w:id="636" w:name="_Toc271102924"/>
      <w:bookmarkStart w:id="637" w:name="_Toc274135250"/>
      <w:bookmarkStart w:id="638" w:name="_Toc274135365"/>
      <w:bookmarkStart w:id="639" w:name="_Toc278377695"/>
      <w:bookmarkStart w:id="640" w:name="_Toc278967315"/>
      <w:bookmarkStart w:id="641" w:name="_Toc280599403"/>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642" w:name="_Toc189644542"/>
      <w:bookmarkStart w:id="643" w:name="_Toc202850398"/>
      <w:bookmarkStart w:id="644" w:name="_Toc202850512"/>
      <w:bookmarkStart w:id="645" w:name="_Toc205018767"/>
      <w:bookmarkStart w:id="646" w:name="_Toc205018881"/>
      <w:bookmarkStart w:id="647" w:name="_Toc205019159"/>
      <w:bookmarkStart w:id="648" w:name="_Toc209837790"/>
      <w:bookmarkStart w:id="649" w:name="_Toc211654376"/>
      <w:bookmarkStart w:id="650" w:name="_Toc239739022"/>
      <w:bookmarkStart w:id="651" w:name="_Toc249427519"/>
      <w:bookmarkStart w:id="652" w:name="_Toc249950540"/>
      <w:bookmarkStart w:id="653" w:name="_Toc249951010"/>
      <w:bookmarkStart w:id="654" w:name="_Toc271102925"/>
      <w:bookmarkStart w:id="655" w:name="_Toc274135251"/>
      <w:bookmarkStart w:id="656" w:name="_Toc274135366"/>
      <w:bookmarkStart w:id="657" w:name="_Toc278377696"/>
      <w:bookmarkStart w:id="658" w:name="_Toc278967316"/>
      <w:bookmarkStart w:id="659" w:name="_Toc280599404"/>
      <w:r>
        <w:t>Notes</w:t>
      </w:r>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60" w:name="_Toc280599405"/>
      <w:bookmarkStart w:id="661" w:name="_Toc278967317"/>
      <w:r>
        <w:rPr>
          <w:snapToGrid w:val="0"/>
        </w:rPr>
        <w:t>Compilation table</w:t>
      </w:r>
      <w:bookmarkEnd w:id="660"/>
      <w:bookmarkEnd w:id="661"/>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23"/>
        <w:gridCol w:w="15"/>
        <w:gridCol w:w="2537"/>
        <w:gridCol w:w="15"/>
      </w:tblGrid>
      <w:tr>
        <w:trPr>
          <w:tblHeader/>
        </w:trPr>
        <w:tc>
          <w:tcPr>
            <w:tcW w:w="2273" w:type="dxa"/>
          </w:tcPr>
          <w:p>
            <w:pPr>
              <w:pStyle w:val="nTable"/>
              <w:spacing w:after="40"/>
              <w:rPr>
                <w:b/>
                <w:sz w:val="19"/>
              </w:rPr>
            </w:pPr>
            <w:r>
              <w:rPr>
                <w:b/>
                <w:sz w:val="19"/>
              </w:rPr>
              <w:t>Short title</w:t>
            </w:r>
          </w:p>
        </w:tc>
        <w:tc>
          <w:tcPr>
            <w:tcW w:w="1139" w:type="dxa"/>
          </w:tcPr>
          <w:p>
            <w:pPr>
              <w:pStyle w:val="nTable"/>
              <w:spacing w:after="40"/>
              <w:rPr>
                <w:b/>
                <w:sz w:val="19"/>
              </w:rPr>
            </w:pPr>
            <w:r>
              <w:rPr>
                <w:b/>
                <w:sz w:val="19"/>
              </w:rPr>
              <w:t>Number and year</w:t>
            </w:r>
          </w:p>
        </w:tc>
        <w:tc>
          <w:tcPr>
            <w:tcW w:w="1138" w:type="dxa"/>
            <w:gridSpan w:val="2"/>
          </w:tcPr>
          <w:p>
            <w:pPr>
              <w:pStyle w:val="nTable"/>
              <w:spacing w:after="40"/>
              <w:rPr>
                <w:b/>
                <w:sz w:val="19"/>
              </w:rPr>
            </w:pPr>
            <w:r>
              <w:rPr>
                <w:b/>
                <w:sz w:val="19"/>
              </w:rPr>
              <w:t>Assent</w:t>
            </w:r>
          </w:p>
        </w:tc>
        <w:tc>
          <w:tcPr>
            <w:tcW w:w="2552" w:type="dxa"/>
            <w:gridSpan w:val="2"/>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9" w:type="dxa"/>
            <w:tcBorders>
              <w:bottom w:val="nil"/>
            </w:tcBorders>
          </w:tcPr>
          <w:p>
            <w:pPr>
              <w:pStyle w:val="nTable"/>
              <w:spacing w:after="40"/>
              <w:rPr>
                <w:sz w:val="19"/>
              </w:rPr>
            </w:pPr>
            <w:r>
              <w:rPr>
                <w:sz w:val="19"/>
              </w:rPr>
              <w:t>76 of 2006</w:t>
            </w:r>
          </w:p>
        </w:tc>
        <w:tc>
          <w:tcPr>
            <w:tcW w:w="1138" w:type="dxa"/>
            <w:gridSpan w:val="2"/>
            <w:tcBorders>
              <w:bottom w:val="nil"/>
            </w:tcBorders>
          </w:tcPr>
          <w:p>
            <w:pPr>
              <w:pStyle w:val="nTable"/>
              <w:spacing w:after="40"/>
              <w:rPr>
                <w:sz w:val="19"/>
              </w:rPr>
            </w:pPr>
            <w:r>
              <w:rPr>
                <w:sz w:val="19"/>
              </w:rPr>
              <w:t>21 Dec 2006</w:t>
            </w:r>
          </w:p>
        </w:tc>
        <w:tc>
          <w:tcPr>
            <w:tcW w:w="2552" w:type="dxa"/>
            <w:gridSpan w:val="2"/>
            <w:tcBorders>
              <w:bottom w:val="nil"/>
            </w:tcBorders>
          </w:tcPr>
          <w:p>
            <w:pPr>
              <w:pStyle w:val="nTable"/>
              <w:spacing w:after="40"/>
              <w:rPr>
                <w:sz w:val="19"/>
              </w:rPr>
            </w:pPr>
            <w:r>
              <w:rPr>
                <w:sz w:val="19"/>
              </w:rPr>
              <w:t>s. 1 and 2: 21 Dec 2006;</w:t>
            </w:r>
            <w:r>
              <w:rPr>
                <w:sz w:val="19"/>
              </w:rPr>
              <w:br/>
              <w:t>Act other than s. 1 and 2:</w:t>
            </w:r>
            <w:r>
              <w:rPr>
                <w:sz w:val="19"/>
              </w:rPr>
              <w:b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9" w:type="dxa"/>
            <w:tcBorders>
              <w:top w:val="nil"/>
              <w:bottom w:val="nil"/>
            </w:tcBorders>
          </w:tcPr>
          <w:p>
            <w:pPr>
              <w:pStyle w:val="nTable"/>
              <w:spacing w:after="40"/>
              <w:rPr>
                <w:sz w:val="19"/>
              </w:rPr>
            </w:pPr>
            <w:r>
              <w:rPr>
                <w:sz w:val="19"/>
              </w:rPr>
              <w:t>77 of 2006</w:t>
            </w:r>
          </w:p>
        </w:tc>
        <w:tc>
          <w:tcPr>
            <w:tcW w:w="1138" w:type="dxa"/>
            <w:gridSpan w:val="2"/>
            <w:tcBorders>
              <w:top w:val="nil"/>
              <w:bottom w:val="nil"/>
            </w:tcBorders>
          </w:tcPr>
          <w:p>
            <w:pPr>
              <w:pStyle w:val="nTable"/>
              <w:spacing w:after="40"/>
              <w:rPr>
                <w:sz w:val="19"/>
              </w:rPr>
            </w:pPr>
            <w:r>
              <w:rPr>
                <w:sz w:val="19"/>
              </w:rPr>
              <w:t>21 Dec 2006</w:t>
            </w:r>
          </w:p>
        </w:tc>
        <w:tc>
          <w:tcPr>
            <w:tcW w:w="2552" w:type="dxa"/>
            <w:gridSpan w:val="2"/>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9" w:type="dxa"/>
            <w:tcBorders>
              <w:top w:val="nil"/>
              <w:bottom w:val="nil"/>
            </w:tcBorders>
          </w:tcPr>
          <w:p>
            <w:pPr>
              <w:pStyle w:val="nTable"/>
              <w:spacing w:after="40"/>
              <w:rPr>
                <w:sz w:val="19"/>
              </w:rPr>
            </w:pPr>
            <w:r>
              <w:rPr>
                <w:sz w:val="19"/>
              </w:rPr>
              <w:t>10 of 2007</w:t>
            </w:r>
          </w:p>
        </w:tc>
        <w:tc>
          <w:tcPr>
            <w:tcW w:w="1138" w:type="dxa"/>
            <w:gridSpan w:val="2"/>
            <w:tcBorders>
              <w:top w:val="nil"/>
              <w:bottom w:val="nil"/>
            </w:tcBorders>
          </w:tcPr>
          <w:p>
            <w:pPr>
              <w:pStyle w:val="nTable"/>
              <w:spacing w:after="40"/>
              <w:rPr>
                <w:sz w:val="19"/>
              </w:rPr>
            </w:pPr>
            <w:r>
              <w:rPr>
                <w:sz w:val="19"/>
              </w:rPr>
              <w:t>29 Jun 2007</w:t>
            </w:r>
          </w:p>
        </w:tc>
        <w:tc>
          <w:tcPr>
            <w:tcW w:w="2552" w:type="dxa"/>
            <w:gridSpan w:val="2"/>
            <w:tcBorders>
              <w:top w:val="nil"/>
              <w:bottom w:val="nil"/>
            </w:tcBorders>
          </w:tcPr>
          <w:p>
            <w:pPr>
              <w:pStyle w:val="nTable"/>
              <w:spacing w:after="40"/>
              <w:rPr>
                <w:sz w:val="19"/>
              </w:rPr>
            </w:pPr>
            <w:r>
              <w:rPr>
                <w:sz w:val="19"/>
              </w:rPr>
              <w:t xml:space="preserve">1 Aug 2007 (see s. 2(1) and </w:t>
            </w:r>
            <w:r>
              <w:rPr>
                <w:i/>
                <w:iCs/>
                <w:sz w:val="19"/>
              </w:rPr>
              <w:t>Gazette</w:t>
            </w:r>
            <w:r>
              <w:rPr>
                <w:sz w:val="19"/>
              </w:rPr>
              <w:t xml:space="preserve"> 27 Jul 2007 p. 3735)</w:t>
            </w:r>
          </w:p>
        </w:tc>
      </w:tr>
      <w:tr>
        <w:trPr>
          <w:gridAfter w:val="1"/>
          <w:wAfter w:w="15" w:type="dxa"/>
          <w:cantSplit/>
        </w:trPr>
        <w:tc>
          <w:tcPr>
            <w:tcW w:w="4535"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w:t>
            </w:r>
            <w:r>
              <w:rPr>
                <w:sz w:val="19"/>
              </w:rPr>
              <w:noBreakHyphen/>
              <w:t>4</w:t>
            </w:r>
          </w:p>
        </w:tc>
        <w:tc>
          <w:tcPr>
            <w:tcW w:w="2552" w:type="dxa"/>
            <w:gridSpan w:val="2"/>
            <w:tcBorders>
              <w:top w:val="nil"/>
              <w:bottom w:val="nil"/>
            </w:tcBorders>
          </w:tcPr>
          <w:p>
            <w:pPr>
              <w:pStyle w:val="nTable"/>
              <w:spacing w:after="40"/>
              <w:rPr>
                <w:sz w:val="19"/>
              </w:rPr>
            </w:pPr>
            <w:r>
              <w:rPr>
                <w:sz w:val="19"/>
              </w:rPr>
              <w:t>13 Jul 2007</w:t>
            </w:r>
          </w:p>
        </w:tc>
      </w:tr>
      <w:tr>
        <w:tblPrEx>
          <w:tblBorders>
            <w:top w:val="none" w:sz="0" w:space="0" w:color="auto"/>
            <w:bottom w:val="none" w:sz="0" w:space="0" w:color="auto"/>
            <w:insideH w:val="none" w:sz="0" w:space="0" w:color="auto"/>
          </w:tblBorders>
        </w:tblPrEx>
        <w:trPr>
          <w:cantSplit/>
          <w:ins w:id="662" w:author="svcMRProcess" w:date="2020-02-15T13:30:00Z"/>
        </w:trPr>
        <w:tc>
          <w:tcPr>
            <w:tcW w:w="2273" w:type="dxa"/>
          </w:tcPr>
          <w:p>
            <w:pPr>
              <w:pStyle w:val="nTable"/>
              <w:spacing w:after="40"/>
              <w:ind w:left="-28"/>
              <w:rPr>
                <w:ins w:id="663" w:author="svcMRProcess" w:date="2020-02-15T13:30:00Z"/>
                <w:i/>
                <w:snapToGrid w:val="0"/>
                <w:sz w:val="19"/>
              </w:rPr>
            </w:pPr>
            <w:ins w:id="664" w:author="svcMRProcess" w:date="2020-02-15T13:30:00Z">
              <w:r>
                <w:rPr>
                  <w:i/>
                  <w:snapToGrid w:val="0"/>
                  <w:sz w:val="19"/>
                  <w:lang w:val="en-US"/>
                </w:rPr>
                <w:t>Biosecurity and Agriculture Management (Repeal and Consequential Provisions) Act 2007</w:t>
              </w:r>
              <w:r>
                <w:rPr>
                  <w:iCs/>
                  <w:snapToGrid w:val="0"/>
                  <w:sz w:val="19"/>
                  <w:lang w:val="en-US"/>
                </w:rPr>
                <w:t xml:space="preserve"> s. 36</w:t>
              </w:r>
            </w:ins>
          </w:p>
        </w:tc>
        <w:tc>
          <w:tcPr>
            <w:tcW w:w="1139" w:type="dxa"/>
          </w:tcPr>
          <w:p>
            <w:pPr>
              <w:pStyle w:val="nTable"/>
              <w:spacing w:after="40"/>
              <w:rPr>
                <w:ins w:id="665" w:author="svcMRProcess" w:date="2020-02-15T13:30:00Z"/>
                <w:snapToGrid w:val="0"/>
                <w:sz w:val="19"/>
                <w:lang w:val="en-US"/>
              </w:rPr>
            </w:pPr>
            <w:ins w:id="666" w:author="svcMRProcess" w:date="2020-02-15T13:30:00Z">
              <w:r>
                <w:rPr>
                  <w:snapToGrid w:val="0"/>
                  <w:sz w:val="19"/>
                  <w:lang w:val="en-US"/>
                </w:rPr>
                <w:t>24 of 2007</w:t>
              </w:r>
            </w:ins>
          </w:p>
        </w:tc>
        <w:tc>
          <w:tcPr>
            <w:tcW w:w="1138" w:type="dxa"/>
            <w:gridSpan w:val="2"/>
          </w:tcPr>
          <w:p>
            <w:pPr>
              <w:pStyle w:val="nTable"/>
              <w:spacing w:after="40"/>
              <w:rPr>
                <w:ins w:id="667" w:author="svcMRProcess" w:date="2020-02-15T13:30:00Z"/>
                <w:sz w:val="19"/>
              </w:rPr>
            </w:pPr>
            <w:ins w:id="668" w:author="svcMRProcess" w:date="2020-02-15T13:30:00Z">
              <w:r>
                <w:rPr>
                  <w:snapToGrid w:val="0"/>
                  <w:sz w:val="19"/>
                  <w:lang w:val="en-US"/>
                </w:rPr>
                <w:t>12 Oct 2007</w:t>
              </w:r>
            </w:ins>
          </w:p>
        </w:tc>
        <w:tc>
          <w:tcPr>
            <w:tcW w:w="2552" w:type="dxa"/>
            <w:gridSpan w:val="2"/>
          </w:tcPr>
          <w:p>
            <w:pPr>
              <w:pStyle w:val="nTable"/>
              <w:spacing w:after="40"/>
              <w:rPr>
                <w:ins w:id="669" w:author="svcMRProcess" w:date="2020-02-15T13:30:00Z"/>
                <w:sz w:val="19"/>
              </w:rPr>
            </w:pPr>
            <w:ins w:id="670" w:author="svcMRProcess" w:date="2020-02-15T13:30:00Z">
              <w:r>
                <w:rPr>
                  <w:sz w:val="19"/>
                </w:rPr>
                <w:t xml:space="preserve">18 Dec 2010 (see s. 2(1) and </w:t>
              </w:r>
              <w:r>
                <w:rPr>
                  <w:i/>
                  <w:iCs/>
                  <w:sz w:val="19"/>
                </w:rPr>
                <w:t>Gazette</w:t>
              </w:r>
              <w:r>
                <w:rPr>
                  <w:sz w:val="19"/>
                </w:rPr>
                <w:t xml:space="preserve"> 17 Dec 2010 p. 6349)</w:t>
              </w:r>
            </w:ins>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9" w:type="dxa"/>
          </w:tcPr>
          <w:p>
            <w:pPr>
              <w:pStyle w:val="nTable"/>
              <w:spacing w:after="40"/>
              <w:rPr>
                <w:sz w:val="19"/>
              </w:rPr>
            </w:pPr>
            <w:r>
              <w:rPr>
                <w:snapToGrid w:val="0"/>
                <w:sz w:val="19"/>
                <w:lang w:val="en-US"/>
              </w:rPr>
              <w:t>38 of 2007</w:t>
            </w:r>
          </w:p>
        </w:tc>
        <w:tc>
          <w:tcPr>
            <w:tcW w:w="1138" w:type="dxa"/>
            <w:gridSpan w:val="2"/>
          </w:tcPr>
          <w:p>
            <w:pPr>
              <w:pStyle w:val="nTable"/>
              <w:spacing w:after="40"/>
              <w:rPr>
                <w:sz w:val="19"/>
              </w:rPr>
            </w:pPr>
            <w:r>
              <w:rPr>
                <w:sz w:val="19"/>
              </w:rPr>
              <w:t>21 Dec 2007</w:t>
            </w:r>
          </w:p>
        </w:tc>
        <w:tc>
          <w:tcPr>
            <w:tcW w:w="2552" w:type="dxa"/>
            <w:gridSpan w:val="2"/>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52" w:type="dxa"/>
            <w:gridSpan w:val="2"/>
            <w:tcBorders>
              <w:top w:val="nil"/>
              <w:bottom w:val="nil"/>
            </w:tcBorders>
          </w:tcPr>
          <w:p>
            <w:pPr>
              <w:pStyle w:val="nTable"/>
              <w:spacing w:after="40"/>
              <w:rPr>
                <w:sz w:val="19"/>
              </w:rPr>
            </w:pPr>
            <w:r>
              <w:rPr>
                <w:sz w:val="19"/>
              </w:rPr>
              <w:t>4 Jan 2008</w:t>
            </w:r>
          </w:p>
        </w:tc>
      </w:tr>
      <w:tr>
        <w:trPr>
          <w:gridAfter w:val="1"/>
          <w:wAfter w:w="15" w:type="dxa"/>
          <w:cantSplit/>
        </w:trPr>
        <w:tc>
          <w:tcPr>
            <w:tcW w:w="4535" w:type="dxa"/>
            <w:gridSpan w:val="3"/>
            <w:tcBorders>
              <w:top w:val="nil"/>
              <w:bottom w:val="nil"/>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w:t>
            </w:r>
            <w:r>
              <w:rPr>
                <w:sz w:val="19"/>
              </w:rPr>
              <w:noBreakHyphen/>
              <w:t>3</w:t>
            </w:r>
          </w:p>
        </w:tc>
        <w:tc>
          <w:tcPr>
            <w:tcW w:w="2552" w:type="dxa"/>
            <w:gridSpan w:val="2"/>
            <w:tcBorders>
              <w:top w:val="nil"/>
              <w:bottom w:val="nil"/>
            </w:tcBorders>
          </w:tcPr>
          <w:p>
            <w:pPr>
              <w:pStyle w:val="nTable"/>
              <w:spacing w:after="40"/>
              <w:rPr>
                <w:sz w:val="19"/>
              </w:rPr>
            </w:pPr>
            <w:r>
              <w:rPr>
                <w:sz w:val="19"/>
              </w:rPr>
              <w:t>r. 1 and 2: 8 Feb 2008 (see r. 2(a));</w:t>
            </w:r>
            <w:r>
              <w:rPr>
                <w:sz w:val="19"/>
              </w:rPr>
              <w:br/>
              <w:t>Regulations other than r. 1 and 2: 9 Feb 2008 (see r. 2(b))</w:t>
            </w:r>
          </w:p>
        </w:tc>
      </w:tr>
      <w:tr>
        <w:trPr>
          <w:cantSplit/>
        </w:trPr>
        <w:tc>
          <w:tcPr>
            <w:tcW w:w="2273" w:type="dxa"/>
            <w:tcBorders>
              <w:top w:val="nil"/>
              <w:bottom w:val="nil"/>
              <w:right w:val="nil"/>
            </w:tcBorders>
          </w:tcPr>
          <w:p>
            <w:pPr>
              <w:pStyle w:val="nTable"/>
              <w:spacing w:after="40"/>
              <w:rPr>
                <w:i/>
                <w:snapToGrid w:val="0"/>
                <w:sz w:val="19"/>
                <w:lang w:val="en-US"/>
              </w:rPr>
            </w:pPr>
            <w:r>
              <w:rPr>
                <w:i/>
                <w:snapToGrid w:val="0"/>
                <w:sz w:val="19"/>
                <w:lang w:val="en-US"/>
              </w:rPr>
              <w:t>Eastern Goldfields Transport Board Repeal Act 2008</w:t>
            </w:r>
            <w:r>
              <w:rPr>
                <w:snapToGrid w:val="0"/>
                <w:sz w:val="19"/>
                <w:lang w:val="en-US"/>
              </w:rPr>
              <w:t xml:space="preserve"> s. 13</w:t>
            </w:r>
          </w:p>
        </w:tc>
        <w:tc>
          <w:tcPr>
            <w:tcW w:w="1139" w:type="dxa"/>
            <w:tcBorders>
              <w:top w:val="nil"/>
              <w:left w:val="nil"/>
              <w:bottom w:val="nil"/>
              <w:right w:val="nil"/>
            </w:tcBorders>
          </w:tcPr>
          <w:p>
            <w:pPr>
              <w:pStyle w:val="nTable"/>
              <w:spacing w:after="40"/>
              <w:rPr>
                <w:snapToGrid w:val="0"/>
                <w:sz w:val="19"/>
                <w:lang w:val="en-US"/>
              </w:rPr>
            </w:pPr>
            <w:r>
              <w:rPr>
                <w:snapToGrid w:val="0"/>
                <w:sz w:val="19"/>
                <w:lang w:val="en-US"/>
              </w:rPr>
              <w:t>28 of 2008</w:t>
            </w:r>
          </w:p>
        </w:tc>
        <w:tc>
          <w:tcPr>
            <w:tcW w:w="1138" w:type="dxa"/>
            <w:gridSpan w:val="2"/>
            <w:tcBorders>
              <w:top w:val="nil"/>
              <w:left w:val="nil"/>
              <w:bottom w:val="nil"/>
            </w:tcBorders>
          </w:tcPr>
          <w:p>
            <w:pPr>
              <w:pStyle w:val="nTable"/>
              <w:spacing w:after="40"/>
              <w:rPr>
                <w:sz w:val="19"/>
              </w:rPr>
            </w:pPr>
            <w:r>
              <w:rPr>
                <w:sz w:val="19"/>
              </w:rPr>
              <w:t>1 Jul 2008</w:t>
            </w:r>
          </w:p>
        </w:tc>
        <w:tc>
          <w:tcPr>
            <w:tcW w:w="2552" w:type="dxa"/>
            <w:gridSpan w:val="2"/>
            <w:tcBorders>
              <w:top w:val="nil"/>
              <w:bottom w:val="nil"/>
            </w:tcBorders>
          </w:tcPr>
          <w:p>
            <w:pPr>
              <w:pStyle w:val="nTable"/>
              <w:spacing w:after="40"/>
              <w:rPr>
                <w:snapToGrid w:val="0"/>
                <w:sz w:val="19"/>
                <w:lang w:val="en-US"/>
              </w:rPr>
            </w:pPr>
            <w:r>
              <w:rPr>
                <w:snapToGrid w:val="0"/>
                <w:spacing w:val="-2"/>
                <w:sz w:val="19"/>
                <w:lang w:val="en-US"/>
              </w:rPr>
              <w:t>29</w:t>
            </w:r>
            <w:r>
              <w:rPr>
                <w:snapToGrid w:val="0"/>
                <w:sz w:val="19"/>
                <w:lang w:val="en-US"/>
              </w:rPr>
              <w:t> Jul 2008</w:t>
            </w:r>
          </w:p>
        </w:tc>
      </w:tr>
      <w:tr>
        <w:trPr>
          <w:gridAfter w:val="1"/>
          <w:wAfter w:w="15" w:type="dxa"/>
          <w:cantSplit/>
        </w:trPr>
        <w:tc>
          <w:tcPr>
            <w:tcW w:w="7087" w:type="dxa"/>
            <w:gridSpan w:val="5"/>
            <w:tcBorders>
              <w:top w:val="nil"/>
              <w:bottom w:val="nil"/>
            </w:tcBorders>
          </w:tcPr>
          <w:p>
            <w:pPr>
              <w:pStyle w:val="nTable"/>
              <w:spacing w:after="40"/>
              <w:rPr>
                <w:sz w:val="19"/>
              </w:rPr>
            </w:pPr>
            <w:r>
              <w:rPr>
                <w:b/>
                <w:bCs/>
                <w:sz w:val="19"/>
              </w:rPr>
              <w:t xml:space="preserve">Reprint 1:  The </w:t>
            </w:r>
            <w:r>
              <w:rPr>
                <w:b/>
                <w:bCs/>
                <w:i/>
                <w:iCs/>
                <w:sz w:val="19"/>
              </w:rPr>
              <w:t>Financial Management Act 2006</w:t>
            </w:r>
            <w:r>
              <w:rPr>
                <w:b/>
                <w:bCs/>
                <w:sz w:val="19"/>
              </w:rPr>
              <w:t xml:space="preserve"> as at 26 Sep 2008</w:t>
            </w:r>
            <w:r>
              <w:rPr>
                <w:sz w:val="19"/>
              </w:rPr>
              <w:t xml:space="preserve"> (includes amendments listed above</w:t>
            </w:r>
            <w:ins w:id="671" w:author="svcMRProcess" w:date="2020-02-15T13:30:00Z">
              <w:r>
                <w:rPr>
                  <w:sz w:val="19"/>
                </w:rPr>
                <w:t xml:space="preserve"> except those in the </w:t>
              </w:r>
              <w:r>
                <w:rPr>
                  <w:i/>
                  <w:iCs/>
                  <w:sz w:val="19"/>
                </w:rPr>
                <w:t>Biosecurity and Agriculture Management (Repeal and Consequential Provisions) Act 2007 s. 36</w:t>
              </w:r>
            </w:ins>
            <w:r>
              <w:rPr>
                <w:sz w:val="19"/>
              </w:rPr>
              <w:t>)</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z w:val="19"/>
              </w:rPr>
              <w:t>National Gas Access (WA) Act 2009</w:t>
            </w:r>
            <w:r>
              <w:rPr>
                <w:iCs/>
                <w:sz w:val="19"/>
              </w:rPr>
              <w:t xml:space="preserve"> s. 69</w:t>
            </w:r>
          </w:p>
        </w:tc>
        <w:tc>
          <w:tcPr>
            <w:tcW w:w="1139" w:type="dxa"/>
          </w:tcPr>
          <w:p>
            <w:pPr>
              <w:pStyle w:val="nTable"/>
              <w:spacing w:after="40"/>
              <w:rPr>
                <w:sz w:val="19"/>
              </w:rPr>
            </w:pPr>
            <w:r>
              <w:rPr>
                <w:sz w:val="19"/>
              </w:rPr>
              <w:t>16 of 2009</w:t>
            </w:r>
          </w:p>
        </w:tc>
        <w:tc>
          <w:tcPr>
            <w:tcW w:w="1138"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31 Dec 2009 p. 5327)</w:t>
            </w:r>
          </w:p>
        </w:tc>
      </w:tr>
      <w:tr>
        <w:tblPrEx>
          <w:tblBorders>
            <w:top w:val="none" w:sz="0" w:space="0" w:color="auto"/>
            <w:bottom w:val="none" w:sz="0" w:space="0" w:color="auto"/>
            <w:insideH w:val="none" w:sz="0" w:space="0" w:color="auto"/>
          </w:tblBorders>
        </w:tblPrEx>
        <w:trPr>
          <w:gridAfter w:val="1"/>
          <w:wAfter w:w="15" w:type="dxa"/>
          <w:cantSplit/>
        </w:trPr>
        <w:tc>
          <w:tcPr>
            <w:tcW w:w="4535" w:type="dxa"/>
            <w:gridSpan w:val="3"/>
          </w:tcPr>
          <w:p>
            <w:pPr>
              <w:pStyle w:val="nTable"/>
              <w:spacing w:after="40"/>
              <w:rPr>
                <w:iCs/>
                <w:sz w:val="19"/>
              </w:rPr>
            </w:pPr>
            <w:r>
              <w:rPr>
                <w:i/>
                <w:sz w:val="19"/>
              </w:rPr>
              <w:t>Financial Management (Statutory Authorities) Regulations 2010</w:t>
            </w:r>
            <w:r>
              <w:rPr>
                <w:iCs/>
                <w:sz w:val="19"/>
              </w:rPr>
              <w:t xml:space="preserve"> published in </w:t>
            </w:r>
            <w:r>
              <w:rPr>
                <w:i/>
                <w:sz w:val="19"/>
              </w:rPr>
              <w:t xml:space="preserve">Gazette </w:t>
            </w:r>
            <w:r>
              <w:rPr>
                <w:iCs/>
                <w:sz w:val="19"/>
              </w:rPr>
              <w:t>20 Aug 2010 p. 4071</w:t>
            </w:r>
            <w:r>
              <w:rPr>
                <w:iCs/>
                <w:sz w:val="19"/>
              </w:rPr>
              <w:noBreakHyphen/>
              <w:t>2</w:t>
            </w:r>
          </w:p>
        </w:tc>
        <w:tc>
          <w:tcPr>
            <w:tcW w:w="2552" w:type="dxa"/>
            <w:gridSpan w:val="2"/>
          </w:tcPr>
          <w:p>
            <w:pPr>
              <w:pStyle w:val="nTable"/>
              <w:spacing w:after="40"/>
              <w:rPr>
                <w:sz w:val="19"/>
              </w:rPr>
            </w:pPr>
            <w:r>
              <w:rPr>
                <w:snapToGrid w:val="0"/>
                <w:spacing w:val="-2"/>
                <w:sz w:val="19"/>
                <w:lang w:val="en-US"/>
              </w:rPr>
              <w:t>r. 1 and 2: 20 Aug 2010 (see r. 2(a));</w:t>
            </w:r>
            <w:r>
              <w:rPr>
                <w:snapToGrid w:val="0"/>
                <w:spacing w:val="-2"/>
                <w:sz w:val="19"/>
                <w:lang w:val="en-US"/>
              </w:rPr>
              <w:br/>
              <w:t>Regulations other than r. 1 and 2: 21 Aug 2010 (see r. 2(b))</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right="113"/>
              <w:rPr>
                <w:iCs/>
                <w:sz w:val="19"/>
              </w:rPr>
            </w:pPr>
            <w:r>
              <w:rPr>
                <w:i/>
                <w:snapToGrid w:val="0"/>
                <w:sz w:val="19"/>
                <w:lang w:val="en-US"/>
              </w:rPr>
              <w:t>Health and Disability Services Legislation Amendment Act 2010</w:t>
            </w:r>
            <w:r>
              <w:rPr>
                <w:iCs/>
                <w:snapToGrid w:val="0"/>
                <w:sz w:val="19"/>
                <w:lang w:val="en-US"/>
              </w:rPr>
              <w:t xml:space="preserve"> s. 56</w:t>
            </w:r>
          </w:p>
        </w:tc>
        <w:tc>
          <w:tcPr>
            <w:tcW w:w="1139" w:type="dxa"/>
          </w:tcPr>
          <w:p>
            <w:pPr>
              <w:pStyle w:val="nTable"/>
              <w:spacing w:after="40"/>
              <w:rPr>
                <w:sz w:val="19"/>
              </w:rPr>
            </w:pPr>
            <w:r>
              <w:rPr>
                <w:snapToGrid w:val="0"/>
                <w:sz w:val="19"/>
                <w:lang w:val="en-US"/>
              </w:rPr>
              <w:t>33 of 2010</w:t>
            </w:r>
          </w:p>
        </w:tc>
        <w:tc>
          <w:tcPr>
            <w:tcW w:w="1138" w:type="dxa"/>
            <w:gridSpan w:val="2"/>
          </w:tcPr>
          <w:p>
            <w:pPr>
              <w:pStyle w:val="nTable"/>
              <w:spacing w:after="40"/>
              <w:rPr>
                <w:sz w:val="19"/>
              </w:rPr>
            </w:pPr>
            <w:r>
              <w:rPr>
                <w:snapToGrid w:val="0"/>
                <w:sz w:val="19"/>
                <w:lang w:val="en-US"/>
              </w:rPr>
              <w:t>30 Aug 2010</w:t>
            </w:r>
          </w:p>
        </w:tc>
        <w:tc>
          <w:tcPr>
            <w:tcW w:w="2552" w:type="dxa"/>
            <w:gridSpan w:val="2"/>
          </w:tcPr>
          <w:p>
            <w:pPr>
              <w:pStyle w:val="nTable"/>
              <w:spacing w:after="40"/>
              <w:rPr>
                <w:sz w:val="19"/>
              </w:rPr>
            </w:pPr>
            <w:r>
              <w:rPr>
                <w:snapToGrid w:val="0"/>
                <w:sz w:val="19"/>
                <w:lang w:val="en-US"/>
              </w:rPr>
              <w:t xml:space="preserve">30 Nov 2010 (see s. 2(b) and </w:t>
            </w:r>
            <w:r>
              <w:rPr>
                <w:i/>
                <w:iCs/>
                <w:snapToGrid w:val="0"/>
                <w:sz w:val="19"/>
                <w:lang w:val="en-US"/>
              </w:rPr>
              <w:t>Gazette</w:t>
            </w:r>
            <w:r>
              <w:rPr>
                <w:snapToGrid w:val="0"/>
                <w:sz w:val="19"/>
                <w:lang w:val="en-US"/>
              </w:rPr>
              <w:t xml:space="preserve"> 17 Sep 2010 p. 4757)</w:t>
            </w:r>
          </w:p>
        </w:tc>
      </w:tr>
      <w:tr>
        <w:tblPrEx>
          <w:tblBorders>
            <w:top w:val="none" w:sz="0" w:space="0" w:color="auto"/>
            <w:bottom w:val="none" w:sz="0" w:space="0" w:color="auto"/>
            <w:insideH w:val="none" w:sz="0" w:space="0" w:color="auto"/>
          </w:tblBorders>
        </w:tblPrEx>
        <w:trPr>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76</w:t>
            </w:r>
          </w:p>
        </w:tc>
        <w:tc>
          <w:tcPr>
            <w:tcW w:w="1139" w:type="dxa"/>
            <w:tcBorders>
              <w:bottom w:val="single" w:sz="4" w:space="0" w:color="auto"/>
            </w:tcBorders>
          </w:tcPr>
          <w:p>
            <w:pPr>
              <w:pStyle w:val="nTable"/>
              <w:spacing w:after="40"/>
              <w:rPr>
                <w:snapToGrid w:val="0"/>
                <w:sz w:val="19"/>
                <w:lang w:val="en-US"/>
              </w:rPr>
            </w:pPr>
            <w:r>
              <w:rPr>
                <w:snapToGrid w:val="0"/>
                <w:sz w:val="19"/>
                <w:lang w:val="en-US"/>
              </w:rPr>
              <w:t>39 of 2010</w:t>
            </w:r>
          </w:p>
        </w:tc>
        <w:tc>
          <w:tcPr>
            <w:tcW w:w="1138" w:type="dxa"/>
            <w:gridSpan w:val="2"/>
            <w:tcBorders>
              <w:bottom w:val="single" w:sz="4" w:space="0" w:color="auto"/>
            </w:tcBorders>
          </w:tcPr>
          <w:p>
            <w:pPr>
              <w:pStyle w:val="nTable"/>
              <w:spacing w:after="40"/>
              <w:rPr>
                <w:snapToGrid w:val="0"/>
                <w:sz w:val="19"/>
                <w:lang w:val="en-US"/>
              </w:rPr>
            </w:pPr>
            <w:r>
              <w:rPr>
                <w:snapToGrid w:val="0"/>
                <w:sz w:val="19"/>
                <w:lang w:val="en-US"/>
              </w:rPr>
              <w:t>1 Oct 2010</w:t>
            </w:r>
          </w:p>
        </w:tc>
        <w:tc>
          <w:tcPr>
            <w:tcW w:w="2552" w:type="dxa"/>
            <w:gridSpan w:val="2"/>
            <w:tcBorders>
              <w:bottom w:val="single" w:sz="4" w:space="0" w:color="auto"/>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spacing w:before="360"/>
        <w:ind w:left="482" w:hanging="482"/>
      </w:pPr>
      <w:r>
        <w:rPr>
          <w:vertAlign w:val="superscript"/>
        </w:rPr>
        <w:t>1a</w:t>
      </w:r>
      <w:r>
        <w:tab/>
        <w:t>On the date as at which thi</w:t>
      </w:r>
      <w:bookmarkStart w:id="672" w:name="_Hlt507390729"/>
      <w:bookmarkEnd w:id="672"/>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73" w:name="_Toc280599406"/>
      <w:bookmarkStart w:id="674" w:name="_Toc278967318"/>
      <w:r>
        <w:t>Provisions that have not come into operation</w:t>
      </w:r>
      <w:bookmarkEnd w:id="673"/>
      <w:bookmarkEnd w:id="674"/>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14"/>
        <w:gridCol w:w="2538"/>
        <w:gridCol w:w="9"/>
      </w:tblGrid>
      <w:tr>
        <w:trPr>
          <w:gridAfter w:val="1"/>
          <w:wAfter w:w="9" w:type="dxa"/>
          <w:cantSplit/>
          <w:tblHeader/>
        </w:trPr>
        <w:tc>
          <w:tcPr>
            <w:tcW w:w="2273" w:type="dxa"/>
            <w:tcBorders>
              <w:top w:val="single" w:sz="8" w:space="0" w:color="auto"/>
              <w:bottom w:val="single" w:sz="4" w:space="0" w:color="auto"/>
            </w:tcBorders>
          </w:tcPr>
          <w:p>
            <w:pPr>
              <w:pStyle w:val="nTable"/>
              <w:spacing w:after="40"/>
              <w:rPr>
                <w:b/>
                <w:sz w:val="19"/>
              </w:rPr>
            </w:pPr>
            <w:r>
              <w:rPr>
                <w:b/>
                <w:sz w:val="19"/>
              </w:rPr>
              <w:t>Short title</w:t>
            </w:r>
          </w:p>
        </w:tc>
        <w:tc>
          <w:tcPr>
            <w:tcW w:w="1135" w:type="dxa"/>
            <w:tcBorders>
              <w:top w:val="single" w:sz="8" w:space="0" w:color="auto"/>
              <w:bottom w:val="single" w:sz="4" w:space="0" w:color="auto"/>
            </w:tcBorders>
          </w:tcPr>
          <w:p>
            <w:pPr>
              <w:pStyle w:val="nTable"/>
              <w:spacing w:after="40"/>
              <w:rPr>
                <w:b/>
                <w:sz w:val="19"/>
              </w:rPr>
            </w:pPr>
            <w:r>
              <w:rPr>
                <w:b/>
                <w:sz w:val="19"/>
              </w:rPr>
              <w:t>Number and year</w:t>
            </w:r>
          </w:p>
        </w:tc>
        <w:tc>
          <w:tcPr>
            <w:tcW w:w="1135"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del w:id="675" w:author="svcMRProcess" w:date="2020-02-15T13:30:00Z"/>
        </w:trPr>
        <w:tc>
          <w:tcPr>
            <w:tcW w:w="2273" w:type="dxa"/>
            <w:tcBorders>
              <w:top w:val="single" w:sz="4" w:space="0" w:color="auto"/>
            </w:tcBorders>
          </w:tcPr>
          <w:p>
            <w:pPr>
              <w:pStyle w:val="nTable"/>
              <w:spacing w:after="40"/>
              <w:rPr>
                <w:del w:id="676" w:author="svcMRProcess" w:date="2020-02-15T13:30:00Z"/>
                <w:sz w:val="19"/>
                <w:vertAlign w:val="superscript"/>
              </w:rPr>
            </w:pPr>
            <w:bookmarkStart w:id="677" w:name="UpToHere"/>
            <w:bookmarkEnd w:id="677"/>
            <w:del w:id="678" w:author="svcMRProcess" w:date="2020-02-15T13:30:00Z">
              <w:r>
                <w:rPr>
                  <w:i/>
                  <w:snapToGrid w:val="0"/>
                  <w:sz w:val="19"/>
                  <w:lang w:val="en-US"/>
                </w:rPr>
                <w:delText>Biosecurity and Agriculture Management (Repeal and Consequential Provisions) Act 2007</w:delText>
              </w:r>
              <w:r>
                <w:rPr>
                  <w:iCs/>
                  <w:snapToGrid w:val="0"/>
                  <w:sz w:val="19"/>
                  <w:lang w:val="en-US"/>
                </w:rPr>
                <w:delText xml:space="preserve"> s. 36 </w:delText>
              </w:r>
              <w:r>
                <w:rPr>
                  <w:iCs/>
                  <w:snapToGrid w:val="0"/>
                  <w:sz w:val="19"/>
                  <w:vertAlign w:val="superscript"/>
                  <w:lang w:val="en-US"/>
                </w:rPr>
                <w:delText>3</w:delText>
              </w:r>
            </w:del>
          </w:p>
        </w:tc>
        <w:tc>
          <w:tcPr>
            <w:tcW w:w="1135" w:type="dxa"/>
            <w:tcBorders>
              <w:top w:val="single" w:sz="4" w:space="0" w:color="auto"/>
            </w:tcBorders>
          </w:tcPr>
          <w:p>
            <w:pPr>
              <w:pStyle w:val="nTable"/>
              <w:spacing w:after="40"/>
              <w:rPr>
                <w:del w:id="679" w:author="svcMRProcess" w:date="2020-02-15T13:30:00Z"/>
                <w:sz w:val="19"/>
              </w:rPr>
            </w:pPr>
            <w:del w:id="680" w:author="svcMRProcess" w:date="2020-02-15T13:30:00Z">
              <w:r>
                <w:rPr>
                  <w:snapToGrid w:val="0"/>
                  <w:sz w:val="19"/>
                  <w:lang w:val="en-US"/>
                </w:rPr>
                <w:delText>24 of 2007</w:delText>
              </w:r>
            </w:del>
          </w:p>
        </w:tc>
        <w:tc>
          <w:tcPr>
            <w:tcW w:w="1135" w:type="dxa"/>
            <w:tcBorders>
              <w:top w:val="single" w:sz="4" w:space="0" w:color="auto"/>
            </w:tcBorders>
          </w:tcPr>
          <w:p>
            <w:pPr>
              <w:pStyle w:val="nTable"/>
              <w:spacing w:after="40"/>
              <w:rPr>
                <w:del w:id="681" w:author="svcMRProcess" w:date="2020-02-15T13:30:00Z"/>
                <w:sz w:val="19"/>
              </w:rPr>
            </w:pPr>
            <w:del w:id="682" w:author="svcMRProcess" w:date="2020-02-15T13:30:00Z">
              <w:r>
                <w:rPr>
                  <w:snapToGrid w:val="0"/>
                  <w:sz w:val="19"/>
                  <w:lang w:val="en-US"/>
                </w:rPr>
                <w:delText>12 Oct 2007</w:delText>
              </w:r>
            </w:del>
          </w:p>
        </w:tc>
        <w:tc>
          <w:tcPr>
            <w:tcW w:w="2552" w:type="dxa"/>
            <w:gridSpan w:val="2"/>
            <w:tcBorders>
              <w:top w:val="single" w:sz="4" w:space="0" w:color="auto"/>
            </w:tcBorders>
          </w:tcPr>
          <w:p>
            <w:pPr>
              <w:pStyle w:val="nTable"/>
              <w:spacing w:after="40"/>
              <w:rPr>
                <w:del w:id="683" w:author="svcMRProcess" w:date="2020-02-15T13:30:00Z"/>
                <w:sz w:val="19"/>
              </w:rPr>
            </w:pPr>
            <w:del w:id="684" w:author="svcMRProcess" w:date="2020-02-15T13:30:00Z">
              <w:r>
                <w:rPr>
                  <w:snapToGrid w:val="0"/>
                  <w:sz w:val="19"/>
                  <w:lang w:val="en-US"/>
                </w:rPr>
                <w:delText>To be proclaimed (see s. 2(1))</w:delText>
              </w:r>
            </w:del>
          </w:p>
        </w:tc>
      </w:tr>
      <w:tr>
        <w:tblPrEx>
          <w:tblBorders>
            <w:top w:val="single" w:sz="8" w:space="0" w:color="auto"/>
            <w:bottom w:val="single" w:sz="8" w:space="0" w:color="auto"/>
            <w:insideH w:val="single" w:sz="8" w:space="0" w:color="auto"/>
          </w:tblBorders>
          <w:tblCellMar>
            <w:left w:w="57" w:type="dxa"/>
            <w:right w:w="57" w:type="dxa"/>
          </w:tblCellMar>
        </w:tblPrEx>
        <w:tc>
          <w:tcPr>
            <w:tcW w:w="2273" w:type="dxa"/>
            <w:tcBorders>
              <w:top w:val="nil"/>
              <w:bottom w:val="single" w:sz="8" w:space="0" w:color="auto"/>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4</w:t>
            </w:r>
          </w:p>
        </w:tc>
        <w:tc>
          <w:tcPr>
            <w:tcW w:w="1135" w:type="dxa"/>
            <w:tcBorders>
              <w:top w:val="nil"/>
              <w:bottom w:val="single" w:sz="8" w:space="0" w:color="auto"/>
            </w:tcBorders>
          </w:tcPr>
          <w:p>
            <w:pPr>
              <w:pStyle w:val="nTable"/>
              <w:spacing w:after="40"/>
              <w:rPr>
                <w:snapToGrid w:val="0"/>
                <w:sz w:val="19"/>
                <w:lang w:val="en-US"/>
              </w:rPr>
            </w:pPr>
            <w:r>
              <w:rPr>
                <w:snapToGrid w:val="0"/>
                <w:sz w:val="19"/>
                <w:lang w:val="en-US"/>
              </w:rPr>
              <w:t>25 of 2007</w:t>
            </w:r>
          </w:p>
        </w:tc>
        <w:tc>
          <w:tcPr>
            <w:tcW w:w="1149" w:type="dxa"/>
            <w:gridSpan w:val="2"/>
            <w:tcBorders>
              <w:top w:val="nil"/>
              <w:bottom w:val="single" w:sz="8" w:space="0" w:color="auto"/>
            </w:tcBorders>
          </w:tcPr>
          <w:p>
            <w:pPr>
              <w:pStyle w:val="nTable"/>
              <w:spacing w:after="40"/>
              <w:rPr>
                <w:snapToGrid w:val="0"/>
                <w:sz w:val="19"/>
                <w:lang w:val="en-US"/>
              </w:rPr>
            </w:pPr>
            <w:r>
              <w:rPr>
                <w:sz w:val="19"/>
              </w:rPr>
              <w:t>16 Oct 2007</w:t>
            </w:r>
          </w:p>
        </w:tc>
        <w:tc>
          <w:tcPr>
            <w:tcW w:w="2547" w:type="dxa"/>
            <w:gridSpan w:val="2"/>
            <w:tcBorders>
              <w:top w:val="nil"/>
              <w:bottom w:val="single" w:sz="8" w:space="0" w:color="auto"/>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bl>
    <w:p>
      <w:pPr>
        <w:pStyle w:val="nSubsection"/>
        <w:keepLines/>
        <w:spacing w:before="160"/>
        <w:rPr>
          <w:rFonts w:ascii="Times" w:hAnsi="Times"/>
          <w:snapToGrid w:val="0"/>
        </w:rPr>
      </w:pPr>
      <w:r>
        <w:rPr>
          <w:snapToGrid w:val="0"/>
          <w:vertAlign w:val="superscript"/>
        </w:rPr>
        <w:t>2</w:t>
      </w:r>
      <w:r>
        <w:rPr>
          <w:snapToGrid w:val="0"/>
        </w:rPr>
        <w:tab/>
      </w:r>
      <w:r>
        <w:rPr>
          <w:rFonts w:ascii="Times" w:hAnsi="Times"/>
          <w:snapToGrid w:val="0"/>
        </w:rPr>
        <w:t xml:space="preserve">Repealed by the </w:t>
      </w:r>
      <w:r>
        <w:rPr>
          <w:rFonts w:ascii="Times" w:hAnsi="Times"/>
          <w:i/>
          <w:iCs/>
          <w:snapToGrid w:val="0"/>
        </w:rPr>
        <w:t>Financial Legislation Amendment and Repeal Act 2006</w:t>
      </w:r>
      <w:r>
        <w:rPr>
          <w:rFonts w:ascii="Times" w:hAnsi="Times"/>
          <w:snapToGrid w:val="0"/>
        </w:rPr>
        <w:t xml:space="preserve"> s. 3.</w:t>
      </w:r>
    </w:p>
    <w:p>
      <w:pPr>
        <w:pStyle w:val="nSubsection"/>
        <w:keepLines/>
        <w:spacing w:before="160"/>
        <w:rPr>
          <w:del w:id="685" w:author="svcMRProcess" w:date="2020-02-15T13:30:00Z"/>
          <w:snapToGrid w:val="0"/>
        </w:rPr>
      </w:pPr>
      <w:del w:id="686" w:author="svcMRProcess" w:date="2020-02-15T13:30: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lang w:val="en-US"/>
          </w:rPr>
          <w:delText>Biosecurity and Agriculture Management (Repeal and Consequential Provisions) Act 2007</w:delText>
        </w:r>
        <w:r>
          <w:rPr>
            <w:iCs/>
            <w:snapToGrid w:val="0"/>
            <w:lang w:val="en-US"/>
          </w:rPr>
          <w:delText xml:space="preserve"> s. 36</w:delText>
        </w:r>
        <w:r>
          <w:rPr>
            <w:iCs/>
            <w:snapToGrid w:val="0"/>
            <w:sz w:val="19"/>
            <w:lang w:val="en-US"/>
          </w:rPr>
          <w:delText xml:space="preserve"> </w:delText>
        </w:r>
        <w:r>
          <w:rPr>
            <w:snapToGrid w:val="0"/>
          </w:rPr>
          <w:delText>had not come into operation.  It reads as follows:</w:delText>
        </w:r>
      </w:del>
    </w:p>
    <w:p>
      <w:pPr>
        <w:pStyle w:val="MiscOpen"/>
        <w:keepNext w:val="0"/>
        <w:spacing w:before="60"/>
        <w:rPr>
          <w:del w:id="687" w:author="svcMRProcess" w:date="2020-02-15T13:30:00Z"/>
          <w:sz w:val="20"/>
        </w:rPr>
      </w:pPr>
      <w:del w:id="688" w:author="svcMRProcess" w:date="2020-02-15T13:30:00Z">
        <w:r>
          <w:rPr>
            <w:sz w:val="20"/>
          </w:rPr>
          <w:delText>“</w:delText>
        </w:r>
      </w:del>
    </w:p>
    <w:p>
      <w:pPr>
        <w:pStyle w:val="nzHeading5"/>
        <w:rPr>
          <w:del w:id="689" w:author="svcMRProcess" w:date="2020-02-15T13:30:00Z"/>
        </w:rPr>
      </w:pPr>
      <w:del w:id="690" w:author="svcMRProcess" w:date="2020-02-15T13:30:00Z">
        <w:r>
          <w:rPr>
            <w:rStyle w:val="CharSectno"/>
          </w:rPr>
          <w:delText>36</w:delText>
        </w:r>
        <w:r>
          <w:delText>.</w:delText>
        </w:r>
        <w:r>
          <w:tab/>
        </w:r>
        <w:r>
          <w:rPr>
            <w:i/>
            <w:iCs/>
          </w:rPr>
          <w:delText>Financial Management Act 2006</w:delText>
        </w:r>
        <w:r>
          <w:delText xml:space="preserve"> amended</w:delText>
        </w:r>
      </w:del>
    </w:p>
    <w:p>
      <w:pPr>
        <w:pStyle w:val="nzSubsection"/>
        <w:rPr>
          <w:del w:id="691" w:author="svcMRProcess" w:date="2020-02-15T13:30:00Z"/>
        </w:rPr>
      </w:pPr>
      <w:del w:id="692" w:author="svcMRProcess" w:date="2020-02-15T13:30:00Z">
        <w:r>
          <w:tab/>
          <w:delText>(1)</w:delText>
        </w:r>
        <w:r>
          <w:tab/>
          <w:delText xml:space="preserve">The amendment in this section is to the </w:delText>
        </w:r>
        <w:r>
          <w:rPr>
            <w:i/>
            <w:iCs/>
          </w:rPr>
          <w:delText>Financial Management Act 2006</w:delText>
        </w:r>
        <w:r>
          <w:delText>.</w:delText>
        </w:r>
      </w:del>
    </w:p>
    <w:p>
      <w:pPr>
        <w:pStyle w:val="nzSubsection"/>
        <w:rPr>
          <w:del w:id="693" w:author="svcMRProcess" w:date="2020-02-15T13:30:00Z"/>
        </w:rPr>
      </w:pPr>
      <w:del w:id="694" w:author="svcMRProcess" w:date="2020-02-15T13:30:00Z">
        <w:r>
          <w:tab/>
          <w:delText>(2)</w:delText>
        </w:r>
        <w:r>
          <w:tab/>
          <w:delText>Schedule 1 is amended by deleting “The Agriculture Protection Board of Western Australia”.</w:delText>
        </w:r>
      </w:del>
    </w:p>
    <w:p>
      <w:pPr>
        <w:pStyle w:val="MiscClose"/>
        <w:rPr>
          <w:del w:id="695" w:author="svcMRProcess" w:date="2020-02-15T13:30:00Z"/>
        </w:rPr>
      </w:pPr>
      <w:del w:id="696" w:author="svcMRProcess" w:date="2020-02-15T13:30:00Z">
        <w:r>
          <w:delText>”.</w:delText>
        </w:r>
      </w:del>
    </w:p>
    <w:p>
      <w:pPr>
        <w:pStyle w:val="nSubsection"/>
        <w:keepLines/>
        <w:spacing w:before="160"/>
        <w:rPr>
          <w:ins w:id="697" w:author="svcMRProcess" w:date="2020-02-15T13:30:00Z"/>
          <w:snapToGrid w:val="0"/>
        </w:rPr>
      </w:pPr>
      <w:ins w:id="698" w:author="svcMRProcess" w:date="2020-02-15T13:30:00Z">
        <w:r>
          <w:rPr>
            <w:snapToGrid w:val="0"/>
            <w:vertAlign w:val="superscript"/>
          </w:rPr>
          <w:t>3</w:t>
        </w:r>
        <w:r>
          <w:rPr>
            <w:snapToGrid w:val="0"/>
          </w:rPr>
          <w:tab/>
          <w:t>Footnote no longer applicable.</w:t>
        </w:r>
      </w:ins>
    </w:p>
    <w:p>
      <w:pPr>
        <w:pStyle w:val="nSubsection"/>
        <w:keepNext/>
        <w:keepLines/>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keepNext/>
        <w:keepLines/>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88DE3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F208EC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52CD7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43EE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4CEC62C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5660C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9F8072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8E50A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4C4955E"/>
    <w:lvl w:ilvl="0">
      <w:start w:val="1"/>
      <w:numFmt w:val="decimal"/>
      <w:pStyle w:val="ListNumber"/>
      <w:lvlText w:val="%1."/>
      <w:lvlJc w:val="left"/>
      <w:pPr>
        <w:tabs>
          <w:tab w:val="num" w:pos="360"/>
        </w:tabs>
        <w:ind w:left="360" w:hanging="360"/>
      </w:pPr>
    </w:lvl>
  </w:abstractNum>
  <w:abstractNum w:abstractNumId="9">
    <w:nsid w:val="FFFFFF89"/>
    <w:multiLevelType w:val="singleLevel"/>
    <w:tmpl w:val="B1C21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8325C4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7EE984C"/>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055"/>
    <w:docVar w:name="WAFER_20151204155620" w:val="RemoveBadVanishTags"/>
    <w:docVar w:name="WAFER_20151204155620_GUID" w:val="5055fd4d-5523-49a3-9379-f1a9a4313ddb"/>
    <w:docVar w:name="WAFER_20151216141055" w:val="RemoveTrackChanges"/>
    <w:docVar w:name="WAFER_20151216141055_GUID" w:val="6867639d-dddb-42fa-917d-32c8c028d8d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15231</Words>
  <Characters>76156</Characters>
  <Application>Microsoft Office Word</Application>
  <DocSecurity>0</DocSecurity>
  <Lines>2058</Lines>
  <Paragraphs>1171</Paragraphs>
  <ScaleCrop>false</ScaleCrop>
  <HeadingPairs>
    <vt:vector size="4" baseType="variant">
      <vt:variant>
        <vt:lpstr>Title</vt:lpstr>
      </vt:variant>
      <vt:variant>
        <vt:i4>1</vt:i4>
      </vt:variant>
      <vt:variant>
        <vt:lpstr>Headings</vt:lpstr>
      </vt:variant>
      <vt:variant>
        <vt:i4>28</vt:i4>
      </vt:variant>
    </vt:vector>
  </HeadingPairs>
  <TitlesOfParts>
    <vt:vector size="29"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lpstr>    Defined Terms</vt:lpstr>
    </vt:vector>
  </TitlesOfParts>
  <Manager/>
  <Company/>
  <LinksUpToDate>false</LinksUpToDate>
  <CharactersWithSpaces>90216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01-j0-03 - 01-k0-03</dc:title>
  <dc:subject/>
  <dc:creator/>
  <cp:keywords/>
  <dc:description/>
  <cp:lastModifiedBy>svcMRProcess</cp:lastModifiedBy>
  <cp:revision>2</cp:revision>
  <cp:lastPrinted>2008-09-22T03:29:00Z</cp:lastPrinted>
  <dcterms:created xsi:type="dcterms:W3CDTF">2020-02-15T05:29:00Z</dcterms:created>
  <dcterms:modified xsi:type="dcterms:W3CDTF">2020-02-15T05:30:00Z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146606</vt:i4>
  </property>
  <property fmtid="{D5CDD505-2E9C-101B-9397-08002B2CF9AE}" pid="6" name="ReprintNo">
    <vt:lpwstr>1</vt:lpwstr>
  </property>
  <property fmtid="{D5CDD505-2E9C-101B-9397-08002B2CF9AE}" pid="7" name="ThisVersion">
    <vt:lpwstr>01-j0-00</vt:lpwstr>
  </property>
  <property fmtid="{D5CDD505-2E9C-101B-9397-08002B2CF9AE}" pid="8" name="FromSuffix">
    <vt:lpwstr>01-j0-03</vt:lpwstr>
  </property>
  <property fmtid="{D5CDD505-2E9C-101B-9397-08002B2CF9AE}" pid="9" name="FromAsAtDate">
    <vt:lpwstr>01 Dec 2010</vt:lpwstr>
  </property>
  <property fmtid="{D5CDD505-2E9C-101B-9397-08002B2CF9AE}" pid="10" name="ToSuffix">
    <vt:lpwstr>01-k0-03</vt:lpwstr>
  </property>
  <property fmtid="{D5CDD505-2E9C-101B-9397-08002B2CF9AE}" pid="11" name="ToAsAtDate">
    <vt:lpwstr>18 Dec 2010</vt:lpwstr>
  </property>
</Properties>
</file>