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15-k0-02</w:t>
      </w:r>
      <w:r>
        <w:fldChar w:fldCharType="end"/>
      </w:r>
      <w:r>
        <w:t>] and [</w:t>
      </w:r>
      <w:r>
        <w:fldChar w:fldCharType="begin"/>
      </w:r>
      <w:r>
        <w:instrText xml:space="preserve"> DocProperty ToAsAtDate</w:instrText>
      </w:r>
      <w:r>
        <w:fldChar w:fldCharType="separate"/>
      </w:r>
      <w:r>
        <w:t>12 May 2006</w:t>
      </w:r>
      <w:r>
        <w:fldChar w:fldCharType="end"/>
      </w:r>
      <w:r>
        <w:t xml:space="preserve">, </w:t>
      </w:r>
      <w:r>
        <w:fldChar w:fldCharType="begin"/>
      </w:r>
      <w:r>
        <w:instrText xml:space="preserve"> DocProperty ToSuffix</w:instrText>
      </w:r>
      <w:r>
        <w:fldChar w:fldCharType="separate"/>
      </w:r>
      <w:r>
        <w:t>16-a0-03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0T23:16:00Z"/>
        </w:trPr>
        <w:tc>
          <w:tcPr>
            <w:tcW w:w="2434" w:type="dxa"/>
            <w:vMerge w:val="restart"/>
          </w:tcPr>
          <w:p>
            <w:pPr>
              <w:rPr>
                <w:ins w:id="1" w:author="svcMRProcess" w:date="2020-02-20T23:16:00Z"/>
              </w:rPr>
            </w:pPr>
          </w:p>
        </w:tc>
        <w:tc>
          <w:tcPr>
            <w:tcW w:w="2434" w:type="dxa"/>
            <w:vMerge w:val="restart"/>
          </w:tcPr>
          <w:p>
            <w:pPr>
              <w:jc w:val="center"/>
              <w:rPr>
                <w:ins w:id="2" w:author="svcMRProcess" w:date="2020-02-20T23:16:00Z"/>
              </w:rPr>
            </w:pPr>
            <w:ins w:id="3" w:author="svcMRProcess" w:date="2020-02-20T23:1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20T23:16:00Z"/>
              </w:rPr>
            </w:pPr>
          </w:p>
        </w:tc>
      </w:tr>
      <w:tr>
        <w:trPr>
          <w:cantSplit/>
          <w:ins w:id="5" w:author="svcMRProcess" w:date="2020-02-20T23:16:00Z"/>
        </w:trPr>
        <w:tc>
          <w:tcPr>
            <w:tcW w:w="2434" w:type="dxa"/>
            <w:vMerge/>
          </w:tcPr>
          <w:p>
            <w:pPr>
              <w:rPr>
                <w:ins w:id="6" w:author="svcMRProcess" w:date="2020-02-20T23:16:00Z"/>
              </w:rPr>
            </w:pPr>
          </w:p>
        </w:tc>
        <w:tc>
          <w:tcPr>
            <w:tcW w:w="2434" w:type="dxa"/>
            <w:vMerge/>
          </w:tcPr>
          <w:p>
            <w:pPr>
              <w:jc w:val="center"/>
              <w:rPr>
                <w:ins w:id="7" w:author="svcMRProcess" w:date="2020-02-20T23:16:00Z"/>
              </w:rPr>
            </w:pPr>
          </w:p>
        </w:tc>
        <w:tc>
          <w:tcPr>
            <w:tcW w:w="2434" w:type="dxa"/>
          </w:tcPr>
          <w:p>
            <w:pPr>
              <w:keepNext/>
              <w:rPr>
                <w:ins w:id="8" w:author="svcMRProcess" w:date="2020-02-20T23:16:00Z"/>
                <w:b/>
                <w:sz w:val="22"/>
              </w:rPr>
            </w:pPr>
            <w:ins w:id="9" w:author="svcMRProcess" w:date="2020-02-20T23:16:00Z">
              <w:r>
                <w:rPr>
                  <w:b/>
                  <w:sz w:val="22"/>
                </w:rPr>
                <w:t xml:space="preserve">Reprinted under the </w:t>
              </w:r>
              <w:r>
                <w:rPr>
                  <w:b/>
                  <w:i/>
                  <w:sz w:val="22"/>
                </w:rPr>
                <w:t>Reprints Act 1984</w:t>
              </w:r>
              <w:r>
                <w:rPr>
                  <w:b/>
                  <w:sz w:val="22"/>
                </w:rPr>
                <w:t xml:space="preserve"> as </w:t>
              </w:r>
              <w:r>
                <w:rPr>
                  <w:b/>
                  <w:sz w:val="22"/>
                </w:rPr>
                <w:br/>
                <w:t>at 12</w:t>
              </w:r>
              <w:r>
                <w:rPr>
                  <w:b/>
                  <w:snapToGrid w:val="0"/>
                  <w:sz w:val="22"/>
                </w:rPr>
                <w:t xml:space="preserve"> May 2006</w:t>
              </w:r>
            </w:ins>
          </w:p>
        </w:tc>
      </w:tr>
    </w:tbl>
    <w:p>
      <w:pPr>
        <w:pStyle w:val="WA"/>
        <w:spacing w:before="120"/>
      </w:pPr>
      <w:r>
        <w:t>Western Australia</w:t>
      </w:r>
    </w:p>
    <w:p>
      <w:pPr>
        <w:pStyle w:val="NameofActReg"/>
        <w:spacing w:before="960" w:after="1080"/>
      </w:pPr>
      <w:r>
        <w:t>Stamp Act 1921</w:t>
      </w:r>
    </w:p>
    <w:p>
      <w:pPr>
        <w:pStyle w:val="LongTitle"/>
        <w:rPr>
          <w:snapToGrid w:val="0"/>
        </w:rPr>
      </w:pPr>
      <w:r>
        <w:rPr>
          <w:snapToGrid w:val="0"/>
        </w:rPr>
        <w:t>A</w:t>
      </w:r>
      <w:bookmarkStart w:id="10" w:name="_GoBack"/>
      <w:bookmarkEnd w:id="10"/>
      <w:r>
        <w:rPr>
          <w:snapToGrid w:val="0"/>
        </w:rPr>
        <w:t>n Act to amend and consolidate the law relating to stamp duties upon instruments and to impose certain stamp duties, and for other relative purposes.</w:t>
      </w:r>
      <w:del w:id="11" w:author="svcMRProcess" w:date="2020-02-20T23:16:00Z">
        <w:r>
          <w:rPr>
            <w:snapToGrid w:val="0"/>
          </w:rPr>
          <w:delText xml:space="preserve"> </w:delText>
        </w:r>
      </w:del>
    </w:p>
    <w:p>
      <w:pPr>
        <w:pStyle w:val="Heading2"/>
      </w:pPr>
      <w:bookmarkStart w:id="12" w:name="_Toc58902506"/>
      <w:bookmarkStart w:id="13" w:name="_Toc76899495"/>
      <w:bookmarkStart w:id="14" w:name="_Toc78090397"/>
      <w:bookmarkStart w:id="15" w:name="_Toc88886765"/>
      <w:bookmarkStart w:id="16" w:name="_Toc90443381"/>
      <w:bookmarkStart w:id="17" w:name="_Toc90452732"/>
      <w:bookmarkStart w:id="18" w:name="_Toc100029323"/>
      <w:bookmarkStart w:id="19" w:name="_Toc100031396"/>
      <w:bookmarkStart w:id="20" w:name="_Toc100458455"/>
      <w:bookmarkStart w:id="21" w:name="_Toc101671871"/>
      <w:bookmarkStart w:id="22" w:name="_Toc101672128"/>
      <w:bookmarkStart w:id="23" w:name="_Toc102799154"/>
      <w:bookmarkStart w:id="24" w:name="_Toc102981828"/>
      <w:bookmarkStart w:id="25" w:name="_Toc103403141"/>
      <w:bookmarkStart w:id="26" w:name="_Toc103403398"/>
      <w:bookmarkStart w:id="27" w:name="_Toc103747397"/>
      <w:bookmarkStart w:id="28" w:name="_Toc107054826"/>
      <w:bookmarkStart w:id="29" w:name="_Toc113874273"/>
      <w:bookmarkStart w:id="30" w:name="_Toc113956689"/>
      <w:bookmarkStart w:id="31" w:name="_Toc116717245"/>
      <w:bookmarkStart w:id="32" w:name="_Toc116813272"/>
      <w:bookmarkStart w:id="33" w:name="_Toc122332924"/>
      <w:bookmarkStart w:id="34" w:name="_Toc122861894"/>
      <w:bookmarkStart w:id="35" w:name="_Toc122862490"/>
      <w:bookmarkStart w:id="36" w:name="_Toc122921097"/>
      <w:bookmarkStart w:id="37" w:name="_Toc122921357"/>
      <w:bookmarkStart w:id="38" w:name="_Toc122947302"/>
      <w:bookmarkStart w:id="39" w:name="_Toc124046138"/>
      <w:bookmarkStart w:id="40" w:name="_Toc130266459"/>
      <w:bookmarkStart w:id="41" w:name="_Toc130266735"/>
      <w:bookmarkStart w:id="42" w:name="_Toc131382838"/>
      <w:bookmarkStart w:id="43" w:name="_Toc133812219"/>
      <w:bookmarkStart w:id="44" w:name="_Toc133920166"/>
      <w:bookmarkStart w:id="45" w:name="_Toc134854563"/>
      <w:bookmarkStart w:id="46" w:name="_Toc134854839"/>
      <w:bookmarkStart w:id="47" w:name="_Toc136841016"/>
      <w:bookmarkStart w:id="48" w:name="_Toc131415723"/>
      <w:bookmarkStart w:id="49" w:name="_Toc131416022"/>
      <w:bookmarkStart w:id="50" w:name="_Toc170193205"/>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del w:id="51" w:author="svcMRProcess" w:date="2020-02-20T23:16:00Z">
        <w:r>
          <w:rPr>
            <w:rStyle w:val="CharPartText"/>
          </w:rPr>
          <w:delText xml:space="preserve"> </w:delText>
        </w:r>
      </w:del>
    </w:p>
    <w:p>
      <w:pPr>
        <w:pStyle w:val="Heading5"/>
        <w:rPr>
          <w:snapToGrid w:val="0"/>
        </w:rPr>
      </w:pPr>
      <w:bookmarkStart w:id="52" w:name="_Toc500739862"/>
      <w:bookmarkStart w:id="53" w:name="_Toc520101053"/>
      <w:bookmarkStart w:id="54" w:name="_Toc520532952"/>
      <w:bookmarkStart w:id="55" w:name="_Toc49223859"/>
      <w:bookmarkStart w:id="56" w:name="_Toc107054827"/>
      <w:bookmarkStart w:id="57" w:name="_Toc134854564"/>
      <w:bookmarkStart w:id="58" w:name="_Toc136841017"/>
      <w:bookmarkStart w:id="59" w:name="_Toc131416023"/>
      <w:bookmarkStart w:id="60" w:name="_Toc170193206"/>
      <w:r>
        <w:rPr>
          <w:rStyle w:val="CharSectno"/>
        </w:rPr>
        <w:t>1</w:t>
      </w:r>
      <w:r>
        <w:rPr>
          <w:snapToGrid w:val="0"/>
        </w:rPr>
        <w:t>.</w:t>
      </w:r>
      <w:r>
        <w:rPr>
          <w:snapToGrid w:val="0"/>
        </w:rPr>
        <w:tab/>
        <w:t>Short title and commencement</w:t>
      </w:r>
      <w:bookmarkEnd w:id="52"/>
      <w:bookmarkEnd w:id="53"/>
      <w:bookmarkEnd w:id="54"/>
      <w:bookmarkEnd w:id="55"/>
      <w:bookmarkEnd w:id="56"/>
      <w:bookmarkEnd w:id="57"/>
      <w:bookmarkEnd w:id="58"/>
      <w:bookmarkEnd w:id="59"/>
      <w:bookmarkEnd w:id="60"/>
      <w:del w:id="61" w:author="svcMRProcess" w:date="2020-02-20T23:16: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del w:id="62" w:author="svcMRProcess" w:date="2020-02-20T23:16:00Z">
        <w:r>
          <w:delText xml:space="preserve"> </w:delText>
        </w:r>
      </w:del>
    </w:p>
    <w:p>
      <w:pPr>
        <w:pStyle w:val="Ednotesection"/>
        <w:ind w:left="890" w:hanging="890"/>
      </w:pPr>
      <w:bookmarkStart w:id="63" w:name="_Toc500739865"/>
      <w:bookmarkStart w:id="64" w:name="_Toc520101056"/>
      <w:bookmarkStart w:id="65" w:name="_Toc520532955"/>
      <w:r>
        <w:t>[</w:t>
      </w:r>
      <w:r>
        <w:rPr>
          <w:b/>
        </w:rPr>
        <w:t>2A, 3.</w:t>
      </w:r>
      <w:r>
        <w:tab/>
        <w:t>Repealed by No. 2 of 2003 s. 4.]</w:t>
      </w:r>
      <w:del w:id="66" w:author="svcMRProcess" w:date="2020-02-20T23:16:00Z">
        <w:r>
          <w:delText xml:space="preserve"> </w:delText>
        </w:r>
      </w:del>
    </w:p>
    <w:p>
      <w:pPr>
        <w:pStyle w:val="Heading5"/>
        <w:rPr>
          <w:snapToGrid w:val="0"/>
        </w:rPr>
      </w:pPr>
      <w:bookmarkStart w:id="67" w:name="_Toc49223860"/>
      <w:bookmarkStart w:id="68" w:name="_Toc107054828"/>
      <w:bookmarkStart w:id="69" w:name="_Toc134854565"/>
      <w:bookmarkStart w:id="70" w:name="_Toc136841018"/>
      <w:bookmarkStart w:id="71" w:name="_Toc131416024"/>
      <w:bookmarkStart w:id="72" w:name="_Toc170193207"/>
      <w:r>
        <w:rPr>
          <w:rStyle w:val="CharSectno"/>
        </w:rPr>
        <w:t>4</w:t>
      </w:r>
      <w:r>
        <w:rPr>
          <w:snapToGrid w:val="0"/>
        </w:rPr>
        <w:t>.</w:t>
      </w:r>
      <w:r>
        <w:rPr>
          <w:snapToGrid w:val="0"/>
        </w:rPr>
        <w:tab/>
        <w:t>Interpretation</w:t>
      </w:r>
      <w:bookmarkEnd w:id="63"/>
      <w:bookmarkEnd w:id="64"/>
      <w:bookmarkEnd w:id="65"/>
      <w:bookmarkEnd w:id="67"/>
      <w:bookmarkEnd w:id="68"/>
      <w:bookmarkEnd w:id="69"/>
      <w:bookmarkEnd w:id="70"/>
      <w:bookmarkEnd w:id="71"/>
      <w:bookmarkEnd w:id="72"/>
      <w:del w:id="73" w:author="svcMRProcess" w:date="2020-02-20T23:16:00Z">
        <w:r>
          <w:rPr>
            <w:snapToGrid w:val="0"/>
          </w:rPr>
          <w:delText xml:space="preserve"> </w:delText>
        </w:r>
      </w:del>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del w:id="74" w:author="svcMRProcess" w:date="2020-02-20T23:16:00Z">
        <w:r>
          <w:rPr>
            <w:snapToGrid w:val="0"/>
          </w:rPr>
          <w:delText> </w:delText>
        </w:r>
      </w:del>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lastRenderedPageBreak/>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iCs/>
        </w:rPr>
        <w:t>A</w:t>
      </w:r>
      <w:del w:id="75" w:author="svcMRProcess" w:date="2020-02-20T23:16:00Z">
        <w:r>
          <w:rPr>
            <w:i/>
          </w:rPr>
          <w:delText xml:space="preserve"> </w:delText>
        </w:r>
      </w:del>
      <w:ins w:id="76" w:author="svcMRProcess" w:date="2020-02-20T23:16:00Z">
        <w:r>
          <w:rPr>
            <w:i/>
            <w:iCs/>
          </w:rPr>
          <w:t> </w:t>
        </w:r>
      </w:ins>
      <w:r>
        <w:rPr>
          <w:i/>
          <w:iCs/>
        </w:rPr>
        <w:t>New Tax System (Goods and Services Tax) Act 1999</w:t>
      </w:r>
      <w:r>
        <w:t xml:space="preserve"> except that it includes notional GST of the kind for which payments may be made under the </w:t>
      </w:r>
      <w:r>
        <w:rPr>
          <w:i/>
        </w:rPr>
        <w:t xml:space="preserve">State Entities (Payments) </w:t>
      </w:r>
      <w:r>
        <w:rPr>
          <w:i/>
        </w:rPr>
        <w:lastRenderedPageBreak/>
        <w:t>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del w:id="77" w:author="svcMRProcess" w:date="2020-02-20T23:16:00Z">
        <w:r>
          <w:delText> </w:delText>
        </w:r>
      </w:del>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del w:id="78" w:author="svcMRProcess" w:date="2020-02-20T23:16:00Z">
        <w:r>
          <w:delText> </w:delText>
        </w:r>
      </w:del>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del w:id="79" w:author="svcMRProcess" w:date="2020-02-20T23:16:00Z">
        <w:r>
          <w:delText xml:space="preserve"> </w:delText>
        </w:r>
      </w:del>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iCs/>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del w:id="80" w:author="svcMRProcess" w:date="2020-02-20T23:16:00Z">
        <w:r>
          <w:rPr>
            <w:rFonts w:ascii="Times" w:hAnsi="Times"/>
            <w:i w:val="0"/>
            <w:vertAlign w:val="superscript"/>
          </w:rPr>
          <w:delText> 2</w:delText>
        </w:r>
        <w:r>
          <w:delText xml:space="preserve">.] </w:delText>
        </w:r>
      </w:del>
      <w:ins w:id="81" w:author="svcMRProcess" w:date="2020-02-20T23:16:00Z">
        <w:r>
          <w:t>.]</w:t>
        </w:r>
      </w:ins>
    </w:p>
    <w:p>
      <w:pPr>
        <w:pStyle w:val="Heading5"/>
      </w:pPr>
      <w:bookmarkStart w:id="82" w:name="_Toc500739866"/>
      <w:bookmarkStart w:id="83" w:name="_Toc520101057"/>
      <w:bookmarkStart w:id="84" w:name="_Toc520532956"/>
      <w:bookmarkStart w:id="85" w:name="_Toc49223861"/>
      <w:bookmarkStart w:id="86" w:name="_Toc107054829"/>
      <w:bookmarkStart w:id="87" w:name="_Toc134854566"/>
      <w:bookmarkStart w:id="88" w:name="_Toc136841019"/>
      <w:bookmarkStart w:id="89" w:name="_Toc131416025"/>
      <w:bookmarkStart w:id="90" w:name="_Toc170193208"/>
      <w:r>
        <w:rPr>
          <w:rStyle w:val="CharSectno"/>
        </w:rPr>
        <w:t>4A</w:t>
      </w:r>
      <w:r>
        <w:t>.</w:t>
      </w:r>
      <w:r>
        <w:tab/>
        <w:t>Treatment of amounts payable for GST</w:t>
      </w:r>
      <w:bookmarkEnd w:id="82"/>
      <w:bookmarkEnd w:id="83"/>
      <w:bookmarkEnd w:id="84"/>
      <w:bookmarkEnd w:id="85"/>
      <w:bookmarkEnd w:id="86"/>
      <w:bookmarkEnd w:id="87"/>
      <w:bookmarkEnd w:id="88"/>
      <w:bookmarkEnd w:id="89"/>
      <w:bookmarkEnd w:id="90"/>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91" w:name="_Toc76899499"/>
      <w:bookmarkStart w:id="92" w:name="_Toc78090401"/>
      <w:bookmarkStart w:id="93" w:name="_Toc88886769"/>
      <w:bookmarkStart w:id="94" w:name="_Toc90443385"/>
      <w:bookmarkStart w:id="95" w:name="_Toc90452736"/>
      <w:bookmarkStart w:id="96" w:name="_Toc100029327"/>
      <w:bookmarkStart w:id="97" w:name="_Toc100031400"/>
      <w:bookmarkStart w:id="98" w:name="_Toc100458459"/>
      <w:bookmarkStart w:id="99" w:name="_Toc101671875"/>
      <w:bookmarkStart w:id="100" w:name="_Toc101672132"/>
      <w:bookmarkStart w:id="101" w:name="_Toc102799158"/>
      <w:bookmarkStart w:id="102" w:name="_Toc102981832"/>
      <w:bookmarkStart w:id="103" w:name="_Toc103403145"/>
      <w:bookmarkStart w:id="104" w:name="_Toc103403402"/>
      <w:bookmarkStart w:id="105" w:name="_Toc103747401"/>
      <w:bookmarkStart w:id="106" w:name="_Toc107054830"/>
      <w:bookmarkStart w:id="107" w:name="_Toc113874277"/>
      <w:bookmarkStart w:id="108" w:name="_Toc113956693"/>
      <w:bookmarkStart w:id="109" w:name="_Toc116717249"/>
      <w:bookmarkStart w:id="110" w:name="_Toc116813276"/>
      <w:bookmarkStart w:id="111" w:name="_Toc122332928"/>
      <w:bookmarkStart w:id="112" w:name="_Toc122861898"/>
      <w:bookmarkStart w:id="113" w:name="_Toc122862494"/>
      <w:bookmarkStart w:id="114" w:name="_Toc122921101"/>
      <w:bookmarkStart w:id="115" w:name="_Toc122921361"/>
      <w:bookmarkStart w:id="116" w:name="_Toc122947306"/>
      <w:bookmarkStart w:id="117" w:name="_Toc124046142"/>
      <w:bookmarkStart w:id="118" w:name="_Toc130266463"/>
      <w:bookmarkStart w:id="119" w:name="_Toc130266739"/>
      <w:bookmarkStart w:id="120" w:name="_Toc131382842"/>
      <w:bookmarkStart w:id="121" w:name="_Toc133812223"/>
      <w:bookmarkStart w:id="122" w:name="_Toc133920170"/>
      <w:bookmarkStart w:id="123" w:name="_Toc134854567"/>
      <w:bookmarkStart w:id="124" w:name="_Toc134854843"/>
      <w:bookmarkStart w:id="125" w:name="_Toc136841020"/>
      <w:bookmarkStart w:id="126" w:name="_Toc131415727"/>
      <w:bookmarkStart w:id="127" w:name="_Toc131416026"/>
      <w:bookmarkStart w:id="128" w:name="_Toc170193209"/>
      <w:bookmarkStart w:id="129" w:name="_Toc58902510"/>
      <w:r>
        <w:rPr>
          <w:rStyle w:val="CharPartNo"/>
        </w:rPr>
        <w:t>Part II</w:t>
      </w:r>
      <w:r>
        <w:rPr>
          <w:rStyle w:val="CharDivNo"/>
        </w:rPr>
        <w:t> </w:t>
      </w:r>
      <w:r>
        <w:t>—</w:t>
      </w:r>
      <w:r>
        <w:rPr>
          <w:rStyle w:val="CharDivText"/>
        </w:rPr>
        <w:t> </w:t>
      </w:r>
      <w:r>
        <w:rPr>
          <w:rStyle w:val="CharPartText"/>
        </w:rPr>
        <w:t>Conditional contracts (interpretation)</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Footnoteheading"/>
        <w:tabs>
          <w:tab w:val="left" w:pos="851"/>
        </w:tabs>
      </w:pPr>
      <w:r>
        <w:tab/>
        <w:t>[Heading inserted by No. 12 of 2004 s. 15.]</w:t>
      </w:r>
    </w:p>
    <w:p>
      <w:pPr>
        <w:pStyle w:val="Heading5"/>
      </w:pPr>
      <w:bookmarkStart w:id="130" w:name="_Toc107054831"/>
      <w:bookmarkStart w:id="131" w:name="_Toc134854568"/>
      <w:bookmarkStart w:id="132" w:name="_Toc136841021"/>
      <w:bookmarkStart w:id="133" w:name="_Toc131416027"/>
      <w:bookmarkStart w:id="134" w:name="_Toc170193210"/>
      <w:r>
        <w:rPr>
          <w:rStyle w:val="CharSectno"/>
        </w:rPr>
        <w:t>6</w:t>
      </w:r>
      <w:r>
        <w:t>.</w:t>
      </w:r>
      <w:r>
        <w:tab/>
        <w:t>Meaning of “eligible conditional contract”</w:t>
      </w:r>
      <w:bookmarkEnd w:id="130"/>
      <w:bookmarkEnd w:id="131"/>
      <w:bookmarkEnd w:id="132"/>
      <w:bookmarkEnd w:id="133"/>
      <w:bookmarkEnd w:id="134"/>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del w:id="135" w:author="svcMRProcess" w:date="2020-02-20T23:16:00Z">
        <w:r>
          <w:delText xml:space="preserve"> </w:delText>
        </w:r>
      </w:del>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del w:id="136" w:author="svcMRProcess" w:date="2020-02-20T23:16:00Z">
        <w:r>
          <w:delText xml:space="preserve"> </w:delText>
        </w:r>
      </w:del>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del w:id="137" w:author="svcMRProcess" w:date="2020-02-20T23:16:00Z">
        <w:r>
          <w:delText xml:space="preserve"> </w:delText>
        </w:r>
      </w:del>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38" w:name="_Toc107054832"/>
      <w:bookmarkStart w:id="139" w:name="_Toc134854569"/>
      <w:bookmarkStart w:id="140" w:name="_Toc136841022"/>
      <w:bookmarkStart w:id="141" w:name="_Toc131416028"/>
      <w:bookmarkStart w:id="142" w:name="_Toc170193211"/>
      <w:r>
        <w:rPr>
          <w:rStyle w:val="CharSectno"/>
        </w:rPr>
        <w:t>7</w:t>
      </w:r>
      <w:r>
        <w:t>.</w:t>
      </w:r>
      <w:r>
        <w:tab/>
        <w:t>Persons who are “related” for the purposes of this Part</w:t>
      </w:r>
      <w:bookmarkEnd w:id="138"/>
      <w:bookmarkEnd w:id="139"/>
      <w:bookmarkEnd w:id="140"/>
      <w:bookmarkEnd w:id="141"/>
      <w:bookmarkEnd w:id="142"/>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del w:id="143" w:author="svcMRProcess" w:date="2020-02-20T23:16:00Z">
        <w:r>
          <w:delText xml:space="preserve"> </w:delText>
        </w:r>
      </w:del>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del w:id="144" w:author="svcMRProcess" w:date="2020-02-20T23:16:00Z">
        <w:r>
          <w:delText xml:space="preserve"> </w:delText>
        </w:r>
      </w:del>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del w:id="145" w:author="svcMRProcess" w:date="2020-02-20T23:16:00Z">
        <w:r>
          <w:delText xml:space="preserve"> </w:delText>
        </w:r>
      </w:del>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del w:id="146" w:author="svcMRProcess" w:date="2020-02-20T23:16:00Z">
        <w:r>
          <w:delText xml:space="preserve"> </w:delText>
        </w:r>
      </w:del>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47" w:name="_Toc107054833"/>
      <w:bookmarkStart w:id="148" w:name="_Toc134854570"/>
      <w:bookmarkStart w:id="149" w:name="_Toc136841023"/>
      <w:bookmarkStart w:id="150" w:name="_Toc131416029"/>
      <w:bookmarkStart w:id="151" w:name="_Toc170193212"/>
      <w:r>
        <w:rPr>
          <w:rStyle w:val="CharSectno"/>
        </w:rPr>
        <w:t>8</w:t>
      </w:r>
      <w:r>
        <w:t>.</w:t>
      </w:r>
      <w:r>
        <w:tab/>
        <w:t>Meaning of “general conditional contract”</w:t>
      </w:r>
      <w:bookmarkEnd w:id="147"/>
      <w:bookmarkEnd w:id="148"/>
      <w:bookmarkEnd w:id="149"/>
      <w:bookmarkEnd w:id="150"/>
      <w:bookmarkEnd w:id="151"/>
    </w:p>
    <w:p>
      <w:pPr>
        <w:pStyle w:val="Subsection"/>
      </w:pPr>
      <w:r>
        <w:tab/>
        <w:t>(1)</w:t>
      </w:r>
      <w:r>
        <w:tab/>
        <w:t xml:space="preserve">A </w:t>
      </w:r>
      <w:r>
        <w:rPr>
          <w:b/>
        </w:rPr>
        <w:t>“</w:t>
      </w:r>
      <w:r>
        <w:rPr>
          <w:rStyle w:val="CharDefText"/>
        </w:rPr>
        <w:t>general conditional contract</w:t>
      </w:r>
      <w:r>
        <w:rPr>
          <w:b/>
          <w:bCs/>
        </w:rPr>
        <w:t>”</w:t>
      </w:r>
      <w:r>
        <w:t xml:space="preserve"> is an eligible conditional contract, completion of which is conditional on the happening of one or more of the following events, as specified in the contract —</w:t>
      </w:r>
      <w:del w:id="152" w:author="svcMRProcess" w:date="2020-02-20T23:16:00Z">
        <w:r>
          <w:delText xml:space="preserve"> </w:delText>
        </w:r>
      </w:del>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53" w:name="_Toc107054834"/>
      <w:bookmarkStart w:id="154" w:name="_Toc134854571"/>
      <w:bookmarkStart w:id="155" w:name="_Toc136841024"/>
      <w:bookmarkStart w:id="156" w:name="_Toc131416030"/>
      <w:bookmarkStart w:id="157" w:name="_Toc170193213"/>
      <w:r>
        <w:rPr>
          <w:rStyle w:val="CharSectno"/>
        </w:rPr>
        <w:t>9</w:t>
      </w:r>
      <w:r>
        <w:t>.</w:t>
      </w:r>
      <w:r>
        <w:tab/>
        <w:t>Meaning of “farming land conditional contract”</w:t>
      </w:r>
      <w:bookmarkEnd w:id="153"/>
      <w:bookmarkEnd w:id="154"/>
      <w:bookmarkEnd w:id="155"/>
      <w:bookmarkEnd w:id="156"/>
      <w:bookmarkEnd w:id="157"/>
    </w:p>
    <w:p>
      <w:pPr>
        <w:pStyle w:val="Subsection"/>
        <w:spacing w:before="120"/>
      </w:pPr>
      <w:r>
        <w:tab/>
        <w:t>(1)</w:t>
      </w:r>
      <w:r>
        <w:tab/>
        <w:t>A</w:t>
      </w:r>
      <w:r>
        <w:rPr>
          <w:b/>
        </w:rPr>
        <w:t xml:space="preserve"> “</w:t>
      </w:r>
      <w:r>
        <w:rPr>
          <w:rStyle w:val="CharDefText"/>
        </w:rPr>
        <w:t>farming land conditional contract</w:t>
      </w:r>
      <w:r>
        <w:rPr>
          <w:b/>
        </w:rPr>
        <w:t>”</w:t>
      </w:r>
      <w:r>
        <w:t xml:space="preserve"> is —</w:t>
      </w:r>
      <w:del w:id="158" w:author="svcMRProcess" w:date="2020-02-20T23:16:00Z">
        <w:r>
          <w:delText xml:space="preserve"> </w:delText>
        </w:r>
      </w:del>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b/>
        </w:rPr>
        <w:t>“</w:t>
      </w:r>
      <w:r>
        <w:rPr>
          <w:rStyle w:val="CharDefText"/>
        </w:rPr>
        <w:t>primary produce contract</w:t>
      </w:r>
      <w:r>
        <w:rPr>
          <w:b/>
        </w:rPr>
        <w:t>”</w:t>
      </w:r>
      <w:r>
        <w:t xml:space="preserve"> if —</w:t>
      </w:r>
      <w:del w:id="159" w:author="svcMRProcess" w:date="2020-02-20T23:16:00Z">
        <w:r>
          <w:delText xml:space="preserve"> </w:delText>
        </w:r>
      </w:del>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60" w:name="_Toc107054835"/>
      <w:bookmarkStart w:id="161" w:name="_Toc134854572"/>
      <w:bookmarkStart w:id="162" w:name="_Toc136841025"/>
      <w:bookmarkStart w:id="163" w:name="_Toc131416031"/>
      <w:bookmarkStart w:id="164" w:name="_Toc170193214"/>
      <w:r>
        <w:rPr>
          <w:rStyle w:val="CharSectno"/>
        </w:rPr>
        <w:t>10</w:t>
      </w:r>
      <w:r>
        <w:t>.</w:t>
      </w:r>
      <w:r>
        <w:tab/>
        <w:t>Meaning of “off</w:t>
      </w:r>
      <w:r>
        <w:noBreakHyphen/>
        <w:t>the</w:t>
      </w:r>
      <w:r>
        <w:noBreakHyphen/>
        <w:t>plan conditional contract”</w:t>
      </w:r>
      <w:bookmarkEnd w:id="160"/>
      <w:bookmarkEnd w:id="161"/>
      <w:bookmarkEnd w:id="162"/>
      <w:bookmarkEnd w:id="163"/>
      <w:bookmarkEnd w:id="164"/>
    </w:p>
    <w:p>
      <w:pPr>
        <w:pStyle w:val="Subsection"/>
        <w:spacing w:before="120"/>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del w:id="165" w:author="svcMRProcess" w:date="2020-02-20T23:16:00Z">
        <w:r>
          <w:delText xml:space="preserve"> </w:delText>
        </w:r>
      </w:del>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66" w:name="_Toc107054836"/>
      <w:bookmarkStart w:id="167" w:name="_Toc134854573"/>
      <w:bookmarkStart w:id="168" w:name="_Toc136841026"/>
      <w:bookmarkStart w:id="169" w:name="_Toc131416032"/>
      <w:bookmarkStart w:id="170" w:name="_Toc170193215"/>
      <w:r>
        <w:rPr>
          <w:rStyle w:val="CharSectno"/>
        </w:rPr>
        <w:t>11</w:t>
      </w:r>
      <w:r>
        <w:t>.</w:t>
      </w:r>
      <w:r>
        <w:tab/>
        <w:t>Meaning of “mining tenement conditional contract”</w:t>
      </w:r>
      <w:bookmarkEnd w:id="166"/>
      <w:bookmarkEnd w:id="167"/>
      <w:bookmarkEnd w:id="168"/>
      <w:bookmarkEnd w:id="169"/>
      <w:bookmarkEnd w:id="170"/>
    </w:p>
    <w:p>
      <w:pPr>
        <w:pStyle w:val="Subsection"/>
        <w:spacing w:before="120"/>
      </w:pPr>
      <w:r>
        <w:tab/>
      </w:r>
      <w:r>
        <w:tab/>
        <w:t xml:space="preserve">A </w:t>
      </w:r>
      <w:r>
        <w:rPr>
          <w:b/>
        </w:rPr>
        <w:t>“</w:t>
      </w:r>
      <w:r>
        <w:rPr>
          <w:rStyle w:val="CharDefText"/>
        </w:rPr>
        <w:t>mining tenement conditional contract</w:t>
      </w:r>
      <w:r>
        <w:rPr>
          <w:b/>
        </w:rPr>
        <w:t>”</w:t>
      </w:r>
      <w:r>
        <w:t xml:space="preserve"> is a general conditional contract for the sale of —</w:t>
      </w:r>
      <w:del w:id="171" w:author="svcMRProcess" w:date="2020-02-20T23:16:00Z">
        <w:r>
          <w:delText xml:space="preserve"> </w:delText>
        </w:r>
      </w:del>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w:t>
      </w:r>
      <w:del w:id="172" w:author="svcMRProcess" w:date="2020-02-20T23:16:00Z">
        <w:r>
          <w:rPr>
            <w:vertAlign w:val="superscript"/>
          </w:rPr>
          <w:delText>3</w:delText>
        </w:r>
      </w:del>
      <w:ins w:id="173" w:author="svcMRProcess" w:date="2020-02-20T23:16:00Z">
        <w:r>
          <w:rPr>
            <w:vertAlign w:val="superscript"/>
          </w:rPr>
          <w:t>2</w:t>
        </w:r>
      </w:ins>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del w:id="174" w:author="svcMRProcess" w:date="2020-02-20T23:16:00Z">
        <w:r>
          <w:delText xml:space="preserve"> </w:delText>
        </w:r>
      </w:del>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75" w:name="_Toc107054837"/>
      <w:bookmarkStart w:id="176" w:name="_Toc134854574"/>
      <w:bookmarkStart w:id="177" w:name="_Toc136841027"/>
      <w:bookmarkStart w:id="178" w:name="_Toc131416033"/>
      <w:bookmarkStart w:id="179" w:name="_Toc170193216"/>
      <w:r>
        <w:rPr>
          <w:rStyle w:val="CharSectno"/>
        </w:rPr>
        <w:t>12</w:t>
      </w:r>
      <w:r>
        <w:t>.</w:t>
      </w:r>
      <w:r>
        <w:tab/>
        <w:t>Meaning of “subdivision conditional contract”</w:t>
      </w:r>
      <w:bookmarkEnd w:id="175"/>
      <w:bookmarkEnd w:id="176"/>
      <w:bookmarkEnd w:id="177"/>
      <w:bookmarkEnd w:id="178"/>
      <w:bookmarkEnd w:id="179"/>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80" w:name="_Toc107054838"/>
      <w:bookmarkStart w:id="181" w:name="_Toc134854575"/>
      <w:bookmarkStart w:id="182" w:name="_Toc136841028"/>
      <w:bookmarkStart w:id="183" w:name="_Toc131416034"/>
      <w:bookmarkStart w:id="184" w:name="_Toc170193217"/>
      <w:r>
        <w:rPr>
          <w:rStyle w:val="CharSectno"/>
        </w:rPr>
        <w:t>13</w:t>
      </w:r>
      <w:r>
        <w:t>.</w:t>
      </w:r>
      <w:r>
        <w:tab/>
        <w:t>When a conditional contract becomes unconditional</w:t>
      </w:r>
      <w:bookmarkEnd w:id="180"/>
      <w:bookmarkEnd w:id="181"/>
      <w:bookmarkEnd w:id="182"/>
      <w:bookmarkEnd w:id="183"/>
      <w:bookmarkEnd w:id="184"/>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85" w:name="_Toc107054839"/>
      <w:bookmarkStart w:id="186" w:name="_Toc134854576"/>
      <w:bookmarkStart w:id="187" w:name="_Toc136841029"/>
      <w:bookmarkStart w:id="188" w:name="_Toc131416035"/>
      <w:bookmarkStart w:id="189" w:name="_Toc170193218"/>
      <w:r>
        <w:rPr>
          <w:rStyle w:val="CharSectno"/>
        </w:rPr>
        <w:t>14</w:t>
      </w:r>
      <w:r>
        <w:t>.</w:t>
      </w:r>
      <w:r>
        <w:tab/>
        <w:t>Termination of conditional contracts on relevant grounds</w:t>
      </w:r>
      <w:bookmarkEnd w:id="185"/>
      <w:bookmarkEnd w:id="186"/>
      <w:bookmarkEnd w:id="187"/>
      <w:bookmarkEnd w:id="188"/>
      <w:bookmarkEnd w:id="189"/>
    </w:p>
    <w:p>
      <w:pPr>
        <w:pStyle w:val="Subsection"/>
      </w:pPr>
      <w:r>
        <w:tab/>
      </w:r>
      <w:r>
        <w:tab/>
        <w:t xml:space="preserve">A general conditional contract is </w:t>
      </w:r>
      <w:r>
        <w:rPr>
          <w:b/>
        </w:rPr>
        <w:t>“</w:t>
      </w:r>
      <w:r>
        <w:rPr>
          <w:rStyle w:val="CharDefText"/>
        </w:rPr>
        <w:t>terminated on relevant grounds</w:t>
      </w:r>
      <w:r>
        <w:rPr>
          <w:b/>
        </w:rPr>
        <w:t>”</w:t>
      </w:r>
      <w:r>
        <w:t xml:space="preserve"> if —</w:t>
      </w:r>
      <w:del w:id="190" w:author="svcMRProcess" w:date="2020-02-20T23:16:00Z">
        <w:r>
          <w:delText xml:space="preserve"> </w:delText>
        </w:r>
      </w:del>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del w:id="191" w:author="svcMRProcess" w:date="2020-02-20T23:16:00Z">
        <w:r>
          <w:delText xml:space="preserve"> </w:delText>
        </w:r>
      </w:del>
    </w:p>
    <w:p>
      <w:pPr>
        <w:pStyle w:val="Heading2"/>
      </w:pPr>
      <w:bookmarkStart w:id="192" w:name="_Toc76899509"/>
      <w:bookmarkStart w:id="193" w:name="_Toc78090411"/>
      <w:bookmarkStart w:id="194" w:name="_Toc88886779"/>
      <w:bookmarkStart w:id="195" w:name="_Toc90443395"/>
      <w:bookmarkStart w:id="196" w:name="_Toc90452746"/>
      <w:bookmarkStart w:id="197" w:name="_Toc100029337"/>
      <w:bookmarkStart w:id="198" w:name="_Toc100031410"/>
      <w:bookmarkStart w:id="199" w:name="_Toc100458469"/>
      <w:bookmarkStart w:id="200" w:name="_Toc101671885"/>
      <w:bookmarkStart w:id="201" w:name="_Toc101672142"/>
      <w:bookmarkStart w:id="202" w:name="_Toc102799168"/>
      <w:bookmarkStart w:id="203" w:name="_Toc102981842"/>
      <w:bookmarkStart w:id="204" w:name="_Toc103403155"/>
      <w:bookmarkStart w:id="205" w:name="_Toc103403412"/>
      <w:bookmarkStart w:id="206" w:name="_Toc103747411"/>
      <w:bookmarkStart w:id="207" w:name="_Toc107054840"/>
      <w:bookmarkStart w:id="208" w:name="_Toc113874287"/>
      <w:bookmarkStart w:id="209" w:name="_Toc113956703"/>
      <w:bookmarkStart w:id="210" w:name="_Toc116717259"/>
      <w:bookmarkStart w:id="211" w:name="_Toc116813286"/>
      <w:bookmarkStart w:id="212" w:name="_Toc122332938"/>
      <w:bookmarkStart w:id="213" w:name="_Toc122861908"/>
      <w:bookmarkStart w:id="214" w:name="_Toc122862504"/>
      <w:bookmarkStart w:id="215" w:name="_Toc122921111"/>
      <w:bookmarkStart w:id="216" w:name="_Toc122921371"/>
      <w:bookmarkStart w:id="217" w:name="_Toc122947316"/>
      <w:bookmarkStart w:id="218" w:name="_Toc124046152"/>
      <w:bookmarkStart w:id="219" w:name="_Toc130266473"/>
      <w:bookmarkStart w:id="220" w:name="_Toc130266749"/>
      <w:bookmarkStart w:id="221" w:name="_Toc131382852"/>
      <w:bookmarkStart w:id="222" w:name="_Toc133812233"/>
      <w:bookmarkStart w:id="223" w:name="_Toc133920180"/>
      <w:bookmarkStart w:id="224" w:name="_Toc134854577"/>
      <w:bookmarkStart w:id="225" w:name="_Toc134854853"/>
      <w:bookmarkStart w:id="226" w:name="_Toc136841030"/>
      <w:bookmarkStart w:id="227" w:name="_Toc131415737"/>
      <w:bookmarkStart w:id="228" w:name="_Toc131416036"/>
      <w:bookmarkStart w:id="229" w:name="_Toc170193219"/>
      <w:r>
        <w:rPr>
          <w:rStyle w:val="CharPartNo"/>
        </w:rPr>
        <w:t>Part III</w:t>
      </w:r>
      <w:r>
        <w:rPr>
          <w:rStyle w:val="CharDivNo"/>
        </w:rPr>
        <w:t> </w:t>
      </w:r>
      <w:r>
        <w:t>—</w:t>
      </w:r>
      <w:r>
        <w:rPr>
          <w:rStyle w:val="CharDivText"/>
        </w:rPr>
        <w:t> </w:t>
      </w:r>
      <w:r>
        <w:rPr>
          <w:rStyle w:val="CharPartText"/>
        </w:rPr>
        <w:t>General provisions</w:t>
      </w:r>
      <w:bookmarkEnd w:id="129"/>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del w:id="230" w:author="svcMRProcess" w:date="2020-02-20T23:16:00Z">
        <w:r>
          <w:rPr>
            <w:rStyle w:val="CharPartText"/>
          </w:rPr>
          <w:delText xml:space="preserve"> </w:delText>
        </w:r>
      </w:del>
    </w:p>
    <w:p>
      <w:pPr>
        <w:pStyle w:val="Heading5"/>
        <w:rPr>
          <w:snapToGrid w:val="0"/>
        </w:rPr>
      </w:pPr>
      <w:bookmarkStart w:id="231" w:name="_Toc500739879"/>
      <w:bookmarkStart w:id="232" w:name="_Toc520101070"/>
      <w:bookmarkStart w:id="233" w:name="_Toc520532969"/>
      <w:bookmarkStart w:id="234" w:name="_Toc49223862"/>
      <w:bookmarkStart w:id="235" w:name="_Toc107054841"/>
      <w:bookmarkStart w:id="236" w:name="_Toc134854578"/>
      <w:bookmarkStart w:id="237" w:name="_Toc136841031"/>
      <w:bookmarkStart w:id="238" w:name="_Toc131416037"/>
      <w:bookmarkStart w:id="239" w:name="_Toc170193220"/>
      <w:r>
        <w:rPr>
          <w:rStyle w:val="CharSectno"/>
        </w:rPr>
        <w:t>16</w:t>
      </w:r>
      <w:r>
        <w:rPr>
          <w:snapToGrid w:val="0"/>
        </w:rPr>
        <w:t>.</w:t>
      </w:r>
      <w:r>
        <w:rPr>
          <w:snapToGrid w:val="0"/>
        </w:rPr>
        <w:tab/>
        <w:t>Charge of duties on instruments</w:t>
      </w:r>
      <w:bookmarkEnd w:id="231"/>
      <w:bookmarkEnd w:id="232"/>
      <w:bookmarkEnd w:id="233"/>
      <w:bookmarkEnd w:id="234"/>
      <w:bookmarkEnd w:id="235"/>
      <w:bookmarkEnd w:id="236"/>
      <w:bookmarkEnd w:id="237"/>
      <w:bookmarkEnd w:id="238"/>
      <w:bookmarkEnd w:id="239"/>
      <w:del w:id="240" w:author="svcMRProcess" w:date="2020-02-20T23:16:00Z">
        <w:r>
          <w:rPr>
            <w:snapToGrid w:val="0"/>
          </w:rPr>
          <w:delText xml:space="preserve"> </w:delText>
        </w:r>
      </w:del>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del w:id="241" w:author="svcMRProcess" w:date="2020-02-20T23:16:00Z">
        <w:r>
          <w:rPr>
            <w:snapToGrid w:val="0"/>
          </w:rPr>
          <w:delText> </w:delText>
        </w:r>
      </w:del>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del w:id="242" w:author="svcMRProcess" w:date="2020-02-20T23:16:00Z">
        <w:r>
          <w:delText xml:space="preserve"> </w:delText>
        </w:r>
      </w:del>
    </w:p>
    <w:p>
      <w:pPr>
        <w:pStyle w:val="Heading5"/>
      </w:pPr>
      <w:bookmarkStart w:id="243" w:name="_Toc49223863"/>
      <w:bookmarkStart w:id="244" w:name="_Toc107054842"/>
      <w:bookmarkStart w:id="245" w:name="_Toc134854579"/>
      <w:bookmarkStart w:id="246" w:name="_Toc136841032"/>
      <w:bookmarkStart w:id="247" w:name="_Toc131416038"/>
      <w:bookmarkStart w:id="248" w:name="_Toc170193221"/>
      <w:bookmarkStart w:id="249" w:name="_Toc500739881"/>
      <w:bookmarkStart w:id="250" w:name="_Toc520101072"/>
      <w:bookmarkStart w:id="251" w:name="_Toc520532971"/>
      <w:r>
        <w:rPr>
          <w:rStyle w:val="CharSectno"/>
        </w:rPr>
        <w:t>17</w:t>
      </w:r>
      <w:r>
        <w:t>.</w:t>
      </w:r>
      <w:r>
        <w:tab/>
        <w:t>Liability to pay duty</w:t>
      </w:r>
      <w:bookmarkEnd w:id="243"/>
      <w:bookmarkEnd w:id="244"/>
      <w:bookmarkEnd w:id="245"/>
      <w:bookmarkEnd w:id="246"/>
      <w:bookmarkEnd w:id="247"/>
      <w:bookmarkEnd w:id="248"/>
    </w:p>
    <w:p>
      <w:pPr>
        <w:pStyle w:val="Subsection"/>
        <w:keepNext/>
      </w:pPr>
      <w:r>
        <w:tab/>
        <w:t>(1)</w:t>
      </w:r>
      <w:r>
        <w:tab/>
        <w:t>The person liable to pay duty on an instrument is —</w:t>
      </w:r>
      <w:del w:id="252" w:author="svcMRProcess" w:date="2020-02-20T23:16:00Z">
        <w:r>
          <w:delText xml:space="preserve"> </w:delText>
        </w:r>
      </w:del>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del w:id="253" w:author="svcMRProcess" w:date="2020-02-20T23:16:00Z">
        <w:r>
          <w:delText xml:space="preserve"> </w:delText>
        </w:r>
      </w:del>
    </w:p>
    <w:p>
      <w:pPr>
        <w:pStyle w:val="Heading5"/>
      </w:pPr>
      <w:bookmarkStart w:id="254" w:name="_Toc49223864"/>
      <w:bookmarkStart w:id="255" w:name="_Toc107054843"/>
      <w:bookmarkStart w:id="256" w:name="_Toc134854580"/>
      <w:bookmarkStart w:id="257" w:name="_Toc136841033"/>
      <w:bookmarkStart w:id="258" w:name="_Toc131416039"/>
      <w:bookmarkStart w:id="259" w:name="_Toc170193222"/>
      <w:r>
        <w:rPr>
          <w:rStyle w:val="CharSectno"/>
        </w:rPr>
        <w:t>17A</w:t>
      </w:r>
      <w:r>
        <w:t>.</w:t>
      </w:r>
      <w:r>
        <w:tab/>
        <w:t>Time for payment of duty</w:t>
      </w:r>
      <w:bookmarkEnd w:id="254"/>
      <w:bookmarkEnd w:id="255"/>
      <w:bookmarkEnd w:id="256"/>
      <w:bookmarkEnd w:id="257"/>
      <w:bookmarkEnd w:id="258"/>
      <w:bookmarkEnd w:id="259"/>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del w:id="260" w:author="svcMRProcess" w:date="2020-02-20T23:16:00Z">
        <w:r>
          <w:delText xml:space="preserve"> </w:delText>
        </w:r>
      </w:del>
    </w:p>
    <w:p>
      <w:pPr>
        <w:pStyle w:val="Heading5"/>
      </w:pPr>
      <w:bookmarkStart w:id="261" w:name="_Toc107054844"/>
      <w:bookmarkStart w:id="262" w:name="_Toc134854581"/>
      <w:bookmarkStart w:id="263" w:name="_Toc136841034"/>
      <w:bookmarkStart w:id="264" w:name="_Toc131416040"/>
      <w:bookmarkStart w:id="265" w:name="_Toc170193223"/>
      <w:bookmarkStart w:id="266" w:name="_Toc49223865"/>
      <w:r>
        <w:rPr>
          <w:rStyle w:val="CharSectno"/>
        </w:rPr>
        <w:t>17AA</w:t>
      </w:r>
      <w:r>
        <w:t>.</w:t>
      </w:r>
      <w:r>
        <w:tab/>
        <w:t>Time for payment on certain conditional contracts</w:t>
      </w:r>
      <w:bookmarkEnd w:id="261"/>
      <w:bookmarkEnd w:id="262"/>
      <w:bookmarkEnd w:id="263"/>
      <w:bookmarkEnd w:id="264"/>
      <w:bookmarkEnd w:id="265"/>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267" w:name="_Toc107054845"/>
      <w:bookmarkStart w:id="268" w:name="_Toc134854582"/>
      <w:bookmarkStart w:id="269" w:name="_Toc136841035"/>
      <w:bookmarkStart w:id="270" w:name="_Toc131416041"/>
      <w:bookmarkStart w:id="271" w:name="_Toc170193224"/>
      <w:r>
        <w:rPr>
          <w:rStyle w:val="CharSectno"/>
        </w:rPr>
        <w:t>17B</w:t>
      </w:r>
      <w:r>
        <w:t>.</w:t>
      </w:r>
      <w:r>
        <w:tab/>
        <w:t>Requirement to lodge instrument</w:t>
      </w:r>
      <w:bookmarkEnd w:id="266"/>
      <w:bookmarkEnd w:id="267"/>
      <w:bookmarkEnd w:id="268"/>
      <w:bookmarkEnd w:id="269"/>
      <w:bookmarkEnd w:id="270"/>
      <w:bookmarkEnd w:id="271"/>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del w:id="272" w:author="svcMRProcess" w:date="2020-02-20T23:16:00Z">
        <w:r>
          <w:delText xml:space="preserve"> </w:delText>
        </w:r>
      </w:del>
    </w:p>
    <w:p>
      <w:pPr>
        <w:pStyle w:val="Heading5"/>
      </w:pPr>
      <w:bookmarkStart w:id="273" w:name="_Toc107054846"/>
      <w:bookmarkStart w:id="274" w:name="_Toc134854583"/>
      <w:bookmarkStart w:id="275" w:name="_Toc136841036"/>
      <w:bookmarkStart w:id="276" w:name="_Toc131416042"/>
      <w:bookmarkStart w:id="277" w:name="_Toc170193225"/>
      <w:bookmarkStart w:id="278" w:name="_Toc49223866"/>
      <w:r>
        <w:rPr>
          <w:rStyle w:val="CharSectno"/>
        </w:rPr>
        <w:t>17BA</w:t>
      </w:r>
      <w:r>
        <w:t>.</w:t>
      </w:r>
      <w:r>
        <w:tab/>
        <w:t>Time for lodging certain conditional contracts</w:t>
      </w:r>
      <w:bookmarkEnd w:id="273"/>
      <w:bookmarkEnd w:id="274"/>
      <w:bookmarkEnd w:id="275"/>
      <w:bookmarkEnd w:id="276"/>
      <w:bookmarkEnd w:id="277"/>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del w:id="279" w:author="svcMRProcess" w:date="2020-02-20T23:16:00Z">
        <w:r>
          <w:delText xml:space="preserve"> </w:delText>
        </w:r>
      </w:del>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del w:id="280" w:author="svcMRProcess" w:date="2020-02-20T23:16:00Z">
        <w:r>
          <w:delText xml:space="preserve"> </w:delText>
        </w:r>
      </w:del>
    </w:p>
    <w:p>
      <w:pPr>
        <w:pStyle w:val="Indenta"/>
        <w:spacing w:before="60"/>
      </w:pPr>
      <w:r>
        <w:tab/>
        <w:t>(a)</w:t>
      </w:r>
      <w:r>
        <w:tab/>
        <w:t>a farming land conditional contract;</w:t>
      </w:r>
      <w:del w:id="281" w:author="svcMRProcess" w:date="2020-02-20T23:16:00Z">
        <w:r>
          <w:delText xml:space="preserve"> </w:delText>
        </w:r>
      </w:del>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282" w:name="_Toc107054847"/>
      <w:bookmarkStart w:id="283" w:name="_Toc134854584"/>
      <w:bookmarkStart w:id="284" w:name="_Toc136841037"/>
      <w:bookmarkStart w:id="285" w:name="_Toc131416043"/>
      <w:bookmarkStart w:id="286" w:name="_Toc170193226"/>
      <w:r>
        <w:rPr>
          <w:rStyle w:val="CharSectno"/>
        </w:rPr>
        <w:t>17C</w:t>
      </w:r>
      <w:r>
        <w:t>.</w:t>
      </w:r>
      <w:r>
        <w:tab/>
        <w:t>Instrument to be endorsed when duty paid etc.</w:t>
      </w:r>
      <w:bookmarkEnd w:id="278"/>
      <w:bookmarkEnd w:id="282"/>
      <w:bookmarkEnd w:id="283"/>
      <w:bookmarkEnd w:id="284"/>
      <w:bookmarkEnd w:id="285"/>
      <w:bookmarkEnd w:id="286"/>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then the Commissioner must —</w:t>
      </w:r>
      <w:del w:id="287" w:author="svcMRProcess" w:date="2020-02-20T23:16:00Z">
        <w:r>
          <w:delText xml:space="preserve"> </w:delText>
        </w:r>
      </w:del>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spacing w:before="120"/>
      </w:pPr>
      <w:r>
        <w:tab/>
        <w:t>(4)</w:t>
      </w:r>
      <w:r>
        <w:tab/>
        <w:t>The grant or transfer of a licence (as defined in section 76B) is taken to be endorsed in accordance with subsection (1) when it is granted or transferred.</w:t>
      </w:r>
      <w:del w:id="288" w:author="svcMRProcess" w:date="2020-02-20T23:16:00Z">
        <w:r>
          <w:delText xml:space="preserve"> </w:delText>
        </w:r>
      </w:del>
    </w:p>
    <w:p>
      <w:pPr>
        <w:pStyle w:val="Subsection"/>
        <w:spacing w:before="120"/>
      </w:pPr>
      <w:r>
        <w:tab/>
        <w:t>(5)</w:t>
      </w:r>
      <w:r>
        <w:tab/>
        <w:t xml:space="preserve">An endorsement of an instrument, or on a copy or memorandum of an instrument, in a prescribed manner is </w:t>
      </w:r>
      <w:r>
        <w:rPr>
          <w:iCs/>
        </w:rPr>
        <w:t>prima facie</w:t>
      </w:r>
      <w:r>
        <w:t xml:space="preserve"> evidence of the matters noted in the endorsement.</w:t>
      </w:r>
    </w:p>
    <w:p>
      <w:pPr>
        <w:pStyle w:val="Subsection"/>
        <w:spacing w:before="120"/>
      </w:pPr>
      <w:r>
        <w:tab/>
        <w:t>(6)</w:t>
      </w:r>
      <w:r>
        <w:tab/>
        <w:t>The Commissioner may, at the request of a party to an instrument specified in the Third Schedule, endorse the instrument as exempt from duty.</w:t>
      </w:r>
    </w:p>
    <w:p>
      <w:pPr>
        <w:pStyle w:val="Subsection"/>
        <w:spacing w:before="120"/>
      </w:pPr>
      <w:r>
        <w:tab/>
        <w:t>(7)</w:t>
      </w:r>
      <w:r>
        <w:tab/>
        <w:t>In this Act, a reference to endorsing an instrument is to be read as including a reference to issuing a stamp duty certificate in relation to the instrument under subsection (1)(h).</w:t>
      </w:r>
    </w:p>
    <w:p>
      <w:pPr>
        <w:pStyle w:val="Footnotesection"/>
      </w:pPr>
      <w:r>
        <w:tab/>
        <w:t>[Section 17C inserted by No. 2 of 2003 s. 9; amended by No. 66 of 2003 s. 8; No. 12 of 2004 s. 23.]</w:t>
      </w:r>
      <w:del w:id="289" w:author="svcMRProcess" w:date="2020-02-20T23:16:00Z">
        <w:r>
          <w:delText xml:space="preserve"> </w:delText>
        </w:r>
      </w:del>
    </w:p>
    <w:p>
      <w:pPr>
        <w:pStyle w:val="Heading5"/>
        <w:rPr>
          <w:snapToGrid w:val="0"/>
        </w:rPr>
      </w:pPr>
      <w:bookmarkStart w:id="290" w:name="_Toc49223867"/>
      <w:bookmarkStart w:id="291" w:name="_Toc107054848"/>
      <w:bookmarkStart w:id="292" w:name="_Toc134854585"/>
      <w:bookmarkStart w:id="293" w:name="_Toc136841038"/>
      <w:bookmarkStart w:id="294" w:name="_Toc131416044"/>
      <w:bookmarkStart w:id="295" w:name="_Toc170193227"/>
      <w:r>
        <w:rPr>
          <w:rStyle w:val="CharSectno"/>
        </w:rPr>
        <w:t>18</w:t>
      </w:r>
      <w:r>
        <w:rPr>
          <w:snapToGrid w:val="0"/>
        </w:rPr>
        <w:t>.</w:t>
      </w:r>
      <w:r>
        <w:rPr>
          <w:snapToGrid w:val="0"/>
        </w:rPr>
        <w:tab/>
        <w:t>How instruments to be written</w:t>
      </w:r>
      <w:bookmarkEnd w:id="249"/>
      <w:bookmarkEnd w:id="250"/>
      <w:bookmarkEnd w:id="251"/>
      <w:bookmarkEnd w:id="290"/>
      <w:bookmarkEnd w:id="291"/>
      <w:bookmarkEnd w:id="292"/>
      <w:bookmarkEnd w:id="293"/>
      <w:bookmarkEnd w:id="294"/>
      <w:bookmarkEnd w:id="295"/>
    </w:p>
    <w:p>
      <w:pPr>
        <w:pStyle w:val="Subsection"/>
        <w:spacing w:before="120"/>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del w:id="296" w:author="svcMRProcess" w:date="2020-02-20T23:16:00Z">
        <w:r>
          <w:delText xml:space="preserve"> </w:delText>
        </w:r>
      </w:del>
    </w:p>
    <w:p>
      <w:pPr>
        <w:pStyle w:val="Heading5"/>
        <w:rPr>
          <w:snapToGrid w:val="0"/>
        </w:rPr>
      </w:pPr>
      <w:bookmarkStart w:id="297" w:name="_Toc500739882"/>
      <w:bookmarkStart w:id="298" w:name="_Toc520101073"/>
      <w:bookmarkStart w:id="299" w:name="_Toc520532972"/>
      <w:bookmarkStart w:id="300" w:name="_Toc49223868"/>
      <w:bookmarkStart w:id="301" w:name="_Toc107054849"/>
      <w:bookmarkStart w:id="302" w:name="_Toc134854586"/>
      <w:bookmarkStart w:id="303" w:name="_Toc136841039"/>
      <w:bookmarkStart w:id="304" w:name="_Toc131416045"/>
      <w:bookmarkStart w:id="305" w:name="_Toc170193228"/>
      <w:r>
        <w:rPr>
          <w:rStyle w:val="CharSectno"/>
        </w:rPr>
        <w:t>19</w:t>
      </w:r>
      <w:r>
        <w:rPr>
          <w:snapToGrid w:val="0"/>
        </w:rPr>
        <w:t>.</w:t>
      </w:r>
      <w:r>
        <w:rPr>
          <w:snapToGrid w:val="0"/>
        </w:rPr>
        <w:tab/>
        <w:t>Instruments to be separately charged with duty in certain cases</w:t>
      </w:r>
      <w:bookmarkEnd w:id="297"/>
      <w:bookmarkEnd w:id="298"/>
      <w:bookmarkEnd w:id="299"/>
      <w:bookmarkEnd w:id="300"/>
      <w:bookmarkEnd w:id="301"/>
      <w:bookmarkEnd w:id="302"/>
      <w:bookmarkEnd w:id="303"/>
      <w:bookmarkEnd w:id="304"/>
      <w:bookmarkEnd w:id="305"/>
      <w:del w:id="306" w:author="svcMRProcess" w:date="2020-02-20T23:16:00Z">
        <w:r>
          <w:rPr>
            <w:snapToGrid w:val="0"/>
          </w:rPr>
          <w:delText xml:space="preserve"> </w:delText>
        </w:r>
      </w:del>
    </w:p>
    <w:p>
      <w:pPr>
        <w:pStyle w:val="Subsection"/>
        <w:spacing w:before="120"/>
        <w:rPr>
          <w:snapToGrid w:val="0"/>
        </w:rPr>
      </w:pPr>
      <w:r>
        <w:rPr>
          <w:snapToGrid w:val="0"/>
        </w:rPr>
        <w:tab/>
      </w:r>
      <w:r>
        <w:rPr>
          <w:snapToGrid w:val="0"/>
        </w:rPr>
        <w:tab/>
        <w:t>Except where express provision to the contrary is made by this or any other Act —</w:t>
      </w:r>
      <w:del w:id="307" w:author="svcMRProcess" w:date="2020-02-20T23:16:00Z">
        <w:r>
          <w:rPr>
            <w:snapToGrid w:val="0"/>
          </w:rPr>
          <w:delText> </w:delText>
        </w:r>
      </w:del>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spacing w:before="60"/>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spacing w:before="80"/>
        <w:ind w:left="890" w:hanging="890"/>
      </w:pPr>
      <w:bookmarkStart w:id="308" w:name="_Toc500739883"/>
      <w:bookmarkStart w:id="309" w:name="_Toc520101074"/>
      <w:bookmarkStart w:id="310" w:name="_Toc520532973"/>
      <w:r>
        <w:tab/>
        <w:t>[Section 19 amended by No. 2 of 2003 s. 11.]</w:t>
      </w:r>
      <w:del w:id="311" w:author="svcMRProcess" w:date="2020-02-20T23:16:00Z">
        <w:r>
          <w:delText xml:space="preserve"> </w:delText>
        </w:r>
      </w:del>
    </w:p>
    <w:p>
      <w:pPr>
        <w:pStyle w:val="Heading5"/>
        <w:spacing w:before="180"/>
      </w:pPr>
      <w:bookmarkStart w:id="312" w:name="_Toc49223869"/>
      <w:bookmarkStart w:id="313" w:name="_Toc107054850"/>
      <w:bookmarkStart w:id="314" w:name="_Toc134854587"/>
      <w:bookmarkStart w:id="315" w:name="_Toc136841040"/>
      <w:bookmarkStart w:id="316" w:name="_Toc131416046"/>
      <w:bookmarkStart w:id="317" w:name="_Toc170193229"/>
      <w:bookmarkEnd w:id="308"/>
      <w:bookmarkEnd w:id="309"/>
      <w:bookmarkEnd w:id="310"/>
      <w:r>
        <w:rPr>
          <w:rStyle w:val="CharSectno"/>
        </w:rPr>
        <w:t>20</w:t>
      </w:r>
      <w:r>
        <w:t>.</w:t>
      </w:r>
      <w:r>
        <w:tab/>
        <w:t>Reduction of duty if matter not carried into effect</w:t>
      </w:r>
      <w:bookmarkEnd w:id="312"/>
      <w:bookmarkEnd w:id="313"/>
      <w:bookmarkEnd w:id="314"/>
      <w:bookmarkEnd w:id="315"/>
      <w:bookmarkEnd w:id="316"/>
      <w:bookmarkEnd w:id="317"/>
    </w:p>
    <w:p>
      <w:pPr>
        <w:pStyle w:val="Subsection"/>
        <w:spacing w:before="100"/>
      </w:pPr>
      <w:r>
        <w:tab/>
        <w:t>(1)</w:t>
      </w:r>
      <w:r>
        <w:tab/>
        <w:t>The amount of duty payable on an instrument is reduced by the amount of the full duty payable in respect of a matter included in the instrument if the Commissioner is satisfied that —</w:t>
      </w:r>
      <w:del w:id="318" w:author="svcMRProcess" w:date="2020-02-20T23:16:00Z">
        <w:r>
          <w:delText xml:space="preserve"> </w:delText>
        </w:r>
      </w:del>
    </w:p>
    <w:p>
      <w:pPr>
        <w:pStyle w:val="Indenta"/>
        <w:spacing w:before="60"/>
      </w:pPr>
      <w:r>
        <w:tab/>
        <w:t>(a)</w:t>
      </w:r>
      <w:r>
        <w:tab/>
        <w:t>the matter has not been, and will not be, carried into effect;</w:t>
      </w:r>
    </w:p>
    <w:p>
      <w:pPr>
        <w:pStyle w:val="Indenta"/>
        <w:spacing w:before="60"/>
      </w:pPr>
      <w:r>
        <w:tab/>
        <w:t>(b)</w:t>
      </w:r>
      <w:r>
        <w:tab/>
        <w:t>the taxpayer has not received, and will not receive, a benefit in respect of the matter; and</w:t>
      </w:r>
    </w:p>
    <w:p>
      <w:pPr>
        <w:pStyle w:val="Indenta"/>
        <w:spacing w:before="60"/>
      </w:pPr>
      <w:r>
        <w:tab/>
        <w:t>(c)</w:t>
      </w:r>
      <w:r>
        <w:tab/>
        <w:t>the reason the matter was not, and will not be, carried into effect is not merely to enable a replacement transaction to be entered into.</w:t>
      </w:r>
    </w:p>
    <w:p>
      <w:pPr>
        <w:pStyle w:val="Subsection"/>
        <w:spacing w:before="100"/>
      </w:pPr>
      <w:r>
        <w:tab/>
        <w:t>(2)</w:t>
      </w:r>
      <w:r>
        <w:tab/>
        <w:t>The amount of duty payable on an instrument is reduced in accordance with subsection (3) if the Commissioner is satisfied that —</w:t>
      </w:r>
      <w:del w:id="319" w:author="svcMRProcess" w:date="2020-02-20T23:16:00Z">
        <w:r>
          <w:delText xml:space="preserve"> </w:delText>
        </w:r>
      </w:del>
    </w:p>
    <w:p>
      <w:pPr>
        <w:pStyle w:val="Indenta"/>
        <w:spacing w:before="60"/>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spacing w:before="60"/>
      </w:pPr>
      <w:r>
        <w:tab/>
        <w:t>(c)</w:t>
      </w:r>
      <w:r>
        <w:tab/>
        <w:t>the value of the benefit is less than the full duty payable in respect of the matter; and</w:t>
      </w:r>
    </w:p>
    <w:p>
      <w:pPr>
        <w:pStyle w:val="Indenta"/>
        <w:spacing w:before="60"/>
      </w:pPr>
      <w:r>
        <w:tab/>
        <w:t>(d)</w:t>
      </w:r>
      <w:r>
        <w:tab/>
        <w:t>the reason the matter was not, and will not be, carried into effect is not merely to enable a replacement transaction to be entered into.</w:t>
      </w:r>
    </w:p>
    <w:p>
      <w:pPr>
        <w:pStyle w:val="Subsection"/>
        <w:spacing w:before="100"/>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del w:id="320" w:author="svcMRProcess" w:date="2020-02-20T23:16:00Z">
        <w:r>
          <w:delText xml:space="preserve"> </w:delText>
        </w:r>
      </w:del>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del w:id="321" w:author="svcMRProcess" w:date="2020-02-20T23:16:00Z">
        <w:r>
          <w:delText xml:space="preserve"> </w:delText>
        </w:r>
      </w:del>
    </w:p>
    <w:p>
      <w:pPr>
        <w:pStyle w:val="Defstart"/>
        <w:spacing w:before="60"/>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spacing w:before="60"/>
      </w:pPr>
      <w:r>
        <w:tab/>
      </w:r>
      <w:r>
        <w:rPr>
          <w:b/>
        </w:rPr>
        <w:t>“</w:t>
      </w:r>
      <w:r>
        <w:rPr>
          <w:rStyle w:val="CharDefText"/>
        </w:rPr>
        <w:t>independent person</w:t>
      </w:r>
      <w:r>
        <w:rPr>
          <w:b/>
        </w:rPr>
        <w:t>”</w:t>
      </w:r>
      <w:r>
        <w:t>, in relation to a matter, means a person who is not a party to the instrument that includes the matter;</w:t>
      </w:r>
    </w:p>
    <w:p>
      <w:pPr>
        <w:pStyle w:val="Defstart"/>
        <w:spacing w:before="60"/>
      </w:pPr>
      <w:r>
        <w:tab/>
      </w:r>
      <w:r>
        <w:rPr>
          <w:b/>
        </w:rPr>
        <w:t>“</w:t>
      </w:r>
      <w:r>
        <w:rPr>
          <w:rStyle w:val="CharDefText"/>
        </w:rPr>
        <w:t>party</w:t>
      </w:r>
      <w:r>
        <w:rPr>
          <w:b/>
        </w:rPr>
        <w:t>”</w:t>
      </w:r>
      <w:r>
        <w:t>, in relation to a matter, means a person who is a party to the instrument that includes the matter;</w:t>
      </w:r>
    </w:p>
    <w:p>
      <w:pPr>
        <w:pStyle w:val="Defstart"/>
        <w:spacing w:before="60"/>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spacing w:before="80"/>
        <w:ind w:left="890" w:hanging="890"/>
      </w:pPr>
      <w:r>
        <w:tab/>
        <w:t>[Section 20 inserted by No. 2 of 2003 s. 12.]</w:t>
      </w:r>
      <w:del w:id="322" w:author="svcMRProcess" w:date="2020-02-20T23:16:00Z">
        <w:r>
          <w:delText xml:space="preserve"> </w:delText>
        </w:r>
      </w:del>
    </w:p>
    <w:p>
      <w:pPr>
        <w:pStyle w:val="Ednotesection"/>
        <w:spacing w:before="160"/>
        <w:ind w:left="890" w:hanging="890"/>
      </w:pPr>
      <w:r>
        <w:t>[</w:t>
      </w:r>
      <w:r>
        <w:rPr>
          <w:b/>
        </w:rPr>
        <w:t>21.</w:t>
      </w:r>
      <w:r>
        <w:rPr>
          <w:b/>
        </w:rPr>
        <w:tab/>
      </w:r>
      <w:r>
        <w:t>Repealed by No. 2 of 2003 s. 12.]</w:t>
      </w:r>
      <w:del w:id="323" w:author="svcMRProcess" w:date="2020-02-20T23:16:00Z">
        <w:r>
          <w:delText xml:space="preserve"> </w:delText>
        </w:r>
      </w:del>
    </w:p>
    <w:p>
      <w:pPr>
        <w:pStyle w:val="Ednotesection"/>
        <w:spacing w:before="160"/>
        <w:ind w:left="890" w:hanging="890"/>
      </w:pPr>
      <w:r>
        <w:t>[</w:t>
      </w:r>
      <w:r>
        <w:rPr>
          <w:b/>
        </w:rPr>
        <w:t>22.</w:t>
      </w:r>
      <w:r>
        <w:tab/>
      </w:r>
      <w:del w:id="324" w:author="svcMRProcess" w:date="2020-02-20T23:16:00Z">
        <w:r>
          <w:tab/>
        </w:r>
      </w:del>
      <w:r>
        <w:t>Repealed by No. 37 of 1979 s. 18.]</w:t>
      </w:r>
      <w:del w:id="325" w:author="svcMRProcess" w:date="2020-02-20T23:16:00Z">
        <w:r>
          <w:delText xml:space="preserve"> </w:delText>
        </w:r>
      </w:del>
    </w:p>
    <w:p>
      <w:pPr>
        <w:pStyle w:val="Ednotesection"/>
        <w:spacing w:before="160"/>
        <w:ind w:left="890" w:hanging="890"/>
      </w:pPr>
      <w:r>
        <w:t>[</w:t>
      </w:r>
      <w:r>
        <w:rPr>
          <w:b/>
        </w:rPr>
        <w:t>23.</w:t>
      </w:r>
      <w:r>
        <w:rPr>
          <w:b/>
        </w:rPr>
        <w:tab/>
      </w:r>
      <w:r>
        <w:t>Repealed by No. 2 of 2003 s. 12.]</w:t>
      </w:r>
      <w:del w:id="326" w:author="svcMRProcess" w:date="2020-02-20T23:16:00Z">
        <w:r>
          <w:delText xml:space="preserve"> </w:delText>
        </w:r>
      </w:del>
    </w:p>
    <w:p>
      <w:pPr>
        <w:pStyle w:val="Ednotesection"/>
        <w:spacing w:before="160"/>
        <w:ind w:left="890" w:hanging="890"/>
      </w:pPr>
      <w:r>
        <w:t>[</w:t>
      </w:r>
      <w:r>
        <w:rPr>
          <w:b/>
        </w:rPr>
        <w:t>24, 25.</w:t>
      </w:r>
      <w:r>
        <w:tab/>
        <w:t>Repealed by No. 37 of 1979 s. 20.]</w:t>
      </w:r>
      <w:del w:id="327" w:author="svcMRProcess" w:date="2020-02-20T23:16:00Z">
        <w:r>
          <w:delText xml:space="preserve"> </w:delText>
        </w:r>
      </w:del>
    </w:p>
    <w:p>
      <w:pPr>
        <w:pStyle w:val="Heading5"/>
        <w:keepNext w:val="0"/>
        <w:keepLines w:val="0"/>
        <w:spacing w:before="180"/>
        <w:rPr>
          <w:snapToGrid w:val="0"/>
        </w:rPr>
      </w:pPr>
      <w:bookmarkStart w:id="328" w:name="_Toc500739886"/>
      <w:bookmarkStart w:id="329" w:name="_Toc520101077"/>
      <w:bookmarkStart w:id="330" w:name="_Toc520532976"/>
      <w:bookmarkStart w:id="331" w:name="_Toc49223870"/>
      <w:bookmarkStart w:id="332" w:name="_Toc107054851"/>
      <w:bookmarkStart w:id="333" w:name="_Toc134854588"/>
      <w:bookmarkStart w:id="334" w:name="_Toc136841041"/>
      <w:bookmarkStart w:id="335" w:name="_Toc131416047"/>
      <w:bookmarkStart w:id="336" w:name="_Toc170193230"/>
      <w:r>
        <w:rPr>
          <w:rStyle w:val="CharSectno"/>
        </w:rPr>
        <w:t>26</w:t>
      </w:r>
      <w:r>
        <w:rPr>
          <w:snapToGrid w:val="0"/>
        </w:rPr>
        <w:t>.</w:t>
      </w:r>
      <w:r>
        <w:rPr>
          <w:snapToGrid w:val="0"/>
        </w:rPr>
        <w:tab/>
        <w:t>Facts and circumstances affecting duty to be set forth in instrument</w:t>
      </w:r>
      <w:bookmarkEnd w:id="328"/>
      <w:bookmarkEnd w:id="329"/>
      <w:bookmarkEnd w:id="330"/>
      <w:bookmarkEnd w:id="331"/>
      <w:bookmarkEnd w:id="332"/>
      <w:bookmarkEnd w:id="333"/>
      <w:bookmarkEnd w:id="334"/>
      <w:bookmarkEnd w:id="335"/>
      <w:bookmarkEnd w:id="336"/>
      <w:del w:id="337" w:author="svcMRProcess" w:date="2020-02-20T23:16:00Z">
        <w:r>
          <w:rPr>
            <w:snapToGrid w:val="0"/>
          </w:rPr>
          <w:delText xml:space="preserve"> </w:delText>
        </w:r>
      </w:del>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del w:id="338" w:author="svcMRProcess" w:date="2020-02-20T23:16:00Z">
        <w:r>
          <w:rPr>
            <w:snapToGrid w:val="0"/>
          </w:rPr>
          <w:delText> </w:delText>
        </w:r>
      </w:del>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 xml:space="preserve">For the purposes of subsection (1) the suppression from an instrument of any fact or circumstance referred to in subsection (1) or the inclusion therein of any matter that is known to be false in a material particular is </w:t>
      </w:r>
      <w:r>
        <w:rPr>
          <w:iCs/>
          <w:snapToGrid w:val="0"/>
        </w:rPr>
        <w:t>prima facie</w:t>
      </w:r>
      <w:r>
        <w:rPr>
          <w:snapToGrid w:val="0"/>
        </w:rPr>
        <w:t xml:space="preserv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[Section 26 amended by No. 113 of 1965 s. 4(1); No. 37 of 1979 s. 21; No. 81 of 1984 s. 8; No. 33 of 1987 s. 8; No. 20 of 1996 s. 18; No. 2 of 2003 s. 13.]</w:t>
      </w:r>
      <w:del w:id="339" w:author="svcMRProcess" w:date="2020-02-20T23:16:00Z">
        <w:r>
          <w:rPr>
            <w:spacing w:val="-4"/>
          </w:rPr>
          <w:delText xml:space="preserve"> </w:delText>
        </w:r>
      </w:del>
    </w:p>
    <w:p>
      <w:pPr>
        <w:pStyle w:val="Heading5"/>
        <w:spacing w:before="180"/>
        <w:rPr>
          <w:snapToGrid w:val="0"/>
        </w:rPr>
      </w:pPr>
      <w:bookmarkStart w:id="340" w:name="_Toc500739887"/>
      <w:bookmarkStart w:id="341" w:name="_Toc520101078"/>
      <w:bookmarkStart w:id="342" w:name="_Toc520532977"/>
      <w:bookmarkStart w:id="343" w:name="_Toc49223871"/>
      <w:bookmarkStart w:id="344" w:name="_Toc107054852"/>
      <w:bookmarkStart w:id="345" w:name="_Toc134854589"/>
      <w:bookmarkStart w:id="346" w:name="_Toc136841042"/>
      <w:bookmarkStart w:id="347" w:name="_Toc131416048"/>
      <w:bookmarkStart w:id="348" w:name="_Toc170193231"/>
      <w:r>
        <w:rPr>
          <w:rStyle w:val="CharSectno"/>
        </w:rPr>
        <w:t>27</w:t>
      </w:r>
      <w:r>
        <w:rPr>
          <w:snapToGrid w:val="0"/>
        </w:rPr>
        <w:t>.</w:t>
      </w:r>
      <w:r>
        <w:rPr>
          <w:snapToGrid w:val="0"/>
        </w:rPr>
        <w:tab/>
        <w:t>Instruments not stamped inadmissible except in criminal proceedings</w:t>
      </w:r>
      <w:bookmarkEnd w:id="340"/>
      <w:bookmarkEnd w:id="341"/>
      <w:bookmarkEnd w:id="342"/>
      <w:bookmarkEnd w:id="343"/>
      <w:bookmarkEnd w:id="344"/>
      <w:bookmarkEnd w:id="345"/>
      <w:bookmarkEnd w:id="346"/>
      <w:bookmarkEnd w:id="347"/>
      <w:bookmarkEnd w:id="348"/>
      <w:del w:id="349" w:author="svcMRProcess" w:date="2020-02-20T23:16:00Z">
        <w:r>
          <w:rPr>
            <w:snapToGrid w:val="0"/>
          </w:rPr>
          <w:delText xml:space="preserve"> </w:delText>
        </w:r>
      </w:del>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spacing w:before="120"/>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del w:id="350" w:author="svcMRProcess" w:date="2020-02-20T23:16:00Z">
        <w:r>
          <w:rPr>
            <w:snapToGrid w:val="0"/>
          </w:rPr>
          <w:delText> </w:delText>
        </w:r>
      </w:del>
    </w:p>
    <w:p>
      <w:pPr>
        <w:pStyle w:val="Indenta"/>
      </w:pPr>
      <w:r>
        <w:tab/>
        <w:t>(a)</w:t>
      </w:r>
      <w:r>
        <w:tab/>
        <w:t>affords any evidence of —</w:t>
      </w:r>
      <w:del w:id="351" w:author="svcMRProcess" w:date="2020-02-20T23:16:00Z">
        <w:r>
          <w:delText xml:space="preserve"> </w:delText>
        </w:r>
      </w:del>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del w:id="352" w:author="svcMRProcess" w:date="2020-02-20T23:16:00Z">
        <w:r>
          <w:rPr>
            <w:snapToGrid w:val="0"/>
          </w:rPr>
          <w:delText> </w:delText>
        </w:r>
      </w:del>
    </w:p>
    <w:p>
      <w:pPr>
        <w:pStyle w:val="Indenti"/>
      </w:pPr>
      <w:r>
        <w:tab/>
        <w:t>(i)</w:t>
      </w:r>
      <w:r>
        <w:tab/>
        <w:t>relating to an acquisition, transaction, disposition or transfer for which a dutiable statement is required to be lodged under section 31B, 31C, 73DAA(1) or 77A; but</w:t>
      </w:r>
    </w:p>
    <w:p>
      <w:pPr>
        <w:pStyle w:val="Indenti"/>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del w:id="353" w:author="svcMRProcess" w:date="2020-02-20T23:16:00Z">
        <w:r>
          <w:rPr>
            <w:snapToGrid w:val="0"/>
          </w:rPr>
          <w:delText> </w:delText>
        </w:r>
      </w:del>
    </w:p>
    <w:p>
      <w:pPr>
        <w:pStyle w:val="Indenta"/>
        <w:spacing w:before="60"/>
        <w:rPr>
          <w:snapToGrid w:val="0"/>
        </w:rPr>
      </w:pPr>
      <w:r>
        <w:rPr>
          <w:snapToGrid w:val="0"/>
        </w:rPr>
        <w:tab/>
        <w:t>(a)</w:t>
      </w:r>
      <w:r>
        <w:rPr>
          <w:snapToGrid w:val="0"/>
        </w:rPr>
        <w:tab/>
        <w:t>in the case where the instrument or document is pleaded, if before the pleading is filed in the court, the person —</w:t>
      </w:r>
      <w:del w:id="354" w:author="svcMRProcess" w:date="2020-02-20T23:16:00Z">
        <w:r>
          <w:rPr>
            <w:snapToGrid w:val="0"/>
          </w:rPr>
          <w:delText> </w:delText>
        </w:r>
      </w:del>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w:t>
      </w:r>
      <w:del w:id="355" w:author="svcMRProcess" w:date="2020-02-20T23:16:00Z">
        <w:r>
          <w:rPr>
            <w:snapToGrid w:val="0"/>
          </w:rPr>
          <w:delText> </w:delText>
        </w:r>
      </w:del>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w:t>
      </w:r>
      <w:del w:id="356" w:author="svcMRProcess" w:date="2020-02-20T23:16:00Z">
        <w:r>
          <w:rPr>
            <w:snapToGrid w:val="0"/>
          </w:rPr>
          <w:delText> </w:delText>
        </w:r>
      </w:del>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w:t>
      </w:r>
      <w:del w:id="357" w:author="svcMRProcess" w:date="2020-02-20T23:16:00Z">
        <w:r>
          <w:rPr>
            <w:snapToGrid w:val="0"/>
          </w:rPr>
          <w:delText> </w:delText>
        </w:r>
      </w:del>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del w:id="358" w:author="svcMRProcess" w:date="2020-02-20T23:16:00Z">
        <w:r>
          <w:delText xml:space="preserve"> </w:delText>
        </w:r>
      </w:del>
    </w:p>
    <w:p>
      <w:pPr>
        <w:pStyle w:val="Heading5"/>
        <w:spacing w:before="180"/>
        <w:rPr>
          <w:snapToGrid w:val="0"/>
        </w:rPr>
      </w:pPr>
      <w:bookmarkStart w:id="359" w:name="_Toc500739888"/>
      <w:bookmarkStart w:id="360" w:name="_Toc520101079"/>
      <w:bookmarkStart w:id="361" w:name="_Toc520532978"/>
      <w:bookmarkStart w:id="362" w:name="_Toc49223872"/>
      <w:bookmarkStart w:id="363" w:name="_Toc107054853"/>
      <w:bookmarkStart w:id="364" w:name="_Toc134854590"/>
      <w:bookmarkStart w:id="365" w:name="_Toc136841043"/>
      <w:bookmarkStart w:id="366" w:name="_Toc131416049"/>
      <w:bookmarkStart w:id="367" w:name="_Toc170193232"/>
      <w:r>
        <w:rPr>
          <w:rStyle w:val="CharSectno"/>
        </w:rPr>
        <w:t>28</w:t>
      </w:r>
      <w:r>
        <w:rPr>
          <w:snapToGrid w:val="0"/>
        </w:rPr>
        <w:t>.</w:t>
      </w:r>
      <w:r>
        <w:rPr>
          <w:snapToGrid w:val="0"/>
        </w:rPr>
        <w:tab/>
        <w:t>No instrument to be registered, etc. unless stamped</w:t>
      </w:r>
      <w:bookmarkEnd w:id="359"/>
      <w:bookmarkEnd w:id="360"/>
      <w:bookmarkEnd w:id="361"/>
      <w:bookmarkEnd w:id="362"/>
      <w:bookmarkEnd w:id="363"/>
      <w:bookmarkEnd w:id="364"/>
      <w:bookmarkEnd w:id="365"/>
      <w:bookmarkEnd w:id="366"/>
      <w:bookmarkEnd w:id="367"/>
      <w:del w:id="368" w:author="svcMRProcess" w:date="2020-02-20T23:16:00Z">
        <w:r>
          <w:rPr>
            <w:snapToGrid w:val="0"/>
          </w:rPr>
          <w:delText xml:space="preserve"> </w:delText>
        </w:r>
      </w:del>
    </w:p>
    <w:p>
      <w:pPr>
        <w:pStyle w:val="Subsection"/>
        <w:spacing w:before="120"/>
        <w:rPr>
          <w:snapToGrid w:val="0"/>
        </w:rPr>
      </w:pPr>
      <w:r>
        <w:rPr>
          <w:snapToGrid w:val="0"/>
        </w:rPr>
        <w:tab/>
        <w:t>(1)</w:t>
      </w:r>
      <w:r>
        <w:rPr>
          <w:snapToGrid w:val="0"/>
        </w:rPr>
        <w:tab/>
        <w:t>A person whose duty it is to receive, register, enrol, enter or record —</w:t>
      </w:r>
      <w:del w:id="369" w:author="svcMRProcess" w:date="2020-02-20T23:16:00Z">
        <w:r>
          <w:rPr>
            <w:snapToGrid w:val="0"/>
          </w:rPr>
          <w:delText> </w:delText>
        </w:r>
      </w:del>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del w:id="370" w:author="svcMRProcess" w:date="2020-02-20T23:16:00Z">
        <w:r>
          <w:delText xml:space="preserve"> </w:delText>
        </w:r>
      </w:del>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del w:id="371" w:author="svcMRProcess" w:date="2020-02-20T23:16:00Z">
        <w:r>
          <w:delText xml:space="preserve"> </w:delText>
        </w:r>
      </w:del>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del w:id="372" w:author="svcMRProcess" w:date="2020-02-20T23:16:00Z">
        <w:r>
          <w:delText xml:space="preserve"> </w:delText>
        </w:r>
      </w:del>
    </w:p>
    <w:p>
      <w:pPr>
        <w:pStyle w:val="Defstart"/>
        <w:keepNext/>
      </w:pPr>
      <w:r>
        <w:tab/>
      </w:r>
      <w:r>
        <w:rPr>
          <w:b/>
        </w:rPr>
        <w:t>“</w:t>
      </w:r>
      <w:r>
        <w:rPr>
          <w:rStyle w:val="CharDefText"/>
        </w:rPr>
        <w:t>caveat</w:t>
      </w:r>
      <w:r>
        <w:rPr>
          <w:b/>
        </w:rPr>
        <w:t>”</w:t>
      </w:r>
      <w:r>
        <w:t xml:space="preserve"> means a caveat lodged under —</w:t>
      </w:r>
      <w:del w:id="373" w:author="svcMRProcess" w:date="2020-02-20T23:16:00Z">
        <w:r>
          <w:delText xml:space="preserve"> </w:delText>
        </w:r>
      </w:del>
    </w:p>
    <w:p>
      <w:pPr>
        <w:pStyle w:val="Defpara"/>
      </w:pPr>
      <w:r>
        <w:tab/>
        <w:t>(a)</w:t>
      </w:r>
      <w:r>
        <w:tab/>
        <w:t xml:space="preserve">Part V of the </w:t>
      </w:r>
      <w:r>
        <w:rPr>
          <w:i/>
        </w:rPr>
        <w:t>Transfer of Land Act 1893</w:t>
      </w:r>
      <w:r>
        <w:t>; or</w:t>
      </w:r>
      <w:del w:id="374" w:author="svcMRProcess" w:date="2020-02-20T23:16:00Z">
        <w:r>
          <w:delText xml:space="preserve"> </w:delText>
        </w:r>
      </w:del>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del w:id="375" w:author="svcMRProcess" w:date="2020-02-20T23:16:00Z">
        <w:r>
          <w:delText xml:space="preserve"> </w:delText>
        </w:r>
      </w:del>
    </w:p>
    <w:p>
      <w:pPr>
        <w:pStyle w:val="Heading5"/>
        <w:rPr>
          <w:snapToGrid w:val="0"/>
        </w:rPr>
      </w:pPr>
      <w:bookmarkStart w:id="376" w:name="_Toc500739889"/>
      <w:bookmarkStart w:id="377" w:name="_Toc520101080"/>
      <w:bookmarkStart w:id="378" w:name="_Toc520532979"/>
      <w:bookmarkStart w:id="379" w:name="_Toc49223873"/>
      <w:bookmarkStart w:id="380" w:name="_Toc107054854"/>
      <w:bookmarkStart w:id="381" w:name="_Toc134854591"/>
      <w:bookmarkStart w:id="382" w:name="_Toc136841044"/>
      <w:bookmarkStart w:id="383" w:name="_Toc131416050"/>
      <w:bookmarkStart w:id="384" w:name="_Toc170193233"/>
      <w:r>
        <w:rPr>
          <w:rStyle w:val="CharSectno"/>
        </w:rPr>
        <w:t>29</w:t>
      </w:r>
      <w:r>
        <w:rPr>
          <w:snapToGrid w:val="0"/>
        </w:rPr>
        <w:t>.</w:t>
      </w:r>
      <w:r>
        <w:rPr>
          <w:snapToGrid w:val="0"/>
        </w:rPr>
        <w:tab/>
      </w:r>
      <w:bookmarkEnd w:id="376"/>
      <w:bookmarkEnd w:id="377"/>
      <w:bookmarkEnd w:id="378"/>
      <w:r>
        <w:rPr>
          <w:snapToGrid w:val="0"/>
        </w:rPr>
        <w:t>Production of instruments as evidence</w:t>
      </w:r>
      <w:bookmarkEnd w:id="379"/>
      <w:bookmarkEnd w:id="380"/>
      <w:bookmarkEnd w:id="381"/>
      <w:bookmarkEnd w:id="382"/>
      <w:bookmarkEnd w:id="383"/>
      <w:bookmarkEnd w:id="384"/>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del w:id="385" w:author="svcMRProcess" w:date="2020-02-20T23:16:00Z">
        <w:r>
          <w:delText xml:space="preserve"> </w:delText>
        </w:r>
      </w:del>
    </w:p>
    <w:p>
      <w:pPr>
        <w:pStyle w:val="Heading5"/>
        <w:rPr>
          <w:snapToGrid w:val="0"/>
        </w:rPr>
      </w:pPr>
      <w:bookmarkStart w:id="386" w:name="_Toc500739890"/>
      <w:bookmarkStart w:id="387" w:name="_Toc520101081"/>
      <w:bookmarkStart w:id="388" w:name="_Toc520532980"/>
      <w:bookmarkStart w:id="389" w:name="_Toc49223874"/>
      <w:bookmarkStart w:id="390" w:name="_Toc107054855"/>
      <w:bookmarkStart w:id="391" w:name="_Toc134854592"/>
      <w:bookmarkStart w:id="392" w:name="_Toc136841045"/>
      <w:bookmarkStart w:id="393" w:name="_Toc131416051"/>
      <w:bookmarkStart w:id="394" w:name="_Toc170193234"/>
      <w:r>
        <w:rPr>
          <w:rStyle w:val="CharSectno"/>
        </w:rPr>
        <w:t>30</w:t>
      </w:r>
      <w:r>
        <w:rPr>
          <w:snapToGrid w:val="0"/>
        </w:rPr>
        <w:t>.</w:t>
      </w:r>
      <w:r>
        <w:rPr>
          <w:snapToGrid w:val="0"/>
        </w:rPr>
        <w:tab/>
        <w:t>Secondary evidence</w:t>
      </w:r>
      <w:bookmarkEnd w:id="386"/>
      <w:bookmarkEnd w:id="387"/>
      <w:bookmarkEnd w:id="388"/>
      <w:bookmarkEnd w:id="389"/>
      <w:bookmarkEnd w:id="390"/>
      <w:bookmarkEnd w:id="391"/>
      <w:bookmarkEnd w:id="392"/>
      <w:bookmarkEnd w:id="393"/>
      <w:bookmarkEnd w:id="394"/>
      <w:del w:id="395" w:author="svcMRProcess" w:date="2020-02-20T23:16:00Z">
        <w:r>
          <w:rPr>
            <w:snapToGrid w:val="0"/>
          </w:rPr>
          <w:delText xml:space="preserve"> </w:delText>
        </w:r>
      </w:del>
    </w:p>
    <w:p>
      <w:pPr>
        <w:pStyle w:val="Subsection"/>
        <w:rPr>
          <w:snapToGrid w:val="0"/>
        </w:rPr>
      </w:pPr>
      <w:r>
        <w:rPr>
          <w:snapToGrid w:val="0"/>
        </w:rPr>
        <w:tab/>
        <w:t>(1)</w:t>
      </w:r>
      <w:r>
        <w:rPr>
          <w:snapToGrid w:val="0"/>
        </w:rPr>
        <w:tab/>
        <w:t>In proceedings in any court of civil judicature or before any arbitrator or referee, secondary evidence of —</w:t>
      </w:r>
      <w:del w:id="396" w:author="svcMRProcess" w:date="2020-02-20T23:16:00Z">
        <w:r>
          <w:rPr>
            <w:snapToGrid w:val="0"/>
          </w:rPr>
          <w:delText> </w:delText>
        </w:r>
      </w:del>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del w:id="397" w:author="svcMRProcess" w:date="2020-02-20T23:16:00Z">
        <w:r>
          <w:delText xml:space="preserve"> </w:delText>
        </w:r>
      </w:del>
    </w:p>
    <w:p>
      <w:pPr>
        <w:pStyle w:val="Heading5"/>
      </w:pPr>
      <w:bookmarkStart w:id="398" w:name="_Toc107054856"/>
      <w:bookmarkStart w:id="399" w:name="_Toc134854593"/>
      <w:bookmarkStart w:id="400" w:name="_Toc136841046"/>
      <w:bookmarkStart w:id="401" w:name="_Toc131416052"/>
      <w:bookmarkStart w:id="402" w:name="_Toc170193235"/>
      <w:r>
        <w:rPr>
          <w:rStyle w:val="CharSectno"/>
        </w:rPr>
        <w:t>31</w:t>
      </w:r>
      <w:r>
        <w:t>.</w:t>
      </w:r>
      <w:r>
        <w:tab/>
        <w:t>Stamped instruments as evidence</w:t>
      </w:r>
      <w:bookmarkEnd w:id="398"/>
      <w:bookmarkEnd w:id="399"/>
      <w:bookmarkEnd w:id="400"/>
      <w:bookmarkEnd w:id="401"/>
      <w:bookmarkEnd w:id="402"/>
    </w:p>
    <w:p>
      <w:pPr>
        <w:pStyle w:val="Subsection"/>
      </w:pPr>
      <w:r>
        <w:tab/>
      </w:r>
      <w:r>
        <w:tab/>
        <w:t>An instrument that has been stamped or is taken to have been stamped —</w:t>
      </w:r>
      <w:del w:id="403" w:author="svcMRProcess" w:date="2020-02-20T23:16:00Z">
        <w:r>
          <w:delText xml:space="preserve"> </w:delText>
        </w:r>
      </w:del>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404" w:name="_Toc500739896"/>
      <w:bookmarkStart w:id="405" w:name="_Toc520101087"/>
      <w:bookmarkStart w:id="406" w:name="_Toc520532986"/>
      <w:r>
        <w:t>[</w:t>
      </w:r>
      <w:r>
        <w:rPr>
          <w:b/>
        </w:rPr>
        <w:t>31AA-31AC, 31A.</w:t>
      </w:r>
      <w:r>
        <w:tab/>
        <w:t>Repealed by No. 2 of 2003 s. 18.]</w:t>
      </w:r>
      <w:del w:id="407" w:author="svcMRProcess" w:date="2020-02-20T23:16:00Z">
        <w:r>
          <w:delText xml:space="preserve"> </w:delText>
        </w:r>
      </w:del>
    </w:p>
    <w:p>
      <w:pPr>
        <w:pStyle w:val="Heading5"/>
      </w:pPr>
      <w:bookmarkStart w:id="408" w:name="_Toc107054857"/>
      <w:bookmarkStart w:id="409" w:name="_Toc134854594"/>
      <w:bookmarkStart w:id="410" w:name="_Toc136841047"/>
      <w:bookmarkStart w:id="411" w:name="_Toc131416053"/>
      <w:bookmarkStart w:id="412" w:name="_Toc170193236"/>
      <w:bookmarkStart w:id="413" w:name="_Toc49223876"/>
      <w:bookmarkStart w:id="414" w:name="_Toc500739897"/>
      <w:bookmarkStart w:id="415" w:name="_Toc520101088"/>
      <w:bookmarkStart w:id="416" w:name="_Toc520532987"/>
      <w:bookmarkEnd w:id="404"/>
      <w:bookmarkEnd w:id="405"/>
      <w:bookmarkEnd w:id="406"/>
      <w:r>
        <w:rPr>
          <w:rStyle w:val="CharSectno"/>
        </w:rPr>
        <w:t>31B</w:t>
      </w:r>
      <w:r>
        <w:t>.</w:t>
      </w:r>
      <w:r>
        <w:tab/>
        <w:t>Payment of duty on statements in absence of dutiable instrument</w:t>
      </w:r>
      <w:bookmarkEnd w:id="408"/>
      <w:bookmarkEnd w:id="409"/>
      <w:bookmarkEnd w:id="410"/>
      <w:bookmarkEnd w:id="411"/>
      <w:bookmarkEnd w:id="412"/>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del w:id="417" w:author="svcMRProcess" w:date="2020-02-20T23:16:00Z">
        <w:r>
          <w:delText xml:space="preserve"> </w:delText>
        </w:r>
      </w:del>
    </w:p>
    <w:p>
      <w:pPr>
        <w:pStyle w:val="Indenta"/>
      </w:pPr>
      <w:r>
        <w:tab/>
        <w:t>(a)</w:t>
      </w:r>
      <w:r>
        <w:tab/>
        <w:t>the acquisition of beneficial ownership of an estate or interest in —</w:t>
      </w:r>
      <w:del w:id="418" w:author="svcMRProcess" w:date="2020-02-20T23:16:00Z">
        <w:r>
          <w:delText xml:space="preserve"> </w:delText>
        </w:r>
      </w:del>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Where —</w:t>
      </w:r>
      <w:del w:id="419" w:author="svcMRProcess" w:date="2020-02-20T23:16:00Z">
        <w:r>
          <w:delText xml:space="preserve"> </w:delText>
        </w:r>
      </w:del>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This section does not apply to —</w:t>
      </w:r>
      <w:del w:id="420" w:author="svcMRProcess" w:date="2020-02-20T23:16:00Z">
        <w:r>
          <w:delText xml:space="preserve"> </w:delText>
        </w:r>
      </w:del>
    </w:p>
    <w:p>
      <w:pPr>
        <w:pStyle w:val="Indenta"/>
      </w:pPr>
      <w:r>
        <w:tab/>
        <w:t>(a)</w:t>
      </w:r>
      <w:r>
        <w:tab/>
        <w:t>an acquisition effected by an instrument that is —</w:t>
      </w:r>
      <w:del w:id="421" w:author="svcMRProcess" w:date="2020-02-20T23:16:00Z">
        <w:r>
          <w:delText xml:space="preserve"> </w:delText>
        </w:r>
      </w:del>
    </w:p>
    <w:p>
      <w:pPr>
        <w:pStyle w:val="Indenti"/>
        <w:spacing w:before="60"/>
      </w:pPr>
      <w:r>
        <w:tab/>
        <w:t>(i)</w:t>
      </w:r>
      <w:r>
        <w:tab/>
        <w:t>chargeable with duty under item 4 or 6 of the Second Schedule; or</w:t>
      </w:r>
    </w:p>
    <w:p>
      <w:pPr>
        <w:pStyle w:val="Indenti"/>
        <w:spacing w:before="60"/>
      </w:pPr>
      <w:r>
        <w:tab/>
        <w:t>(ii)</w:t>
      </w:r>
      <w:r>
        <w:tab/>
        <w:t>exempt from duty;</w:t>
      </w:r>
    </w:p>
    <w:p>
      <w:pPr>
        <w:pStyle w:val="Indenta"/>
      </w:pPr>
      <w:r>
        <w:tab/>
        <w:t>(b)</w:t>
      </w:r>
      <w:r>
        <w:tab/>
        <w:t>an acquisition evidenced by an instrument if the instrument is chargeable with duty under item 4 of the Second Schedule;</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del w:id="422" w:author="svcMRProcess" w:date="2020-02-20T23:16:00Z">
        <w:r>
          <w:delText xml:space="preserve"> </w:delText>
        </w:r>
      </w:del>
    </w:p>
    <w:p>
      <w:pPr>
        <w:pStyle w:val="Indenti"/>
        <w:spacing w:before="60"/>
      </w:pPr>
      <w:r>
        <w:tab/>
        <w:t>(i)</w:t>
      </w:r>
      <w:r>
        <w:tab/>
        <w:t>exempt from duty; or</w:t>
      </w:r>
    </w:p>
    <w:p>
      <w:pPr>
        <w:pStyle w:val="Indenti"/>
        <w:spacing w:before="60"/>
      </w:pPr>
      <w:r>
        <w:tab/>
        <w:t>(ii)</w:t>
      </w:r>
      <w:r>
        <w:tab/>
        <w:t>chargeable with duty under item 6 of the Second Schedule;</w:t>
      </w:r>
    </w:p>
    <w:p>
      <w:pPr>
        <w:pStyle w:val="Indenta"/>
      </w:pPr>
      <w:r>
        <w:tab/>
        <w:t>(d)</w:t>
      </w:r>
      <w:r>
        <w:tab/>
        <w:t>an acquisition which, if it were effected by an instrument (irrespective of whether it is practicable or possible to do so), would be effected by an instrument that is —</w:t>
      </w:r>
      <w:del w:id="423" w:author="svcMRProcess" w:date="2020-02-20T23:16:00Z">
        <w:r>
          <w:delText xml:space="preserve"> </w:delText>
        </w:r>
      </w:del>
    </w:p>
    <w:p>
      <w:pPr>
        <w:pStyle w:val="Indenti"/>
      </w:pPr>
      <w:r>
        <w:tab/>
        <w:t>(i)</w:t>
      </w:r>
      <w:r>
        <w:tab/>
        <w:t>exempt from duty; or</w:t>
      </w:r>
    </w:p>
    <w:p>
      <w:pPr>
        <w:pStyle w:val="Indenti"/>
      </w:pPr>
      <w:r>
        <w:tab/>
        <w:t>(ii)</w:t>
      </w:r>
      <w:r>
        <w:tab/>
        <w:t>chargeable with duty under item 6 of the Second Schedule;</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del w:id="424" w:author="svcMRProcess" w:date="2020-02-20T23:16:00Z">
        <w:r>
          <w:delText xml:space="preserve"> </w:delText>
        </w:r>
      </w:del>
    </w:p>
    <w:p>
      <w:pPr>
        <w:pStyle w:val="Indenti"/>
      </w:pPr>
      <w:r>
        <w:tab/>
        <w:t>(i)</w:t>
      </w:r>
      <w:r>
        <w:tab/>
        <w:t>dutiable (as defined in section 70); or</w:t>
      </w:r>
    </w:p>
    <w:p>
      <w:pPr>
        <w:pStyle w:val="Indenti"/>
      </w:pPr>
      <w:r>
        <w:tab/>
        <w:t>(ii)</w:t>
      </w:r>
      <w:r>
        <w:tab/>
        <w:t>a transaction to which subsection (1) applies.</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w:t>
      </w:r>
    </w:p>
    <w:p>
      <w:pPr>
        <w:pStyle w:val="Heading5"/>
      </w:pPr>
      <w:bookmarkStart w:id="425" w:name="_Toc107054858"/>
      <w:bookmarkStart w:id="426" w:name="_Toc134854595"/>
      <w:bookmarkStart w:id="427" w:name="_Toc136841048"/>
      <w:bookmarkStart w:id="428" w:name="_Toc131416054"/>
      <w:bookmarkStart w:id="429" w:name="_Toc170193237"/>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413"/>
      <w:bookmarkEnd w:id="425"/>
      <w:bookmarkEnd w:id="426"/>
      <w:bookmarkEnd w:id="427"/>
      <w:bookmarkEnd w:id="428"/>
      <w:bookmarkEnd w:id="429"/>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Repealed by No. 2 of 2003 s. 21.]</w:t>
      </w:r>
      <w:del w:id="430" w:author="svcMRProcess" w:date="2020-02-20T23:16:00Z">
        <w:r>
          <w:delText xml:space="preserve"> </w:delText>
        </w:r>
      </w:del>
    </w:p>
    <w:p>
      <w:pPr>
        <w:pStyle w:val="Ednotesection"/>
      </w:pPr>
      <w:bookmarkStart w:id="431" w:name="_Toc500739898"/>
      <w:bookmarkStart w:id="432" w:name="_Toc520101089"/>
      <w:bookmarkStart w:id="433" w:name="_Toc520532988"/>
      <w:bookmarkEnd w:id="414"/>
      <w:bookmarkEnd w:id="415"/>
      <w:bookmarkEnd w:id="416"/>
      <w:r>
        <w:t>[</w:t>
      </w:r>
      <w:r>
        <w:rPr>
          <w:b/>
        </w:rPr>
        <w:t>32.</w:t>
      </w:r>
      <w:r>
        <w:tab/>
        <w:t>Repealed by No. 2 of 2003 s. 22.]</w:t>
      </w:r>
      <w:del w:id="434" w:author="svcMRProcess" w:date="2020-02-20T23:16:00Z">
        <w:r>
          <w:delText xml:space="preserve"> </w:delText>
        </w:r>
      </w:del>
    </w:p>
    <w:p>
      <w:pPr>
        <w:pStyle w:val="Heading5"/>
      </w:pPr>
      <w:bookmarkStart w:id="435" w:name="_Toc49223877"/>
      <w:bookmarkStart w:id="436" w:name="_Toc107054859"/>
      <w:bookmarkStart w:id="437" w:name="_Toc134854596"/>
      <w:bookmarkStart w:id="438" w:name="_Toc136841049"/>
      <w:bookmarkStart w:id="439" w:name="_Toc131416055"/>
      <w:bookmarkStart w:id="440" w:name="_Toc170193238"/>
      <w:bookmarkStart w:id="441" w:name="_Toc500739899"/>
      <w:bookmarkStart w:id="442" w:name="_Toc520101090"/>
      <w:bookmarkStart w:id="443" w:name="_Toc520532989"/>
      <w:bookmarkEnd w:id="431"/>
      <w:bookmarkEnd w:id="432"/>
      <w:bookmarkEnd w:id="433"/>
      <w:r>
        <w:rPr>
          <w:rStyle w:val="CharSectno"/>
        </w:rPr>
        <w:t>33</w:t>
      </w:r>
      <w:r>
        <w:t>.</w:t>
      </w:r>
      <w:r>
        <w:tab/>
        <w:t>Valuation of land or other property</w:t>
      </w:r>
      <w:bookmarkEnd w:id="435"/>
      <w:bookmarkEnd w:id="436"/>
      <w:bookmarkEnd w:id="437"/>
      <w:bookmarkEnd w:id="438"/>
      <w:bookmarkEnd w:id="439"/>
      <w:bookmarkEnd w:id="440"/>
      <w:del w:id="444" w:author="svcMRProcess" w:date="2020-02-20T23:16:00Z">
        <w:r>
          <w:delText xml:space="preserve"> </w:delText>
        </w:r>
      </w:del>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del w:id="445" w:author="svcMRProcess" w:date="2020-02-20T23:16:00Z">
        <w:r>
          <w:delText xml:space="preserve"> </w:delText>
        </w:r>
      </w:del>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An interest, agreement or arrangement is not to be disregarded if, in the Commissioner’s opinion —</w:t>
      </w:r>
      <w:del w:id="446" w:author="svcMRProcess" w:date="2020-02-20T23:16:00Z">
        <w:r>
          <w:delText xml:space="preserve"> </w:delText>
        </w:r>
      </w:del>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del w:id="447" w:author="svcMRProcess" w:date="2020-02-20T23:16:00Z">
        <w:r>
          <w:delText xml:space="preserve"> </w:delText>
        </w:r>
      </w:del>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del w:id="448" w:author="svcMRProcess" w:date="2020-02-20T23:16:00Z">
        <w:r>
          <w:delText xml:space="preserve"> </w:delText>
        </w:r>
      </w:del>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del w:id="449" w:author="svcMRProcess" w:date="2020-02-20T23:16:00Z">
        <w:r>
          <w:delText xml:space="preserve"> </w:delText>
        </w:r>
      </w:del>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 xml:space="preserve">[Section 33 inserted by No. 2 of 2003 s. 22; amended by No. 11 of 2004 s. 10; </w:t>
      </w:r>
      <w:ins w:id="450" w:author="svcMRProcess" w:date="2020-02-20T23:16:00Z">
        <w:r>
          <w:t>No. </w:t>
        </w:r>
      </w:ins>
      <w:r>
        <w:t>36 of 2005 s. 4.]</w:t>
      </w:r>
      <w:del w:id="451" w:author="svcMRProcess" w:date="2020-02-20T23:16:00Z">
        <w:r>
          <w:delText xml:space="preserve"> </w:delText>
        </w:r>
      </w:del>
    </w:p>
    <w:p>
      <w:pPr>
        <w:pStyle w:val="Ednotesection"/>
      </w:pPr>
      <w:bookmarkStart w:id="452" w:name="_Toc500739900"/>
      <w:bookmarkStart w:id="453" w:name="_Toc520101091"/>
      <w:bookmarkStart w:id="454" w:name="_Toc520532990"/>
      <w:bookmarkEnd w:id="441"/>
      <w:bookmarkEnd w:id="442"/>
      <w:bookmarkEnd w:id="443"/>
      <w:r>
        <w:t>[</w:t>
      </w:r>
      <w:r>
        <w:rPr>
          <w:b/>
        </w:rPr>
        <w:t>33A.</w:t>
      </w:r>
      <w:r>
        <w:tab/>
        <w:t>Repealed by No. 2 of 2003 s. 22.]</w:t>
      </w:r>
      <w:del w:id="455" w:author="svcMRProcess" w:date="2020-02-20T23:16:00Z">
        <w:r>
          <w:delText xml:space="preserve"> </w:delText>
        </w:r>
      </w:del>
    </w:p>
    <w:p>
      <w:pPr>
        <w:pStyle w:val="Heading5"/>
      </w:pPr>
      <w:bookmarkStart w:id="456" w:name="_Toc49223878"/>
      <w:bookmarkStart w:id="457" w:name="_Toc107054860"/>
      <w:bookmarkStart w:id="458" w:name="_Toc134854597"/>
      <w:bookmarkStart w:id="459" w:name="_Toc136841050"/>
      <w:bookmarkStart w:id="460" w:name="_Toc131416056"/>
      <w:bookmarkStart w:id="461" w:name="_Toc170193239"/>
      <w:bookmarkStart w:id="462" w:name="_Toc500739901"/>
      <w:bookmarkStart w:id="463" w:name="_Toc520101092"/>
      <w:bookmarkStart w:id="464" w:name="_Toc520532991"/>
      <w:bookmarkEnd w:id="452"/>
      <w:bookmarkEnd w:id="453"/>
      <w:bookmarkEnd w:id="454"/>
      <w:r>
        <w:rPr>
          <w:rStyle w:val="CharSectno"/>
        </w:rPr>
        <w:t>34</w:t>
      </w:r>
      <w:r>
        <w:t>.</w:t>
      </w:r>
      <w:r>
        <w:tab/>
        <w:t>Duplicates and counterparts</w:t>
      </w:r>
      <w:bookmarkEnd w:id="456"/>
      <w:bookmarkEnd w:id="457"/>
      <w:bookmarkEnd w:id="458"/>
      <w:bookmarkEnd w:id="459"/>
      <w:bookmarkEnd w:id="460"/>
      <w:bookmarkEnd w:id="461"/>
    </w:p>
    <w:p>
      <w:pPr>
        <w:pStyle w:val="Subsection"/>
      </w:pPr>
      <w:r>
        <w:tab/>
      </w:r>
      <w:r>
        <w:tab/>
        <w:t>A duplicate or counterpart of a stamped instrument is chargeable with duty under item 9 of the Second Schedule.</w:t>
      </w:r>
    </w:p>
    <w:p>
      <w:pPr>
        <w:pStyle w:val="Footnotesection"/>
      </w:pPr>
      <w:r>
        <w:tab/>
        <w:t>[Section 34 inserted by No. 2 of 2003 s. 22.]</w:t>
      </w:r>
      <w:del w:id="465" w:author="svcMRProcess" w:date="2020-02-20T23:16:00Z">
        <w:r>
          <w:delText xml:space="preserve"> </w:delText>
        </w:r>
      </w:del>
    </w:p>
    <w:p>
      <w:pPr>
        <w:pStyle w:val="Ednotesection"/>
      </w:pPr>
      <w:bookmarkStart w:id="466" w:name="_Toc500739904"/>
      <w:bookmarkStart w:id="467" w:name="_Toc520101095"/>
      <w:bookmarkStart w:id="468" w:name="_Toc520532994"/>
      <w:bookmarkEnd w:id="462"/>
      <w:bookmarkEnd w:id="463"/>
      <w:bookmarkEnd w:id="464"/>
      <w:r>
        <w:t>[</w:t>
      </w:r>
      <w:r>
        <w:rPr>
          <w:b/>
        </w:rPr>
        <w:t>34A</w:t>
      </w:r>
      <w:r>
        <w:rPr>
          <w:b/>
        </w:rPr>
        <w:noBreakHyphen/>
        <w:t>34C.</w:t>
      </w:r>
      <w:r>
        <w:tab/>
        <w:t>Repealed by No. 2 of 2003 s. 22.]</w:t>
      </w:r>
      <w:del w:id="469" w:author="svcMRProcess" w:date="2020-02-20T23:16:00Z">
        <w:r>
          <w:delText xml:space="preserve"> </w:delText>
        </w:r>
      </w:del>
    </w:p>
    <w:p>
      <w:pPr>
        <w:pStyle w:val="Heading5"/>
      </w:pPr>
      <w:bookmarkStart w:id="470" w:name="_Toc49223879"/>
      <w:bookmarkStart w:id="471" w:name="_Toc107054861"/>
      <w:bookmarkStart w:id="472" w:name="_Toc134854598"/>
      <w:bookmarkStart w:id="473" w:name="_Toc136841051"/>
      <w:bookmarkStart w:id="474" w:name="_Toc131416057"/>
      <w:bookmarkStart w:id="475" w:name="_Toc170193240"/>
      <w:bookmarkStart w:id="476" w:name="_Toc500739905"/>
      <w:bookmarkStart w:id="477" w:name="_Toc520101096"/>
      <w:bookmarkStart w:id="478" w:name="_Toc520532995"/>
      <w:bookmarkEnd w:id="466"/>
      <w:bookmarkEnd w:id="467"/>
      <w:bookmarkEnd w:id="468"/>
      <w:r>
        <w:rPr>
          <w:rStyle w:val="CharSectno"/>
        </w:rPr>
        <w:t>35</w:t>
      </w:r>
      <w:r>
        <w:t>.</w:t>
      </w:r>
      <w:r>
        <w:tab/>
        <w:t>Unlodged transfers — independent person’s obligations</w:t>
      </w:r>
      <w:bookmarkEnd w:id="470"/>
      <w:bookmarkEnd w:id="471"/>
      <w:bookmarkEnd w:id="472"/>
      <w:bookmarkEnd w:id="473"/>
      <w:bookmarkEnd w:id="474"/>
      <w:bookmarkEnd w:id="475"/>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del w:id="479" w:author="svcMRProcess" w:date="2020-02-20T23:16:00Z">
        <w:r>
          <w:delText xml:space="preserve"> </w:delText>
        </w:r>
      </w:del>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[Section 35 inserted by No. 2 of 2003 s. 22; amended by No. 66 of 2003 s. 107(3).]</w:t>
      </w:r>
      <w:del w:id="480" w:author="svcMRProcess" w:date="2020-02-20T23:16:00Z">
        <w:r>
          <w:delText xml:space="preserve"> </w:delText>
        </w:r>
      </w:del>
    </w:p>
    <w:p>
      <w:pPr>
        <w:pStyle w:val="Heading5"/>
        <w:rPr>
          <w:snapToGrid w:val="0"/>
        </w:rPr>
      </w:pPr>
      <w:bookmarkStart w:id="481" w:name="_Toc49223880"/>
      <w:bookmarkStart w:id="482" w:name="_Toc107054862"/>
      <w:bookmarkStart w:id="483" w:name="_Toc134854599"/>
      <w:bookmarkStart w:id="484" w:name="_Toc136841052"/>
      <w:bookmarkStart w:id="485" w:name="_Toc131416058"/>
      <w:bookmarkStart w:id="486" w:name="_Toc170193241"/>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476"/>
      <w:bookmarkEnd w:id="477"/>
      <w:bookmarkEnd w:id="478"/>
      <w:bookmarkEnd w:id="481"/>
      <w:bookmarkEnd w:id="482"/>
      <w:bookmarkEnd w:id="483"/>
      <w:bookmarkEnd w:id="484"/>
      <w:bookmarkEnd w:id="485"/>
      <w:bookmarkEnd w:id="486"/>
      <w:del w:id="487" w:author="svcMRProcess" w:date="2020-02-20T23:16:00Z">
        <w:r>
          <w:rPr>
            <w:snapToGrid w:val="0"/>
          </w:rPr>
          <w:delText xml:space="preserve"> </w:delText>
        </w:r>
      </w:del>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del w:id="488" w:author="svcMRProcess" w:date="2020-02-20T23:16:00Z">
        <w:r>
          <w:rPr>
            <w:snapToGrid w:val="0"/>
          </w:rPr>
          <w:delText> </w:delText>
        </w:r>
      </w:del>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del w:id="489" w:author="svcMRProcess" w:date="2020-02-20T23:16:00Z">
        <w:r>
          <w:delText xml:space="preserve"> </w:delText>
        </w:r>
      </w:del>
    </w:p>
    <w:p>
      <w:pPr>
        <w:pStyle w:val="Ednotesection"/>
      </w:pPr>
      <w:bookmarkStart w:id="490" w:name="_Toc500739907"/>
      <w:bookmarkStart w:id="491" w:name="_Toc520101098"/>
      <w:bookmarkStart w:id="492" w:name="_Toc520532997"/>
      <w:r>
        <w:t>[</w:t>
      </w:r>
      <w:r>
        <w:rPr>
          <w:b/>
        </w:rPr>
        <w:t>37.</w:t>
      </w:r>
      <w:r>
        <w:tab/>
        <w:t>Repealed by No. 2 of 2003 s. 24.]</w:t>
      </w:r>
      <w:del w:id="493" w:author="svcMRProcess" w:date="2020-02-20T23:16:00Z">
        <w:r>
          <w:delText xml:space="preserve"> </w:delText>
        </w:r>
      </w:del>
    </w:p>
    <w:p>
      <w:pPr>
        <w:pStyle w:val="Heading5"/>
      </w:pPr>
      <w:bookmarkStart w:id="494" w:name="_Toc49223881"/>
      <w:bookmarkStart w:id="495" w:name="_Toc107054863"/>
      <w:bookmarkStart w:id="496" w:name="_Toc134854600"/>
      <w:bookmarkStart w:id="497" w:name="_Toc136841053"/>
      <w:bookmarkStart w:id="498" w:name="_Toc131416059"/>
      <w:bookmarkStart w:id="499" w:name="_Toc170193242"/>
      <w:bookmarkStart w:id="500" w:name="_Toc500739908"/>
      <w:bookmarkStart w:id="501" w:name="_Toc520101099"/>
      <w:bookmarkStart w:id="502" w:name="_Toc520532998"/>
      <w:bookmarkEnd w:id="490"/>
      <w:bookmarkEnd w:id="491"/>
      <w:bookmarkEnd w:id="492"/>
      <w:r>
        <w:rPr>
          <w:rStyle w:val="CharSectno"/>
        </w:rPr>
        <w:t>38</w:t>
      </w:r>
      <w:r>
        <w:t>.</w:t>
      </w:r>
      <w:r>
        <w:tab/>
        <w:t>Instruments held in escrow</w:t>
      </w:r>
      <w:bookmarkEnd w:id="494"/>
      <w:bookmarkEnd w:id="495"/>
      <w:bookmarkEnd w:id="496"/>
      <w:bookmarkEnd w:id="497"/>
      <w:bookmarkEnd w:id="498"/>
      <w:bookmarkEnd w:id="499"/>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del w:id="503" w:author="svcMRProcess" w:date="2020-02-20T23:16:00Z">
        <w:r>
          <w:delText xml:space="preserve"> </w:delText>
        </w:r>
      </w:del>
    </w:p>
    <w:p>
      <w:pPr>
        <w:pStyle w:val="Heading5"/>
      </w:pPr>
      <w:bookmarkStart w:id="504" w:name="_Toc107054864"/>
      <w:bookmarkStart w:id="505" w:name="_Toc134854601"/>
      <w:bookmarkStart w:id="506" w:name="_Toc136841054"/>
      <w:bookmarkStart w:id="507" w:name="_Toc131416060"/>
      <w:bookmarkStart w:id="508" w:name="_Toc170193243"/>
      <w:r>
        <w:rPr>
          <w:rStyle w:val="CharSectno"/>
        </w:rPr>
        <w:t>39</w:t>
      </w:r>
      <w:r>
        <w:t>.</w:t>
      </w:r>
      <w:r>
        <w:tab/>
        <w:t>Determining whether securities are situated in Western Australia</w:t>
      </w:r>
      <w:bookmarkEnd w:id="504"/>
      <w:bookmarkEnd w:id="505"/>
      <w:bookmarkEnd w:id="506"/>
      <w:bookmarkEnd w:id="507"/>
      <w:bookmarkEnd w:id="508"/>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500"/>
    <w:bookmarkEnd w:id="501"/>
    <w:bookmarkEnd w:id="502"/>
    <w:p>
      <w:pPr>
        <w:pStyle w:val="Ednotesection"/>
      </w:pPr>
      <w:r>
        <w:t>[</w:t>
      </w:r>
      <w:r>
        <w:rPr>
          <w:b/>
        </w:rPr>
        <w:t>39A.</w:t>
      </w:r>
      <w:r>
        <w:tab/>
        <w:t>Repealed by No. 2 of 2003 s. 24.]</w:t>
      </w:r>
      <w:del w:id="509" w:author="svcMRProcess" w:date="2020-02-20T23:16:00Z">
        <w:r>
          <w:delText xml:space="preserve"> </w:delText>
        </w:r>
      </w:del>
    </w:p>
    <w:p>
      <w:pPr>
        <w:pStyle w:val="Heading5"/>
      </w:pPr>
      <w:bookmarkStart w:id="510" w:name="_Toc107054865"/>
      <w:bookmarkStart w:id="511" w:name="_Toc134854602"/>
      <w:bookmarkStart w:id="512" w:name="_Toc136841055"/>
      <w:bookmarkStart w:id="513" w:name="_Toc131416061"/>
      <w:bookmarkStart w:id="514" w:name="_Toc170193244"/>
      <w:r>
        <w:rPr>
          <w:rStyle w:val="CharSectno"/>
        </w:rPr>
        <w:t>40</w:t>
      </w:r>
      <w:r>
        <w:t>.</w:t>
      </w:r>
      <w:r>
        <w:tab/>
        <w:t>Valuing a marketable security or right in respect of shares</w:t>
      </w:r>
      <w:bookmarkEnd w:id="510"/>
      <w:bookmarkEnd w:id="511"/>
      <w:bookmarkEnd w:id="512"/>
      <w:bookmarkEnd w:id="513"/>
      <w:bookmarkEnd w:id="514"/>
    </w:p>
    <w:p>
      <w:pPr>
        <w:pStyle w:val="Subsection"/>
      </w:pPr>
      <w:r>
        <w:tab/>
        <w:t>(1)</w:t>
      </w:r>
      <w:r>
        <w:tab/>
        <w:t>The value of a marketable security or right in respect of shares is to be determined —</w:t>
      </w:r>
      <w:del w:id="515" w:author="svcMRProcess" w:date="2020-02-20T23:16:00Z">
        <w:r>
          <w:delText xml:space="preserve"> </w:delText>
        </w:r>
      </w:del>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del w:id="516" w:author="svcMRProcess" w:date="2020-02-20T23:16:00Z">
        <w:r>
          <w:delText xml:space="preserve"> </w:delText>
        </w:r>
      </w:del>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del w:id="517" w:author="svcMRProcess" w:date="2020-02-20T23:16:00Z">
        <w:r>
          <w:delText xml:space="preserve"> </w:delText>
        </w:r>
      </w:del>
    </w:p>
    <w:p>
      <w:pPr>
        <w:pStyle w:val="Ednotedivision"/>
      </w:pPr>
      <w:r>
        <w:t>[Headings before section 45 deleted by No. 37 of 1979 s. 31.]</w:t>
      </w:r>
    </w:p>
    <w:p>
      <w:pPr>
        <w:pStyle w:val="Ednotesection"/>
      </w:pPr>
      <w:r>
        <w:t>[</w:t>
      </w:r>
      <w:r>
        <w:rPr>
          <w:b/>
        </w:rPr>
        <w:t>45.</w:t>
      </w:r>
      <w:r>
        <w:tab/>
        <w:t>Repealed by No. 37 of 1979 s. 32.]</w:t>
      </w:r>
      <w:del w:id="518" w:author="svcMRProcess" w:date="2020-02-20T23:16:00Z">
        <w:r>
          <w:delText xml:space="preserve"> </w:delText>
        </w:r>
      </w:del>
    </w:p>
    <w:p>
      <w:pPr>
        <w:pStyle w:val="Ednotesection"/>
      </w:pPr>
      <w:r>
        <w:t>[</w:t>
      </w:r>
      <w:r>
        <w:rPr>
          <w:b/>
        </w:rPr>
        <w:t>46</w:t>
      </w:r>
      <w:r>
        <w:rPr>
          <w:b/>
        </w:rPr>
        <w:noBreakHyphen/>
        <w:t>48.</w:t>
      </w:r>
      <w:r>
        <w:tab/>
        <w:t>Repealed by No. 72 of 1965 s. 6(b)</w:t>
      </w:r>
      <w:r>
        <w:noBreakHyphen/>
        <w:t>(d).]</w:t>
      </w:r>
      <w:del w:id="519" w:author="svcMRProcess" w:date="2020-02-20T23:16:00Z">
        <w:r>
          <w:delText xml:space="preserve"> </w:delText>
        </w:r>
      </w:del>
    </w:p>
    <w:p>
      <w:pPr>
        <w:pStyle w:val="Ednotepart"/>
      </w:pPr>
      <w:r>
        <w:t>[Part IIIA</w:t>
      </w:r>
      <w:del w:id="520" w:author="svcMRProcess" w:date="2020-02-20T23:16:00Z">
        <w:r>
          <w:delText xml:space="preserve"> (</w:delText>
        </w:r>
      </w:del>
      <w:ins w:id="521" w:author="svcMRProcess" w:date="2020-02-20T23:16:00Z">
        <w:r>
          <w:t xml:space="preserve">: </w:t>
        </w:r>
      </w:ins>
      <w:r>
        <w:t>s. </w:t>
      </w:r>
      <w:ins w:id="522" w:author="svcMRProcess" w:date="2020-02-20T23:16:00Z">
        <w:r>
          <w:t>50E repealed by No. 42 of 1993 s. 4;</w:t>
        </w:r>
        <w:r>
          <w:br/>
          <w:t>s. </w:t>
        </w:r>
      </w:ins>
      <w:r>
        <w:t>49</w:t>
      </w:r>
      <w:r>
        <w:noBreakHyphen/>
        <w:t>50D</w:t>
      </w:r>
      <w:del w:id="523" w:author="svcMRProcess" w:date="2020-02-20T23:16:00Z">
        <w:r>
          <w:delText>)</w:delText>
        </w:r>
      </w:del>
      <w:r>
        <w:t xml:space="preserve"> repealed by No. 66 of 2003 s. 16(1).]</w:t>
      </w:r>
    </w:p>
    <w:p>
      <w:pPr>
        <w:pStyle w:val="Ednotesection"/>
        <w:ind w:left="890" w:hanging="890"/>
        <w:rPr>
          <w:del w:id="524" w:author="svcMRProcess" w:date="2020-02-20T23:16:00Z"/>
        </w:rPr>
      </w:pPr>
      <w:del w:id="525" w:author="svcMRProcess" w:date="2020-02-20T23:16:00Z">
        <w:r>
          <w:delText>[</w:delText>
        </w:r>
        <w:r>
          <w:rPr>
            <w:b/>
          </w:rPr>
          <w:delText>50E.</w:delText>
        </w:r>
        <w:r>
          <w:tab/>
          <w:delText xml:space="preserve">Repealed by No. 42 of 1993 s. 4.] </w:delText>
        </w:r>
      </w:del>
    </w:p>
    <w:p>
      <w:pPr>
        <w:pStyle w:val="Ednotesection"/>
        <w:ind w:left="890" w:hanging="890"/>
      </w:pPr>
      <w:r>
        <w:t>[</w:t>
      </w:r>
      <w:r>
        <w:rPr>
          <w:b/>
        </w:rPr>
        <w:t>51.</w:t>
      </w:r>
      <w:r>
        <w:tab/>
        <w:t>Repealed by No. 37 of 1979 s. 37.]</w:t>
      </w:r>
      <w:del w:id="526" w:author="svcMRProcess" w:date="2020-02-20T23:16:00Z">
        <w:r>
          <w:delText xml:space="preserve"> </w:delText>
        </w:r>
      </w:del>
    </w:p>
    <w:p>
      <w:pPr>
        <w:pStyle w:val="Ednotesection"/>
        <w:ind w:left="890" w:hanging="890"/>
      </w:pPr>
      <w:r>
        <w:t>[</w:t>
      </w:r>
      <w:r>
        <w:rPr>
          <w:b/>
        </w:rPr>
        <w:t>52.</w:t>
      </w:r>
      <w:r>
        <w:tab/>
        <w:t>Repealed by No. 2 of 2003 s. 30.]</w:t>
      </w:r>
      <w:del w:id="527" w:author="svcMRProcess" w:date="2020-02-20T23:16:00Z">
        <w:r>
          <w:delText xml:space="preserve"> </w:delText>
        </w:r>
      </w:del>
    </w:p>
    <w:p>
      <w:pPr>
        <w:pStyle w:val="Ednotesection"/>
        <w:ind w:left="890" w:hanging="890"/>
      </w:pPr>
      <w:r>
        <w:t>[</w:t>
      </w:r>
      <w:r>
        <w:rPr>
          <w:b/>
        </w:rPr>
        <w:t>53</w:t>
      </w:r>
      <w:r>
        <w:rPr>
          <w:b/>
        </w:rPr>
        <w:noBreakHyphen/>
        <w:t>60.</w:t>
      </w:r>
      <w:r>
        <w:tab/>
        <w:t>Repealed by No. 37 of 1979 s. 39.]</w:t>
      </w:r>
      <w:del w:id="528" w:author="svcMRProcess" w:date="2020-02-20T23:16:00Z">
        <w:r>
          <w:delText xml:space="preserve"> </w:delText>
        </w:r>
      </w:del>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529" w:name="_Toc58902538"/>
      <w:bookmarkStart w:id="530" w:name="_Toc76899535"/>
      <w:bookmarkStart w:id="531" w:name="_Toc78090437"/>
      <w:bookmarkStart w:id="532" w:name="_Toc88886805"/>
      <w:bookmarkStart w:id="533" w:name="_Toc90443421"/>
      <w:bookmarkStart w:id="534" w:name="_Toc90452772"/>
      <w:bookmarkStart w:id="535" w:name="_Toc100029363"/>
      <w:bookmarkStart w:id="536" w:name="_Toc100031436"/>
      <w:bookmarkStart w:id="537" w:name="_Toc100458495"/>
      <w:bookmarkStart w:id="538" w:name="_Toc101671911"/>
      <w:bookmarkStart w:id="539" w:name="_Toc101672168"/>
      <w:bookmarkStart w:id="540" w:name="_Toc102799194"/>
      <w:bookmarkStart w:id="541" w:name="_Toc102981868"/>
      <w:bookmarkStart w:id="542" w:name="_Toc103403181"/>
      <w:bookmarkStart w:id="543" w:name="_Toc103403438"/>
      <w:bookmarkStart w:id="544" w:name="_Toc103747437"/>
      <w:bookmarkStart w:id="545" w:name="_Toc107054866"/>
      <w:bookmarkStart w:id="546" w:name="_Toc113874313"/>
      <w:bookmarkStart w:id="547" w:name="_Toc113956729"/>
      <w:bookmarkStart w:id="548" w:name="_Toc116717285"/>
      <w:bookmarkStart w:id="549" w:name="_Toc116813312"/>
      <w:bookmarkStart w:id="550" w:name="_Toc122332964"/>
      <w:bookmarkStart w:id="551" w:name="_Toc122861934"/>
      <w:bookmarkStart w:id="552" w:name="_Toc122862530"/>
      <w:bookmarkStart w:id="553" w:name="_Toc122921137"/>
      <w:bookmarkStart w:id="554" w:name="_Toc122921397"/>
      <w:bookmarkStart w:id="555" w:name="_Toc122947342"/>
      <w:bookmarkStart w:id="556" w:name="_Toc124046178"/>
      <w:bookmarkStart w:id="557" w:name="_Toc130266499"/>
      <w:bookmarkStart w:id="558" w:name="_Toc130266775"/>
      <w:bookmarkStart w:id="559" w:name="_Toc131382878"/>
      <w:bookmarkStart w:id="560" w:name="_Toc133812259"/>
      <w:bookmarkStart w:id="561" w:name="_Toc133920206"/>
      <w:bookmarkStart w:id="562" w:name="_Toc134854603"/>
      <w:bookmarkStart w:id="563" w:name="_Toc134854879"/>
      <w:bookmarkStart w:id="564" w:name="_Toc136841056"/>
      <w:bookmarkStart w:id="565" w:name="_Toc131415763"/>
      <w:bookmarkStart w:id="566" w:name="_Toc131416062"/>
      <w:bookmarkStart w:id="567" w:name="_Toc170193245"/>
      <w:r>
        <w:rPr>
          <w:rStyle w:val="CharPartNo"/>
        </w:rPr>
        <w:t>Part IIIB</w:t>
      </w:r>
      <w:r>
        <w:rPr>
          <w:rStyle w:val="CharDivNo"/>
        </w:rPr>
        <w:t> </w:t>
      </w:r>
      <w:r>
        <w:t>—</w:t>
      </w:r>
      <w:r>
        <w:rPr>
          <w:rStyle w:val="CharDivText"/>
        </w:rPr>
        <w:t> </w:t>
      </w:r>
      <w:r>
        <w:rPr>
          <w:rStyle w:val="CharPartText"/>
        </w:rPr>
        <w:t>Conveyances and transfers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del w:id="568" w:author="svcMRProcess" w:date="2020-02-20T23:16:00Z">
        <w:r>
          <w:rPr>
            <w:rStyle w:val="CharPartText"/>
          </w:rPr>
          <w:delText xml:space="preserve"> </w:delText>
        </w:r>
      </w:del>
    </w:p>
    <w:p>
      <w:pPr>
        <w:pStyle w:val="Footnoteheading"/>
        <w:tabs>
          <w:tab w:val="left" w:pos="923"/>
        </w:tabs>
        <w:rPr>
          <w:snapToGrid w:val="0"/>
        </w:rPr>
      </w:pPr>
      <w:r>
        <w:rPr>
          <w:snapToGrid w:val="0"/>
        </w:rPr>
        <w:tab/>
        <w:t>[</w:t>
      </w:r>
      <w:del w:id="569" w:author="svcMRProcess" w:date="2020-02-20T23:16:00Z">
        <w:r>
          <w:rPr>
            <w:snapToGrid w:val="0"/>
          </w:rPr>
          <w:delText>Part heading</w:delText>
        </w:r>
      </w:del>
      <w:ins w:id="570" w:author="svcMRProcess" w:date="2020-02-20T23:16:00Z">
        <w:r>
          <w:rPr>
            <w:snapToGrid w:val="0"/>
          </w:rPr>
          <w:t>Heading</w:t>
        </w:r>
      </w:ins>
      <w:r>
        <w:rPr>
          <w:snapToGrid w:val="0"/>
        </w:rPr>
        <w:t xml:space="preserve"> inserted by No. 37 of 1979 s. 40.]</w:t>
      </w:r>
      <w:del w:id="571" w:author="svcMRProcess" w:date="2020-02-20T23:16:00Z">
        <w:r>
          <w:rPr>
            <w:snapToGrid w:val="0"/>
          </w:rPr>
          <w:delText xml:space="preserve"> </w:delText>
        </w:r>
      </w:del>
    </w:p>
    <w:p>
      <w:pPr>
        <w:pStyle w:val="Ednotedivision"/>
      </w:pPr>
      <w:bookmarkStart w:id="572" w:name="_Toc500739918"/>
      <w:bookmarkStart w:id="573" w:name="_Toc520101109"/>
      <w:bookmarkStart w:id="574" w:name="_Toc520533008"/>
      <w:r>
        <w:t>[Heading</w:t>
      </w:r>
      <w:del w:id="575" w:author="svcMRProcess" w:date="2020-02-20T23:16:00Z">
        <w:r>
          <w:delText> </w:delText>
        </w:r>
      </w:del>
      <w:ins w:id="576" w:author="svcMRProcess" w:date="2020-02-20T23:16:00Z">
        <w:r>
          <w:t xml:space="preserve"> </w:t>
        </w:r>
      </w:ins>
      <w:r>
        <w:t>deleted by No. 2 of 2003 s. 31.]</w:t>
      </w:r>
    </w:p>
    <w:p>
      <w:pPr>
        <w:pStyle w:val="Heading5"/>
        <w:rPr>
          <w:snapToGrid w:val="0"/>
        </w:rPr>
      </w:pPr>
      <w:bookmarkStart w:id="577" w:name="_Toc49223888"/>
      <w:bookmarkStart w:id="578" w:name="_Toc107054867"/>
      <w:bookmarkStart w:id="579" w:name="_Toc134854604"/>
      <w:bookmarkStart w:id="580" w:name="_Toc136841057"/>
      <w:bookmarkStart w:id="581" w:name="_Toc131416063"/>
      <w:bookmarkStart w:id="582" w:name="_Toc170193246"/>
      <w:r>
        <w:rPr>
          <w:rStyle w:val="CharSectno"/>
        </w:rPr>
        <w:t>63</w:t>
      </w:r>
      <w:r>
        <w:rPr>
          <w:snapToGrid w:val="0"/>
        </w:rPr>
        <w:t>.</w:t>
      </w:r>
      <w:r>
        <w:rPr>
          <w:snapToGrid w:val="0"/>
        </w:rPr>
        <w:tab/>
        <w:t>Interpretation in Part IIIB</w:t>
      </w:r>
      <w:bookmarkEnd w:id="572"/>
      <w:bookmarkEnd w:id="573"/>
      <w:bookmarkEnd w:id="574"/>
      <w:bookmarkEnd w:id="577"/>
      <w:bookmarkEnd w:id="578"/>
      <w:bookmarkEnd w:id="579"/>
      <w:bookmarkEnd w:id="580"/>
      <w:bookmarkEnd w:id="581"/>
      <w:bookmarkEnd w:id="582"/>
    </w:p>
    <w:p>
      <w:pPr>
        <w:pStyle w:val="Subsection"/>
        <w:spacing w:before="140"/>
        <w:rPr>
          <w:snapToGrid w:val="0"/>
        </w:rPr>
      </w:pPr>
      <w:r>
        <w:rPr>
          <w:snapToGrid w:val="0"/>
        </w:rPr>
        <w:tab/>
        <w:t>(1)</w:t>
      </w:r>
      <w:r>
        <w:rPr>
          <w:snapToGrid w:val="0"/>
        </w:rPr>
        <w:tab/>
        <w:t>In this Part —</w:t>
      </w:r>
      <w:del w:id="583" w:author="svcMRProcess" w:date="2020-02-20T23:16:00Z">
        <w:r>
          <w:rPr>
            <w:snapToGrid w:val="0"/>
          </w:rPr>
          <w:delText> </w:delText>
        </w:r>
      </w:del>
    </w:p>
    <w:p>
      <w:pPr>
        <w:pStyle w:val="Defstart"/>
        <w:spacing w:before="60"/>
      </w:pPr>
      <w:r>
        <w:rPr>
          <w:b/>
        </w:rPr>
        <w:tab/>
        <w:t>“</w:t>
      </w:r>
      <w:r>
        <w:rPr>
          <w:rStyle w:val="CharDefText"/>
        </w:rPr>
        <w:t>conveyance on sale</w:t>
      </w:r>
      <w:r>
        <w:rPr>
          <w:b/>
        </w:rPr>
        <w:t>”</w:t>
      </w:r>
      <w:r>
        <w:t xml:space="preserve"> includes —</w:t>
      </w:r>
      <w:del w:id="584" w:author="svcMRProcess" w:date="2020-02-20T23:16:00Z">
        <w:r>
          <w:delText> </w:delText>
        </w:r>
      </w:del>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del w:id="585" w:author="svcMRProcess" w:date="2020-02-20T23:16:00Z">
        <w:r>
          <w:delText xml:space="preserve"> </w:delText>
        </w:r>
      </w:del>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w:t>
      </w:r>
      <w:del w:id="586" w:author="svcMRProcess" w:date="2020-02-20T23:16:00Z">
        <w:r>
          <w:delText xml:space="preserve"> </w:delText>
        </w:r>
      </w:del>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in relation to a provisional public trust for which the prospectus or information memorandum has been, or is to be, lodged with the Australian Securities and Investments Commission — the period of one year beginning on —</w:t>
      </w:r>
      <w:del w:id="587" w:author="svcMRProcess" w:date="2020-02-20T23:16:00Z">
        <w:r>
          <w:delText xml:space="preserve"> </w:delText>
        </w:r>
      </w:del>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del w:id="588" w:author="svcMRProcess" w:date="2020-02-20T23:16:00Z">
        <w:r>
          <w:delText xml:space="preserve"> </w:delText>
        </w:r>
      </w:del>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pPr>
      <w:r>
        <w:rPr>
          <w:snapToGrid w:val="0"/>
        </w:rPr>
        <w:tab/>
        <w:t>(2)</w:t>
      </w:r>
      <w:r>
        <w:rPr>
          <w:snapToGrid w:val="0"/>
        </w:rPr>
        <w:tab/>
        <w:t xml:space="preserve">A unit trust scheme is a private unit trust scheme if at the time of any conveyance, transfer or </w:t>
      </w:r>
      <w:r>
        <w:t>other disposition of a unit —</w:t>
      </w:r>
      <w:del w:id="589" w:author="svcMRProcess" w:date="2020-02-20T23:16:00Z">
        <w:r>
          <w:delText> </w:delText>
        </w:r>
      </w:del>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del w:id="590" w:author="svcMRProcess" w:date="2020-02-20T23:16:00Z">
        <w:r>
          <w:rPr>
            <w:snapToGrid w:val="0"/>
          </w:rPr>
          <w:delText> </w:delText>
        </w:r>
      </w:del>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w:t>
      </w:r>
      <w:del w:id="591" w:author="svcMRProcess" w:date="2020-02-20T23:16:00Z">
        <w:r>
          <w:rPr>
            <w:snapToGrid w:val="0"/>
          </w:rPr>
          <w:delText> </w:delText>
        </w:r>
      </w:del>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For the purposes of subsection (2)(a) and (b)(ii) —</w:t>
      </w:r>
      <w:del w:id="592" w:author="svcMRProcess" w:date="2020-02-20T23:16:00Z">
        <w:r>
          <w:delText xml:space="preserve"> </w:delText>
        </w:r>
      </w:del>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del w:id="593" w:author="svcMRProcess" w:date="2020-02-20T23:16:00Z">
        <w:r>
          <w:delText xml:space="preserve"> </w:delText>
        </w:r>
      </w:del>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del w:id="594" w:author="svcMRProcess" w:date="2020-02-20T23:16:00Z">
        <w:r>
          <w:rPr>
            <w:snapToGrid w:val="0"/>
          </w:rPr>
          <w:delText xml:space="preserve"> </w:delText>
        </w:r>
      </w:del>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del w:id="595" w:author="svcMRProcess" w:date="2020-02-20T23:16:00Z">
        <w:r>
          <w:rPr>
            <w:snapToGrid w:val="0"/>
          </w:rPr>
          <w:delText xml:space="preserve"> </w:delText>
        </w:r>
      </w:del>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del w:id="596" w:author="svcMRProcess" w:date="2020-02-20T23:16:00Z">
        <w:r>
          <w:rPr>
            <w:snapToGrid w:val="0"/>
          </w:rPr>
          <w:delText> </w:delText>
        </w:r>
      </w:del>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del w:id="597" w:author="svcMRProcess" w:date="2020-02-20T23:16:00Z">
        <w:r>
          <w:delText xml:space="preserve"> </w:delText>
        </w:r>
      </w:del>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del w:id="598" w:author="svcMRProcess" w:date="2020-02-20T23:16:00Z">
        <w:r>
          <w:delText xml:space="preserve"> </w:delText>
        </w:r>
      </w:del>
    </w:p>
    <w:p>
      <w:pPr>
        <w:pStyle w:val="Indenta"/>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del w:id="599" w:author="svcMRProcess" w:date="2020-02-20T23:16:00Z">
        <w:r>
          <w:delText xml:space="preserve"> </w:delText>
        </w:r>
      </w:del>
    </w:p>
    <w:p>
      <w:pPr>
        <w:pStyle w:val="Heading5"/>
      </w:pPr>
      <w:bookmarkStart w:id="600" w:name="_Toc49223889"/>
      <w:bookmarkStart w:id="601" w:name="_Toc107054868"/>
      <w:bookmarkStart w:id="602" w:name="_Toc134854605"/>
      <w:bookmarkStart w:id="603" w:name="_Toc136841058"/>
      <w:bookmarkStart w:id="604" w:name="_Toc131416064"/>
      <w:bookmarkStart w:id="605" w:name="_Toc170193247"/>
      <w:bookmarkStart w:id="606" w:name="_Toc500739919"/>
      <w:bookmarkStart w:id="607" w:name="_Toc520101110"/>
      <w:bookmarkStart w:id="608" w:name="_Toc520533009"/>
      <w:r>
        <w:rPr>
          <w:rStyle w:val="CharSectno"/>
        </w:rPr>
        <w:t>63AA</w:t>
      </w:r>
      <w:r>
        <w:t>.</w:t>
      </w:r>
      <w:r>
        <w:tab/>
        <w:t>Registered unit trust schemes</w:t>
      </w:r>
      <w:bookmarkEnd w:id="600"/>
      <w:bookmarkEnd w:id="601"/>
      <w:bookmarkEnd w:id="602"/>
      <w:bookmarkEnd w:id="603"/>
      <w:bookmarkEnd w:id="604"/>
      <w:bookmarkEnd w:id="605"/>
    </w:p>
    <w:p>
      <w:pPr>
        <w:pStyle w:val="Subsection"/>
      </w:pPr>
      <w:r>
        <w:tab/>
        <w:t>(1)</w:t>
      </w:r>
      <w:r>
        <w:tab/>
        <w:t>In this section —</w:t>
      </w:r>
      <w:del w:id="609" w:author="svcMRProcess" w:date="2020-02-20T23:16:00Z">
        <w:r>
          <w:delText xml:space="preserve"> </w:delText>
        </w:r>
      </w:del>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del w:id="610" w:author="svcMRProcess" w:date="2020-02-20T23:16:00Z">
        <w:r>
          <w:delText xml:space="preserve"> </w:delText>
        </w:r>
      </w:del>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del w:id="611" w:author="svcMRProcess" w:date="2020-02-20T23:16:00Z">
        <w:r>
          <w:delText xml:space="preserve"> </w:delText>
        </w:r>
      </w:del>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del w:id="612" w:author="svcMRProcess" w:date="2020-02-20T23:16:00Z">
        <w:r>
          <w:delText xml:space="preserve"> </w:delText>
        </w:r>
      </w:del>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613" w:name="_Toc49223890"/>
      <w:bookmarkStart w:id="614" w:name="_Toc107054869"/>
      <w:bookmarkStart w:id="615" w:name="_Toc134854606"/>
      <w:bookmarkStart w:id="616" w:name="_Toc136841059"/>
      <w:bookmarkStart w:id="617" w:name="_Toc131416065"/>
      <w:bookmarkStart w:id="618" w:name="_Toc170193248"/>
      <w:r>
        <w:rPr>
          <w:rStyle w:val="CharSectno"/>
        </w:rPr>
        <w:t>63AB</w:t>
      </w:r>
      <w:r>
        <w:t>.</w:t>
      </w:r>
      <w:r>
        <w:tab/>
        <w:t>Criteria for registration of a unit trust scheme</w:t>
      </w:r>
      <w:bookmarkEnd w:id="613"/>
      <w:bookmarkEnd w:id="614"/>
      <w:bookmarkEnd w:id="615"/>
      <w:bookmarkEnd w:id="616"/>
      <w:bookmarkEnd w:id="617"/>
      <w:bookmarkEnd w:id="618"/>
    </w:p>
    <w:p>
      <w:pPr>
        <w:pStyle w:val="Subsection"/>
      </w:pPr>
      <w:r>
        <w:tab/>
        <w:t>(1)</w:t>
      </w:r>
      <w:r>
        <w:tab/>
        <w:t>In this section —</w:t>
      </w:r>
      <w:del w:id="619" w:author="svcMRProcess" w:date="2020-02-20T23:16:00Z">
        <w:r>
          <w:delText xml:space="preserve"> </w:delText>
        </w:r>
      </w:del>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del w:id="620" w:author="svcMRProcess" w:date="2020-02-20T23:16:00Z">
        <w:r>
          <w:delText xml:space="preserve"> </w:delText>
        </w:r>
      </w:del>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del w:id="621" w:author="svcMRProcess" w:date="2020-02-20T23:16:00Z">
        <w:r>
          <w:delText xml:space="preserve"> </w:delText>
        </w:r>
      </w:del>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del w:id="622" w:author="svcMRProcess" w:date="2020-02-20T23:16:00Z">
        <w:r>
          <w:delText xml:space="preserve"> </w:delText>
        </w:r>
      </w:del>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del w:id="623" w:author="svcMRProcess" w:date="2020-02-20T23:16:00Z">
        <w:r>
          <w:delText xml:space="preserve"> </w:delText>
        </w:r>
      </w:del>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del w:id="624" w:author="svcMRProcess" w:date="2020-02-20T23:16:00Z">
        <w:r>
          <w:delText xml:space="preserve"> </w:delText>
        </w:r>
      </w:del>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del w:id="625" w:author="svcMRProcess" w:date="2020-02-20T23:16:00Z">
        <w:r>
          <w:delText xml:space="preserve"> </w:delText>
        </w:r>
      </w:del>
    </w:p>
    <w:p>
      <w:pPr>
        <w:pStyle w:val="Defstart"/>
      </w:pPr>
      <w:r>
        <w:rPr>
          <w:b/>
        </w:rPr>
        <w:tab/>
        <w:t>“</w:t>
      </w:r>
      <w:r>
        <w:rPr>
          <w:rStyle w:val="CharDefText"/>
        </w:rPr>
        <w:t>funds manager</w:t>
      </w:r>
      <w:r>
        <w:rPr>
          <w:b/>
        </w:rPr>
        <w:t>”</w:t>
      </w:r>
      <w:r>
        <w:t xml:space="preserve"> means —</w:t>
      </w:r>
      <w:del w:id="626" w:author="svcMRProcess" w:date="2020-02-20T23:16:00Z">
        <w:r>
          <w:delText xml:space="preserve"> </w:delText>
        </w:r>
      </w:del>
    </w:p>
    <w:p>
      <w:pPr>
        <w:pStyle w:val="Defpara"/>
      </w:pPr>
      <w:r>
        <w:tab/>
        <w:t>(a)</w:t>
      </w:r>
      <w:r>
        <w:tab/>
        <w:t>a body corporate that, as its principal business, provides funds management and investment services to persons of the kind described in subsection (2)(c) if —</w:t>
      </w:r>
      <w:del w:id="627" w:author="svcMRProcess" w:date="2020-02-20T23:16:00Z">
        <w:r>
          <w:delText xml:space="preserve"> </w:delText>
        </w:r>
      </w:del>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del w:id="628" w:author="svcMRProcess" w:date="2020-02-20T23:16:00Z">
        <w:r>
          <w:delText xml:space="preserve"> </w:delText>
        </w:r>
      </w:del>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del w:id="629" w:author="svcMRProcess" w:date="2020-02-20T23:16:00Z">
        <w:r>
          <w:delText xml:space="preserve"> </w:delText>
        </w:r>
      </w:del>
    </w:p>
    <w:p>
      <w:pPr>
        <w:pStyle w:val="Indenta"/>
        <w:spacing w:before="140"/>
      </w:pPr>
      <w:r>
        <w:tab/>
        <w:t>(a)</w:t>
      </w:r>
      <w:r>
        <w:tab/>
        <w:t>the unit trustee, as trustee of the scheme, does not hold, and is not empowered or able to hold, any thing other than —</w:t>
      </w:r>
      <w:del w:id="630" w:author="svcMRProcess" w:date="2020-02-20T23:16:00Z">
        <w:r>
          <w:delText xml:space="preserve"> </w:delText>
        </w:r>
      </w:del>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631" w:name="_Toc49223891"/>
      <w:bookmarkStart w:id="632" w:name="_Toc107054870"/>
      <w:bookmarkStart w:id="633" w:name="_Toc134854607"/>
      <w:bookmarkStart w:id="634" w:name="_Toc136841060"/>
      <w:bookmarkStart w:id="635" w:name="_Toc131416066"/>
      <w:bookmarkStart w:id="636" w:name="_Toc170193249"/>
      <w:r>
        <w:rPr>
          <w:rStyle w:val="CharSectno"/>
        </w:rPr>
        <w:t>63AC</w:t>
      </w:r>
      <w:r>
        <w:t>.</w:t>
      </w:r>
      <w:r>
        <w:tab/>
        <w:t>Interim registration</w:t>
      </w:r>
      <w:bookmarkEnd w:id="631"/>
      <w:bookmarkEnd w:id="632"/>
      <w:bookmarkEnd w:id="633"/>
      <w:bookmarkEnd w:id="634"/>
      <w:bookmarkEnd w:id="635"/>
      <w:bookmarkEnd w:id="636"/>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spacing w:before="120"/>
      </w:pPr>
      <w:r>
        <w:tab/>
        <w:t>(2)</w:t>
      </w:r>
      <w:r>
        <w:tab/>
        <w:t>The Commissioner may grant the unit trust scheme interim registration as a pooled investment trust or an equity trust, as the case may be, for the start up period if —</w:t>
      </w:r>
      <w:del w:id="637" w:author="svcMRProcess" w:date="2020-02-20T23:16:00Z">
        <w:r>
          <w:delText xml:space="preserve"> </w:delText>
        </w:r>
      </w:del>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del w:id="638" w:author="svcMRProcess" w:date="2020-02-20T23:16:00Z">
        <w:r>
          <w:delText> </w:delText>
        </w:r>
      </w:del>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del w:id="639" w:author="svcMRProcess" w:date="2020-02-20T23:16:00Z">
        <w:r>
          <w:delText xml:space="preserve"> </w:delText>
        </w:r>
      </w:del>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640" w:name="_Toc49223892"/>
      <w:bookmarkStart w:id="641" w:name="_Toc107054871"/>
      <w:bookmarkStart w:id="642" w:name="_Toc134854608"/>
      <w:bookmarkStart w:id="643" w:name="_Toc136841061"/>
      <w:bookmarkStart w:id="644" w:name="_Toc131416067"/>
      <w:bookmarkStart w:id="645" w:name="_Toc170193250"/>
      <w:r>
        <w:rPr>
          <w:rStyle w:val="CharSectno"/>
        </w:rPr>
        <w:t>63AD</w:t>
      </w:r>
      <w:r>
        <w:t>.</w:t>
      </w:r>
      <w:r>
        <w:tab/>
        <w:t>Cancellation of registration or interim registration</w:t>
      </w:r>
      <w:bookmarkEnd w:id="640"/>
      <w:bookmarkEnd w:id="641"/>
      <w:bookmarkEnd w:id="642"/>
      <w:bookmarkEnd w:id="643"/>
      <w:bookmarkEnd w:id="644"/>
      <w:bookmarkEnd w:id="645"/>
    </w:p>
    <w:p>
      <w:pPr>
        <w:pStyle w:val="Subsection"/>
      </w:pPr>
      <w:r>
        <w:tab/>
        <w:t>(1)</w:t>
      </w:r>
      <w:r>
        <w:tab/>
        <w:t>For the purposes of this section and section 63AE, a disqualifying event occurs —</w:t>
      </w:r>
      <w:del w:id="646" w:author="svcMRProcess" w:date="2020-02-20T23:16:00Z">
        <w:r>
          <w:delText xml:space="preserve"> </w:delText>
        </w:r>
      </w:del>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del w:id="647" w:author="svcMRProcess" w:date="2020-02-20T23:16:00Z">
        <w:r>
          <w:delText xml:space="preserve"> </w:delText>
        </w:r>
      </w:del>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del w:id="648" w:author="svcMRProcess" w:date="2020-02-20T23:16:00Z">
        <w:r>
          <w:delText xml:space="preserve"> </w:delText>
        </w:r>
      </w:del>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del w:id="649" w:author="svcMRProcess" w:date="2020-02-20T23:16:00Z">
        <w:r>
          <w:delText xml:space="preserve"> </w:delText>
        </w:r>
      </w:del>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del w:id="650" w:author="svcMRProcess" w:date="2020-02-20T23:16:00Z">
        <w:r>
          <w:delText xml:space="preserve"> </w:delText>
        </w:r>
      </w:del>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651" w:name="_Toc107054872"/>
      <w:bookmarkStart w:id="652" w:name="_Toc134854609"/>
      <w:bookmarkStart w:id="653" w:name="_Toc136841062"/>
      <w:bookmarkStart w:id="654" w:name="_Toc131416068"/>
      <w:bookmarkStart w:id="655" w:name="_Toc170193251"/>
      <w:bookmarkStart w:id="656" w:name="_Toc49223893"/>
      <w:r>
        <w:rPr>
          <w:rStyle w:val="CharSectno"/>
        </w:rPr>
        <w:t>63ADA</w:t>
      </w:r>
      <w:r>
        <w:t>.</w:t>
      </w:r>
      <w:r>
        <w:tab/>
        <w:t>Registration of private unit trust scheme as provisional public trust</w:t>
      </w:r>
      <w:bookmarkEnd w:id="651"/>
      <w:bookmarkEnd w:id="652"/>
      <w:bookmarkEnd w:id="653"/>
      <w:bookmarkEnd w:id="654"/>
      <w:bookmarkEnd w:id="655"/>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del w:id="657" w:author="svcMRProcess" w:date="2020-02-20T23:16:00Z">
        <w:r>
          <w:delText xml:space="preserve"> </w:delText>
        </w:r>
      </w:del>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del w:id="658" w:author="svcMRProcess" w:date="2020-02-20T23:16:00Z">
        <w:r>
          <w:delText xml:space="preserve"> </w:delText>
        </w:r>
      </w:del>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del w:id="659" w:author="svcMRProcess" w:date="2020-02-20T23:16:00Z">
        <w:r>
          <w:delText xml:space="preserve"> </w:delText>
        </w:r>
      </w:del>
    </w:p>
    <w:p>
      <w:pPr>
        <w:pStyle w:val="Footnotesection"/>
      </w:pPr>
      <w:r>
        <w:tab/>
        <w:t>[Section 63ADA inserted by No. 66 of 2003 s. 22.]</w:t>
      </w:r>
    </w:p>
    <w:p>
      <w:pPr>
        <w:pStyle w:val="Heading5"/>
      </w:pPr>
      <w:bookmarkStart w:id="660" w:name="_Toc107054873"/>
      <w:bookmarkStart w:id="661" w:name="_Toc134854610"/>
      <w:bookmarkStart w:id="662" w:name="_Toc136841063"/>
      <w:bookmarkStart w:id="663" w:name="_Toc131416069"/>
      <w:bookmarkStart w:id="664" w:name="_Toc170193252"/>
      <w:r>
        <w:rPr>
          <w:rStyle w:val="CharSectno"/>
        </w:rPr>
        <w:t>63ADB</w:t>
      </w:r>
      <w:r>
        <w:t>.</w:t>
      </w:r>
      <w:r>
        <w:tab/>
        <w:t>Cancellation of registration of provisional public trust</w:t>
      </w:r>
      <w:bookmarkEnd w:id="660"/>
      <w:bookmarkEnd w:id="661"/>
      <w:bookmarkEnd w:id="662"/>
      <w:bookmarkEnd w:id="663"/>
      <w:bookmarkEnd w:id="664"/>
    </w:p>
    <w:p>
      <w:pPr>
        <w:pStyle w:val="Subsection"/>
      </w:pPr>
      <w:r>
        <w:tab/>
        <w:t>(1)</w:t>
      </w:r>
      <w:r>
        <w:tab/>
        <w:t>For the purposes of this section and section 63AE a disqualifying event occurs in relation to a unit trust scheme that has been registered as a provisional public trust —</w:t>
      </w:r>
      <w:del w:id="665" w:author="svcMRProcess" w:date="2020-02-20T23:16:00Z">
        <w:r>
          <w:delText xml:space="preserve"> </w:delText>
        </w:r>
      </w:del>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del w:id="666" w:author="svcMRProcess" w:date="2020-02-20T23:16:00Z">
        <w:r>
          <w:delText xml:space="preserve"> </w:delText>
        </w:r>
      </w:del>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del w:id="667" w:author="svcMRProcess" w:date="2020-02-20T23:16:00Z">
        <w:r>
          <w:delText xml:space="preserve"> </w:delText>
        </w:r>
      </w:del>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del w:id="668" w:author="svcMRProcess" w:date="2020-02-20T23:16:00Z">
        <w:r>
          <w:delText xml:space="preserve"> </w:delText>
        </w:r>
      </w:del>
    </w:p>
    <w:p>
      <w:pPr>
        <w:pStyle w:val="Indenta"/>
      </w:pPr>
      <w:r>
        <w:tab/>
        <w:t>(a)</w:t>
      </w:r>
      <w:r>
        <w:tab/>
        <w:t>a disqualifying event is taken to have occurred and subsection (3)(a) and (b) apply; and</w:t>
      </w:r>
    </w:p>
    <w:p>
      <w:pPr>
        <w:pStyle w:val="Indenta"/>
      </w:pPr>
      <w:r>
        <w:tab/>
        <w:t>(b)</w:t>
      </w:r>
      <w:r>
        <w:tab/>
        <w:t>the Commissioner must notify the unit trustee of —</w:t>
      </w:r>
      <w:del w:id="669" w:author="svcMRProcess" w:date="2020-02-20T23:16:00Z">
        <w:r>
          <w:delText xml:space="preserve"> </w:delText>
        </w:r>
      </w:del>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del w:id="670" w:author="svcMRProcess" w:date="2020-02-20T23:16:00Z">
        <w:r>
          <w:delText xml:space="preserve"> </w:delText>
        </w:r>
      </w:del>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del w:id="671" w:author="svcMRProcess" w:date="2020-02-20T23:16:00Z">
        <w:r>
          <w:delText xml:space="preserve"> </w:delText>
        </w:r>
      </w:del>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672" w:name="_Toc107054874"/>
      <w:bookmarkStart w:id="673" w:name="_Toc134854611"/>
      <w:bookmarkStart w:id="674" w:name="_Toc136841064"/>
      <w:bookmarkStart w:id="675" w:name="_Toc131416070"/>
      <w:bookmarkStart w:id="676" w:name="_Toc170193253"/>
      <w:r>
        <w:rPr>
          <w:rStyle w:val="CharSectno"/>
        </w:rPr>
        <w:t>63AE</w:t>
      </w:r>
      <w:r>
        <w:t>.</w:t>
      </w:r>
      <w:r>
        <w:tab/>
        <w:t>Dutiable statement about disqualifying event and subsequent transfers or dispositions</w:t>
      </w:r>
      <w:bookmarkEnd w:id="656"/>
      <w:bookmarkEnd w:id="672"/>
      <w:bookmarkEnd w:id="673"/>
      <w:bookmarkEnd w:id="674"/>
      <w:bookmarkEnd w:id="675"/>
      <w:bookmarkEnd w:id="676"/>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del w:id="677" w:author="svcMRProcess" w:date="2020-02-20T23:16:00Z">
        <w:r>
          <w:delText xml:space="preserve"> </w:delText>
        </w:r>
      </w:del>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del w:id="678" w:author="svcMRProcess" w:date="2020-02-20T23:16:00Z">
        <w:r>
          <w:delText xml:space="preserve"> </w:delText>
        </w:r>
      </w:del>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679" w:name="_Toc49223894"/>
      <w:bookmarkStart w:id="680" w:name="_Toc107054875"/>
      <w:bookmarkStart w:id="681" w:name="_Toc134854612"/>
      <w:bookmarkStart w:id="682" w:name="_Toc136841065"/>
      <w:bookmarkStart w:id="683" w:name="_Toc131416071"/>
      <w:bookmarkStart w:id="684" w:name="_Toc170193254"/>
      <w:r>
        <w:rPr>
          <w:rStyle w:val="CharSectno"/>
        </w:rPr>
        <w:t>63AF</w:t>
      </w:r>
      <w:r>
        <w:t>.</w:t>
      </w:r>
      <w:r>
        <w:tab/>
        <w:t>Duty chargeable on the dutiable statement</w:t>
      </w:r>
      <w:bookmarkEnd w:id="679"/>
      <w:bookmarkEnd w:id="680"/>
      <w:bookmarkEnd w:id="681"/>
      <w:bookmarkEnd w:id="682"/>
      <w:bookmarkEnd w:id="683"/>
      <w:bookmarkEnd w:id="684"/>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w:t>
      </w:r>
      <w:del w:id="685" w:author="svcMRProcess" w:date="2020-02-20T23:16:00Z">
        <w:r>
          <w:rPr>
            <w:rFonts w:ascii="Times" w:hAnsi="Times"/>
            <w:i w:val="0"/>
            <w:vertAlign w:val="superscript"/>
          </w:rPr>
          <w:delText> 4</w:delText>
        </w:r>
      </w:del>
      <w:r>
        <w:t xml:space="preserve"> s. 24.]</w:t>
      </w:r>
    </w:p>
    <w:p>
      <w:pPr>
        <w:pStyle w:val="Heading5"/>
        <w:tabs>
          <w:tab w:val="left" w:pos="6096"/>
        </w:tabs>
      </w:pPr>
      <w:bookmarkStart w:id="686" w:name="_Toc107054876"/>
      <w:bookmarkStart w:id="687" w:name="_Toc134854613"/>
      <w:bookmarkStart w:id="688" w:name="_Toc136841066"/>
      <w:bookmarkStart w:id="689" w:name="_Toc131416072"/>
      <w:bookmarkStart w:id="690" w:name="_Toc170193255"/>
      <w:bookmarkStart w:id="691" w:name="_Toc49223895"/>
      <w:r>
        <w:rPr>
          <w:rStyle w:val="CharSectno"/>
        </w:rPr>
        <w:t>63AG</w:t>
      </w:r>
      <w:r>
        <w:t>.</w:t>
      </w:r>
      <w:r>
        <w:tab/>
        <w:t>When unit trust scheme becomes private unit trust scheme</w:t>
      </w:r>
      <w:bookmarkEnd w:id="686"/>
      <w:bookmarkEnd w:id="687"/>
      <w:bookmarkEnd w:id="688"/>
      <w:bookmarkEnd w:id="689"/>
      <w:bookmarkEnd w:id="690"/>
    </w:p>
    <w:p>
      <w:pPr>
        <w:pStyle w:val="Subsection"/>
        <w:tabs>
          <w:tab w:val="left" w:pos="6096"/>
        </w:tabs>
      </w:pPr>
      <w:r>
        <w:tab/>
        <w:t>(1)</w:t>
      </w:r>
      <w:r>
        <w:tab/>
        <w:t>In this section and sections 63AH, 63AI and 63AJ —</w:t>
      </w:r>
      <w:del w:id="692" w:author="svcMRProcess" w:date="2020-02-20T23:16:00Z">
        <w:r>
          <w:delText xml:space="preserve"> </w:delText>
        </w:r>
      </w:del>
    </w:p>
    <w:p>
      <w:pPr>
        <w:pStyle w:val="Defstart"/>
        <w:tabs>
          <w:tab w:val="left" w:pos="6096"/>
        </w:tabs>
      </w:pPr>
      <w:r>
        <w:rPr>
          <w:b/>
        </w:rPr>
        <w:tab/>
        <w:t>“</w:t>
      </w:r>
      <w:r>
        <w:rPr>
          <w:rStyle w:val="CharDefText"/>
        </w:rPr>
        <w:t>aggregated dispositions</w:t>
      </w:r>
      <w:r>
        <w:rPr>
          <w:b/>
        </w:rPr>
        <w:t>”</w:t>
      </w:r>
      <w:r>
        <w:t xml:space="preserve"> means dispositions that —</w:t>
      </w:r>
      <w:del w:id="693" w:author="svcMRProcess" w:date="2020-02-20T23:16:00Z">
        <w:r>
          <w:delText xml:space="preserve"> </w:delText>
        </w:r>
      </w:del>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del w:id="694" w:author="svcMRProcess" w:date="2020-02-20T23:16:00Z">
        <w:r>
          <w:delText xml:space="preserve"> </w:delText>
        </w:r>
      </w:del>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del w:id="695" w:author="svcMRProcess" w:date="2020-02-20T23:16:00Z">
        <w:r>
          <w:delText xml:space="preserve"> </w:delText>
        </w:r>
      </w:del>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del w:id="696" w:author="svcMRProcess" w:date="2020-02-20T23:16:00Z">
        <w:r>
          <w:delText xml:space="preserve"> </w:delText>
        </w:r>
      </w:del>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del w:id="697" w:author="svcMRProcess" w:date="2020-02-20T23:16:00Z">
        <w:r>
          <w:delText xml:space="preserve"> </w:delText>
        </w:r>
      </w:del>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w:t>
      </w:r>
      <w:del w:id="698" w:author="svcMRProcess" w:date="2020-02-20T23:16:00Z">
        <w:r>
          <w:delText xml:space="preserve"> </w:delText>
        </w:r>
      </w:del>
      <w:ins w:id="699" w:author="svcMRProcess" w:date="2020-02-20T23:16:00Z">
        <w:r>
          <w:t> </w:t>
        </w:r>
      </w:ins>
      <w:r>
        <w:t>(8)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del w:id="700" w:author="svcMRProcess" w:date="2020-02-20T23:16:00Z">
        <w:r>
          <w:delText>)</w:delText>
        </w:r>
        <w:r>
          <w:rPr>
            <w:i w:val="0"/>
            <w:vertAlign w:val="superscript"/>
          </w:rPr>
          <w:delText> 4</w:delText>
        </w:r>
        <w:r>
          <w:delText>.]</w:delText>
        </w:r>
      </w:del>
      <w:ins w:id="701" w:author="svcMRProcess" w:date="2020-02-20T23:16:00Z">
        <w:r>
          <w:t>).]</w:t>
        </w:r>
      </w:ins>
    </w:p>
    <w:p>
      <w:pPr>
        <w:pStyle w:val="Heading5"/>
        <w:tabs>
          <w:tab w:val="left" w:pos="6096"/>
        </w:tabs>
      </w:pPr>
      <w:bookmarkStart w:id="702" w:name="_Toc107054877"/>
      <w:bookmarkStart w:id="703" w:name="_Toc134854614"/>
      <w:bookmarkStart w:id="704" w:name="_Toc136841067"/>
      <w:bookmarkStart w:id="705" w:name="_Toc131416073"/>
      <w:bookmarkStart w:id="706" w:name="_Toc170193256"/>
      <w:r>
        <w:rPr>
          <w:rStyle w:val="CharSectno"/>
        </w:rPr>
        <w:t>63AH</w:t>
      </w:r>
      <w:r>
        <w:t>.</w:t>
      </w:r>
      <w:r>
        <w:tab/>
        <w:t>Liability for duty on aggregated dispositions</w:t>
      </w:r>
      <w:bookmarkEnd w:id="702"/>
      <w:bookmarkEnd w:id="703"/>
      <w:bookmarkEnd w:id="704"/>
      <w:bookmarkEnd w:id="705"/>
      <w:bookmarkEnd w:id="706"/>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If —</w:t>
      </w:r>
      <w:del w:id="707" w:author="svcMRProcess" w:date="2020-02-20T23:16:00Z">
        <w:r>
          <w:delText xml:space="preserve"> </w:delText>
        </w:r>
      </w:del>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708" w:name="_Toc107054878"/>
      <w:bookmarkStart w:id="709" w:name="_Toc134854615"/>
      <w:bookmarkStart w:id="710" w:name="_Toc136841068"/>
      <w:bookmarkStart w:id="711" w:name="_Toc131416074"/>
      <w:bookmarkStart w:id="712" w:name="_Toc170193257"/>
      <w:r>
        <w:rPr>
          <w:rStyle w:val="CharSectno"/>
        </w:rPr>
        <w:t>63AI</w:t>
      </w:r>
      <w:r>
        <w:t>.</w:t>
      </w:r>
      <w:r>
        <w:tab/>
        <w:t>Interstate security duty</w:t>
      </w:r>
      <w:bookmarkEnd w:id="708"/>
      <w:bookmarkEnd w:id="709"/>
      <w:bookmarkEnd w:id="710"/>
      <w:bookmarkEnd w:id="711"/>
      <w:bookmarkEnd w:id="712"/>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del w:id="713" w:author="svcMRProcess" w:date="2020-02-20T23:16:00Z">
        <w:r>
          <w:delText xml:space="preserve"> </w:delText>
        </w:r>
      </w:del>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714" w:name="_Toc107054879"/>
      <w:bookmarkStart w:id="715" w:name="_Toc134854616"/>
      <w:bookmarkStart w:id="716" w:name="_Toc136841069"/>
      <w:bookmarkStart w:id="717" w:name="_Toc131416075"/>
      <w:bookmarkStart w:id="718" w:name="_Toc170193258"/>
      <w:r>
        <w:rPr>
          <w:rStyle w:val="CharSectno"/>
        </w:rPr>
        <w:t>63AJ</w:t>
      </w:r>
      <w:r>
        <w:t>.</w:t>
      </w:r>
      <w:r>
        <w:tab/>
        <w:t>Dutiable statement to be lodged</w:t>
      </w:r>
      <w:bookmarkEnd w:id="714"/>
      <w:bookmarkEnd w:id="715"/>
      <w:bookmarkEnd w:id="716"/>
      <w:bookmarkEnd w:id="717"/>
      <w:bookmarkEnd w:id="718"/>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del w:id="719" w:author="svcMRProcess" w:date="2020-02-20T23:16:00Z">
        <w:r>
          <w:delText xml:space="preserve"> </w:delText>
        </w:r>
      </w:del>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720" w:name="_Toc107054880"/>
      <w:bookmarkStart w:id="721" w:name="_Toc134854617"/>
      <w:bookmarkStart w:id="722" w:name="_Toc136841070"/>
      <w:bookmarkStart w:id="723" w:name="_Toc131416076"/>
      <w:bookmarkStart w:id="724" w:name="_Toc170193259"/>
      <w:r>
        <w:rPr>
          <w:rStyle w:val="CharSectno"/>
        </w:rPr>
        <w:t>63A</w:t>
      </w:r>
      <w:r>
        <w:rPr>
          <w:snapToGrid w:val="0"/>
        </w:rPr>
        <w:t>.</w:t>
      </w:r>
      <w:r>
        <w:rPr>
          <w:snapToGrid w:val="0"/>
        </w:rPr>
        <w:tab/>
        <w:t>Duty on certain decrees and orders</w:t>
      </w:r>
      <w:bookmarkEnd w:id="606"/>
      <w:bookmarkEnd w:id="607"/>
      <w:bookmarkEnd w:id="608"/>
      <w:bookmarkEnd w:id="691"/>
      <w:bookmarkEnd w:id="720"/>
      <w:bookmarkEnd w:id="721"/>
      <w:bookmarkEnd w:id="722"/>
      <w:bookmarkEnd w:id="723"/>
      <w:bookmarkEnd w:id="724"/>
      <w:del w:id="725" w:author="svcMRProcess" w:date="2020-02-20T23:16:00Z">
        <w:r>
          <w:rPr>
            <w:snapToGrid w:val="0"/>
          </w:rPr>
          <w:delText xml:space="preserve"> </w:delText>
        </w:r>
      </w:del>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[Section 63A inserted by No. 37 of 1979 s. 41; amended by No. 2 of 2003 s. 39; No. 66 of 2003 s. 26.]</w:t>
      </w:r>
      <w:del w:id="726" w:author="svcMRProcess" w:date="2020-02-20T23:16:00Z">
        <w:r>
          <w:delText xml:space="preserve"> </w:delText>
        </w:r>
      </w:del>
    </w:p>
    <w:p>
      <w:pPr>
        <w:pStyle w:val="Heading5"/>
        <w:rPr>
          <w:snapToGrid w:val="0"/>
        </w:rPr>
      </w:pPr>
      <w:bookmarkStart w:id="727" w:name="_Toc500739920"/>
      <w:bookmarkStart w:id="728" w:name="_Toc520101111"/>
      <w:bookmarkStart w:id="729" w:name="_Toc520533010"/>
      <w:bookmarkStart w:id="730" w:name="_Toc49223896"/>
      <w:bookmarkStart w:id="731" w:name="_Toc107054881"/>
      <w:bookmarkStart w:id="732" w:name="_Toc134854618"/>
      <w:bookmarkStart w:id="733" w:name="_Toc136841071"/>
      <w:bookmarkStart w:id="734" w:name="_Toc131416077"/>
      <w:bookmarkStart w:id="735" w:name="_Toc170193260"/>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727"/>
      <w:bookmarkEnd w:id="728"/>
      <w:bookmarkEnd w:id="729"/>
      <w:bookmarkEnd w:id="730"/>
      <w:bookmarkEnd w:id="731"/>
      <w:bookmarkEnd w:id="732"/>
      <w:bookmarkEnd w:id="733"/>
      <w:bookmarkEnd w:id="734"/>
      <w:bookmarkEnd w:id="735"/>
      <w:del w:id="736" w:author="svcMRProcess" w:date="2020-02-20T23:16:00Z">
        <w:r>
          <w:rPr>
            <w:snapToGrid w:val="0"/>
          </w:rPr>
          <w:delText xml:space="preserve"> </w:delText>
        </w:r>
      </w:del>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[Section 64 amended by No. 93 of 1966 s. 6; No. 48 of 1996 s. 32.]</w:t>
      </w:r>
      <w:del w:id="737" w:author="svcMRProcess" w:date="2020-02-20T23:16:00Z">
        <w:r>
          <w:delText xml:space="preserve"> </w:delText>
        </w:r>
      </w:del>
    </w:p>
    <w:p>
      <w:pPr>
        <w:pStyle w:val="Heading5"/>
        <w:rPr>
          <w:snapToGrid w:val="0"/>
        </w:rPr>
      </w:pPr>
      <w:bookmarkStart w:id="738" w:name="_Toc500739921"/>
      <w:bookmarkStart w:id="739" w:name="_Toc520101112"/>
      <w:bookmarkStart w:id="740" w:name="_Toc520533011"/>
      <w:bookmarkStart w:id="741" w:name="_Toc49223897"/>
      <w:bookmarkStart w:id="742" w:name="_Toc107054882"/>
      <w:bookmarkStart w:id="743" w:name="_Toc134854619"/>
      <w:bookmarkStart w:id="744" w:name="_Toc136841072"/>
      <w:bookmarkStart w:id="745" w:name="_Toc131416078"/>
      <w:bookmarkStart w:id="746" w:name="_Toc170193261"/>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738"/>
      <w:bookmarkEnd w:id="739"/>
      <w:bookmarkEnd w:id="740"/>
      <w:bookmarkEnd w:id="741"/>
      <w:bookmarkEnd w:id="742"/>
      <w:bookmarkEnd w:id="743"/>
      <w:bookmarkEnd w:id="744"/>
      <w:bookmarkEnd w:id="745"/>
      <w:bookmarkEnd w:id="746"/>
      <w:del w:id="747" w:author="svcMRProcess" w:date="2020-02-20T23:16:00Z">
        <w:r>
          <w:rPr>
            <w:snapToGrid w:val="0"/>
          </w:rPr>
          <w:delText xml:space="preserve"> </w:delText>
        </w:r>
      </w:del>
    </w:p>
    <w:p>
      <w:pPr>
        <w:pStyle w:val="Subsection"/>
        <w:rPr>
          <w:snapToGrid w:val="0"/>
        </w:rPr>
      </w:pPr>
      <w:r>
        <w:rPr>
          <w:snapToGrid w:val="0"/>
        </w:rPr>
        <w:tab/>
        <w:t>(1)</w:t>
      </w:r>
      <w:r>
        <w:rPr>
          <w:snapToGrid w:val="0"/>
        </w:rPr>
        <w:tab/>
        <w:t>When the consideration or any part of the consideration for a conveyance on sale consists of money payable periodically —</w:t>
      </w:r>
      <w:del w:id="748" w:author="svcMRProcess" w:date="2020-02-20T23:16:00Z">
        <w:r>
          <w:rPr>
            <w:snapToGrid w:val="0"/>
          </w:rPr>
          <w:delText> </w:delText>
        </w:r>
      </w:del>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del w:id="749" w:author="svcMRProcess" w:date="2020-02-20T23:16:00Z">
        <w:r>
          <w:delText xml:space="preserve"> </w:delText>
        </w:r>
      </w:del>
    </w:p>
    <w:p>
      <w:pPr>
        <w:pStyle w:val="Heading5"/>
        <w:rPr>
          <w:snapToGrid w:val="0"/>
        </w:rPr>
      </w:pPr>
      <w:bookmarkStart w:id="750" w:name="_Toc500739922"/>
      <w:bookmarkStart w:id="751" w:name="_Toc520101113"/>
      <w:bookmarkStart w:id="752" w:name="_Toc520533012"/>
      <w:bookmarkStart w:id="753" w:name="_Toc49223898"/>
      <w:bookmarkStart w:id="754" w:name="_Toc107054883"/>
      <w:bookmarkStart w:id="755" w:name="_Toc134854620"/>
      <w:bookmarkStart w:id="756" w:name="_Toc136841073"/>
      <w:bookmarkStart w:id="757" w:name="_Toc131416079"/>
      <w:bookmarkStart w:id="758" w:name="_Toc170193262"/>
      <w:r>
        <w:rPr>
          <w:rStyle w:val="CharSectno"/>
        </w:rPr>
        <w:t>66</w:t>
      </w:r>
      <w:r>
        <w:rPr>
          <w:snapToGrid w:val="0"/>
        </w:rPr>
        <w:t>.</w:t>
      </w:r>
      <w:r>
        <w:rPr>
          <w:snapToGrid w:val="0"/>
        </w:rPr>
        <w:tab/>
        <w:t>How conveyances in consideration of a debt or subject to future payment, etc., to be charged</w:t>
      </w:r>
      <w:bookmarkEnd w:id="750"/>
      <w:bookmarkEnd w:id="751"/>
      <w:bookmarkEnd w:id="752"/>
      <w:bookmarkEnd w:id="753"/>
      <w:bookmarkEnd w:id="754"/>
      <w:bookmarkEnd w:id="755"/>
      <w:bookmarkEnd w:id="756"/>
      <w:bookmarkEnd w:id="757"/>
      <w:bookmarkEnd w:id="758"/>
      <w:del w:id="759" w:author="svcMRProcess" w:date="2020-02-20T23:16:00Z">
        <w:r>
          <w:rPr>
            <w:snapToGrid w:val="0"/>
          </w:rPr>
          <w:delText xml:space="preserve"> </w:delText>
        </w:r>
      </w:del>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del w:id="760" w:author="svcMRProcess" w:date="2020-02-20T23:16:00Z">
        <w:r>
          <w:delText xml:space="preserve"> </w:delText>
        </w:r>
      </w:del>
    </w:p>
    <w:p>
      <w:pPr>
        <w:pStyle w:val="Heading5"/>
        <w:rPr>
          <w:snapToGrid w:val="0"/>
        </w:rPr>
      </w:pPr>
      <w:bookmarkStart w:id="761" w:name="_Toc500739923"/>
      <w:bookmarkStart w:id="762" w:name="_Toc520101114"/>
      <w:bookmarkStart w:id="763" w:name="_Toc520533013"/>
      <w:bookmarkStart w:id="764" w:name="_Toc49223899"/>
      <w:bookmarkStart w:id="765" w:name="_Toc107054884"/>
      <w:bookmarkStart w:id="766" w:name="_Toc134854621"/>
      <w:bookmarkStart w:id="767" w:name="_Toc136841074"/>
      <w:bookmarkStart w:id="768" w:name="_Toc131416080"/>
      <w:bookmarkStart w:id="769" w:name="_Toc170193263"/>
      <w:r>
        <w:rPr>
          <w:rStyle w:val="CharSectno"/>
        </w:rPr>
        <w:t>67</w:t>
      </w:r>
      <w:r>
        <w:rPr>
          <w:snapToGrid w:val="0"/>
        </w:rPr>
        <w:t>.</w:t>
      </w:r>
      <w:r>
        <w:rPr>
          <w:snapToGrid w:val="0"/>
        </w:rPr>
        <w:tab/>
        <w:t>Duty where conveyance is partly in consideration of improvements made or to be made on property</w:t>
      </w:r>
      <w:bookmarkEnd w:id="761"/>
      <w:bookmarkEnd w:id="762"/>
      <w:bookmarkEnd w:id="763"/>
      <w:bookmarkEnd w:id="764"/>
      <w:bookmarkEnd w:id="765"/>
      <w:bookmarkEnd w:id="766"/>
      <w:bookmarkEnd w:id="767"/>
      <w:bookmarkEnd w:id="768"/>
      <w:bookmarkEnd w:id="769"/>
      <w:del w:id="770" w:author="svcMRProcess" w:date="2020-02-20T23:16:00Z">
        <w:r>
          <w:rPr>
            <w:snapToGrid w:val="0"/>
          </w:rPr>
          <w:delText xml:space="preserve"> </w:delText>
        </w:r>
      </w:del>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del w:id="771" w:author="svcMRProcess" w:date="2020-02-20T23:16:00Z">
        <w:r>
          <w:delText xml:space="preserve"> </w:delText>
        </w:r>
      </w:del>
    </w:p>
    <w:p>
      <w:pPr>
        <w:pStyle w:val="Ednotesection"/>
        <w:ind w:left="890" w:hanging="890"/>
      </w:pPr>
      <w:r>
        <w:t>[</w:t>
      </w:r>
      <w:r>
        <w:rPr>
          <w:b/>
        </w:rPr>
        <w:t>68.</w:t>
      </w:r>
      <w:r>
        <w:tab/>
      </w:r>
      <w:del w:id="772" w:author="svcMRProcess" w:date="2020-02-20T23:16:00Z">
        <w:r>
          <w:tab/>
        </w:r>
      </w:del>
      <w:r>
        <w:t>Repealed by No. 37 of 1979 s. 44.]</w:t>
      </w:r>
      <w:del w:id="773" w:author="svcMRProcess" w:date="2020-02-20T23:16:00Z">
        <w:r>
          <w:delText xml:space="preserve"> </w:delText>
        </w:r>
      </w:del>
    </w:p>
    <w:p>
      <w:pPr>
        <w:pStyle w:val="Heading5"/>
        <w:rPr>
          <w:snapToGrid w:val="0"/>
        </w:rPr>
      </w:pPr>
      <w:bookmarkStart w:id="774" w:name="_Toc500739924"/>
      <w:bookmarkStart w:id="775" w:name="_Toc520101115"/>
      <w:bookmarkStart w:id="776" w:name="_Toc520533014"/>
      <w:bookmarkStart w:id="777" w:name="_Toc49223900"/>
      <w:bookmarkStart w:id="778" w:name="_Toc107054885"/>
      <w:bookmarkStart w:id="779" w:name="_Toc134854622"/>
      <w:bookmarkStart w:id="780" w:name="_Toc136841075"/>
      <w:bookmarkStart w:id="781" w:name="_Toc131416081"/>
      <w:bookmarkStart w:id="782" w:name="_Toc170193264"/>
      <w:r>
        <w:rPr>
          <w:rStyle w:val="CharSectno"/>
        </w:rPr>
        <w:t>69</w:t>
      </w:r>
      <w:r>
        <w:rPr>
          <w:snapToGrid w:val="0"/>
        </w:rPr>
        <w:t>.</w:t>
      </w:r>
      <w:r>
        <w:rPr>
          <w:snapToGrid w:val="0"/>
        </w:rPr>
        <w:tab/>
        <w:t>Conveyance duty in cases where conveyance made at request or by direction of intermediary</w:t>
      </w:r>
      <w:bookmarkEnd w:id="774"/>
      <w:bookmarkEnd w:id="775"/>
      <w:bookmarkEnd w:id="776"/>
      <w:bookmarkEnd w:id="777"/>
      <w:bookmarkEnd w:id="778"/>
      <w:bookmarkEnd w:id="779"/>
      <w:bookmarkEnd w:id="780"/>
      <w:bookmarkEnd w:id="781"/>
      <w:bookmarkEnd w:id="782"/>
      <w:del w:id="783" w:author="svcMRProcess" w:date="2020-02-20T23:16:00Z">
        <w:r>
          <w:rPr>
            <w:snapToGrid w:val="0"/>
          </w:rPr>
          <w:delText xml:space="preserve"> </w:delText>
        </w:r>
      </w:del>
    </w:p>
    <w:p>
      <w:pPr>
        <w:pStyle w:val="Subsection"/>
        <w:rPr>
          <w:snapToGrid w:val="0"/>
        </w:rPr>
      </w:pPr>
      <w:r>
        <w:rPr>
          <w:snapToGrid w:val="0"/>
        </w:rPr>
        <w:tab/>
        <w:t>(1)</w:t>
      </w:r>
      <w:r>
        <w:rPr>
          <w:snapToGrid w:val="0"/>
        </w:rPr>
        <w:tab/>
        <w:t>Subject to sections 73 and 74, where —</w:t>
      </w:r>
      <w:del w:id="784" w:author="svcMRProcess" w:date="2020-02-20T23:16:00Z">
        <w:r>
          <w:rPr>
            <w:snapToGrid w:val="0"/>
          </w:rPr>
          <w:delText> </w:delText>
        </w:r>
      </w:del>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del w:id="785" w:author="svcMRProcess" w:date="2020-02-20T23:16:00Z">
        <w:r>
          <w:delText>)</w:delText>
        </w:r>
        <w:r>
          <w:rPr>
            <w:i w:val="0"/>
            <w:vertAlign w:val="superscript"/>
          </w:rPr>
          <w:delText> 4</w:delText>
        </w:r>
        <w:r>
          <w:delText xml:space="preserve">.] </w:delText>
        </w:r>
      </w:del>
      <w:ins w:id="786" w:author="svcMRProcess" w:date="2020-02-20T23:16:00Z">
        <w:r>
          <w:t>).]</w:t>
        </w:r>
      </w:ins>
    </w:p>
    <w:p>
      <w:pPr>
        <w:pStyle w:val="Heading5"/>
      </w:pPr>
      <w:bookmarkStart w:id="787" w:name="_Toc500739925"/>
      <w:bookmarkStart w:id="788" w:name="_Toc520101116"/>
      <w:bookmarkStart w:id="789" w:name="_Toc520533015"/>
      <w:bookmarkStart w:id="790" w:name="_Toc49223901"/>
      <w:bookmarkStart w:id="791" w:name="_Toc107054886"/>
      <w:bookmarkStart w:id="792" w:name="_Toc134854623"/>
      <w:bookmarkStart w:id="793" w:name="_Toc136841076"/>
      <w:bookmarkStart w:id="794" w:name="_Toc131416082"/>
      <w:bookmarkStart w:id="795" w:name="_Toc170193265"/>
      <w:r>
        <w:rPr>
          <w:rStyle w:val="CharSectno"/>
        </w:rPr>
        <w:t>70</w:t>
      </w:r>
      <w:r>
        <w:t>.</w:t>
      </w:r>
      <w:r>
        <w:tab/>
        <w:t>Certain transfers of chattels dutiable</w:t>
      </w:r>
      <w:bookmarkEnd w:id="787"/>
      <w:bookmarkEnd w:id="788"/>
      <w:bookmarkEnd w:id="789"/>
      <w:bookmarkEnd w:id="790"/>
      <w:bookmarkEnd w:id="791"/>
      <w:bookmarkEnd w:id="792"/>
      <w:bookmarkEnd w:id="793"/>
      <w:bookmarkEnd w:id="794"/>
      <w:bookmarkEnd w:id="795"/>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del w:id="796" w:author="svcMRProcess" w:date="2020-02-20T23:16:00Z">
        <w:r>
          <w:delText xml:space="preserve"> </w:delText>
        </w:r>
      </w:del>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797" w:name="_Toc500739926"/>
      <w:bookmarkStart w:id="798" w:name="_Toc520101117"/>
      <w:bookmarkStart w:id="799" w:name="_Toc520533016"/>
      <w:bookmarkStart w:id="800" w:name="_Toc49223902"/>
      <w:bookmarkStart w:id="801" w:name="_Toc107054887"/>
      <w:bookmarkStart w:id="802" w:name="_Toc134854624"/>
      <w:bookmarkStart w:id="803" w:name="_Toc136841077"/>
      <w:bookmarkStart w:id="804" w:name="_Toc131416083"/>
      <w:bookmarkStart w:id="805" w:name="_Toc170193266"/>
      <w:r>
        <w:rPr>
          <w:rStyle w:val="CharSectno"/>
        </w:rPr>
        <w:t>71</w:t>
      </w:r>
      <w:r>
        <w:rPr>
          <w:snapToGrid w:val="0"/>
        </w:rPr>
        <w:t>.</w:t>
      </w:r>
      <w:r>
        <w:rPr>
          <w:snapToGrid w:val="0"/>
        </w:rPr>
        <w:tab/>
      </w:r>
      <w:bookmarkEnd w:id="797"/>
      <w:bookmarkEnd w:id="798"/>
      <w:bookmarkEnd w:id="799"/>
      <w:bookmarkEnd w:id="800"/>
      <w:r>
        <w:rPr>
          <w:snapToGrid w:val="0"/>
        </w:rPr>
        <w:t>Duty charged for 2 or more instruments of conveyance</w:t>
      </w:r>
      <w:bookmarkEnd w:id="801"/>
      <w:bookmarkEnd w:id="802"/>
      <w:bookmarkEnd w:id="803"/>
      <w:bookmarkEnd w:id="804"/>
      <w:bookmarkEnd w:id="805"/>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del w:id="806" w:author="svcMRProcess" w:date="2020-02-20T23:16:00Z">
        <w:r>
          <w:delText xml:space="preserve"> </w:delText>
        </w:r>
      </w:del>
    </w:p>
    <w:p>
      <w:pPr>
        <w:pStyle w:val="Ednotedivision"/>
      </w:pPr>
      <w:bookmarkStart w:id="807" w:name="_Toc500739927"/>
      <w:bookmarkStart w:id="808" w:name="_Toc520101118"/>
      <w:bookmarkStart w:id="809" w:name="_Toc520533017"/>
      <w:r>
        <w:t>[Heading deleted by No. 2 of 2003 s. 46.]</w:t>
      </w:r>
    </w:p>
    <w:p>
      <w:pPr>
        <w:pStyle w:val="Heading5"/>
        <w:rPr>
          <w:snapToGrid w:val="0"/>
        </w:rPr>
      </w:pPr>
      <w:bookmarkStart w:id="810" w:name="_Toc49223903"/>
      <w:bookmarkStart w:id="811" w:name="_Toc107054888"/>
      <w:bookmarkStart w:id="812" w:name="_Toc134854625"/>
      <w:bookmarkStart w:id="813" w:name="_Toc136841078"/>
      <w:bookmarkStart w:id="814" w:name="_Toc131416084"/>
      <w:bookmarkStart w:id="815" w:name="_Toc170193267"/>
      <w:r>
        <w:rPr>
          <w:rStyle w:val="CharSectno"/>
        </w:rPr>
        <w:t>72</w:t>
      </w:r>
      <w:r>
        <w:rPr>
          <w:snapToGrid w:val="0"/>
        </w:rPr>
        <w:t>.</w:t>
      </w:r>
      <w:r>
        <w:rPr>
          <w:snapToGrid w:val="0"/>
        </w:rPr>
        <w:tab/>
        <w:t>Transfer or assignment of mortgages for value</w:t>
      </w:r>
      <w:bookmarkEnd w:id="807"/>
      <w:bookmarkEnd w:id="808"/>
      <w:bookmarkEnd w:id="809"/>
      <w:bookmarkEnd w:id="810"/>
      <w:bookmarkEnd w:id="811"/>
      <w:bookmarkEnd w:id="812"/>
      <w:bookmarkEnd w:id="813"/>
      <w:bookmarkEnd w:id="814"/>
      <w:bookmarkEnd w:id="815"/>
      <w:del w:id="816" w:author="svcMRProcess" w:date="2020-02-20T23:16:00Z">
        <w:r>
          <w:rPr>
            <w:snapToGrid w:val="0"/>
          </w:rPr>
          <w:delText xml:space="preserve"> </w:delText>
        </w:r>
      </w:del>
    </w:p>
    <w:p>
      <w:pPr>
        <w:pStyle w:val="Subsection"/>
        <w:keepNext/>
        <w:rPr>
          <w:snapToGrid w:val="0"/>
        </w:rPr>
      </w:pPr>
      <w:r>
        <w:rPr>
          <w:snapToGrid w:val="0"/>
        </w:rPr>
        <w:tab/>
        <w:t>(1)</w:t>
      </w:r>
      <w:r>
        <w:rPr>
          <w:snapToGrid w:val="0"/>
        </w:rPr>
        <w:tab/>
        <w:t>In this section —</w:t>
      </w:r>
      <w:del w:id="817" w:author="svcMRProcess" w:date="2020-02-20T23:16:00Z">
        <w:r>
          <w:rPr>
            <w:snapToGrid w:val="0"/>
          </w:rPr>
          <w:delText> </w:delText>
        </w:r>
      </w:del>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[Section 72 inserted by No. 20 of 1996 s. 23; amended by No. 2 of 2003 s. 47; No. 66 of 2003 s. 29.]</w:t>
      </w:r>
      <w:del w:id="818" w:author="svcMRProcess" w:date="2020-02-20T23:16:00Z">
        <w:r>
          <w:delText xml:space="preserve"> </w:delText>
        </w:r>
      </w:del>
    </w:p>
    <w:p>
      <w:pPr>
        <w:pStyle w:val="Ednotedivision"/>
      </w:pPr>
      <w:bookmarkStart w:id="819" w:name="_Toc500739928"/>
      <w:bookmarkStart w:id="820" w:name="_Toc520101119"/>
      <w:bookmarkStart w:id="821" w:name="_Toc520533018"/>
      <w:r>
        <w:t>[Heading deleted by No. 2 of 2003 s. 48.]</w:t>
      </w:r>
    </w:p>
    <w:p>
      <w:pPr>
        <w:pStyle w:val="Heading5"/>
        <w:rPr>
          <w:snapToGrid w:val="0"/>
        </w:rPr>
      </w:pPr>
      <w:bookmarkStart w:id="822" w:name="_Toc49223904"/>
      <w:bookmarkStart w:id="823" w:name="_Toc107054889"/>
      <w:bookmarkStart w:id="824" w:name="_Toc134854626"/>
      <w:bookmarkStart w:id="825" w:name="_Toc136841079"/>
      <w:bookmarkStart w:id="826" w:name="_Toc131416085"/>
      <w:bookmarkStart w:id="827" w:name="_Toc170193268"/>
      <w:r>
        <w:rPr>
          <w:rStyle w:val="CharSectno"/>
        </w:rPr>
        <w:t>73</w:t>
      </w:r>
      <w:r>
        <w:rPr>
          <w:snapToGrid w:val="0"/>
        </w:rPr>
        <w:t>.</w:t>
      </w:r>
      <w:r>
        <w:rPr>
          <w:snapToGrid w:val="0"/>
        </w:rPr>
        <w:tab/>
        <w:t>As to conveyances on any occasion except sale or mortgage</w:t>
      </w:r>
      <w:bookmarkEnd w:id="819"/>
      <w:bookmarkEnd w:id="820"/>
      <w:bookmarkEnd w:id="821"/>
      <w:bookmarkEnd w:id="822"/>
      <w:bookmarkEnd w:id="823"/>
      <w:bookmarkEnd w:id="824"/>
      <w:bookmarkEnd w:id="825"/>
      <w:bookmarkEnd w:id="826"/>
      <w:bookmarkEnd w:id="827"/>
      <w:del w:id="828" w:author="svcMRProcess" w:date="2020-02-20T23:16:00Z">
        <w:r>
          <w:rPr>
            <w:snapToGrid w:val="0"/>
          </w:rPr>
          <w:delText xml:space="preserve"> </w:delText>
        </w:r>
      </w:del>
    </w:p>
    <w:p>
      <w:pPr>
        <w:pStyle w:val="Subsection"/>
        <w:rPr>
          <w:snapToGrid w:val="0"/>
        </w:rPr>
      </w:pPr>
      <w:r>
        <w:rPr>
          <w:snapToGrid w:val="0"/>
        </w:rPr>
        <w:tab/>
      </w:r>
      <w:r>
        <w:rPr>
          <w:snapToGrid w:val="0"/>
        </w:rPr>
        <w:tab/>
        <w:t>Except as</w:t>
      </w:r>
      <w:r>
        <w:t xml:space="preserve"> otherwise provided by a stamp Act</w:t>
      </w:r>
      <w:r>
        <w:rPr>
          <w:snapToGrid w:val="0"/>
        </w:rPr>
        <w:t xml:space="preserve">,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w:t>
      </w:r>
      <w:r>
        <w:rPr>
          <w:iCs/>
          <w:snapToGrid w:val="0"/>
        </w:rPr>
        <w:t>bona fide</w:t>
      </w:r>
      <w:r>
        <w:rPr>
          <w:snapToGrid w:val="0"/>
        </w:rPr>
        <w:t xml:space="preserv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del w:id="829" w:author="svcMRProcess" w:date="2020-02-20T23:16:00Z">
        <w:r>
          <w:delText xml:space="preserve"> </w:delText>
        </w:r>
      </w:del>
    </w:p>
    <w:p>
      <w:pPr>
        <w:pStyle w:val="Heading5"/>
        <w:rPr>
          <w:snapToGrid w:val="0"/>
        </w:rPr>
      </w:pPr>
      <w:bookmarkStart w:id="830" w:name="_Toc500739929"/>
      <w:bookmarkStart w:id="831" w:name="_Toc520101120"/>
      <w:bookmarkStart w:id="832" w:name="_Toc520533019"/>
      <w:bookmarkStart w:id="833" w:name="_Toc49223905"/>
      <w:bookmarkStart w:id="834" w:name="_Toc107054890"/>
      <w:bookmarkStart w:id="835" w:name="_Toc134854627"/>
      <w:bookmarkStart w:id="836" w:name="_Toc136841080"/>
      <w:bookmarkStart w:id="837" w:name="_Toc131416086"/>
      <w:bookmarkStart w:id="838" w:name="_Toc170193269"/>
      <w:r>
        <w:rPr>
          <w:rStyle w:val="CharSectno"/>
        </w:rPr>
        <w:t>73A</w:t>
      </w:r>
      <w:r>
        <w:rPr>
          <w:snapToGrid w:val="0"/>
        </w:rPr>
        <w:t>.</w:t>
      </w:r>
      <w:r>
        <w:rPr>
          <w:snapToGrid w:val="0"/>
        </w:rPr>
        <w:tab/>
        <w:t>Conveyance subject to an option</w:t>
      </w:r>
      <w:bookmarkEnd w:id="830"/>
      <w:bookmarkEnd w:id="831"/>
      <w:bookmarkEnd w:id="832"/>
      <w:bookmarkEnd w:id="833"/>
      <w:bookmarkEnd w:id="834"/>
      <w:bookmarkEnd w:id="835"/>
      <w:bookmarkEnd w:id="836"/>
      <w:bookmarkEnd w:id="837"/>
      <w:bookmarkEnd w:id="838"/>
      <w:del w:id="839" w:author="svcMRProcess" w:date="2020-02-20T23:16:00Z">
        <w:r>
          <w:rPr>
            <w:snapToGrid w:val="0"/>
          </w:rPr>
          <w:delText xml:space="preserve"> </w:delText>
        </w:r>
      </w:del>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del w:id="840" w:author="svcMRProcess" w:date="2020-02-20T23:16:00Z">
        <w:r>
          <w:delText xml:space="preserve"> </w:delText>
        </w:r>
      </w:del>
    </w:p>
    <w:p>
      <w:pPr>
        <w:pStyle w:val="Indenta"/>
      </w:pPr>
      <w:r>
        <w:tab/>
        <w:t>(a)</w:t>
      </w:r>
      <w:r>
        <w:tab/>
        <w:t>the amount paid by way of consideration for the granting of the option; and</w:t>
      </w:r>
      <w:del w:id="841" w:author="svcMRProcess" w:date="2020-02-20T23:16:00Z">
        <w:r>
          <w:delText xml:space="preserve"> </w:delText>
        </w:r>
      </w:del>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del w:id="842" w:author="svcMRProcess" w:date="2020-02-20T23:16:00Z">
        <w:r>
          <w:rPr>
            <w:snapToGrid w:val="0"/>
          </w:rPr>
          <w:delText> </w:delText>
        </w:r>
      </w:del>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del w:id="843" w:author="svcMRProcess" w:date="2020-02-20T23:16:00Z">
        <w:r>
          <w:rPr>
            <w:snapToGrid w:val="0"/>
          </w:rPr>
          <w:delText> </w:delText>
        </w:r>
      </w:del>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del w:id="844" w:author="svcMRProcess" w:date="2020-02-20T23:16:00Z">
        <w:r>
          <w:delText xml:space="preserve"> </w:delText>
        </w:r>
      </w:del>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del w:id="845" w:author="svcMRProcess" w:date="2020-02-20T23:16:00Z">
        <w:r>
          <w:delText xml:space="preserve"> </w:delText>
        </w:r>
      </w:del>
    </w:p>
    <w:p>
      <w:pPr>
        <w:pStyle w:val="Heading5"/>
        <w:rPr>
          <w:snapToGrid w:val="0"/>
        </w:rPr>
      </w:pPr>
      <w:bookmarkStart w:id="846" w:name="_Toc500739930"/>
      <w:bookmarkStart w:id="847" w:name="_Toc520101121"/>
      <w:bookmarkStart w:id="848" w:name="_Toc520533020"/>
      <w:bookmarkStart w:id="849" w:name="_Toc49223906"/>
      <w:bookmarkStart w:id="850" w:name="_Toc107054891"/>
      <w:bookmarkStart w:id="851" w:name="_Toc134854628"/>
      <w:bookmarkStart w:id="852" w:name="_Toc136841081"/>
      <w:bookmarkStart w:id="853" w:name="_Toc131416087"/>
      <w:bookmarkStart w:id="854" w:name="_Toc170193270"/>
      <w:r>
        <w:rPr>
          <w:rStyle w:val="CharSectno"/>
        </w:rPr>
        <w:t>73AA</w:t>
      </w:r>
      <w:r>
        <w:rPr>
          <w:snapToGrid w:val="0"/>
        </w:rPr>
        <w:t>.</w:t>
      </w:r>
      <w:r>
        <w:rPr>
          <w:snapToGrid w:val="0"/>
        </w:rPr>
        <w:tab/>
        <w:t>Duty on conveyance not passing a beneficial interest</w:t>
      </w:r>
      <w:bookmarkEnd w:id="846"/>
      <w:bookmarkEnd w:id="847"/>
      <w:bookmarkEnd w:id="848"/>
      <w:bookmarkEnd w:id="849"/>
      <w:bookmarkEnd w:id="850"/>
      <w:bookmarkEnd w:id="851"/>
      <w:bookmarkEnd w:id="852"/>
      <w:bookmarkEnd w:id="853"/>
      <w:bookmarkEnd w:id="854"/>
      <w:del w:id="855" w:author="svcMRProcess" w:date="2020-02-20T23:16:00Z">
        <w:r>
          <w:rPr>
            <w:snapToGrid w:val="0"/>
          </w:rPr>
          <w:delText xml:space="preserve"> </w:delText>
        </w:r>
      </w:del>
    </w:p>
    <w:p>
      <w:pPr>
        <w:pStyle w:val="Subsection"/>
        <w:rPr>
          <w:snapToGrid w:val="0"/>
        </w:rPr>
      </w:pPr>
      <w:r>
        <w:rPr>
          <w:snapToGrid w:val="0"/>
        </w:rPr>
        <w:tab/>
        <w:t>(1)</w:t>
      </w:r>
      <w:r>
        <w:rPr>
          <w:snapToGrid w:val="0"/>
        </w:rPr>
        <w:tab/>
        <w:t>A conveyance or transfer —</w:t>
      </w:r>
      <w:del w:id="856" w:author="svcMRProcess" w:date="2020-02-20T23:16:00Z">
        <w:r>
          <w:rPr>
            <w:snapToGrid w:val="0"/>
          </w:rPr>
          <w:delText> </w:delText>
        </w:r>
      </w:del>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del w:id="857" w:author="svcMRProcess" w:date="2020-02-20T23:16:00Z">
        <w:r>
          <w:rPr>
            <w:snapToGrid w:val="0"/>
          </w:rPr>
          <w:delText> </w:delText>
        </w:r>
      </w:del>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w:t>
      </w:r>
      <w:del w:id="858" w:author="svcMRProcess" w:date="2020-02-20T23:16:00Z">
        <w:r>
          <w:rPr>
            <w:snapToGrid w:val="0"/>
          </w:rPr>
          <w:delText> </w:delText>
        </w:r>
      </w:del>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w:t>
      </w:r>
      <w:del w:id="859" w:author="svcMRProcess" w:date="2020-02-20T23:16:00Z">
        <w:r>
          <w:rPr>
            <w:snapToGrid w:val="0"/>
          </w:rPr>
          <w:delText> </w:delText>
        </w:r>
      </w:del>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del w:id="860" w:author="svcMRProcess" w:date="2020-02-20T23:16:00Z">
        <w:r>
          <w:rPr>
            <w:snapToGrid w:val="0"/>
          </w:rPr>
          <w:delText> </w:delText>
        </w:r>
      </w:del>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del w:id="861" w:author="svcMRProcess" w:date="2020-02-20T23:16:00Z">
        <w:r>
          <w:rPr>
            <w:snapToGrid w:val="0"/>
          </w:rPr>
          <w:delText> </w:delText>
        </w:r>
      </w:del>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del w:id="862" w:author="svcMRProcess" w:date="2020-02-20T23:16:00Z">
        <w:r>
          <w:delText xml:space="preserve"> </w:delText>
        </w:r>
      </w:del>
    </w:p>
    <w:p>
      <w:pPr>
        <w:pStyle w:val="Heading5"/>
      </w:pPr>
      <w:bookmarkStart w:id="863" w:name="_Toc107054892"/>
      <w:bookmarkStart w:id="864" w:name="_Toc134854629"/>
      <w:bookmarkStart w:id="865" w:name="_Toc136841082"/>
      <w:bookmarkStart w:id="866" w:name="_Toc131416088"/>
      <w:bookmarkStart w:id="867" w:name="_Toc170193271"/>
      <w:bookmarkStart w:id="868" w:name="_Toc500739931"/>
      <w:bookmarkStart w:id="869" w:name="_Toc520101122"/>
      <w:bookmarkStart w:id="870" w:name="_Toc520533021"/>
      <w:bookmarkStart w:id="871" w:name="_Toc49223907"/>
      <w:r>
        <w:rPr>
          <w:rStyle w:val="CharSectno"/>
        </w:rPr>
        <w:t>73AB</w:t>
      </w:r>
      <w:r>
        <w:t>.</w:t>
      </w:r>
      <w:r>
        <w:tab/>
        <w:t>Duty on conveyance to correct error</w:t>
      </w:r>
      <w:bookmarkEnd w:id="863"/>
      <w:bookmarkEnd w:id="864"/>
      <w:bookmarkEnd w:id="865"/>
      <w:bookmarkEnd w:id="866"/>
      <w:bookmarkEnd w:id="867"/>
    </w:p>
    <w:p>
      <w:pPr>
        <w:pStyle w:val="Subsection"/>
      </w:pPr>
      <w:r>
        <w:tab/>
      </w:r>
      <w:r>
        <w:tab/>
        <w:t>If the Commissioner is satisfied that —</w:t>
      </w:r>
      <w:del w:id="872" w:author="svcMRProcess" w:date="2020-02-20T23:16:00Z">
        <w:r>
          <w:delText xml:space="preserve"> </w:delText>
        </w:r>
      </w:del>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del w:id="873" w:author="svcMRProcess" w:date="2020-02-20T23:16:00Z">
        <w:r>
          <w:delText xml:space="preserve"> </w:delText>
        </w:r>
      </w:del>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874" w:name="_Toc107054893"/>
      <w:bookmarkStart w:id="875" w:name="_Toc134854630"/>
      <w:bookmarkStart w:id="876" w:name="_Toc136841083"/>
      <w:bookmarkStart w:id="877" w:name="_Toc131416089"/>
      <w:bookmarkStart w:id="878" w:name="_Toc170193272"/>
      <w:r>
        <w:rPr>
          <w:rStyle w:val="CharSectno"/>
        </w:rPr>
        <w:t>73B</w:t>
      </w:r>
      <w:r>
        <w:rPr>
          <w:snapToGrid w:val="0"/>
        </w:rPr>
        <w:t>.</w:t>
      </w:r>
      <w:r>
        <w:rPr>
          <w:snapToGrid w:val="0"/>
        </w:rPr>
        <w:tab/>
        <w:t>Conveyance agreement subject to unilateral determination</w:t>
      </w:r>
      <w:bookmarkEnd w:id="868"/>
      <w:bookmarkEnd w:id="869"/>
      <w:bookmarkEnd w:id="870"/>
      <w:bookmarkEnd w:id="871"/>
      <w:bookmarkEnd w:id="874"/>
      <w:bookmarkEnd w:id="875"/>
      <w:bookmarkEnd w:id="876"/>
      <w:bookmarkEnd w:id="877"/>
      <w:bookmarkEnd w:id="878"/>
      <w:del w:id="879" w:author="svcMRProcess" w:date="2020-02-20T23:16:00Z">
        <w:r>
          <w:rPr>
            <w:snapToGrid w:val="0"/>
          </w:rPr>
          <w:delText xml:space="preserve"> </w:delText>
        </w:r>
      </w:del>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del w:id="880" w:author="svcMRProcess" w:date="2020-02-20T23:16:00Z">
        <w:r>
          <w:rPr>
            <w:snapToGrid w:val="0"/>
          </w:rPr>
          <w:delText> </w:delText>
        </w:r>
      </w:del>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del w:id="881" w:author="svcMRProcess" w:date="2020-02-20T23:16:00Z">
        <w:r>
          <w:delText xml:space="preserve"> </w:delText>
        </w:r>
      </w:del>
    </w:p>
    <w:p>
      <w:pPr>
        <w:pStyle w:val="Footnotesection"/>
      </w:pPr>
      <w:r>
        <w:tab/>
        <w:t>[Section 73B inserted by No. 37 of 1979 s. 49; amended by No. 81 of 1984 s. 18; No. 2 of 2003 s. 52.]</w:t>
      </w:r>
      <w:del w:id="882" w:author="svcMRProcess" w:date="2020-02-20T23:16:00Z">
        <w:r>
          <w:delText xml:space="preserve"> </w:delText>
        </w:r>
      </w:del>
    </w:p>
    <w:p>
      <w:pPr>
        <w:pStyle w:val="Heading5"/>
        <w:rPr>
          <w:snapToGrid w:val="0"/>
        </w:rPr>
      </w:pPr>
      <w:bookmarkStart w:id="883" w:name="_Toc500739932"/>
      <w:bookmarkStart w:id="884" w:name="_Toc520101123"/>
      <w:bookmarkStart w:id="885" w:name="_Toc520533022"/>
      <w:bookmarkStart w:id="886" w:name="_Toc49223908"/>
      <w:bookmarkStart w:id="887" w:name="_Toc107054894"/>
      <w:bookmarkStart w:id="888" w:name="_Toc134854631"/>
      <w:bookmarkStart w:id="889" w:name="_Toc136841084"/>
      <w:bookmarkStart w:id="890" w:name="_Toc131416090"/>
      <w:bookmarkStart w:id="891" w:name="_Toc170193273"/>
      <w:r>
        <w:rPr>
          <w:rStyle w:val="CharSectno"/>
        </w:rPr>
        <w:t>73C</w:t>
      </w:r>
      <w:r>
        <w:rPr>
          <w:snapToGrid w:val="0"/>
        </w:rPr>
        <w:t>.</w:t>
      </w:r>
      <w:r>
        <w:rPr>
          <w:snapToGrid w:val="0"/>
        </w:rPr>
        <w:tab/>
        <w:t>Option to purchase with right to renew</w:t>
      </w:r>
      <w:bookmarkEnd w:id="883"/>
      <w:bookmarkEnd w:id="884"/>
      <w:bookmarkEnd w:id="885"/>
      <w:bookmarkEnd w:id="886"/>
      <w:bookmarkEnd w:id="887"/>
      <w:bookmarkEnd w:id="888"/>
      <w:bookmarkEnd w:id="889"/>
      <w:bookmarkEnd w:id="890"/>
      <w:bookmarkEnd w:id="891"/>
      <w:del w:id="892" w:author="svcMRProcess" w:date="2020-02-20T23:16:00Z">
        <w:r>
          <w:rPr>
            <w:snapToGrid w:val="0"/>
          </w:rPr>
          <w:delText xml:space="preserve"> </w:delText>
        </w:r>
      </w:del>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del w:id="893" w:author="svcMRProcess" w:date="2020-02-20T23:16:00Z">
        <w:r>
          <w:rPr>
            <w:snapToGrid w:val="0"/>
          </w:rPr>
          <w:delText> </w:delText>
        </w:r>
      </w:del>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del w:id="894" w:author="svcMRProcess" w:date="2020-02-20T23:16:00Z">
        <w:r>
          <w:delText xml:space="preserve"> </w:delText>
        </w:r>
      </w:del>
    </w:p>
    <w:p>
      <w:pPr>
        <w:pStyle w:val="Footnotesection"/>
      </w:pPr>
      <w:r>
        <w:tab/>
        <w:t>[Section 73C inserted by No. 93 of 1982 s. 5; amended by No. 81 of 1984 s. 19; No. 2 of 2003 s. 53.]</w:t>
      </w:r>
      <w:del w:id="895" w:author="svcMRProcess" w:date="2020-02-20T23:16:00Z">
        <w:r>
          <w:delText xml:space="preserve"> </w:delText>
        </w:r>
      </w:del>
    </w:p>
    <w:p>
      <w:pPr>
        <w:pStyle w:val="Heading5"/>
        <w:rPr>
          <w:snapToGrid w:val="0"/>
        </w:rPr>
      </w:pPr>
      <w:bookmarkStart w:id="896" w:name="_Toc500739933"/>
      <w:bookmarkStart w:id="897" w:name="_Toc520101124"/>
      <w:bookmarkStart w:id="898" w:name="_Toc520533023"/>
      <w:bookmarkStart w:id="899" w:name="_Toc49223909"/>
      <w:bookmarkStart w:id="900" w:name="_Toc107054895"/>
      <w:bookmarkStart w:id="901" w:name="_Toc134854632"/>
      <w:bookmarkStart w:id="902" w:name="_Toc136841085"/>
      <w:bookmarkStart w:id="903" w:name="_Toc131416091"/>
      <w:bookmarkStart w:id="904" w:name="_Toc170193274"/>
      <w:r>
        <w:rPr>
          <w:rStyle w:val="CharSectno"/>
        </w:rPr>
        <w:t>73D</w:t>
      </w:r>
      <w:r>
        <w:rPr>
          <w:snapToGrid w:val="0"/>
        </w:rPr>
        <w:t>.</w:t>
      </w:r>
      <w:r>
        <w:rPr>
          <w:snapToGrid w:val="0"/>
        </w:rPr>
        <w:tab/>
        <w:t>Disposition of units in unit trust schemes</w:t>
      </w:r>
      <w:bookmarkEnd w:id="896"/>
      <w:bookmarkEnd w:id="897"/>
      <w:bookmarkEnd w:id="898"/>
      <w:bookmarkEnd w:id="899"/>
      <w:bookmarkEnd w:id="900"/>
      <w:bookmarkEnd w:id="901"/>
      <w:bookmarkEnd w:id="902"/>
      <w:bookmarkEnd w:id="903"/>
      <w:bookmarkEnd w:id="904"/>
      <w:del w:id="905" w:author="svcMRProcess" w:date="2020-02-20T23:16:00Z">
        <w:r>
          <w:rPr>
            <w:snapToGrid w:val="0"/>
          </w:rPr>
          <w:delText xml:space="preserve"> </w:delText>
        </w:r>
      </w:del>
    </w:p>
    <w:p>
      <w:pPr>
        <w:pStyle w:val="Subsection"/>
        <w:rPr>
          <w:snapToGrid w:val="0"/>
        </w:rPr>
      </w:pPr>
      <w:r>
        <w:rPr>
          <w:snapToGrid w:val="0"/>
        </w:rPr>
        <w:tab/>
        <w:t>(1)</w:t>
      </w:r>
      <w:r>
        <w:rPr>
          <w:snapToGrid w:val="0"/>
        </w:rPr>
        <w:tab/>
        <w:t>In this section —</w:t>
      </w:r>
      <w:del w:id="906" w:author="svcMRProcess" w:date="2020-02-20T23:16:00Z">
        <w:r>
          <w:rPr>
            <w:snapToGrid w:val="0"/>
          </w:rPr>
          <w:delText> </w:delText>
        </w:r>
      </w:del>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This section applies to a disposition in relation to a unit in a unit trust scheme if the trust property of the scheme comprises or includes —</w:t>
      </w:r>
      <w:del w:id="907" w:author="svcMRProcess" w:date="2020-02-20T23:16:00Z">
        <w:r>
          <w:delText xml:space="preserve"> </w:delText>
        </w:r>
      </w:del>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del w:id="908" w:author="svcMRProcess" w:date="2020-02-20T23:16:00Z">
        <w:r>
          <w:rPr>
            <w:snapToGrid w:val="0"/>
          </w:rPr>
          <w:delText> </w:delText>
        </w:r>
      </w:del>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del w:id="909" w:author="svcMRProcess" w:date="2020-02-20T23:16:00Z">
        <w:r>
          <w:rPr>
            <w:snapToGrid w:val="0"/>
          </w:rPr>
          <w:delText> </w:delText>
        </w:r>
      </w:del>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del w:id="910" w:author="svcMRProcess" w:date="2020-02-20T23:16:00Z">
        <w:r>
          <w:rPr>
            <w:snapToGrid w:val="0"/>
          </w:rPr>
          <w:delText> </w:delText>
        </w:r>
      </w:del>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del w:id="911" w:author="svcMRProcess" w:date="2020-02-20T23:16:00Z">
        <w:r>
          <w:delText xml:space="preserve"> </w:delText>
        </w:r>
      </w:del>
    </w:p>
    <w:p>
      <w:pPr>
        <w:pStyle w:val="Indenta"/>
      </w:pPr>
      <w:r>
        <w:tab/>
        <w:t>(a)</w:t>
      </w:r>
      <w:r>
        <w:tab/>
        <w:t>registered under section 63AA(2);</w:t>
      </w:r>
      <w:del w:id="912" w:author="svcMRProcess" w:date="2020-02-20T23:16:00Z">
        <w:r>
          <w:delText xml:space="preserve"> </w:delText>
        </w:r>
      </w:del>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del w:id="913" w:author="svcMRProcess" w:date="2020-02-20T23:16:00Z">
        <w:r>
          <w:delText xml:space="preserve"> </w:delText>
        </w:r>
      </w:del>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del w:id="914" w:author="svcMRProcess" w:date="2020-02-20T23:16:00Z">
        <w:r>
          <w:rPr>
            <w:snapToGrid w:val="0"/>
          </w:rPr>
          <w:delText xml:space="preserve"> </w:delText>
        </w:r>
      </w:del>
    </w:p>
    <w:p>
      <w:pPr>
        <w:pStyle w:val="Footnotesection"/>
      </w:pPr>
      <w:r>
        <w:tab/>
        <w:t>[Section 73D inserted by No. 112 of 1982 s. 8; amended by No. 81 of 1984 s. 20; No. 109 of 1984 s. 5; No. 33 of 1987 s. 19; No. 22 of 1998 s. 34; No. 36 of 2001 s. 28; No. 2 of 2003 s. 54; No. 66 of 2003 s. 31; No. 11 of 2005 s. 8.]</w:t>
      </w:r>
    </w:p>
    <w:p>
      <w:pPr>
        <w:pStyle w:val="Heading5"/>
      </w:pPr>
      <w:bookmarkStart w:id="915" w:name="_Toc107054896"/>
      <w:bookmarkStart w:id="916" w:name="_Toc134854633"/>
      <w:bookmarkStart w:id="917" w:name="_Toc136841086"/>
      <w:bookmarkStart w:id="918" w:name="_Toc131416092"/>
      <w:bookmarkStart w:id="919" w:name="_Toc170193275"/>
      <w:bookmarkStart w:id="920" w:name="_Toc500739934"/>
      <w:bookmarkStart w:id="921" w:name="_Toc520101125"/>
      <w:bookmarkStart w:id="922" w:name="_Toc520533024"/>
      <w:bookmarkStart w:id="923" w:name="_Toc49223910"/>
      <w:r>
        <w:rPr>
          <w:rStyle w:val="CharSectno"/>
        </w:rPr>
        <w:t>73DAA</w:t>
      </w:r>
      <w:r>
        <w:t>.</w:t>
      </w:r>
      <w:r>
        <w:tab/>
        <w:t>Dutiable statement required if transfer or instrument not lodged</w:t>
      </w:r>
      <w:bookmarkEnd w:id="915"/>
      <w:bookmarkEnd w:id="916"/>
      <w:bookmarkEnd w:id="917"/>
      <w:bookmarkEnd w:id="918"/>
      <w:bookmarkEnd w:id="919"/>
    </w:p>
    <w:p>
      <w:pPr>
        <w:pStyle w:val="Subsection"/>
      </w:pPr>
      <w:r>
        <w:tab/>
        <w:t>(1)</w:t>
      </w:r>
      <w:r>
        <w:tab/>
        <w:t>Subject to subsection (3) if, for a disposition in relation to a unit —</w:t>
      </w:r>
      <w:del w:id="924" w:author="svcMRProcess" w:date="2020-02-20T23:16:00Z">
        <w:r>
          <w:delText xml:space="preserve"> </w:delText>
        </w:r>
      </w:del>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del w:id="925" w:author="svcMRProcess" w:date="2020-02-20T23:16:00Z">
        <w:r>
          <w:delText xml:space="preserve"> </w:delText>
        </w:r>
      </w:del>
    </w:p>
    <w:p>
      <w:pPr>
        <w:pStyle w:val="Defstart"/>
      </w:pPr>
      <w:r>
        <w:rPr>
          <w:b/>
        </w:rPr>
        <w:tab/>
        <w:t>“</w:t>
      </w:r>
      <w:r>
        <w:rPr>
          <w:rStyle w:val="CharDefText"/>
        </w:rPr>
        <w:t>liable person</w:t>
      </w:r>
      <w:r>
        <w:rPr>
          <w:b/>
        </w:rPr>
        <w:t>”</w:t>
      </w:r>
      <w:r>
        <w:t xml:space="preserve"> means —</w:t>
      </w:r>
      <w:del w:id="926" w:author="svcMRProcess" w:date="2020-02-20T23:16:00Z">
        <w:r>
          <w:delText xml:space="preserve"> </w:delText>
        </w:r>
      </w:del>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927" w:name="_Toc107054897"/>
      <w:bookmarkStart w:id="928" w:name="_Toc134854634"/>
      <w:bookmarkStart w:id="929" w:name="_Toc136841087"/>
      <w:bookmarkStart w:id="930" w:name="_Toc131416093"/>
      <w:bookmarkStart w:id="931" w:name="_Toc170193276"/>
      <w:r>
        <w:rPr>
          <w:rStyle w:val="CharSectno"/>
        </w:rPr>
        <w:t>73DA</w:t>
      </w:r>
      <w:r>
        <w:rPr>
          <w:snapToGrid w:val="0"/>
        </w:rPr>
        <w:t>.</w:t>
      </w:r>
      <w:r>
        <w:rPr>
          <w:snapToGrid w:val="0"/>
        </w:rPr>
        <w:tab/>
      </w:r>
      <w:bookmarkEnd w:id="920"/>
      <w:bookmarkEnd w:id="921"/>
      <w:bookmarkEnd w:id="922"/>
      <w:r>
        <w:rPr>
          <w:snapToGrid w:val="0"/>
        </w:rPr>
        <w:t>Holdings of majority interest unit trustee</w:t>
      </w:r>
      <w:bookmarkEnd w:id="923"/>
      <w:bookmarkEnd w:id="927"/>
      <w:bookmarkEnd w:id="928"/>
      <w:bookmarkEnd w:id="929"/>
      <w:bookmarkEnd w:id="930"/>
      <w:bookmarkEnd w:id="931"/>
      <w:del w:id="932" w:author="svcMRProcess" w:date="2020-02-20T23:16:00Z">
        <w:r>
          <w:rPr>
            <w:snapToGrid w:val="0"/>
          </w:rPr>
          <w:delText xml:space="preserve"> </w:delText>
        </w:r>
      </w:del>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del w:id="933" w:author="svcMRProcess" w:date="2020-02-20T23:16:00Z">
        <w:r>
          <w:rPr>
            <w:snapToGrid w:val="0"/>
          </w:rPr>
          <w:delText> </w:delText>
        </w:r>
      </w:del>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[Section 73DA inserted by No. 33 of 1987 s. 20; amended by No. 22 of 1998 s. 35; No. 60 of 2000 s. 20(2); No. 2 of 2003 s. 55; No. 11 of 2004 s. 12.]</w:t>
      </w:r>
      <w:del w:id="934" w:author="svcMRProcess" w:date="2020-02-20T23:16:00Z">
        <w:r>
          <w:delText xml:space="preserve"> </w:delText>
        </w:r>
      </w:del>
    </w:p>
    <w:p>
      <w:pPr>
        <w:pStyle w:val="Heading5"/>
      </w:pPr>
      <w:bookmarkStart w:id="935" w:name="_Toc107054898"/>
      <w:bookmarkStart w:id="936" w:name="_Toc134854635"/>
      <w:bookmarkStart w:id="937" w:name="_Toc136841088"/>
      <w:bookmarkStart w:id="938" w:name="_Toc131416094"/>
      <w:bookmarkStart w:id="939" w:name="_Toc170193277"/>
      <w:bookmarkStart w:id="940" w:name="_Toc500739935"/>
      <w:bookmarkStart w:id="941" w:name="_Toc520101126"/>
      <w:bookmarkStart w:id="942" w:name="_Toc520533025"/>
      <w:bookmarkStart w:id="943" w:name="_Toc49223911"/>
      <w:r>
        <w:rPr>
          <w:rStyle w:val="CharSectno"/>
        </w:rPr>
        <w:t>73DB</w:t>
      </w:r>
      <w:r>
        <w:t>.</w:t>
      </w:r>
      <w:r>
        <w:tab/>
        <w:t>Interpretation for sections 73DC, 73DD and 73DE</w:t>
      </w:r>
      <w:bookmarkEnd w:id="935"/>
      <w:bookmarkEnd w:id="936"/>
      <w:bookmarkEnd w:id="937"/>
      <w:bookmarkEnd w:id="938"/>
      <w:bookmarkEnd w:id="939"/>
    </w:p>
    <w:p>
      <w:pPr>
        <w:pStyle w:val="Subsection"/>
        <w:keepNext/>
        <w:keepLines/>
      </w:pPr>
      <w:r>
        <w:tab/>
        <w:t>(1)</w:t>
      </w:r>
      <w:r>
        <w:tab/>
        <w:t>In sections 73DC, 73DD and 73DE —</w:t>
      </w:r>
      <w:del w:id="944" w:author="svcMRProcess" w:date="2020-02-20T23:16:00Z">
        <w:r>
          <w:delText xml:space="preserve"> </w:delText>
        </w:r>
      </w:del>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del w:id="945" w:author="svcMRProcess" w:date="2020-02-20T23:16:00Z">
        <w:r>
          <w:delText xml:space="preserve"> </w:delText>
        </w:r>
      </w:del>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946" w:name="_Toc107054899"/>
      <w:bookmarkStart w:id="947" w:name="_Toc134854636"/>
      <w:bookmarkStart w:id="948" w:name="_Toc136841089"/>
      <w:bookmarkStart w:id="949" w:name="_Toc131416095"/>
      <w:bookmarkStart w:id="950" w:name="_Toc170193278"/>
      <w:r>
        <w:rPr>
          <w:rStyle w:val="CharSectno"/>
        </w:rPr>
        <w:t>73DC</w:t>
      </w:r>
      <w:r>
        <w:t>.</w:t>
      </w:r>
      <w:r>
        <w:tab/>
        <w:t>Acquisition of majority interest or further interest in pooled investment trust</w:t>
      </w:r>
      <w:bookmarkEnd w:id="946"/>
      <w:bookmarkEnd w:id="947"/>
      <w:bookmarkEnd w:id="948"/>
      <w:bookmarkEnd w:id="949"/>
      <w:bookmarkEnd w:id="950"/>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del w:id="951" w:author="svcMRProcess" w:date="2020-02-20T23:16:00Z">
        <w:r>
          <w:delText xml:space="preserve"> </w:delText>
        </w:r>
      </w:del>
    </w:p>
    <w:p>
      <w:pPr>
        <w:pStyle w:val="Indenta"/>
      </w:pPr>
      <w:r>
        <w:tab/>
        <w:t>(a)</w:t>
      </w:r>
      <w:r>
        <w:tab/>
        <w:t>registered under section 63AA(2); or</w:t>
      </w:r>
    </w:p>
    <w:p>
      <w:pPr>
        <w:pStyle w:val="Indenta"/>
      </w:pPr>
      <w:r>
        <w:tab/>
        <w:t>(b)</w:t>
      </w:r>
      <w:r>
        <w:tab/>
        <w:t>granted interim registration under section 63AC(2),</w:t>
      </w:r>
      <w:del w:id="952" w:author="svcMRProcess" w:date="2020-02-20T23:16:00Z">
        <w:r>
          <w:delText xml:space="preserve"> </w:delText>
        </w:r>
      </w:del>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del w:id="953" w:author="svcMRProcess" w:date="2020-02-20T23:16:00Z">
        <w:r>
          <w:delText xml:space="preserve"> </w:delText>
        </w:r>
      </w:del>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del w:id="954" w:author="svcMRProcess" w:date="2020-02-20T23:16:00Z">
        <w:r>
          <w:delText xml:space="preserve"> </w:delText>
        </w:r>
      </w:del>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955" w:name="_Toc107054900"/>
      <w:bookmarkStart w:id="956" w:name="_Toc134854637"/>
      <w:bookmarkStart w:id="957" w:name="_Toc136841090"/>
      <w:bookmarkStart w:id="958" w:name="_Toc131416096"/>
      <w:bookmarkStart w:id="959" w:name="_Toc170193279"/>
      <w:r>
        <w:rPr>
          <w:rStyle w:val="CharSectno"/>
        </w:rPr>
        <w:t>73DD</w:t>
      </w:r>
      <w:r>
        <w:t>.</w:t>
      </w:r>
      <w:r>
        <w:tab/>
        <w:t>Meaning of majority interest and further interest</w:t>
      </w:r>
      <w:bookmarkEnd w:id="955"/>
      <w:bookmarkEnd w:id="956"/>
      <w:bookmarkEnd w:id="957"/>
      <w:bookmarkEnd w:id="958"/>
      <w:bookmarkEnd w:id="959"/>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del w:id="960" w:author="svcMRProcess" w:date="2020-02-20T23:16:00Z">
        <w:r>
          <w:delText xml:space="preserve"> </w:delText>
        </w:r>
      </w:del>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del w:id="961" w:author="svcMRProcess" w:date="2020-02-20T23:16:00Z">
        <w:r>
          <w:delText xml:space="preserve"> </w:delText>
        </w:r>
      </w:del>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2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2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del w:id="962" w:author="svcMRProcess" w:date="2020-02-20T23:16:00Z">
        <w:r>
          <w:delText xml:space="preserve"> </w:delText>
        </w:r>
      </w:del>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del w:id="963" w:author="svcMRProcess" w:date="2020-02-20T23:16:00Z">
        <w:r>
          <w:delText xml:space="preserve"> </w:delText>
        </w:r>
      </w:del>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del w:id="964" w:author="svcMRProcess" w:date="2020-02-20T23:16:00Z">
        <w:r>
          <w:delText xml:space="preserve"> </w:delText>
        </w:r>
      </w:del>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965" w:name="_Toc107054901"/>
      <w:bookmarkStart w:id="966" w:name="_Toc134854638"/>
      <w:bookmarkStart w:id="967" w:name="_Toc136841091"/>
      <w:bookmarkStart w:id="968" w:name="_Toc131416097"/>
      <w:bookmarkStart w:id="969" w:name="_Toc170193280"/>
      <w:r>
        <w:rPr>
          <w:rStyle w:val="CharSectno"/>
        </w:rPr>
        <w:t>73DE</w:t>
      </w:r>
      <w:r>
        <w:t>.</w:t>
      </w:r>
      <w:r>
        <w:tab/>
        <w:t>Dutiable statement to be lodged</w:t>
      </w:r>
      <w:bookmarkEnd w:id="965"/>
      <w:bookmarkEnd w:id="966"/>
      <w:bookmarkEnd w:id="967"/>
      <w:bookmarkEnd w:id="968"/>
      <w:bookmarkEnd w:id="969"/>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970" w:name="_Toc107054902"/>
      <w:bookmarkStart w:id="971" w:name="_Toc134854639"/>
      <w:bookmarkStart w:id="972" w:name="_Toc136841092"/>
      <w:bookmarkStart w:id="973" w:name="_Toc131416098"/>
      <w:bookmarkStart w:id="974" w:name="_Toc170193281"/>
      <w:r>
        <w:rPr>
          <w:rStyle w:val="CharSectno"/>
        </w:rPr>
        <w:t>73E</w:t>
      </w:r>
      <w:r>
        <w:rPr>
          <w:snapToGrid w:val="0"/>
        </w:rPr>
        <w:t>.</w:t>
      </w:r>
      <w:r>
        <w:rPr>
          <w:snapToGrid w:val="0"/>
        </w:rPr>
        <w:tab/>
        <w:t>Disposition of shares in discretionary trustee companies</w:t>
      </w:r>
      <w:bookmarkEnd w:id="940"/>
      <w:bookmarkEnd w:id="941"/>
      <w:bookmarkEnd w:id="942"/>
      <w:bookmarkEnd w:id="943"/>
      <w:bookmarkEnd w:id="970"/>
      <w:bookmarkEnd w:id="971"/>
      <w:bookmarkEnd w:id="972"/>
      <w:bookmarkEnd w:id="973"/>
      <w:bookmarkEnd w:id="974"/>
      <w:del w:id="975" w:author="svcMRProcess" w:date="2020-02-20T23:16:00Z">
        <w:r>
          <w:rPr>
            <w:snapToGrid w:val="0"/>
          </w:rPr>
          <w:delText xml:space="preserve"> </w:delText>
        </w:r>
      </w:del>
    </w:p>
    <w:p>
      <w:pPr>
        <w:pStyle w:val="Subsection"/>
        <w:spacing w:before="140"/>
        <w:rPr>
          <w:snapToGrid w:val="0"/>
        </w:rPr>
      </w:pPr>
      <w:r>
        <w:rPr>
          <w:snapToGrid w:val="0"/>
        </w:rPr>
        <w:tab/>
        <w:t>(1)</w:t>
      </w:r>
      <w:r>
        <w:rPr>
          <w:snapToGrid w:val="0"/>
        </w:rPr>
        <w:tab/>
        <w:t>In this section —</w:t>
      </w:r>
      <w:del w:id="976" w:author="svcMRProcess" w:date="2020-02-20T23:16:00Z">
        <w:r>
          <w:rPr>
            <w:snapToGrid w:val="0"/>
          </w:rPr>
          <w:delText> </w:delText>
        </w:r>
      </w:del>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w:t>
      </w:r>
      <w:del w:id="977" w:author="svcMRProcess" w:date="2020-02-20T23:16:00Z">
        <w:r>
          <w:delText> </w:delText>
        </w:r>
      </w:del>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del w:id="978" w:author="svcMRProcess" w:date="2020-02-20T23:16:00Z">
        <w:r>
          <w:rPr>
            <w:snapToGrid w:val="0"/>
          </w:rPr>
          <w:delText> </w:delText>
        </w:r>
      </w:del>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del w:id="979" w:author="svcMRProcess" w:date="2020-02-20T23:16:00Z">
        <w:r>
          <w:rPr>
            <w:snapToGrid w:val="0"/>
          </w:rPr>
          <w:delText> </w:delText>
        </w:r>
      </w:del>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del w:id="980" w:author="svcMRProcess" w:date="2020-02-20T23:16:00Z">
        <w:r>
          <w:delText xml:space="preserve"> </w:delText>
        </w:r>
      </w:del>
    </w:p>
    <w:p>
      <w:pPr>
        <w:pStyle w:val="Heading5"/>
        <w:rPr>
          <w:snapToGrid w:val="0"/>
        </w:rPr>
      </w:pPr>
      <w:bookmarkStart w:id="981" w:name="_Toc500739936"/>
      <w:bookmarkStart w:id="982" w:name="_Toc520101127"/>
      <w:bookmarkStart w:id="983" w:name="_Toc520533026"/>
      <w:bookmarkStart w:id="984" w:name="_Toc49223912"/>
      <w:bookmarkStart w:id="985" w:name="_Toc107054903"/>
      <w:bookmarkStart w:id="986" w:name="_Toc134854640"/>
      <w:bookmarkStart w:id="987" w:name="_Toc136841093"/>
      <w:bookmarkStart w:id="988" w:name="_Toc131416099"/>
      <w:bookmarkStart w:id="989" w:name="_Toc170193282"/>
      <w:r>
        <w:rPr>
          <w:rStyle w:val="CharSectno"/>
        </w:rPr>
        <w:t>73F</w:t>
      </w:r>
      <w:r>
        <w:rPr>
          <w:snapToGrid w:val="0"/>
        </w:rPr>
        <w:t>.</w:t>
      </w:r>
      <w:r>
        <w:rPr>
          <w:snapToGrid w:val="0"/>
        </w:rPr>
        <w:tab/>
        <w:t>Acquisition of a licence to carry on a business activity</w:t>
      </w:r>
      <w:bookmarkEnd w:id="981"/>
      <w:bookmarkEnd w:id="982"/>
      <w:bookmarkEnd w:id="983"/>
      <w:bookmarkEnd w:id="984"/>
      <w:bookmarkEnd w:id="985"/>
      <w:bookmarkEnd w:id="986"/>
      <w:bookmarkEnd w:id="987"/>
      <w:bookmarkEnd w:id="988"/>
      <w:bookmarkEnd w:id="989"/>
      <w:del w:id="990" w:author="svcMRProcess" w:date="2020-02-20T23:16:00Z">
        <w:r>
          <w:rPr>
            <w:snapToGrid w:val="0"/>
          </w:rPr>
          <w:delText xml:space="preserve"> </w:delText>
        </w:r>
      </w:del>
    </w:p>
    <w:p>
      <w:pPr>
        <w:pStyle w:val="Subsection"/>
        <w:spacing w:before="120"/>
        <w:rPr>
          <w:snapToGrid w:val="0"/>
        </w:rPr>
      </w:pPr>
      <w:r>
        <w:rPr>
          <w:snapToGrid w:val="0"/>
        </w:rPr>
        <w:tab/>
        <w:t>(1)</w:t>
      </w:r>
      <w:r>
        <w:rPr>
          <w:snapToGrid w:val="0"/>
        </w:rPr>
        <w:tab/>
        <w:t>In this section —</w:t>
      </w:r>
      <w:del w:id="991" w:author="svcMRProcess" w:date="2020-02-20T23:16:00Z">
        <w:r>
          <w:rPr>
            <w:snapToGrid w:val="0"/>
          </w:rPr>
          <w:delText> </w:delText>
        </w:r>
      </w:del>
    </w:p>
    <w:p>
      <w:pPr>
        <w:pStyle w:val="Defstart"/>
      </w:pPr>
      <w:r>
        <w:rPr>
          <w:b/>
        </w:rPr>
        <w:tab/>
        <w:t>“</w:t>
      </w:r>
      <w:r>
        <w:rPr>
          <w:rStyle w:val="CharDefText"/>
        </w:rPr>
        <w:t>business licence</w:t>
      </w:r>
      <w:r>
        <w:rPr>
          <w:b/>
        </w:rPr>
        <w:t>”</w:t>
      </w:r>
      <w:r>
        <w:t xml:space="preserve"> means —</w:t>
      </w:r>
      <w:del w:id="992" w:author="svcMRProcess" w:date="2020-02-20T23:16:00Z">
        <w:r>
          <w:delText> </w:delText>
        </w:r>
      </w:del>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del w:id="993" w:author="svcMRProcess" w:date="2020-02-20T23:16:00Z">
        <w:r>
          <w:rPr>
            <w:snapToGrid w:val="0"/>
          </w:rPr>
          <w:delText> </w:delText>
        </w:r>
      </w:del>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del w:id="994" w:author="svcMRProcess" w:date="2020-02-20T23:16:00Z">
        <w:r>
          <w:rPr>
            <w:snapToGrid w:val="0"/>
          </w:rPr>
          <w:delText> </w:delText>
        </w:r>
      </w:del>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del w:id="995" w:author="svcMRProcess" w:date="2020-02-20T23:16:00Z">
        <w:r>
          <w:delText xml:space="preserve"> </w:delText>
        </w:r>
      </w:del>
    </w:p>
    <w:p>
      <w:pPr>
        <w:pStyle w:val="Heading5"/>
      </w:pPr>
      <w:bookmarkStart w:id="996" w:name="_Toc107054904"/>
      <w:bookmarkStart w:id="997" w:name="_Toc134854641"/>
      <w:bookmarkStart w:id="998" w:name="_Toc136841094"/>
      <w:bookmarkStart w:id="999" w:name="_Toc131416100"/>
      <w:bookmarkStart w:id="1000" w:name="_Toc170193283"/>
      <w:bookmarkStart w:id="1001" w:name="_Toc500739937"/>
      <w:bookmarkStart w:id="1002" w:name="_Toc520101128"/>
      <w:bookmarkStart w:id="1003" w:name="_Toc520533027"/>
      <w:bookmarkStart w:id="1004" w:name="_Toc49223913"/>
      <w:r>
        <w:rPr>
          <w:rStyle w:val="CharSectno"/>
        </w:rPr>
        <w:t>73G</w:t>
      </w:r>
      <w:r>
        <w:t>.</w:t>
      </w:r>
      <w:r>
        <w:tab/>
        <w:t>Farm</w:t>
      </w:r>
      <w:r>
        <w:noBreakHyphen/>
        <w:t>in agreements relating to mining tenements</w:t>
      </w:r>
      <w:bookmarkEnd w:id="996"/>
      <w:bookmarkEnd w:id="997"/>
      <w:bookmarkEnd w:id="998"/>
      <w:bookmarkEnd w:id="999"/>
      <w:bookmarkEnd w:id="1000"/>
    </w:p>
    <w:p>
      <w:pPr>
        <w:pStyle w:val="Subsection"/>
      </w:pPr>
      <w:r>
        <w:tab/>
        <w:t>(1)</w:t>
      </w:r>
      <w:r>
        <w:tab/>
        <w:t>In this section —</w:t>
      </w:r>
      <w:del w:id="1005" w:author="svcMRProcess" w:date="2020-02-20T23:16:00Z">
        <w:r>
          <w:delText xml:space="preserve"> </w:delText>
        </w:r>
      </w:del>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del w:id="1006" w:author="svcMRProcess" w:date="2020-02-20T23:16:00Z">
        <w:r>
          <w:delText xml:space="preserve"> </w:delText>
        </w:r>
      </w:del>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del w:id="1007" w:author="svcMRProcess" w:date="2020-02-20T23:16:00Z">
        <w:r>
          <w:delText xml:space="preserve"> </w:delText>
        </w:r>
      </w:del>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w:t>
      </w:r>
      <w:del w:id="1008" w:author="svcMRProcess" w:date="2020-02-20T23:16:00Z">
        <w:r>
          <w:rPr>
            <w:vertAlign w:val="superscript"/>
          </w:rPr>
          <w:delText>3</w:delText>
        </w:r>
      </w:del>
      <w:ins w:id="1009" w:author="svcMRProcess" w:date="2020-02-20T23:16:00Z">
        <w:r>
          <w:rPr>
            <w:vertAlign w:val="superscript"/>
          </w:rPr>
          <w:t>2</w:t>
        </w:r>
      </w:ins>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in agreement is —</w:t>
      </w:r>
      <w:del w:id="1010" w:author="svcMRProcess" w:date="2020-02-20T23:16:00Z">
        <w:r>
          <w:delText xml:space="preserve"> </w:delText>
        </w:r>
      </w:del>
    </w:p>
    <w:p>
      <w:pPr>
        <w:pStyle w:val="Indenta"/>
        <w:spacing w:before="70"/>
      </w:pPr>
      <w:r>
        <w:tab/>
        <w:t>(a)</w:t>
      </w:r>
      <w:r>
        <w:tab/>
        <w:t>to the extent that —</w:t>
      </w:r>
      <w:del w:id="1011" w:author="svcMRProcess" w:date="2020-02-20T23:16:00Z">
        <w:r>
          <w:delText xml:space="preserve"> </w:delText>
        </w:r>
      </w:del>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to the extent that —</w:t>
      </w:r>
      <w:del w:id="1012" w:author="svcMRProcess" w:date="2020-02-20T23:16:00Z">
        <w:r>
          <w:delText xml:space="preserve"> </w:delText>
        </w:r>
      </w:del>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If the Commissioner is satisfied that —</w:t>
      </w:r>
      <w:del w:id="1013" w:author="svcMRProcess" w:date="2020-02-20T23:16:00Z">
        <w:r>
          <w:delText xml:space="preserve"> </w:delText>
        </w:r>
      </w:del>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then —</w:t>
      </w:r>
      <w:del w:id="1014" w:author="svcMRProcess" w:date="2020-02-20T23:16:00Z">
        <w:r>
          <w:delText xml:space="preserve"> </w:delText>
        </w:r>
      </w:del>
    </w:p>
    <w:p>
      <w:pPr>
        <w:pStyle w:val="Indenta"/>
      </w:pPr>
      <w:r>
        <w:tab/>
        <w:t>(d)</w:t>
      </w:r>
      <w:r>
        <w:tab/>
        <w:t>to the extent that —</w:t>
      </w:r>
      <w:del w:id="1015" w:author="svcMRProcess" w:date="2020-02-20T23:16:00Z">
        <w:r>
          <w:delText xml:space="preserve"> </w:delText>
        </w:r>
      </w:del>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del w:id="1016" w:author="svcMRProcess" w:date="2020-02-20T23:16:00Z">
        <w:r>
          <w:delText xml:space="preserve"> </w:delText>
        </w:r>
      </w:del>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1017" w:name="_Toc107054905"/>
      <w:bookmarkStart w:id="1018" w:name="_Toc134854642"/>
      <w:bookmarkStart w:id="1019" w:name="_Toc136841095"/>
      <w:bookmarkStart w:id="1020" w:name="_Toc131416101"/>
      <w:bookmarkStart w:id="1021" w:name="_Toc170193284"/>
      <w:r>
        <w:rPr>
          <w:rStyle w:val="CharSectno"/>
        </w:rPr>
        <w:t>74</w:t>
      </w:r>
      <w:r>
        <w:rPr>
          <w:snapToGrid w:val="0"/>
        </w:rPr>
        <w:t>.</w:t>
      </w:r>
      <w:r>
        <w:rPr>
          <w:snapToGrid w:val="0"/>
        </w:rPr>
        <w:tab/>
        <w:t>Certain contracts to be chargeable as conveyances on sale</w:t>
      </w:r>
      <w:bookmarkEnd w:id="1001"/>
      <w:bookmarkEnd w:id="1002"/>
      <w:bookmarkEnd w:id="1003"/>
      <w:bookmarkEnd w:id="1004"/>
      <w:bookmarkEnd w:id="1017"/>
      <w:bookmarkEnd w:id="1018"/>
      <w:bookmarkEnd w:id="1019"/>
      <w:bookmarkEnd w:id="1020"/>
      <w:bookmarkEnd w:id="1021"/>
      <w:del w:id="1022" w:author="svcMRProcess" w:date="2020-02-20T23:16:00Z">
        <w:r>
          <w:rPr>
            <w:snapToGrid w:val="0"/>
          </w:rPr>
          <w:delText xml:space="preserve"> </w:delText>
        </w:r>
      </w:del>
    </w:p>
    <w:p>
      <w:pPr>
        <w:pStyle w:val="Subsection"/>
      </w:pPr>
      <w:r>
        <w:tab/>
        <w:t>(1aa)</w:t>
      </w:r>
      <w:r>
        <w:tab/>
        <w:t>In this section —</w:t>
      </w:r>
      <w:del w:id="1023" w:author="svcMRProcess" w:date="2020-02-20T23:16:00Z">
        <w:r>
          <w:delText xml:space="preserve"> </w:delText>
        </w:r>
      </w:del>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w:t>
      </w:r>
      <w:del w:id="1024" w:author="svcMRProcess" w:date="2020-02-20T23:16:00Z">
        <w:r>
          <w:rPr>
            <w:snapToGrid w:val="0"/>
          </w:rPr>
          <w:delText> </w:delText>
        </w:r>
      </w:del>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del w:id="1025" w:author="svcMRProcess" w:date="2020-02-20T23:16:00Z">
        <w:r>
          <w:delText xml:space="preserve"> </w:delText>
        </w:r>
      </w:del>
    </w:p>
    <w:p>
      <w:pPr>
        <w:pStyle w:val="Indenta"/>
      </w:pPr>
      <w:r>
        <w:tab/>
        <w:t>(a)</w:t>
      </w:r>
      <w:r>
        <w:tab/>
        <w:t>the person named as purchaser in a contract or agreement referred to in subsection (1) entered into the contract or agreement with the intention that the property concerned would be transferred to —</w:t>
      </w:r>
      <w:del w:id="1026" w:author="svcMRProcess" w:date="2020-02-20T23:16:00Z">
        <w:r>
          <w:delText xml:space="preserve"> </w:delText>
        </w:r>
      </w:del>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del w:id="1027" w:author="svcMRProcess" w:date="2020-02-20T23:16:00Z">
        <w:r>
          <w:delText xml:space="preserve"> </w:delText>
        </w:r>
      </w:del>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del w:id="1028" w:author="svcMRProcess" w:date="2020-02-20T23:16:00Z">
        <w:r>
          <w:delText xml:space="preserve"> </w:delText>
        </w:r>
      </w:del>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del w:id="1029" w:author="svcMRProcess" w:date="2020-02-20T23:16:00Z">
        <w:r>
          <w:delText xml:space="preserve"> </w:delText>
        </w:r>
      </w:del>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del w:id="1030" w:author="svcMRProcess" w:date="2020-02-20T23:16:00Z">
        <w:r>
          <w:delText xml:space="preserve"> </w:delText>
        </w:r>
      </w:del>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del w:id="1031" w:author="svcMRProcess" w:date="2020-02-20T23:16:00Z">
        <w:r>
          <w:delText xml:space="preserve"> </w:delText>
        </w:r>
      </w:del>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del w:id="1032" w:author="svcMRProcess" w:date="2020-02-20T23:16:00Z">
        <w:r>
          <w:delText xml:space="preserve"> </w:delText>
        </w:r>
      </w:del>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del w:id="1033" w:author="svcMRProcess" w:date="2020-02-20T23:16:00Z">
        <w:r>
          <w:delText xml:space="preserve"> </w:delText>
        </w:r>
      </w:del>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del w:id="1034" w:author="svcMRProcess" w:date="2020-02-20T23:16:00Z">
        <w:r>
          <w:delText xml:space="preserve"> </w:delText>
        </w:r>
      </w:del>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del w:id="1035" w:author="svcMRProcess" w:date="2020-02-20T23:16:00Z">
        <w:r>
          <w:delText xml:space="preserve"> </w:delText>
        </w:r>
      </w:del>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del w:id="1036" w:author="svcMRProcess" w:date="2020-02-20T23:16:00Z">
        <w:r>
          <w:delText xml:space="preserve"> </w:delText>
        </w:r>
      </w:del>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For the purposes of subsections (3d), (3e) and (3f) —</w:t>
      </w:r>
      <w:del w:id="1037" w:author="svcMRProcess" w:date="2020-02-20T23:16:00Z">
        <w:r>
          <w:delText xml:space="preserve"> </w:delText>
        </w:r>
      </w:del>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del w:id="1038" w:author="svcMRProcess" w:date="2020-02-20T23:16:00Z">
        <w:r>
          <w:delText xml:space="preserve"> </w:delText>
        </w:r>
      </w:del>
    </w:p>
    <w:p>
      <w:pPr>
        <w:pStyle w:val="Heading5"/>
        <w:rPr>
          <w:snapToGrid w:val="0"/>
        </w:rPr>
      </w:pPr>
      <w:bookmarkStart w:id="1039" w:name="_Toc500739938"/>
      <w:bookmarkStart w:id="1040" w:name="_Toc520101129"/>
      <w:bookmarkStart w:id="1041" w:name="_Toc520533028"/>
      <w:bookmarkStart w:id="1042" w:name="_Toc49223914"/>
      <w:bookmarkStart w:id="1043" w:name="_Toc107054906"/>
      <w:bookmarkStart w:id="1044" w:name="_Toc134854643"/>
      <w:bookmarkStart w:id="1045" w:name="_Toc136841096"/>
      <w:bookmarkStart w:id="1046" w:name="_Toc131416102"/>
      <w:bookmarkStart w:id="1047" w:name="_Toc170193285"/>
      <w:r>
        <w:rPr>
          <w:rStyle w:val="CharSectno"/>
        </w:rPr>
        <w:t>74A</w:t>
      </w:r>
      <w:r>
        <w:rPr>
          <w:snapToGrid w:val="0"/>
        </w:rPr>
        <w:t>.</w:t>
      </w:r>
      <w:r>
        <w:rPr>
          <w:snapToGrid w:val="0"/>
        </w:rPr>
        <w:tab/>
        <w:t>Duty chargeable on certain conveyances of corporation property</w:t>
      </w:r>
      <w:bookmarkEnd w:id="1039"/>
      <w:bookmarkEnd w:id="1040"/>
      <w:bookmarkEnd w:id="1041"/>
      <w:bookmarkEnd w:id="1042"/>
      <w:bookmarkEnd w:id="1043"/>
      <w:bookmarkEnd w:id="1044"/>
      <w:bookmarkEnd w:id="1045"/>
      <w:bookmarkEnd w:id="1046"/>
      <w:bookmarkEnd w:id="1047"/>
      <w:del w:id="1048" w:author="svcMRProcess" w:date="2020-02-20T23:16:00Z">
        <w:r>
          <w:rPr>
            <w:snapToGrid w:val="0"/>
          </w:rPr>
          <w:delText xml:space="preserve"> </w:delText>
        </w:r>
      </w:del>
    </w:p>
    <w:p>
      <w:pPr>
        <w:pStyle w:val="Subsection"/>
        <w:rPr>
          <w:snapToGrid w:val="0"/>
        </w:rPr>
      </w:pPr>
      <w:r>
        <w:rPr>
          <w:snapToGrid w:val="0"/>
        </w:rPr>
        <w:tab/>
        <w:t>(1)</w:t>
      </w:r>
      <w:r>
        <w:rPr>
          <w:snapToGrid w:val="0"/>
        </w:rPr>
        <w:tab/>
        <w:t>A conveyance or transfer of any property —</w:t>
      </w:r>
      <w:del w:id="1049" w:author="svcMRProcess" w:date="2020-02-20T23:16:00Z">
        <w:r>
          <w:rPr>
            <w:snapToGrid w:val="0"/>
          </w:rPr>
          <w:delText> </w:delText>
        </w:r>
      </w:del>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del w:id="1050" w:author="svcMRProcess" w:date="2020-02-20T23:16:00Z">
        <w:r>
          <w:rPr>
            <w:snapToGrid w:val="0"/>
          </w:rPr>
          <w:delText> </w:delText>
        </w:r>
      </w:del>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del w:id="1051" w:author="svcMRProcess" w:date="2020-02-20T23:16:00Z">
        <w:r>
          <w:rPr>
            <w:snapToGrid w:val="0"/>
          </w:rPr>
          <w:delText> </w:delText>
        </w:r>
      </w:del>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w:t>
      </w:r>
      <w:del w:id="1052" w:author="svcMRProcess" w:date="2020-02-20T23:16:00Z">
        <w:r>
          <w:rPr>
            <w:snapToGrid w:val="0"/>
          </w:rPr>
          <w:delText> </w:delText>
        </w:r>
      </w:del>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w:t>
      </w:r>
      <w:del w:id="1053" w:author="svcMRProcess" w:date="2020-02-20T23:16:00Z">
        <w:r>
          <w:rPr>
            <w:snapToGrid w:val="0"/>
          </w:rPr>
          <w:delText> </w:delText>
        </w:r>
      </w:del>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a related corporation of the corporation or the shareholder;</w:t>
      </w:r>
      <w:del w:id="1054" w:author="svcMRProcess" w:date="2020-02-20T23:16:00Z">
        <w:r>
          <w:rPr>
            <w:snapToGrid w:val="0"/>
          </w:rPr>
          <w:delText xml:space="preserve"> </w:delText>
        </w:r>
      </w:del>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Equation"/>
        <w:ind w:left="2640"/>
      </w:pPr>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6" o:title=""/>
          </v:shape>
        </w:pi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del w:id="1055" w:author="svcMRProcess" w:date="2020-02-20T23:16:00Z">
        <w:r>
          <w:rPr>
            <w:snapToGrid w:val="0"/>
          </w:rPr>
          <w:delText> </w:delText>
        </w:r>
      </w:del>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del w:id="1056" w:author="svcMRProcess" w:date="2020-02-20T23:16:00Z">
        <w:r>
          <w:delText xml:space="preserve"> </w:delText>
        </w:r>
      </w:del>
    </w:p>
    <w:p>
      <w:pPr>
        <w:pStyle w:val="Heading5"/>
      </w:pPr>
      <w:bookmarkStart w:id="1057" w:name="_Toc107054907"/>
      <w:bookmarkStart w:id="1058" w:name="_Toc134854644"/>
      <w:bookmarkStart w:id="1059" w:name="_Toc136841097"/>
      <w:bookmarkStart w:id="1060" w:name="_Toc131416103"/>
      <w:bookmarkStart w:id="1061" w:name="_Toc170193286"/>
      <w:bookmarkStart w:id="1062" w:name="_Toc500739939"/>
      <w:bookmarkStart w:id="1063" w:name="_Toc520101130"/>
      <w:bookmarkStart w:id="1064" w:name="_Toc520533029"/>
      <w:bookmarkStart w:id="1065" w:name="_Toc49223915"/>
      <w:r>
        <w:rPr>
          <w:rStyle w:val="CharSectno"/>
        </w:rPr>
        <w:t>74B</w:t>
      </w:r>
      <w:r>
        <w:t>.</w:t>
      </w:r>
      <w:r>
        <w:tab/>
        <w:t>Transactions involving a call option and a put option</w:t>
      </w:r>
      <w:bookmarkEnd w:id="1057"/>
      <w:bookmarkEnd w:id="1058"/>
      <w:bookmarkEnd w:id="1059"/>
      <w:bookmarkEnd w:id="1060"/>
      <w:bookmarkEnd w:id="1061"/>
    </w:p>
    <w:p>
      <w:pPr>
        <w:pStyle w:val="Subsection"/>
      </w:pPr>
      <w:r>
        <w:tab/>
        <w:t>(1)</w:t>
      </w:r>
      <w:r>
        <w:tab/>
        <w:t>In this section —</w:t>
      </w:r>
      <w:del w:id="1066" w:author="svcMRProcess" w:date="2020-02-20T23:16:00Z">
        <w:r>
          <w:delText xml:space="preserve"> </w:delText>
        </w:r>
      </w:del>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del w:id="1067" w:author="svcMRProcess" w:date="2020-02-20T23:16:00Z">
        <w:r>
          <w:delText xml:space="preserve"> </w:delText>
        </w:r>
      </w:del>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del w:id="1068" w:author="svcMRProcess" w:date="2020-02-20T23:16:00Z">
        <w:r>
          <w:delText xml:space="preserve"> </w:delText>
        </w:r>
      </w:del>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B has a right to require A, or a person referred to in paragraph (a), to purchase —</w:t>
      </w:r>
      <w:del w:id="1069" w:author="svcMRProcess" w:date="2020-02-20T23:16:00Z">
        <w:r>
          <w:delText xml:space="preserve"> </w:delText>
        </w:r>
      </w:del>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From the time when subsection (2) applies the call option is to be regarded as —</w:t>
      </w:r>
      <w:del w:id="1070" w:author="svcMRProcess" w:date="2020-02-20T23:16:00Z">
        <w:r>
          <w:delText xml:space="preserve"> </w:delText>
        </w:r>
      </w:del>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del w:id="1071" w:author="svcMRProcess" w:date="2020-02-20T23:16:00Z">
        <w:r>
          <w:delText xml:space="preserve"> </w:delText>
        </w:r>
      </w:del>
    </w:p>
    <w:p>
      <w:pPr>
        <w:pStyle w:val="Indenta"/>
      </w:pPr>
      <w:r>
        <w:tab/>
        <w:t>(a)</w:t>
      </w:r>
      <w:r>
        <w:tab/>
        <w:t>the sum of —</w:t>
      </w:r>
      <w:del w:id="1072" w:author="svcMRProcess" w:date="2020-02-20T23:16:00Z">
        <w:r>
          <w:delText xml:space="preserve"> </w:delText>
        </w:r>
      </w:del>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del w:id="1073" w:author="svcMRProcess" w:date="2020-02-20T23:16:00Z">
        <w:r>
          <w:delText xml:space="preserve"> </w:delText>
        </w:r>
      </w:del>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del w:id="1074" w:author="svcMRProcess" w:date="2020-02-20T23:16:00Z">
        <w:r>
          <w:delText xml:space="preserve"> </w:delText>
        </w:r>
      </w:del>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del w:id="1075" w:author="svcMRProcess" w:date="2020-02-20T23:16:00Z">
        <w:r>
          <w:delText xml:space="preserve"> </w:delText>
        </w:r>
      </w:del>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del w:id="1076" w:author="svcMRProcess" w:date="2020-02-20T23:16:00Z">
        <w:r>
          <w:delText xml:space="preserve"> </w:delText>
        </w:r>
      </w:del>
    </w:p>
    <w:p>
      <w:pPr>
        <w:pStyle w:val="Indenta"/>
      </w:pPr>
      <w:r>
        <w:tab/>
        <w:t>(a)</w:t>
      </w:r>
      <w:r>
        <w:tab/>
        <w:t>the sum of —</w:t>
      </w:r>
      <w:del w:id="1077" w:author="svcMRProcess" w:date="2020-02-20T23:16:00Z">
        <w:r>
          <w:delText xml:space="preserve"> </w:delText>
        </w:r>
      </w:del>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If as a result of the right referred to in subsection (9)(a) or the right referred to in subsection (9)(b) being exercised —</w:t>
      </w:r>
      <w:del w:id="1078" w:author="svcMRProcess" w:date="2020-02-20T23:16:00Z">
        <w:r>
          <w:delText xml:space="preserve"> </w:delText>
        </w:r>
      </w:del>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1079" w:name="_Toc107054908"/>
      <w:bookmarkStart w:id="1080" w:name="_Toc134854645"/>
      <w:bookmarkStart w:id="1081" w:name="_Toc136841098"/>
      <w:bookmarkStart w:id="1082" w:name="_Toc131416104"/>
      <w:bookmarkStart w:id="1083" w:name="_Toc170193287"/>
      <w:r>
        <w:rPr>
          <w:rStyle w:val="CharSectno"/>
        </w:rPr>
        <w:t>74C</w:t>
      </w:r>
      <w:r>
        <w:t>.</w:t>
      </w:r>
      <w:r>
        <w:tab/>
        <w:t>Acquisition of certain business assets</w:t>
      </w:r>
      <w:bookmarkEnd w:id="1079"/>
      <w:bookmarkEnd w:id="1080"/>
      <w:bookmarkEnd w:id="1081"/>
      <w:bookmarkEnd w:id="1082"/>
      <w:bookmarkEnd w:id="1083"/>
    </w:p>
    <w:p>
      <w:pPr>
        <w:pStyle w:val="Subsection"/>
      </w:pPr>
      <w:r>
        <w:tab/>
        <w:t>(1)</w:t>
      </w:r>
      <w:r>
        <w:tab/>
        <w:t>In this section —</w:t>
      </w:r>
      <w:del w:id="1084" w:author="svcMRProcess" w:date="2020-02-20T23:16:00Z">
        <w:r>
          <w:delText xml:space="preserve"> </w:delText>
        </w:r>
      </w:del>
    </w:p>
    <w:p>
      <w:pPr>
        <w:pStyle w:val="Defstart"/>
      </w:pPr>
      <w:r>
        <w:tab/>
      </w:r>
      <w:r>
        <w:rPr>
          <w:b/>
        </w:rPr>
        <w:t>“</w:t>
      </w:r>
      <w:r>
        <w:rPr>
          <w:rStyle w:val="CharDefText"/>
        </w:rPr>
        <w:t>business asset</w:t>
      </w:r>
      <w:r>
        <w:rPr>
          <w:b/>
        </w:rPr>
        <w:t>”</w:t>
      </w:r>
      <w:r>
        <w:t xml:space="preserve"> means —</w:t>
      </w:r>
      <w:del w:id="1085" w:author="svcMRProcess" w:date="2020-02-20T23:16:00Z">
        <w:r>
          <w:delText xml:space="preserve"> </w:delText>
        </w:r>
      </w:del>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del w:id="1086" w:author="svcMRProcess" w:date="2020-02-20T23:16:00Z">
        <w:r>
          <w:delText xml:space="preserve"> </w:delText>
        </w:r>
      </w:del>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del w:id="1087" w:author="svcMRProcess" w:date="2020-02-20T23:16:00Z">
        <w:r>
          <w:delText xml:space="preserve"> </w:delText>
        </w:r>
      </w:del>
    </w:p>
    <w:p>
      <w:pPr>
        <w:pStyle w:val="Defpara"/>
      </w:pPr>
      <w:r>
        <w:tab/>
        <w:t>(a)</w:t>
      </w:r>
      <w:r>
        <w:tab/>
        <w:t>to engage in the business of producing, supplying or providing commodities or services, or both, at a place other than the place of business of the franchisor as long as the franchisee does so under —</w:t>
      </w:r>
      <w:del w:id="1088" w:author="svcMRProcess" w:date="2020-02-20T23:16:00Z">
        <w:r>
          <w:delText xml:space="preserve"> </w:delText>
        </w:r>
      </w:del>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w:t>
      </w:r>
      <w:del w:id="1089" w:author="svcMRProcess" w:date="2020-02-20T23:16:00Z">
        <w:r>
          <w:delText xml:space="preserve"> </w:delText>
        </w:r>
      </w:del>
    </w:p>
    <w:p>
      <w:pPr>
        <w:pStyle w:val="Defpara"/>
        <w:spacing w:before="70"/>
      </w:pPr>
      <w:r>
        <w:tab/>
        <w:t>(a)</w:t>
      </w:r>
      <w:r>
        <w:tab/>
        <w:t>a patent, trademark, industrial design, copyright, registered design, plant breeder right or circuit layout right;</w:t>
      </w:r>
    </w:p>
    <w:p>
      <w:pPr>
        <w:pStyle w:val="Defpara"/>
        <w:spacing w:before="70"/>
      </w:pPr>
      <w:r>
        <w:tab/>
        <w:t>(b)</w:t>
      </w:r>
      <w:r>
        <w:tab/>
        <w:t>anything else that has the following characteristics —</w:t>
      </w:r>
      <w:del w:id="1090" w:author="svcMRProcess" w:date="2020-02-20T23:16:00Z">
        <w:r>
          <w:delText xml:space="preserve"> </w:delText>
        </w:r>
      </w:del>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a right to use or exploit —</w:t>
      </w:r>
      <w:del w:id="1091" w:author="svcMRProcess" w:date="2020-02-20T23:16:00Z">
        <w:r>
          <w:delText xml:space="preserve"> </w:delText>
        </w:r>
      </w:del>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w:t>
      </w:r>
      <w:del w:id="1092" w:author="svcMRProcess" w:date="2020-02-20T23:16:00Z">
        <w:r>
          <w:delText xml:space="preserve"> </w:delText>
        </w:r>
      </w:del>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del w:id="1093" w:author="svcMRProcess" w:date="2020-02-20T23:16:00Z">
        <w:r>
          <w:delText xml:space="preserve"> </w:delText>
        </w:r>
      </w:del>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del w:id="1094" w:author="svcMRProcess" w:date="2020-02-20T23:16:00Z">
        <w:r>
          <w:delText xml:space="preserve"> </w:delText>
        </w:r>
      </w:del>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del w:id="1095" w:author="svcMRProcess" w:date="2020-02-20T23:16:00Z">
        <w:r>
          <w:delText xml:space="preserve"> </w:delText>
        </w:r>
      </w:del>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del w:id="1096" w:author="svcMRProcess" w:date="2020-02-20T23:16:00Z">
        <w:r>
          <w:delText xml:space="preserve"> </w:delText>
        </w:r>
      </w:del>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del w:id="1097" w:author="svcMRProcess" w:date="2020-02-20T23:16:00Z">
        <w:r>
          <w:delText xml:space="preserve"> </w:delText>
        </w:r>
      </w:del>
    </w:p>
    <w:p>
      <w:pPr>
        <w:pStyle w:val="Equation"/>
        <w:tabs>
          <w:tab w:val="left" w:pos="923"/>
        </w:tabs>
        <w:spacing w:before="60" w:after="60"/>
        <w:rPr>
          <w:del w:id="1098" w:author="svcMRProcess" w:date="2020-02-20T23:16:00Z"/>
        </w:rPr>
      </w:pPr>
      <w:del w:id="1099" w:author="svcMRProcess" w:date="2020-02-20T23:16:00Z">
        <w:r>
          <w:tab/>
        </w:r>
        <w:r>
          <w:rPr>
            <w:position w:val="-22"/>
          </w:rPr>
          <w:pict>
            <v:shape id="_x0000_i1026" type="#_x0000_t75" style="width:98.25pt;height:29.25pt" fillcolor="window">
              <v:imagedata r:id="rId17" o:title=""/>
            </v:shape>
          </w:pict>
        </w:r>
      </w:del>
    </w:p>
    <w:p>
      <w:pPr>
        <w:pStyle w:val="Equation"/>
        <w:spacing w:before="120"/>
        <w:jc w:val="center"/>
        <w:rPr>
          <w:ins w:id="1100" w:author="svcMRProcess" w:date="2020-02-20T23:16:00Z"/>
        </w:rPr>
      </w:pPr>
      <w:ins w:id="1101" w:author="svcMRProcess" w:date="2020-02-20T23:16:00Z">
        <w:r>
          <w:rPr>
            <w:position w:val="-24"/>
          </w:rPr>
          <w:pict>
            <v:shape id="_x0000_i1027" type="#_x0000_t75" style="width:107.25pt;height:30.75pt">
              <v:imagedata r:id="rId18" o:title=""/>
            </v:shape>
          </w:pict>
        </w:r>
      </w:ins>
    </w:p>
    <w:p>
      <w:pPr>
        <w:pStyle w:val="Subsection"/>
        <w:spacing w:before="120"/>
      </w:pPr>
      <w:r>
        <w:tab/>
      </w:r>
      <w:r>
        <w:tab/>
        <w:t>where —</w:t>
      </w:r>
      <w:del w:id="1102" w:author="svcMRProcess" w:date="2020-02-20T23:16:00Z">
        <w:r>
          <w:delText xml:space="preserve"> </w:delText>
        </w:r>
      </w:del>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del w:id="1103" w:author="svcMRProcess" w:date="2020-02-20T23:16:00Z">
        <w:r>
          <w:delText xml:space="preserve"> </w:delText>
        </w:r>
      </w:del>
    </w:p>
    <w:p>
      <w:pPr>
        <w:pStyle w:val="Equation"/>
        <w:tabs>
          <w:tab w:val="left" w:pos="909"/>
        </w:tabs>
        <w:spacing w:before="60" w:after="60"/>
        <w:rPr>
          <w:del w:id="1104" w:author="svcMRProcess" w:date="2020-02-20T23:16:00Z"/>
        </w:rPr>
      </w:pPr>
      <w:del w:id="1105" w:author="svcMRProcess" w:date="2020-02-20T23:16:00Z">
        <w:r>
          <w:tab/>
        </w:r>
        <w:r>
          <w:rPr>
            <w:position w:val="-22"/>
          </w:rPr>
          <w:pict>
            <v:shape id="_x0000_i1028" type="#_x0000_t75" style="width:81.75pt;height:29.25pt">
              <v:imagedata r:id="rId19" o:title=""/>
            </v:shape>
          </w:pict>
        </w:r>
      </w:del>
    </w:p>
    <w:p>
      <w:pPr>
        <w:pStyle w:val="Equation"/>
        <w:spacing w:before="120"/>
        <w:jc w:val="center"/>
        <w:rPr>
          <w:ins w:id="1106" w:author="svcMRProcess" w:date="2020-02-20T23:16:00Z"/>
        </w:rPr>
      </w:pPr>
      <w:ins w:id="1107" w:author="svcMRProcess" w:date="2020-02-20T23:16:00Z">
        <w:r>
          <w:rPr>
            <w:position w:val="-24"/>
          </w:rPr>
          <w:pict>
            <v:shape id="_x0000_i1029" type="#_x0000_t75" style="width:89.25pt;height:30.75pt">
              <v:imagedata r:id="rId20" o:title=""/>
            </v:shape>
          </w:pict>
        </w:r>
      </w:ins>
    </w:p>
    <w:p>
      <w:pPr>
        <w:pStyle w:val="Subsection"/>
        <w:spacing w:before="120"/>
      </w:pPr>
      <w:r>
        <w:tab/>
      </w:r>
      <w:r>
        <w:tab/>
        <w:t>where —</w:t>
      </w:r>
      <w:del w:id="1108" w:author="svcMRProcess" w:date="2020-02-20T23:16:00Z">
        <w:r>
          <w:delText xml:space="preserve"> </w:delText>
        </w:r>
      </w:del>
    </w:p>
    <w:p>
      <w:pPr>
        <w:pStyle w:val="Indenta"/>
        <w:spacing w:before="60"/>
      </w:pPr>
      <w:r>
        <w:tab/>
        <w:t>A</w:t>
      </w:r>
      <w:r>
        <w:tab/>
        <w:t xml:space="preserve">is </w:t>
      </w:r>
      <w:r>
        <w:rPr>
          <w:snapToGrid w:val="0"/>
        </w:rPr>
        <w:t>the</w:t>
      </w:r>
      <w:r>
        <w:t xml:space="preserve"> dutiable amount;</w:t>
      </w:r>
      <w:del w:id="1109" w:author="svcMRProcess" w:date="2020-02-20T23:16:00Z">
        <w:r>
          <w:delText xml:space="preserve"> </w:delText>
        </w:r>
      </w:del>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w:t>
      </w:r>
      <w:del w:id="1110" w:author="svcMRProcess" w:date="2020-02-20T23:16:00Z">
        <w:r>
          <w:delText xml:space="preserve"> </w:delText>
        </w:r>
      </w:del>
      <w:ins w:id="1111" w:author="svcMRProcess" w:date="2020-02-20T23:16:00Z">
        <w:r>
          <w:t> </w:t>
        </w:r>
      </w:ins>
      <w:r>
        <w:t>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1112" w:name="_Toc107054909"/>
      <w:bookmarkStart w:id="1113" w:name="_Toc134854646"/>
      <w:bookmarkStart w:id="1114" w:name="_Toc136841099"/>
      <w:bookmarkStart w:id="1115" w:name="_Toc131416105"/>
      <w:bookmarkStart w:id="1116" w:name="_Toc170193288"/>
      <w:r>
        <w:rPr>
          <w:rStyle w:val="CharSectno"/>
        </w:rPr>
        <w:t>75</w:t>
      </w:r>
      <w:r>
        <w:rPr>
          <w:snapToGrid w:val="0"/>
        </w:rPr>
        <w:t>.</w:t>
      </w:r>
      <w:r>
        <w:rPr>
          <w:snapToGrid w:val="0"/>
        </w:rPr>
        <w:tab/>
        <w:t>Duty chargeable on conveyance for less than full consideration</w:t>
      </w:r>
      <w:bookmarkEnd w:id="1062"/>
      <w:bookmarkEnd w:id="1063"/>
      <w:bookmarkEnd w:id="1064"/>
      <w:bookmarkEnd w:id="1065"/>
      <w:bookmarkEnd w:id="1112"/>
      <w:bookmarkEnd w:id="1113"/>
      <w:bookmarkEnd w:id="1114"/>
      <w:bookmarkEnd w:id="1115"/>
      <w:bookmarkEnd w:id="1116"/>
      <w:del w:id="1117" w:author="svcMRProcess" w:date="2020-02-20T23:16:00Z">
        <w:r>
          <w:rPr>
            <w:snapToGrid w:val="0"/>
          </w:rPr>
          <w:delText xml:space="preserve"> </w:delText>
        </w:r>
      </w:del>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del w:id="1118" w:author="svcMRProcess" w:date="2020-02-20T23:16:00Z">
        <w:r>
          <w:rPr>
            <w:snapToGrid w:val="0"/>
          </w:rPr>
          <w:delText> </w:delText>
        </w:r>
      </w:del>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del w:id="1119" w:author="svcMRProcess" w:date="2020-02-20T23:16:00Z">
        <w:r>
          <w:rPr>
            <w:snapToGrid w:val="0"/>
          </w:rPr>
          <w:delText> </w:delText>
        </w:r>
      </w:del>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del w:id="1120" w:author="svcMRProcess" w:date="2020-02-20T23:16:00Z">
        <w:r>
          <w:rPr>
            <w:snapToGrid w:val="0"/>
          </w:rPr>
          <w:delText> </w:delText>
        </w:r>
      </w:del>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del w:id="1121" w:author="svcMRProcess" w:date="2020-02-20T23:16:00Z">
        <w:r>
          <w:rPr>
            <w:snapToGrid w:val="0"/>
          </w:rPr>
          <w:delText> </w:delText>
        </w:r>
      </w:del>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w:t>
      </w:r>
      <w:del w:id="1122" w:author="svcMRProcess" w:date="2020-02-20T23:16:00Z">
        <w:r>
          <w:rPr>
            <w:snapToGrid w:val="0"/>
          </w:rPr>
          <w:delText> </w:delText>
        </w:r>
      </w:del>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[Section 75 inserted by No. 81 of 1984 s. 22; amended by No. 33 of 1987 s. 21; No. 100 of 1987 s. 4; No. 39 of 1994 s. 14 and 21; No. 20 of 1996 s. 25; No. 13 of 1997 s. 42; No. 2 of 2003 s. 60; No. 66 of 2003 s. 38.]</w:t>
      </w:r>
      <w:del w:id="1123" w:author="svcMRProcess" w:date="2020-02-20T23:16:00Z">
        <w:r>
          <w:delText xml:space="preserve"> </w:delText>
        </w:r>
      </w:del>
    </w:p>
    <w:p>
      <w:pPr>
        <w:pStyle w:val="Heading5"/>
      </w:pPr>
      <w:bookmarkStart w:id="1124" w:name="_Toc49223916"/>
      <w:bookmarkStart w:id="1125" w:name="_Toc107054910"/>
      <w:bookmarkStart w:id="1126" w:name="_Toc134854647"/>
      <w:bookmarkStart w:id="1127" w:name="_Toc136841100"/>
      <w:bookmarkStart w:id="1128" w:name="_Toc131416106"/>
      <w:bookmarkStart w:id="1129" w:name="_Toc170193289"/>
      <w:bookmarkStart w:id="1130" w:name="_Toc500739941"/>
      <w:bookmarkStart w:id="1131" w:name="_Toc520101132"/>
      <w:bookmarkStart w:id="1132" w:name="_Toc520533031"/>
      <w:r>
        <w:rPr>
          <w:rStyle w:val="CharSectno"/>
        </w:rPr>
        <w:t>75A</w:t>
      </w:r>
      <w:r>
        <w:t>.</w:t>
      </w:r>
      <w:r>
        <w:tab/>
        <w:t>Power to exempt instruments made for charitable or similar purposes</w:t>
      </w:r>
      <w:bookmarkEnd w:id="1124"/>
      <w:bookmarkEnd w:id="1125"/>
      <w:bookmarkEnd w:id="1126"/>
      <w:bookmarkEnd w:id="1127"/>
      <w:bookmarkEnd w:id="1128"/>
      <w:bookmarkEnd w:id="1129"/>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del w:id="1133" w:author="svcMRProcess" w:date="2020-02-20T23:16:00Z">
        <w:r>
          <w:delText xml:space="preserve"> </w:delText>
        </w:r>
      </w:del>
    </w:p>
    <w:p>
      <w:pPr>
        <w:pStyle w:val="Ednotesection"/>
        <w:ind w:left="890" w:hanging="890"/>
      </w:pPr>
      <w:bookmarkStart w:id="1134" w:name="_Toc500739942"/>
      <w:bookmarkStart w:id="1135" w:name="_Toc520101133"/>
      <w:bookmarkStart w:id="1136" w:name="_Toc520533032"/>
      <w:bookmarkEnd w:id="1130"/>
      <w:bookmarkEnd w:id="1131"/>
      <w:bookmarkEnd w:id="1132"/>
      <w:r>
        <w:t>[</w:t>
      </w:r>
      <w:r>
        <w:rPr>
          <w:b/>
        </w:rPr>
        <w:t>75AA.</w:t>
      </w:r>
      <w:r>
        <w:tab/>
        <w:t>Repealed by No. 2 of 2003 s. 61.]</w:t>
      </w:r>
      <w:del w:id="1137" w:author="svcMRProcess" w:date="2020-02-20T23:16:00Z">
        <w:r>
          <w:delText xml:space="preserve"> </w:delText>
        </w:r>
      </w:del>
    </w:p>
    <w:p>
      <w:pPr>
        <w:pStyle w:val="Heading5"/>
        <w:rPr>
          <w:snapToGrid w:val="0"/>
        </w:rPr>
      </w:pPr>
      <w:bookmarkStart w:id="1138" w:name="_Toc49223917"/>
      <w:bookmarkStart w:id="1139" w:name="_Toc107054911"/>
      <w:bookmarkStart w:id="1140" w:name="_Toc134854648"/>
      <w:bookmarkStart w:id="1141" w:name="_Toc136841101"/>
      <w:bookmarkStart w:id="1142" w:name="_Toc131416107"/>
      <w:bookmarkStart w:id="1143" w:name="_Toc170193290"/>
      <w:r>
        <w:rPr>
          <w:rStyle w:val="CharSectno"/>
        </w:rPr>
        <w:t>75AB</w:t>
      </w:r>
      <w:r>
        <w:rPr>
          <w:snapToGrid w:val="0"/>
        </w:rPr>
        <w:t>.</w:t>
      </w:r>
      <w:r>
        <w:rPr>
          <w:snapToGrid w:val="0"/>
        </w:rPr>
        <w:tab/>
        <w:t>Power to exempt instruments made in respect of certain funds or schemes</w:t>
      </w:r>
      <w:bookmarkEnd w:id="1134"/>
      <w:bookmarkEnd w:id="1135"/>
      <w:bookmarkEnd w:id="1136"/>
      <w:bookmarkEnd w:id="1138"/>
      <w:bookmarkEnd w:id="1139"/>
      <w:bookmarkEnd w:id="1140"/>
      <w:bookmarkEnd w:id="1141"/>
      <w:bookmarkEnd w:id="1142"/>
      <w:bookmarkEnd w:id="1143"/>
      <w:del w:id="1144" w:author="svcMRProcess" w:date="2020-02-20T23:16:00Z">
        <w:r>
          <w:rPr>
            <w:snapToGrid w:val="0"/>
          </w:rPr>
          <w:delText xml:space="preserve"> </w:delText>
        </w:r>
      </w:del>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del w:id="1145" w:author="svcMRProcess" w:date="2020-02-20T23:16:00Z">
        <w:r>
          <w:rPr>
            <w:snapToGrid w:val="0"/>
          </w:rPr>
          <w:delText> </w:delText>
        </w:r>
      </w:del>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del w:id="1146" w:author="svcMRProcess" w:date="2020-02-20T23:16:00Z">
        <w:r>
          <w:delText xml:space="preserve"> </w:delText>
        </w:r>
      </w:del>
    </w:p>
    <w:p>
      <w:pPr>
        <w:pStyle w:val="Heading5"/>
      </w:pPr>
      <w:bookmarkStart w:id="1147" w:name="_Toc500739943"/>
      <w:bookmarkStart w:id="1148" w:name="_Toc520101134"/>
      <w:bookmarkStart w:id="1149" w:name="_Toc520533033"/>
      <w:bookmarkStart w:id="1150" w:name="_Toc49223918"/>
      <w:bookmarkStart w:id="1151" w:name="_Toc107054912"/>
      <w:bookmarkStart w:id="1152" w:name="_Toc134854649"/>
      <w:bookmarkStart w:id="1153" w:name="_Toc136841102"/>
      <w:bookmarkStart w:id="1154" w:name="_Toc131416108"/>
      <w:bookmarkStart w:id="1155" w:name="_Toc170193291"/>
      <w:r>
        <w:rPr>
          <w:rStyle w:val="CharSectno"/>
        </w:rPr>
        <w:t>75ABA</w:t>
      </w:r>
      <w:r>
        <w:t>.</w:t>
      </w:r>
      <w:r>
        <w:tab/>
        <w:t xml:space="preserve">Power to exempt transfers by bankruptcy trustee to </w:t>
      </w:r>
      <w:bookmarkEnd w:id="1147"/>
      <w:bookmarkEnd w:id="1148"/>
      <w:bookmarkEnd w:id="1149"/>
      <w:bookmarkEnd w:id="1150"/>
      <w:r>
        <w:t>bankrupt</w:t>
      </w:r>
      <w:bookmarkEnd w:id="1151"/>
      <w:bookmarkEnd w:id="1152"/>
      <w:bookmarkEnd w:id="1153"/>
      <w:bookmarkEnd w:id="1154"/>
      <w:bookmarkEnd w:id="1155"/>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the Official Trustee in Bankruptcy; or</w:t>
      </w:r>
      <w:del w:id="1156" w:author="svcMRProcess" w:date="2020-02-20T23:16:00Z">
        <w:r>
          <w:delText xml:space="preserve"> </w:delText>
        </w:r>
      </w:del>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1157" w:name="_Toc500739944"/>
      <w:bookmarkStart w:id="1158" w:name="_Toc520101135"/>
      <w:bookmarkStart w:id="1159" w:name="_Toc520533034"/>
      <w:bookmarkStart w:id="1160" w:name="_Toc49223919"/>
      <w:bookmarkStart w:id="1161" w:name="_Toc107054913"/>
      <w:bookmarkStart w:id="1162" w:name="_Toc134854650"/>
      <w:bookmarkStart w:id="1163" w:name="_Toc136841103"/>
      <w:bookmarkStart w:id="1164" w:name="_Toc131416109"/>
      <w:bookmarkStart w:id="1165" w:name="_Toc170193292"/>
      <w:r>
        <w:rPr>
          <w:rStyle w:val="CharSectno"/>
        </w:rPr>
        <w:t>75AC</w:t>
      </w:r>
      <w:r>
        <w:rPr>
          <w:snapToGrid w:val="0"/>
        </w:rPr>
        <w:t>.</w:t>
      </w:r>
      <w:r>
        <w:rPr>
          <w:snapToGrid w:val="0"/>
        </w:rPr>
        <w:tab/>
        <w:t>Exchange of property</w:t>
      </w:r>
      <w:bookmarkEnd w:id="1157"/>
      <w:bookmarkEnd w:id="1158"/>
      <w:bookmarkEnd w:id="1159"/>
      <w:bookmarkEnd w:id="1160"/>
      <w:bookmarkEnd w:id="1161"/>
      <w:bookmarkEnd w:id="1162"/>
      <w:bookmarkEnd w:id="1163"/>
      <w:bookmarkEnd w:id="1164"/>
      <w:bookmarkEnd w:id="1165"/>
      <w:del w:id="1166" w:author="svcMRProcess" w:date="2020-02-20T23:16:00Z">
        <w:r>
          <w:rPr>
            <w:snapToGrid w:val="0"/>
          </w:rPr>
          <w:delText xml:space="preserve"> </w:delText>
        </w:r>
      </w:del>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w:t>
      </w:r>
      <w:del w:id="1167" w:author="svcMRProcess" w:date="2020-02-20T23:16:00Z">
        <w:r>
          <w:rPr>
            <w:snapToGrid w:val="0"/>
          </w:rPr>
          <w:delText> </w:delText>
        </w:r>
      </w:del>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del w:id="1168" w:author="svcMRProcess" w:date="2020-02-20T23:16:00Z">
        <w:r>
          <w:delText xml:space="preserve"> </w:delText>
        </w:r>
      </w:del>
    </w:p>
    <w:p>
      <w:pPr>
        <w:pStyle w:val="Heading5"/>
        <w:rPr>
          <w:snapToGrid w:val="0"/>
        </w:rPr>
      </w:pPr>
      <w:bookmarkStart w:id="1169" w:name="_Toc500739945"/>
      <w:bookmarkStart w:id="1170" w:name="_Toc520101136"/>
      <w:bookmarkStart w:id="1171" w:name="_Toc520533035"/>
      <w:bookmarkStart w:id="1172" w:name="_Toc49223920"/>
      <w:bookmarkStart w:id="1173" w:name="_Toc107054914"/>
      <w:bookmarkStart w:id="1174" w:name="_Toc134854651"/>
      <w:bookmarkStart w:id="1175" w:name="_Toc136841104"/>
      <w:bookmarkStart w:id="1176" w:name="_Toc131416110"/>
      <w:bookmarkStart w:id="1177" w:name="_Toc170193293"/>
      <w:r>
        <w:rPr>
          <w:rStyle w:val="CharSectno"/>
        </w:rPr>
        <w:t>75AD</w:t>
      </w:r>
      <w:r>
        <w:rPr>
          <w:snapToGrid w:val="0"/>
        </w:rPr>
        <w:t>.</w:t>
      </w:r>
      <w:r>
        <w:rPr>
          <w:snapToGrid w:val="0"/>
        </w:rPr>
        <w:tab/>
        <w:t>Duty chargeable on partition of property</w:t>
      </w:r>
      <w:bookmarkEnd w:id="1169"/>
      <w:bookmarkEnd w:id="1170"/>
      <w:bookmarkEnd w:id="1171"/>
      <w:bookmarkEnd w:id="1172"/>
      <w:bookmarkEnd w:id="1173"/>
      <w:bookmarkEnd w:id="1174"/>
      <w:bookmarkEnd w:id="1175"/>
      <w:bookmarkEnd w:id="1176"/>
      <w:bookmarkEnd w:id="1177"/>
      <w:del w:id="1178" w:author="svcMRProcess" w:date="2020-02-20T23:16:00Z">
        <w:r>
          <w:rPr>
            <w:snapToGrid w:val="0"/>
          </w:rPr>
          <w:delText xml:space="preserve"> </w:delText>
        </w:r>
      </w:del>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del w:id="1179" w:author="svcMRProcess" w:date="2020-02-20T23:16:00Z">
        <w:r>
          <w:delText xml:space="preserve"> </w:delText>
        </w:r>
      </w:del>
    </w:p>
    <w:p>
      <w:pPr>
        <w:pStyle w:val="Heading5"/>
      </w:pPr>
      <w:bookmarkStart w:id="1180" w:name="_Toc49223921"/>
      <w:bookmarkStart w:id="1181" w:name="_Toc107054915"/>
      <w:bookmarkStart w:id="1182" w:name="_Toc134854652"/>
      <w:bookmarkStart w:id="1183" w:name="_Toc136841105"/>
      <w:bookmarkStart w:id="1184" w:name="_Toc131416111"/>
      <w:bookmarkStart w:id="1185" w:name="_Toc170193294"/>
      <w:bookmarkStart w:id="1186" w:name="_Toc500739947"/>
      <w:bookmarkStart w:id="1187" w:name="_Toc520101138"/>
      <w:bookmarkStart w:id="1188" w:name="_Toc520533037"/>
      <w:r>
        <w:rPr>
          <w:rStyle w:val="CharSectno"/>
        </w:rPr>
        <w:t>75AE</w:t>
      </w:r>
      <w:r>
        <w:t>.</w:t>
      </w:r>
      <w:r>
        <w:tab/>
        <w:t>Concessional rates for certain residential or business property</w:t>
      </w:r>
      <w:bookmarkEnd w:id="1180"/>
      <w:bookmarkEnd w:id="1181"/>
      <w:bookmarkEnd w:id="1182"/>
      <w:bookmarkEnd w:id="1183"/>
      <w:bookmarkEnd w:id="1184"/>
      <w:bookmarkEnd w:id="1185"/>
    </w:p>
    <w:p>
      <w:pPr>
        <w:pStyle w:val="Subsection"/>
        <w:spacing w:before="140"/>
      </w:pPr>
      <w:r>
        <w:tab/>
        <w:t>(1)</w:t>
      </w:r>
      <w:r>
        <w:tab/>
        <w:t>A conveyance or transfer of residential property or business property is chargeable with duty under item 4(5) of the Second Schedule if —</w:t>
      </w:r>
      <w:del w:id="1189" w:author="svcMRProcess" w:date="2020-02-20T23:16:00Z">
        <w:r>
          <w:delText xml:space="preserve"> </w:delText>
        </w:r>
      </w:del>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the property is conveyed or transferred to —</w:t>
      </w:r>
      <w:del w:id="1190" w:author="svcMRProcess" w:date="2020-02-20T23:16:00Z">
        <w:r>
          <w:delText xml:space="preserve"> </w:delText>
        </w:r>
      </w:del>
    </w:p>
    <w:p>
      <w:pPr>
        <w:pStyle w:val="Indenti"/>
        <w:spacing w:before="60"/>
      </w:pPr>
      <w:r>
        <w:tab/>
        <w:t>(i)</w:t>
      </w:r>
      <w:r>
        <w:tab/>
        <w:t>one person who is an eligible purchaser;</w:t>
      </w:r>
      <w:del w:id="1191" w:author="svcMRProcess" w:date="2020-02-20T23:16:00Z">
        <w:r>
          <w:delText xml:space="preserve"> </w:delText>
        </w:r>
      </w:del>
    </w:p>
    <w:p>
      <w:pPr>
        <w:pStyle w:val="Indenti"/>
        <w:spacing w:before="60"/>
      </w:pPr>
      <w:r>
        <w:tab/>
        <w:t>(ii)</w:t>
      </w:r>
      <w:r>
        <w:tab/>
        <w:t>in the case of business property — 2 or more purchasers all of whom are eligible purchasers; or</w:t>
      </w:r>
      <w:del w:id="1192" w:author="svcMRProcess" w:date="2020-02-20T23:16:00Z">
        <w:r>
          <w:delText xml:space="preserve"> </w:delText>
        </w:r>
      </w:del>
    </w:p>
    <w:p>
      <w:pPr>
        <w:pStyle w:val="Indenti"/>
      </w:pPr>
      <w:r>
        <w:tab/>
        <w:t>(iii)</w:t>
      </w:r>
      <w:r>
        <w:tab/>
        <w:t>in the case of residential property — 2 or more purchasers —</w:t>
      </w:r>
      <w:del w:id="1193" w:author="svcMRProcess" w:date="2020-02-20T23:16:00Z">
        <w:r>
          <w:delText xml:space="preserve"> </w:delText>
        </w:r>
      </w:del>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del w:id="1194" w:author="svcMRProcess" w:date="2020-02-20T23:16:00Z">
        <w:r>
          <w:delText xml:space="preserve"> </w:delText>
        </w:r>
      </w:del>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del w:id="1195" w:author="svcMRProcess" w:date="2020-02-20T23:16:00Z">
        <w:r>
          <w:delText xml:space="preserve"> </w:delText>
        </w:r>
      </w:del>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del w:id="1196" w:author="svcMRProcess" w:date="2020-02-20T23:16:00Z">
        <w:r>
          <w:delText xml:space="preserve"> </w:delText>
        </w:r>
      </w:del>
    </w:p>
    <w:p>
      <w:pPr>
        <w:pStyle w:val="Defpara"/>
      </w:pPr>
      <w:r>
        <w:tab/>
        <w:t>(a)</w:t>
      </w:r>
      <w:r>
        <w:tab/>
        <w:t>an individual who —</w:t>
      </w:r>
      <w:del w:id="1197" w:author="svcMRProcess" w:date="2020-02-20T23:16:00Z">
        <w:r>
          <w:delText xml:space="preserve"> </w:delText>
        </w:r>
      </w:del>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In paragraph (b) of the definition of “eligible purchaser”, as defined in relation to residential property —</w:t>
      </w:r>
      <w:del w:id="1198" w:author="svcMRProcess" w:date="2020-02-20T23:16:00Z">
        <w:r>
          <w:delText xml:space="preserve"> </w:delText>
        </w:r>
      </w:del>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del w:id="1199" w:author="svcMRProcess" w:date="2020-02-20T23:16:00Z">
        <w:r>
          <w:delText xml:space="preserve"> </w:delText>
        </w:r>
      </w:del>
    </w:p>
    <w:p>
      <w:pPr>
        <w:pStyle w:val="Heading5"/>
        <w:rPr>
          <w:snapToGrid w:val="0"/>
        </w:rPr>
      </w:pPr>
      <w:bookmarkStart w:id="1200" w:name="_Toc49223922"/>
      <w:bookmarkStart w:id="1201" w:name="_Toc107054916"/>
      <w:bookmarkStart w:id="1202" w:name="_Toc134854653"/>
      <w:bookmarkStart w:id="1203" w:name="_Toc136841106"/>
      <w:bookmarkStart w:id="1204" w:name="_Toc131416112"/>
      <w:bookmarkStart w:id="1205" w:name="_Toc170193295"/>
      <w:r>
        <w:rPr>
          <w:rStyle w:val="CharSectno"/>
        </w:rPr>
        <w:t>75AF</w:t>
      </w:r>
      <w:r>
        <w:rPr>
          <w:snapToGrid w:val="0"/>
        </w:rPr>
        <w:t>.</w:t>
      </w:r>
      <w:r>
        <w:rPr>
          <w:snapToGrid w:val="0"/>
        </w:rPr>
        <w:tab/>
        <w:t>Computation of duty for 2 or more instruments</w:t>
      </w:r>
      <w:bookmarkEnd w:id="1186"/>
      <w:bookmarkEnd w:id="1187"/>
      <w:bookmarkEnd w:id="1188"/>
      <w:bookmarkEnd w:id="1200"/>
      <w:bookmarkEnd w:id="1201"/>
      <w:bookmarkEnd w:id="1202"/>
      <w:bookmarkEnd w:id="1203"/>
      <w:bookmarkEnd w:id="1204"/>
      <w:bookmarkEnd w:id="1205"/>
      <w:del w:id="1206" w:author="svcMRProcess" w:date="2020-02-20T23:16:00Z">
        <w:r>
          <w:rPr>
            <w:snapToGrid w:val="0"/>
          </w:rPr>
          <w:delText xml:space="preserve"> </w:delText>
        </w:r>
      </w:del>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spacing w:before="120"/>
        <w:rPr>
          <w:snapToGrid w:val="0"/>
        </w:rPr>
      </w:pPr>
      <w:r>
        <w:rPr>
          <w:snapToGrid w:val="0"/>
        </w:rPr>
        <w:tab/>
        <w:t>(3)</w:t>
      </w:r>
      <w:r>
        <w:rPr>
          <w:snapToGrid w:val="0"/>
        </w:rPr>
        <w:tab/>
        <w:t>This section does not operate to reduce the duty payable on any instrument.</w:t>
      </w:r>
    </w:p>
    <w:p>
      <w:pPr>
        <w:pStyle w:val="Subsection"/>
        <w:spacing w:before="120"/>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del w:id="1207" w:author="svcMRProcess" w:date="2020-02-20T23:16:00Z">
        <w:r>
          <w:delText xml:space="preserve"> </w:delText>
        </w:r>
      </w:del>
    </w:p>
    <w:p>
      <w:pPr>
        <w:pStyle w:val="Heading5"/>
        <w:spacing w:before="180"/>
      </w:pPr>
      <w:bookmarkStart w:id="1208" w:name="_Toc107054917"/>
      <w:bookmarkStart w:id="1209" w:name="_Toc134854654"/>
      <w:bookmarkStart w:id="1210" w:name="_Toc136841107"/>
      <w:bookmarkStart w:id="1211" w:name="_Toc131416113"/>
      <w:bookmarkStart w:id="1212" w:name="_Toc170193296"/>
      <w:r>
        <w:rPr>
          <w:rStyle w:val="CharSectno"/>
        </w:rPr>
        <w:t>75AG</w:t>
      </w:r>
      <w:r>
        <w:t>.</w:t>
      </w:r>
      <w:r>
        <w:tab/>
        <w:t>Reduction of duty or refund for first home owner</w:t>
      </w:r>
      <w:bookmarkEnd w:id="1208"/>
      <w:bookmarkEnd w:id="1209"/>
      <w:bookmarkEnd w:id="1210"/>
      <w:bookmarkEnd w:id="1211"/>
      <w:bookmarkEnd w:id="1212"/>
    </w:p>
    <w:p>
      <w:pPr>
        <w:pStyle w:val="Subsection"/>
        <w:spacing w:before="120"/>
      </w:pPr>
      <w:r>
        <w:tab/>
        <w:t>(1)</w:t>
      </w:r>
      <w:r>
        <w:tab/>
        <w:t>Duty on an instrument of transfer of property referred to in the Second Schedule item 4(2) or (3) becomes chargeable at the rate set out in the respective subitem when the transferee, or each transferee, if there are more than one —</w:t>
      </w:r>
      <w:del w:id="1213" w:author="svcMRProcess" w:date="2020-02-20T23:16:00Z">
        <w:r>
          <w:delText xml:space="preserve"> </w:delText>
        </w:r>
      </w:del>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spacing w:before="120"/>
      </w:pPr>
      <w:r>
        <w:tab/>
        <w:t>(1a)</w:t>
      </w:r>
      <w:r>
        <w:tab/>
        <w:t>Subsection (1) does not apply to an instrument of transfer of property referred to in the Second Schedule item 4(2) or (3) if —</w:t>
      </w:r>
      <w:del w:id="1214" w:author="svcMRProcess" w:date="2020-02-20T23:16:00Z">
        <w:r>
          <w:delText xml:space="preserve"> </w:delText>
        </w:r>
      </w:del>
    </w:p>
    <w:p>
      <w:pPr>
        <w:pStyle w:val="Indenta"/>
        <w:spacing w:before="60"/>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The application may only be made within the period —</w:t>
      </w:r>
      <w:del w:id="1215" w:author="svcMRProcess" w:date="2020-02-20T23:16:00Z">
        <w:r>
          <w:delText xml:space="preserve"> </w:delText>
        </w:r>
      </w:del>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del w:id="1216" w:author="svcMRProcess" w:date="2020-02-20T23:16:00Z">
        <w:r>
          <w:delText xml:space="preserve"> </w:delText>
        </w:r>
      </w:del>
    </w:p>
    <w:p>
      <w:pPr>
        <w:pStyle w:val="Subsection"/>
      </w:pPr>
      <w:r>
        <w:tab/>
        <w:t>(5)</w:t>
      </w:r>
      <w:r>
        <w:tab/>
        <w:t>The application must —</w:t>
      </w:r>
      <w:del w:id="1217" w:author="svcMRProcess" w:date="2020-02-20T23:16:00Z">
        <w:r>
          <w:delText xml:space="preserve"> </w:delText>
        </w:r>
      </w:del>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del w:id="1218" w:author="svcMRProcess" w:date="2020-02-20T23:16:00Z">
        <w:r>
          <w:delText xml:space="preserve"> </w:delText>
        </w:r>
      </w:del>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Subsection"/>
      </w:pPr>
      <w:r>
        <w:tab/>
        <w:t>(8)</w:t>
      </w:r>
      <w:r>
        <w:tab/>
        <w:t>If the instrument of transfer is or was chargeable under the Second Schedule Item 19, this section does not apply unless the Commissioner is satisfied that the duty was or will be (as the case requires) paid by a transferee.</w:t>
      </w:r>
    </w:p>
    <w:p>
      <w:pPr>
        <w:pStyle w:val="Subsection"/>
      </w:pPr>
      <w:r>
        <w:tab/>
        <w:t>(9)</w:t>
      </w:r>
      <w:r>
        <w:tab/>
        <w:t>If a transferee is required to repay an amount under section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del w:id="1219" w:author="svcMRProcess" w:date="2020-02-20T23:16:00Z">
        <w:r>
          <w:delText xml:space="preserve"> </w:delText>
        </w:r>
      </w:del>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del w:id="1220" w:author="svcMRProcess" w:date="2020-02-20T23:16:00Z">
        <w:r>
          <w:delText xml:space="preserve"> </w:delText>
        </w:r>
      </w:del>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del w:id="1221" w:author="svcMRProcess" w:date="2020-02-20T23:16:00Z">
        <w:r>
          <w:delText xml:space="preserve"> </w:delText>
        </w:r>
      </w:del>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w:t>
      </w:r>
    </w:p>
    <w:p>
      <w:pPr>
        <w:pStyle w:val="Ednotesection"/>
      </w:pPr>
      <w:r>
        <w:t>[</w:t>
      </w:r>
      <w:r>
        <w:rPr>
          <w:b/>
        </w:rPr>
        <w:t>75B.</w:t>
      </w:r>
      <w:r>
        <w:tab/>
      </w:r>
      <w:del w:id="1222" w:author="svcMRProcess" w:date="2020-02-20T23:16:00Z">
        <w:r>
          <w:tab/>
        </w:r>
      </w:del>
      <w:r>
        <w:t>Repealed by No. 48 of 1996 s. 41.]</w:t>
      </w:r>
      <w:del w:id="1223" w:author="svcMRProcess" w:date="2020-02-20T23:16:00Z">
        <w:r>
          <w:delText xml:space="preserve"> </w:delText>
        </w:r>
      </w:del>
    </w:p>
    <w:p>
      <w:pPr>
        <w:pStyle w:val="Heading5"/>
        <w:rPr>
          <w:snapToGrid w:val="0"/>
        </w:rPr>
      </w:pPr>
      <w:bookmarkStart w:id="1224" w:name="_Toc500739949"/>
      <w:bookmarkStart w:id="1225" w:name="_Toc520101140"/>
      <w:bookmarkStart w:id="1226" w:name="_Toc520533039"/>
      <w:bookmarkStart w:id="1227" w:name="_Toc49223924"/>
      <w:bookmarkStart w:id="1228" w:name="_Toc107054918"/>
      <w:bookmarkStart w:id="1229" w:name="_Toc134854655"/>
      <w:bookmarkStart w:id="1230" w:name="_Toc136841108"/>
      <w:bookmarkStart w:id="1231" w:name="_Toc131416114"/>
      <w:bookmarkStart w:id="1232" w:name="_Toc170193297"/>
      <w:r>
        <w:rPr>
          <w:rStyle w:val="CharSectno"/>
        </w:rPr>
        <w:t>75C</w:t>
      </w:r>
      <w:r>
        <w:rPr>
          <w:snapToGrid w:val="0"/>
        </w:rPr>
        <w:t>.</w:t>
      </w:r>
      <w:r>
        <w:rPr>
          <w:snapToGrid w:val="0"/>
        </w:rPr>
        <w:tab/>
        <w:t>Power to exempt for certain conveyances between spouses</w:t>
      </w:r>
      <w:bookmarkEnd w:id="1224"/>
      <w:bookmarkEnd w:id="1225"/>
      <w:bookmarkEnd w:id="1226"/>
      <w:bookmarkEnd w:id="1227"/>
      <w:bookmarkEnd w:id="1228"/>
      <w:bookmarkEnd w:id="1229"/>
      <w:bookmarkEnd w:id="1230"/>
      <w:bookmarkEnd w:id="1231"/>
      <w:bookmarkEnd w:id="1232"/>
      <w:del w:id="1233" w:author="svcMRProcess" w:date="2020-02-20T23:16:00Z">
        <w:r>
          <w:rPr>
            <w:snapToGrid w:val="0"/>
          </w:rPr>
          <w:delText xml:space="preserve"> </w:delText>
        </w:r>
      </w:del>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del w:id="1234" w:author="svcMRProcess" w:date="2020-02-20T23:16:00Z">
        <w:r>
          <w:rPr>
            <w:snapToGrid w:val="0"/>
          </w:rPr>
          <w:delText> </w:delText>
        </w:r>
      </w:del>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del w:id="1235" w:author="svcMRProcess" w:date="2020-02-20T23:16:00Z">
        <w:r>
          <w:rPr>
            <w:snapToGrid w:val="0"/>
          </w:rPr>
          <w:delText> </w:delText>
        </w:r>
      </w:del>
    </w:p>
    <w:p>
      <w:pPr>
        <w:pStyle w:val="Defstart"/>
        <w:keepNext/>
        <w:keepLines/>
      </w:pPr>
      <w:r>
        <w:rPr>
          <w:b/>
        </w:rPr>
        <w:tab/>
        <w:t>“</w:t>
      </w:r>
      <w:r>
        <w:rPr>
          <w:rStyle w:val="CharDefText"/>
        </w:rPr>
        <w:t>lot</w:t>
      </w:r>
      <w:r>
        <w:rPr>
          <w:b/>
        </w:rPr>
        <w:t>”</w:t>
      </w:r>
      <w:r>
        <w:t xml:space="preserve"> means —</w:t>
      </w:r>
      <w:del w:id="1236" w:author="svcMRProcess" w:date="2020-02-20T23:16:00Z">
        <w:r>
          <w:delText> </w:delText>
        </w:r>
      </w:del>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del w:id="1237" w:author="svcMRProcess" w:date="2020-02-20T23:16:00Z">
        <w:r>
          <w:delText> </w:delText>
        </w:r>
      </w:del>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del w:id="1238" w:author="svcMRProcess" w:date="2020-02-20T23:16:00Z">
        <w:r>
          <w:delText xml:space="preserve"> </w:delText>
        </w:r>
      </w:del>
    </w:p>
    <w:p>
      <w:pPr>
        <w:pStyle w:val="Heading5"/>
      </w:pPr>
      <w:bookmarkStart w:id="1239" w:name="_Toc107054919"/>
      <w:bookmarkStart w:id="1240" w:name="_Toc134854656"/>
      <w:bookmarkStart w:id="1241" w:name="_Toc136841109"/>
      <w:bookmarkStart w:id="1242" w:name="_Toc131416115"/>
      <w:bookmarkStart w:id="1243" w:name="_Toc170193298"/>
      <w:r>
        <w:rPr>
          <w:rStyle w:val="CharSectno"/>
        </w:rPr>
        <w:t>75CA</w:t>
      </w:r>
      <w:r>
        <w:t>.</w:t>
      </w:r>
      <w:r>
        <w:tab/>
        <w:t>Refund where contingent consideration is not paid</w:t>
      </w:r>
      <w:bookmarkEnd w:id="1239"/>
      <w:bookmarkEnd w:id="1240"/>
      <w:bookmarkEnd w:id="1241"/>
      <w:bookmarkEnd w:id="1242"/>
      <w:bookmarkEnd w:id="1243"/>
      <w:del w:id="1244" w:author="svcMRProcess" w:date="2020-02-20T23:16:00Z">
        <w:r>
          <w:delText xml:space="preserve"> </w:delText>
        </w:r>
      </w:del>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del w:id="1245" w:author="svcMRProcess" w:date="2020-02-20T23:16:00Z">
        <w:r>
          <w:delText xml:space="preserve"> </w:delText>
        </w:r>
      </w:del>
    </w:p>
    <w:p>
      <w:pPr>
        <w:pStyle w:val="Indenta"/>
      </w:pPr>
      <w:r>
        <w:tab/>
        <w:t>(a)</w:t>
      </w:r>
      <w:r>
        <w:tab/>
        <w:t>the contract was executed on or after the day on which this section came into operation;</w:t>
      </w:r>
      <w:del w:id="1246" w:author="svcMRProcess" w:date="2020-02-20T23:16:00Z">
        <w:r>
          <w:delText xml:space="preserve"> </w:delText>
        </w:r>
      </w:del>
    </w:p>
    <w:p>
      <w:pPr>
        <w:pStyle w:val="Indenta"/>
      </w:pPr>
      <w:r>
        <w:tab/>
        <w:t>(b)</w:t>
      </w:r>
      <w:r>
        <w:tab/>
        <w:t>the contingent consideration has not been paid;</w:t>
      </w:r>
      <w:del w:id="1247" w:author="svcMRProcess" w:date="2020-02-20T23:16:00Z">
        <w:r>
          <w:delText xml:space="preserve"> </w:delText>
        </w:r>
      </w:del>
    </w:p>
    <w:p>
      <w:pPr>
        <w:pStyle w:val="Indenta"/>
      </w:pPr>
      <w:r>
        <w:tab/>
        <w:t>(c)</w:t>
      </w:r>
      <w:r>
        <w:tab/>
        <w:t>the event did not happen, or did not happen within the time specified in the contract for the happening of the event; and</w:t>
      </w:r>
    </w:p>
    <w:p>
      <w:pPr>
        <w:pStyle w:val="Indenta"/>
      </w:pPr>
      <w:r>
        <w:tab/>
        <w:t>(d)</w:t>
      </w:r>
      <w:r>
        <w:tab/>
        <w:t>either —</w:t>
      </w:r>
      <w:del w:id="1248" w:author="svcMRProcess" w:date="2020-02-20T23:16:00Z">
        <w:r>
          <w:delText xml:space="preserve"> </w:delText>
        </w:r>
      </w:del>
    </w:p>
    <w:p>
      <w:pPr>
        <w:pStyle w:val="Indenti"/>
      </w:pPr>
      <w:r>
        <w:tab/>
        <w:t>(i)</w:t>
      </w:r>
      <w:r>
        <w:tab/>
        <w:t>the event cannot happen in the future; or</w:t>
      </w:r>
    </w:p>
    <w:p>
      <w:pPr>
        <w:pStyle w:val="Indenti"/>
      </w:pPr>
      <w:r>
        <w:tab/>
        <w:t>(ii)</w:t>
      </w:r>
      <w:r>
        <w:tab/>
        <w:t>the time specified in the contract for the happening of the event has passed or expired,</w:t>
      </w:r>
      <w:del w:id="1249" w:author="svcMRProcess" w:date="2020-02-20T23:16:00Z">
        <w:r>
          <w:delText xml:space="preserve"> </w:delText>
        </w:r>
      </w:del>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del w:id="1250" w:author="svcMRProcess" w:date="2020-02-20T23:16:00Z">
        <w:r>
          <w:delText xml:space="preserve"> </w:delText>
        </w:r>
      </w:del>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1251" w:name="_Toc58902576"/>
      <w:bookmarkStart w:id="1252" w:name="_Toc76899589"/>
      <w:bookmarkStart w:id="1253" w:name="_Toc78090491"/>
      <w:bookmarkStart w:id="1254" w:name="_Toc88886859"/>
      <w:bookmarkStart w:id="1255" w:name="_Toc90443475"/>
      <w:bookmarkStart w:id="1256" w:name="_Toc90452826"/>
      <w:bookmarkStart w:id="1257" w:name="_Toc100029417"/>
      <w:bookmarkStart w:id="1258" w:name="_Toc100031490"/>
      <w:bookmarkStart w:id="1259" w:name="_Toc100458549"/>
      <w:bookmarkStart w:id="1260" w:name="_Toc101671965"/>
      <w:bookmarkStart w:id="1261" w:name="_Toc101672222"/>
      <w:bookmarkStart w:id="1262" w:name="_Toc102799248"/>
      <w:bookmarkStart w:id="1263" w:name="_Toc102981922"/>
      <w:bookmarkStart w:id="1264" w:name="_Toc103403235"/>
      <w:bookmarkStart w:id="1265" w:name="_Toc103403492"/>
      <w:bookmarkStart w:id="1266" w:name="_Toc103747491"/>
      <w:bookmarkStart w:id="1267" w:name="_Toc107054920"/>
      <w:bookmarkStart w:id="1268" w:name="_Toc113874367"/>
      <w:bookmarkStart w:id="1269" w:name="_Toc113956783"/>
      <w:bookmarkStart w:id="1270" w:name="_Toc116717339"/>
      <w:bookmarkStart w:id="1271" w:name="_Toc116813366"/>
      <w:bookmarkStart w:id="1272" w:name="_Toc122333018"/>
      <w:bookmarkStart w:id="1273" w:name="_Toc122861988"/>
      <w:bookmarkStart w:id="1274" w:name="_Toc122862584"/>
      <w:bookmarkStart w:id="1275" w:name="_Toc122921191"/>
      <w:bookmarkStart w:id="1276" w:name="_Toc122921451"/>
      <w:bookmarkStart w:id="1277" w:name="_Toc122947396"/>
      <w:bookmarkStart w:id="1278" w:name="_Toc124046232"/>
      <w:bookmarkStart w:id="1279" w:name="_Toc130266553"/>
      <w:bookmarkStart w:id="1280" w:name="_Toc130266829"/>
      <w:bookmarkStart w:id="1281" w:name="_Toc131415817"/>
      <w:bookmarkStart w:id="1282" w:name="_Toc131416116"/>
      <w:bookmarkStart w:id="1283" w:name="_Toc170193299"/>
      <w:bookmarkStart w:id="1284" w:name="_Toc131382932"/>
      <w:bookmarkStart w:id="1285" w:name="_Toc133812313"/>
      <w:bookmarkStart w:id="1286" w:name="_Toc133920260"/>
      <w:bookmarkStart w:id="1287" w:name="_Toc134854657"/>
      <w:bookmarkStart w:id="1288" w:name="_Toc134854933"/>
      <w:bookmarkStart w:id="1289" w:name="_Toc136841110"/>
      <w:r>
        <w:rPr>
          <w:rStyle w:val="CharPartNo"/>
        </w:rPr>
        <w:t>Part IIIBAA</w:t>
      </w:r>
      <w:r>
        <w:rPr>
          <w:rStyle w:val="CharDivNo"/>
        </w:rPr>
        <w:t> </w:t>
      </w:r>
      <w:r>
        <w:t>—</w:t>
      </w:r>
      <w:r>
        <w:rPr>
          <w:rStyle w:val="CharDivText"/>
        </w:rPr>
        <w:t> </w:t>
      </w:r>
      <w:r>
        <w:rPr>
          <w:rStyle w:val="CharPartText"/>
        </w:rPr>
        <w:t>Certain transfers of farming property</w:t>
      </w:r>
      <w:r>
        <w:t> </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del w:id="1290" w:author="svcMRProcess" w:date="2020-02-20T23:16:00Z">
        <w:r>
          <w:rPr>
            <w:b w:val="0"/>
            <w:vertAlign w:val="superscript"/>
          </w:rPr>
          <w:delText>5</w:delText>
        </w:r>
      </w:del>
      <w:bookmarkEnd w:id="1281"/>
      <w:bookmarkEnd w:id="1282"/>
      <w:bookmarkEnd w:id="1283"/>
      <w:ins w:id="1291" w:author="svcMRProcess" w:date="2020-02-20T23:16:00Z">
        <w:r>
          <w:rPr>
            <w:b w:val="0"/>
            <w:sz w:val="24"/>
            <w:vertAlign w:val="superscript"/>
          </w:rPr>
          <w:t>3</w:t>
        </w:r>
      </w:ins>
      <w:bookmarkEnd w:id="1284"/>
      <w:bookmarkEnd w:id="1285"/>
      <w:bookmarkEnd w:id="1286"/>
      <w:bookmarkEnd w:id="1287"/>
      <w:bookmarkEnd w:id="1288"/>
      <w:bookmarkEnd w:id="1289"/>
    </w:p>
    <w:p>
      <w:pPr>
        <w:pStyle w:val="Footnoteheading"/>
        <w:tabs>
          <w:tab w:val="left" w:pos="909"/>
        </w:tabs>
        <w:rPr>
          <w:snapToGrid w:val="0"/>
        </w:rPr>
      </w:pPr>
      <w:r>
        <w:rPr>
          <w:snapToGrid w:val="0"/>
        </w:rPr>
        <w:tab/>
        <w:t>[Heading inserted by No. 79 of 1994 s. 4(1).]</w:t>
      </w:r>
      <w:del w:id="1292" w:author="svcMRProcess" w:date="2020-02-20T23:16:00Z">
        <w:r>
          <w:rPr>
            <w:snapToGrid w:val="0"/>
          </w:rPr>
          <w:delText xml:space="preserve"> </w:delText>
        </w:r>
      </w:del>
    </w:p>
    <w:p>
      <w:pPr>
        <w:pStyle w:val="Heading5"/>
        <w:rPr>
          <w:snapToGrid w:val="0"/>
        </w:rPr>
      </w:pPr>
      <w:bookmarkStart w:id="1293" w:name="_Toc500739950"/>
      <w:bookmarkStart w:id="1294" w:name="_Toc520101141"/>
      <w:bookmarkStart w:id="1295" w:name="_Toc520533040"/>
      <w:bookmarkStart w:id="1296" w:name="_Toc49223925"/>
      <w:bookmarkStart w:id="1297" w:name="_Toc107054921"/>
      <w:bookmarkStart w:id="1298" w:name="_Toc134854658"/>
      <w:bookmarkStart w:id="1299" w:name="_Toc136841111"/>
      <w:bookmarkStart w:id="1300" w:name="_Toc131416117"/>
      <w:bookmarkStart w:id="1301" w:name="_Toc170193300"/>
      <w:r>
        <w:rPr>
          <w:rStyle w:val="CharSectno"/>
        </w:rPr>
        <w:t>75D</w:t>
      </w:r>
      <w:r>
        <w:rPr>
          <w:snapToGrid w:val="0"/>
        </w:rPr>
        <w:t>.</w:t>
      </w:r>
      <w:r>
        <w:rPr>
          <w:snapToGrid w:val="0"/>
        </w:rPr>
        <w:tab/>
        <w:t>Interpretation</w:t>
      </w:r>
      <w:bookmarkEnd w:id="1293"/>
      <w:bookmarkEnd w:id="1294"/>
      <w:bookmarkEnd w:id="1295"/>
      <w:bookmarkEnd w:id="1296"/>
      <w:r>
        <w:rPr>
          <w:snapToGrid w:val="0"/>
        </w:rPr>
        <w:t xml:space="preserve"> in Part IIIBAA</w:t>
      </w:r>
      <w:bookmarkEnd w:id="1297"/>
      <w:bookmarkEnd w:id="1298"/>
      <w:bookmarkEnd w:id="1299"/>
      <w:bookmarkEnd w:id="1300"/>
      <w:bookmarkEnd w:id="1301"/>
    </w:p>
    <w:p>
      <w:pPr>
        <w:pStyle w:val="Subsection"/>
        <w:rPr>
          <w:snapToGrid w:val="0"/>
        </w:rPr>
      </w:pPr>
      <w:r>
        <w:rPr>
          <w:snapToGrid w:val="0"/>
        </w:rPr>
        <w:tab/>
        <w:t>(1)</w:t>
      </w:r>
      <w:r>
        <w:rPr>
          <w:snapToGrid w:val="0"/>
        </w:rPr>
        <w:tab/>
        <w:t>In this Part —</w:t>
      </w:r>
      <w:del w:id="1302" w:author="svcMRProcess" w:date="2020-02-20T23:16:00Z">
        <w:r>
          <w:rPr>
            <w:snapToGrid w:val="0"/>
          </w:rPr>
          <w:delText> </w:delText>
        </w:r>
      </w:del>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w:t>
      </w:r>
      <w:del w:id="1303" w:author="svcMRProcess" w:date="2020-02-20T23:16:00Z">
        <w:r>
          <w:delText> </w:delText>
        </w:r>
      </w:del>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w:t>
      </w:r>
      <w:del w:id="1304" w:author="svcMRProcess" w:date="2020-02-20T23:16:00Z">
        <w:r>
          <w:delText> </w:delText>
        </w:r>
      </w:del>
    </w:p>
    <w:p>
      <w:pPr>
        <w:pStyle w:val="Defpara"/>
        <w:spacing w:before="60"/>
      </w:pPr>
      <w:r>
        <w:tab/>
        <w:t>(a)</w:t>
      </w:r>
      <w:r>
        <w:tab/>
        <w:t>the shares of which are not quoted on a financial market; and</w:t>
      </w:r>
    </w:p>
    <w:p>
      <w:pPr>
        <w:pStyle w:val="Defpara"/>
        <w:spacing w:before="60"/>
      </w:pPr>
      <w:r>
        <w:tab/>
        <w:t>(b)</w:t>
      </w:r>
      <w:r>
        <w:tab/>
        <w:t>which has assets which include —</w:t>
      </w:r>
      <w:del w:id="1305" w:author="svcMRProcess" w:date="2020-02-20T23:16:00Z">
        <w:r>
          <w:delText> </w:delText>
        </w:r>
      </w:del>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w:t>
      </w:r>
      <w:del w:id="1306" w:author="svcMRProcess" w:date="2020-02-20T23:16:00Z">
        <w:r>
          <w:rPr>
            <w:snapToGrid w:val="0"/>
          </w:rPr>
          <w:delText> </w:delText>
        </w:r>
      </w:del>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del w:id="1307" w:author="svcMRProcess" w:date="2020-02-20T23:16:00Z">
        <w:r>
          <w:delText xml:space="preserve"> </w:delText>
        </w:r>
      </w:del>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del w:id="1308" w:author="svcMRProcess" w:date="2020-02-20T23:16:00Z">
        <w:r>
          <w:delText> </w:delText>
        </w:r>
      </w:del>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del w:id="1309" w:author="svcMRProcess" w:date="2020-02-20T23:16:00Z">
        <w:r>
          <w:delText> </w:delText>
        </w:r>
      </w:del>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del w:id="1310" w:author="svcMRProcess" w:date="2020-02-20T23:16:00Z">
        <w:r>
          <w:delText> </w:delText>
        </w:r>
      </w:del>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del w:id="1311" w:author="svcMRProcess" w:date="2020-02-20T23:16:00Z">
        <w:r>
          <w:delText> </w:delText>
        </w:r>
      </w:del>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del w:id="1312" w:author="svcMRProcess" w:date="2020-02-20T23:16:00Z">
        <w:r>
          <w:delText> </w:delText>
        </w:r>
      </w:del>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del w:id="1313" w:author="svcMRProcess" w:date="2020-02-20T23:16:00Z">
        <w:r>
          <w:rPr>
            <w:snapToGrid w:val="0"/>
          </w:rPr>
          <w:delText> </w:delText>
        </w:r>
      </w:del>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del w:id="1314" w:author="svcMRProcess" w:date="2020-02-20T23:16:00Z">
        <w:r>
          <w:rPr>
            <w:snapToGrid w:val="0"/>
          </w:rPr>
          <w:delText> </w:delText>
        </w:r>
      </w:del>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del w:id="1315" w:author="svcMRProcess" w:date="2020-02-20T23:16:00Z">
        <w:r>
          <w:delText xml:space="preserve"> </w:delText>
        </w:r>
      </w:del>
    </w:p>
    <w:p>
      <w:pPr>
        <w:pStyle w:val="Heading5"/>
        <w:rPr>
          <w:snapToGrid w:val="0"/>
        </w:rPr>
      </w:pPr>
      <w:bookmarkStart w:id="1316" w:name="_Toc500739951"/>
      <w:bookmarkStart w:id="1317" w:name="_Toc520101142"/>
      <w:bookmarkStart w:id="1318" w:name="_Toc520533041"/>
      <w:bookmarkStart w:id="1319" w:name="_Toc49223926"/>
      <w:bookmarkStart w:id="1320" w:name="_Toc107054922"/>
      <w:bookmarkStart w:id="1321" w:name="_Toc134854659"/>
      <w:bookmarkStart w:id="1322" w:name="_Toc136841112"/>
      <w:bookmarkStart w:id="1323" w:name="_Toc131416118"/>
      <w:bookmarkStart w:id="1324" w:name="_Toc170193301"/>
      <w:r>
        <w:rPr>
          <w:rStyle w:val="CharSectno"/>
        </w:rPr>
        <w:t>75E</w:t>
      </w:r>
      <w:r>
        <w:rPr>
          <w:snapToGrid w:val="0"/>
        </w:rPr>
        <w:t>.</w:t>
      </w:r>
      <w:r>
        <w:rPr>
          <w:snapToGrid w:val="0"/>
        </w:rPr>
        <w:tab/>
        <w:t>Application of this Part</w:t>
      </w:r>
      <w:bookmarkEnd w:id="1316"/>
      <w:bookmarkEnd w:id="1317"/>
      <w:bookmarkEnd w:id="1318"/>
      <w:bookmarkEnd w:id="1319"/>
      <w:bookmarkEnd w:id="1320"/>
      <w:bookmarkEnd w:id="1321"/>
      <w:bookmarkEnd w:id="1322"/>
      <w:bookmarkEnd w:id="1323"/>
      <w:bookmarkEnd w:id="1324"/>
      <w:del w:id="1325" w:author="svcMRProcess" w:date="2020-02-20T23:16:00Z">
        <w:r>
          <w:rPr>
            <w:snapToGrid w:val="0"/>
          </w:rPr>
          <w:delText xml:space="preserve"> </w:delText>
        </w:r>
      </w:del>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del w:id="1326" w:author="svcMRProcess" w:date="2020-02-20T23:16:00Z">
        <w:r>
          <w:rPr>
            <w:snapToGrid w:val="0"/>
          </w:rPr>
          <w:delText> </w:delText>
        </w:r>
      </w:del>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del w:id="1327" w:author="svcMRProcess" w:date="2020-02-20T23:16:00Z">
        <w:r>
          <w:rPr>
            <w:snapToGrid w:val="0"/>
          </w:rPr>
          <w:delText> </w:delText>
        </w:r>
      </w:del>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del w:id="1328" w:author="svcMRProcess" w:date="2020-02-20T23:16:00Z">
        <w:r>
          <w:rPr>
            <w:snapToGrid w:val="0"/>
          </w:rPr>
          <w:delText> </w:delText>
        </w:r>
      </w:del>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del w:id="1329" w:author="svcMRProcess" w:date="2020-02-20T23:16:00Z">
        <w:r>
          <w:rPr>
            <w:snapToGrid w:val="0"/>
          </w:rPr>
          <w:delText> </w:delText>
        </w:r>
      </w:del>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del w:id="1330" w:author="svcMRProcess" w:date="2020-02-20T23:16:00Z">
        <w:r>
          <w:rPr>
            <w:snapToGrid w:val="0"/>
          </w:rPr>
          <w:delText> </w:delText>
        </w:r>
      </w:del>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del w:id="1331" w:author="svcMRProcess" w:date="2020-02-20T23:16:00Z">
        <w:r>
          <w:delText xml:space="preserve"> </w:delText>
        </w:r>
      </w:del>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del w:id="1332" w:author="svcMRProcess" w:date="2020-02-20T23:16:00Z">
        <w:r>
          <w:delText xml:space="preserve"> </w:delText>
        </w:r>
      </w:del>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w:t>
      </w:r>
      <w:del w:id="1333" w:author="svcMRProcess" w:date="2020-02-20T23:16:00Z">
        <w:r>
          <w:rPr>
            <w:snapToGrid w:val="0"/>
          </w:rPr>
          <w:delText> </w:delText>
        </w:r>
      </w:del>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del w:id="1334" w:author="svcMRProcess" w:date="2020-02-20T23:16:00Z">
        <w:r>
          <w:delText xml:space="preserve"> </w:delText>
        </w:r>
      </w:del>
    </w:p>
    <w:p>
      <w:pPr>
        <w:pStyle w:val="Heading5"/>
      </w:pPr>
      <w:bookmarkStart w:id="1335" w:name="_Toc49223927"/>
      <w:bookmarkStart w:id="1336" w:name="_Toc107054923"/>
      <w:bookmarkStart w:id="1337" w:name="_Toc134854660"/>
      <w:bookmarkStart w:id="1338" w:name="_Toc136841113"/>
      <w:bookmarkStart w:id="1339" w:name="_Toc131416119"/>
      <w:bookmarkStart w:id="1340" w:name="_Toc170193302"/>
      <w:bookmarkStart w:id="1341" w:name="_Toc500739953"/>
      <w:bookmarkStart w:id="1342" w:name="_Toc520101144"/>
      <w:bookmarkStart w:id="1343" w:name="_Toc520533043"/>
      <w:r>
        <w:rPr>
          <w:rStyle w:val="CharSectno"/>
        </w:rPr>
        <w:t>75F</w:t>
      </w:r>
      <w:r>
        <w:t>.</w:t>
      </w:r>
      <w:r>
        <w:tab/>
        <w:t>Power to exempt for farming property</w:t>
      </w:r>
      <w:bookmarkEnd w:id="1335"/>
      <w:bookmarkEnd w:id="1336"/>
      <w:bookmarkEnd w:id="1337"/>
      <w:bookmarkEnd w:id="1338"/>
      <w:bookmarkEnd w:id="1339"/>
      <w:bookmarkEnd w:id="1340"/>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1344" w:name="_Toc49223928"/>
      <w:bookmarkStart w:id="1345" w:name="_Toc107054924"/>
      <w:bookmarkStart w:id="1346" w:name="_Toc134854661"/>
      <w:bookmarkStart w:id="1347" w:name="_Toc136841114"/>
      <w:bookmarkStart w:id="1348" w:name="_Toc131416120"/>
      <w:bookmarkStart w:id="1349" w:name="_Toc170193303"/>
      <w:r>
        <w:rPr>
          <w:rStyle w:val="CharSectno"/>
        </w:rPr>
        <w:t>75G</w:t>
      </w:r>
      <w:r>
        <w:rPr>
          <w:snapToGrid w:val="0"/>
        </w:rPr>
        <w:t>.</w:t>
      </w:r>
      <w:r>
        <w:rPr>
          <w:snapToGrid w:val="0"/>
        </w:rPr>
        <w:tab/>
        <w:t>Partial exemption of duty</w:t>
      </w:r>
      <w:bookmarkEnd w:id="1341"/>
      <w:bookmarkEnd w:id="1342"/>
      <w:bookmarkEnd w:id="1343"/>
      <w:bookmarkEnd w:id="1344"/>
      <w:bookmarkEnd w:id="1345"/>
      <w:bookmarkEnd w:id="1346"/>
      <w:bookmarkEnd w:id="1347"/>
      <w:bookmarkEnd w:id="1348"/>
      <w:bookmarkEnd w:id="1349"/>
      <w:del w:id="1350" w:author="svcMRProcess" w:date="2020-02-20T23:16:00Z">
        <w:r>
          <w:rPr>
            <w:snapToGrid w:val="0"/>
          </w:rPr>
          <w:delText xml:space="preserve"> </w:delText>
        </w:r>
      </w:del>
    </w:p>
    <w:p>
      <w:pPr>
        <w:pStyle w:val="Subsection"/>
        <w:rPr>
          <w:snapToGrid w:val="0"/>
        </w:rPr>
      </w:pPr>
      <w:r>
        <w:rPr>
          <w:snapToGrid w:val="0"/>
        </w:rPr>
        <w:tab/>
        <w:t>(1)</w:t>
      </w:r>
      <w:r>
        <w:rPr>
          <w:snapToGrid w:val="0"/>
        </w:rPr>
        <w:tab/>
        <w:t>Where the Commissioner is satisfied that an instrument of conveyance is an instrument to which this Part applies but —</w:t>
      </w:r>
      <w:del w:id="1351" w:author="svcMRProcess" w:date="2020-02-20T23:16:00Z">
        <w:r>
          <w:rPr>
            <w:snapToGrid w:val="0"/>
          </w:rPr>
          <w:delText> </w:delText>
        </w:r>
      </w:del>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del w:id="1352" w:author="svcMRProcess" w:date="2020-02-20T23:16:00Z">
        <w:r>
          <w:rPr>
            <w:snapToGrid w:val="0"/>
          </w:rPr>
          <w:delText> </w:delText>
        </w:r>
      </w:del>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del w:id="1353" w:author="svcMRProcess" w:date="2020-02-20T23:16:00Z">
        <w:r>
          <w:rPr>
            <w:snapToGrid w:val="0"/>
          </w:rPr>
          <w:delText> </w:delText>
        </w:r>
      </w:del>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del w:id="1354" w:author="svcMRProcess" w:date="2020-02-20T23:16:00Z">
        <w:r>
          <w:rPr>
            <w:snapToGrid w:val="0"/>
          </w:rPr>
          <w:delText> </w:delText>
        </w:r>
      </w:del>
    </w:p>
    <w:p>
      <w:pPr>
        <w:pStyle w:val="Equation"/>
        <w:tabs>
          <w:tab w:val="left" w:pos="1418"/>
        </w:tabs>
        <w:spacing w:before="60"/>
        <w:ind w:left="840"/>
        <w:jc w:val="center"/>
      </w:pPr>
      <w:del w:id="1355" w:author="svcMRProcess" w:date="2020-02-20T23:16:00Z">
        <w:r>
          <w:tab/>
        </w:r>
      </w:del>
      <w:r>
        <w:rPr>
          <w:position w:val="-24"/>
        </w:rPr>
        <w:pict>
          <v:shape id="_x0000_i1030" type="#_x0000_t75" style="width:1in;height:29.25pt" fillcolor="window">
            <v:imagedata r:id="rId21" o:title=""/>
          </v:shape>
        </w:pict>
      </w:r>
    </w:p>
    <w:p>
      <w:pPr>
        <w:pStyle w:val="Subsection"/>
        <w:rPr>
          <w:snapToGrid w:val="0"/>
        </w:rPr>
      </w:pPr>
      <w:r>
        <w:rPr>
          <w:snapToGrid w:val="0"/>
        </w:rPr>
        <w:tab/>
      </w:r>
      <w:r>
        <w:rPr>
          <w:snapToGrid w:val="0"/>
        </w:rPr>
        <w:tab/>
        <w:t>where —</w:t>
      </w:r>
      <w:del w:id="1356" w:author="svcMRProcess" w:date="2020-02-20T23:16:00Z">
        <w:r>
          <w:rPr>
            <w:snapToGrid w:val="0"/>
          </w:rPr>
          <w:delText> </w:delText>
        </w:r>
      </w:del>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del w:id="1357" w:author="svcMRProcess" w:date="2020-02-20T23:16:00Z">
        <w:r>
          <w:delText xml:space="preserve"> </w:delText>
        </w:r>
      </w:del>
    </w:p>
    <w:p>
      <w:pPr>
        <w:pStyle w:val="Heading5"/>
      </w:pPr>
      <w:bookmarkStart w:id="1358" w:name="_Toc49223929"/>
      <w:bookmarkStart w:id="1359" w:name="_Toc107054925"/>
      <w:bookmarkStart w:id="1360" w:name="_Toc134854662"/>
      <w:bookmarkStart w:id="1361" w:name="_Toc136841115"/>
      <w:bookmarkStart w:id="1362" w:name="_Toc131416121"/>
      <w:bookmarkStart w:id="1363" w:name="_Toc170193304"/>
      <w:bookmarkStart w:id="1364" w:name="_Toc500739955"/>
      <w:bookmarkStart w:id="1365" w:name="_Toc520101146"/>
      <w:bookmarkStart w:id="1366" w:name="_Toc520533045"/>
      <w:r>
        <w:rPr>
          <w:rStyle w:val="CharSectno"/>
        </w:rPr>
        <w:t>75H</w:t>
      </w:r>
      <w:r>
        <w:t>.</w:t>
      </w:r>
      <w:r>
        <w:tab/>
        <w:t>Application for exemption</w:t>
      </w:r>
      <w:bookmarkEnd w:id="1358"/>
      <w:bookmarkEnd w:id="1359"/>
      <w:bookmarkEnd w:id="1360"/>
      <w:bookmarkEnd w:id="1361"/>
      <w:bookmarkEnd w:id="1362"/>
      <w:bookmarkEnd w:id="1363"/>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1367" w:name="_Toc49223930"/>
      <w:bookmarkStart w:id="1368" w:name="_Toc107054926"/>
      <w:bookmarkStart w:id="1369" w:name="_Toc134854663"/>
      <w:bookmarkStart w:id="1370" w:name="_Toc136841116"/>
      <w:bookmarkStart w:id="1371" w:name="_Toc131416122"/>
      <w:bookmarkStart w:id="1372" w:name="_Toc170193305"/>
      <w:r>
        <w:rPr>
          <w:rStyle w:val="CharSectno"/>
        </w:rPr>
        <w:t>75HA</w:t>
      </w:r>
      <w:r>
        <w:rPr>
          <w:snapToGrid w:val="0"/>
        </w:rPr>
        <w:t>.</w:t>
      </w:r>
      <w:r>
        <w:rPr>
          <w:snapToGrid w:val="0"/>
        </w:rPr>
        <w:tab/>
        <w:t>Subsequent liability for duty in certain circumstances</w:t>
      </w:r>
      <w:bookmarkEnd w:id="1364"/>
      <w:bookmarkEnd w:id="1365"/>
      <w:bookmarkEnd w:id="1366"/>
      <w:bookmarkEnd w:id="1367"/>
      <w:bookmarkEnd w:id="1368"/>
      <w:bookmarkEnd w:id="1369"/>
      <w:bookmarkEnd w:id="1370"/>
      <w:bookmarkEnd w:id="1371"/>
      <w:bookmarkEnd w:id="1372"/>
      <w:del w:id="1373" w:author="svcMRProcess" w:date="2020-02-20T23:16:00Z">
        <w:r>
          <w:rPr>
            <w:snapToGrid w:val="0"/>
          </w:rPr>
          <w:delText xml:space="preserve"> </w:delText>
        </w:r>
      </w:del>
    </w:p>
    <w:p>
      <w:pPr>
        <w:pStyle w:val="Subsection"/>
        <w:rPr>
          <w:snapToGrid w:val="0"/>
        </w:rPr>
      </w:pPr>
      <w:r>
        <w:rPr>
          <w:snapToGrid w:val="0"/>
        </w:rPr>
        <w:tab/>
        <w:t>(1)</w:t>
      </w:r>
      <w:r>
        <w:rPr>
          <w:snapToGrid w:val="0"/>
        </w:rPr>
        <w:tab/>
        <w:t>In this section —</w:t>
      </w:r>
      <w:del w:id="1374" w:author="svcMRProcess" w:date="2020-02-20T23:16:00Z">
        <w:r>
          <w:rPr>
            <w:snapToGrid w:val="0"/>
          </w:rPr>
          <w:delText> </w:delText>
        </w:r>
      </w:del>
    </w:p>
    <w:p>
      <w:pPr>
        <w:pStyle w:val="Defstart"/>
      </w:pPr>
      <w:r>
        <w:rPr>
          <w:b/>
        </w:rPr>
        <w:tab/>
        <w:t>“</w:t>
      </w:r>
      <w:r>
        <w:rPr>
          <w:rStyle w:val="CharDefText"/>
        </w:rPr>
        <w:t>current exempted property</w:t>
      </w:r>
      <w:r>
        <w:rPr>
          <w:b/>
        </w:rPr>
        <w:t>”</w:t>
      </w:r>
      <w:r>
        <w:t xml:space="preserve"> means, when a taxable event occurs in relation to a discretionary trust, that part of —</w:t>
      </w:r>
      <w:del w:id="1375" w:author="svcMRProcess" w:date="2020-02-20T23:16:00Z">
        <w:r>
          <w:delText> </w:delText>
        </w:r>
      </w:del>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del w:id="1376" w:author="svcMRProcess" w:date="2020-02-20T23:16:00Z">
        <w:r>
          <w:rPr>
            <w:snapToGrid w:val="0"/>
          </w:rPr>
          <w:delText> </w:delText>
        </w:r>
      </w:del>
    </w:p>
    <w:p>
      <w:pPr>
        <w:pStyle w:val="Indenta"/>
        <w:rPr>
          <w:snapToGrid w:val="0"/>
        </w:rPr>
      </w:pPr>
      <w:r>
        <w:rPr>
          <w:snapToGrid w:val="0"/>
        </w:rPr>
        <w:tab/>
        <w:t>(a)</w:t>
      </w:r>
      <w:r>
        <w:rPr>
          <w:snapToGrid w:val="0"/>
        </w:rPr>
        <w:tab/>
        <w:t>a person who is not a family member of the relevant transferor —</w:t>
      </w:r>
      <w:del w:id="1377" w:author="svcMRProcess" w:date="2020-02-20T23:16:00Z">
        <w:r>
          <w:rPr>
            <w:snapToGrid w:val="0"/>
          </w:rPr>
          <w:delText> </w:delText>
        </w:r>
      </w:del>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del w:id="1378" w:author="svcMRProcess" w:date="2020-02-20T23:16:00Z">
        <w:r>
          <w:rPr>
            <w:snapToGrid w:val="0"/>
          </w:rPr>
          <w:delText> </w:delText>
        </w:r>
      </w:del>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del w:id="1379" w:author="svcMRProcess" w:date="2020-02-20T23:16:00Z">
        <w:r>
          <w:delText xml:space="preserve"> </w:delText>
        </w:r>
      </w:del>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del w:id="1380" w:author="svcMRProcess" w:date="2020-02-20T23:16:00Z">
        <w:r>
          <w:delText xml:space="preserve"> </w:delText>
        </w:r>
      </w:del>
    </w:p>
    <w:p>
      <w:pPr>
        <w:pStyle w:val="Heading5"/>
      </w:pPr>
      <w:bookmarkStart w:id="1381" w:name="_Toc49223931"/>
      <w:bookmarkStart w:id="1382" w:name="_Toc107054927"/>
      <w:bookmarkStart w:id="1383" w:name="_Toc134854664"/>
      <w:bookmarkStart w:id="1384" w:name="_Toc136841117"/>
      <w:bookmarkStart w:id="1385" w:name="_Toc131416123"/>
      <w:bookmarkStart w:id="1386" w:name="_Toc170193306"/>
      <w:r>
        <w:rPr>
          <w:rStyle w:val="CharSectno"/>
        </w:rPr>
        <w:t>75I</w:t>
      </w:r>
      <w:r>
        <w:t>.</w:t>
      </w:r>
      <w:r>
        <w:tab/>
        <w:t>Part IIIBA companies</w:t>
      </w:r>
      <w:bookmarkEnd w:id="1381"/>
      <w:bookmarkEnd w:id="1382"/>
      <w:bookmarkEnd w:id="1383"/>
      <w:bookmarkEnd w:id="1384"/>
      <w:bookmarkEnd w:id="1385"/>
      <w:bookmarkEnd w:id="1386"/>
    </w:p>
    <w:p>
      <w:pPr>
        <w:pStyle w:val="Subsection"/>
        <w:spacing w:before="120"/>
      </w:pPr>
      <w:r>
        <w:tab/>
        <w:t>(1)</w:t>
      </w:r>
      <w:r>
        <w:tab/>
        <w:t>Where —</w:t>
      </w:r>
      <w:del w:id="1387" w:author="svcMRProcess" w:date="2020-02-20T23:16:00Z">
        <w:r>
          <w:delText xml:space="preserve"> </w:delText>
        </w:r>
      </w:del>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del w:id="1388" w:author="svcMRProcess" w:date="2020-02-20T23:16:00Z">
        <w:r>
          <w:delText xml:space="preserve"> </w:delText>
        </w:r>
      </w:del>
    </w:p>
    <w:p>
      <w:pPr>
        <w:pStyle w:val="Indenti"/>
      </w:pPr>
      <w:r>
        <w:tab/>
        <w:t>(ii)</w:t>
      </w:r>
      <w:r>
        <w:tab/>
        <w:t>an instrument to which this Part applied;</w:t>
      </w:r>
      <w:del w:id="1389" w:author="svcMRProcess" w:date="2020-02-20T23:16:00Z">
        <w:r>
          <w:delText xml:space="preserve"> </w:delText>
        </w:r>
      </w:del>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spacing w:before="120"/>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spacing w:before="120"/>
      </w:pPr>
      <w:r>
        <w:tab/>
        <w:t>(2)</w:t>
      </w:r>
      <w:r>
        <w:tab/>
        <w:t>The amount of a partial exemption is the amount equal to R in the formula —</w:t>
      </w:r>
      <w:del w:id="1390" w:author="svcMRProcess" w:date="2020-02-20T23:16:00Z">
        <w:r>
          <w:delText xml:space="preserve"> </w:delText>
        </w:r>
      </w:del>
    </w:p>
    <w:p>
      <w:pPr>
        <w:pStyle w:val="Equation"/>
        <w:tabs>
          <w:tab w:val="left" w:pos="923"/>
        </w:tabs>
        <w:rPr>
          <w:del w:id="1391" w:author="svcMRProcess" w:date="2020-02-20T23:16:00Z"/>
        </w:rPr>
      </w:pPr>
      <w:del w:id="1392" w:author="svcMRProcess" w:date="2020-02-20T23:16:00Z">
        <w:r>
          <w:tab/>
        </w:r>
        <w:r>
          <w:rPr>
            <w:position w:val="-22"/>
          </w:rPr>
          <w:pict>
            <v:shape id="_x0000_i1031" type="#_x0000_t75" style="width:45.75pt;height:29.25pt" fillcolor="window">
              <v:imagedata r:id="rId22" o:title=""/>
            </v:shape>
          </w:pict>
        </w:r>
      </w:del>
    </w:p>
    <w:p>
      <w:pPr>
        <w:pStyle w:val="Equation"/>
        <w:jc w:val="center"/>
        <w:rPr>
          <w:ins w:id="1393" w:author="svcMRProcess" w:date="2020-02-20T23:16:00Z"/>
        </w:rPr>
      </w:pPr>
      <w:ins w:id="1394" w:author="svcMRProcess" w:date="2020-02-20T23:16:00Z">
        <w:r>
          <w:rPr>
            <w:position w:val="-24"/>
          </w:rPr>
          <w:pict>
            <v:shape id="_x0000_i1032" type="#_x0000_t75" style="width:54.75pt;height:30.75pt">
              <v:imagedata r:id="rId23" o:title=""/>
            </v:shape>
          </w:pict>
        </w:r>
      </w:ins>
    </w:p>
    <w:p>
      <w:pPr>
        <w:pStyle w:val="Subsection"/>
      </w:pPr>
      <w:r>
        <w:tab/>
      </w:r>
      <w:r>
        <w:tab/>
        <w:t>where —</w:t>
      </w:r>
      <w:del w:id="1395" w:author="svcMRProcess" w:date="2020-02-20T23:16:00Z">
        <w:r>
          <w:delText xml:space="preserve"> </w:delText>
        </w:r>
      </w:del>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1396" w:name="_Toc58902584"/>
      <w:bookmarkStart w:id="1397" w:name="_Toc76899597"/>
      <w:bookmarkStart w:id="1398" w:name="_Toc78090499"/>
      <w:bookmarkStart w:id="1399" w:name="_Toc88886867"/>
      <w:bookmarkStart w:id="1400" w:name="_Toc90443483"/>
      <w:bookmarkStart w:id="1401" w:name="_Toc90452834"/>
      <w:bookmarkStart w:id="1402" w:name="_Toc100029425"/>
      <w:bookmarkStart w:id="1403" w:name="_Toc100031498"/>
      <w:bookmarkStart w:id="1404" w:name="_Toc100458557"/>
      <w:bookmarkStart w:id="1405" w:name="_Toc101671973"/>
      <w:bookmarkStart w:id="1406" w:name="_Toc101672230"/>
      <w:bookmarkStart w:id="1407" w:name="_Toc102799256"/>
      <w:bookmarkStart w:id="1408" w:name="_Toc102981930"/>
      <w:bookmarkStart w:id="1409" w:name="_Toc103403243"/>
      <w:bookmarkStart w:id="1410" w:name="_Toc103403500"/>
      <w:bookmarkStart w:id="1411" w:name="_Toc103747499"/>
      <w:bookmarkStart w:id="1412" w:name="_Toc107054928"/>
      <w:bookmarkStart w:id="1413" w:name="_Toc113874375"/>
      <w:bookmarkStart w:id="1414" w:name="_Toc113956791"/>
      <w:bookmarkStart w:id="1415" w:name="_Toc116717347"/>
      <w:bookmarkStart w:id="1416" w:name="_Toc116813374"/>
      <w:bookmarkStart w:id="1417" w:name="_Toc122333026"/>
      <w:bookmarkStart w:id="1418" w:name="_Toc122861996"/>
      <w:bookmarkStart w:id="1419" w:name="_Toc122862592"/>
      <w:bookmarkStart w:id="1420" w:name="_Toc122921199"/>
      <w:bookmarkStart w:id="1421" w:name="_Toc122921459"/>
      <w:bookmarkStart w:id="1422" w:name="_Toc122947404"/>
      <w:bookmarkStart w:id="1423" w:name="_Toc124046240"/>
      <w:bookmarkStart w:id="1424" w:name="_Toc130266561"/>
      <w:bookmarkStart w:id="1425" w:name="_Toc130266837"/>
      <w:bookmarkStart w:id="1426" w:name="_Toc131382940"/>
      <w:bookmarkStart w:id="1427" w:name="_Toc133812321"/>
      <w:bookmarkStart w:id="1428" w:name="_Toc133920268"/>
      <w:bookmarkStart w:id="1429" w:name="_Toc134854665"/>
      <w:bookmarkStart w:id="1430" w:name="_Toc134854941"/>
      <w:bookmarkStart w:id="1431" w:name="_Toc136841118"/>
      <w:bookmarkStart w:id="1432" w:name="_Toc131415825"/>
      <w:bookmarkStart w:id="1433" w:name="_Toc131416124"/>
      <w:bookmarkStart w:id="1434" w:name="_Toc170193307"/>
      <w:r>
        <w:rPr>
          <w:rStyle w:val="CharPartNo"/>
        </w:rPr>
        <w:t>Part IIIBAAA</w:t>
      </w:r>
      <w:r>
        <w:rPr>
          <w:rStyle w:val="CharDivNo"/>
        </w:rPr>
        <w:t> </w:t>
      </w:r>
      <w:r>
        <w:t>—</w:t>
      </w:r>
      <w:r>
        <w:rPr>
          <w:rStyle w:val="CharDivText"/>
        </w:rPr>
        <w:t> </w:t>
      </w:r>
      <w:r>
        <w:rPr>
          <w:rStyle w:val="CharPartText"/>
        </w:rPr>
        <w:t>Exemptions for corporate reconstructions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del w:id="1435" w:author="svcMRProcess" w:date="2020-02-20T23:16:00Z">
        <w:r>
          <w:rPr>
            <w:rStyle w:val="CharPartText"/>
          </w:rPr>
          <w:delText xml:space="preserve"> </w:delText>
        </w:r>
      </w:del>
    </w:p>
    <w:p>
      <w:pPr>
        <w:pStyle w:val="Footnoteheading"/>
        <w:tabs>
          <w:tab w:val="left" w:pos="909"/>
        </w:tabs>
        <w:rPr>
          <w:snapToGrid w:val="0"/>
        </w:rPr>
      </w:pPr>
      <w:r>
        <w:rPr>
          <w:snapToGrid w:val="0"/>
        </w:rPr>
        <w:tab/>
        <w:t>[Heading inserted by No. 48 of 1996 s. 42.]</w:t>
      </w:r>
      <w:del w:id="1436" w:author="svcMRProcess" w:date="2020-02-20T23:16:00Z">
        <w:r>
          <w:rPr>
            <w:snapToGrid w:val="0"/>
          </w:rPr>
          <w:delText xml:space="preserve"> </w:delText>
        </w:r>
      </w:del>
    </w:p>
    <w:p>
      <w:pPr>
        <w:pStyle w:val="Heading5"/>
        <w:rPr>
          <w:snapToGrid w:val="0"/>
        </w:rPr>
      </w:pPr>
      <w:bookmarkStart w:id="1437" w:name="_Toc500739957"/>
      <w:bookmarkStart w:id="1438" w:name="_Toc520101148"/>
      <w:bookmarkStart w:id="1439" w:name="_Toc520533047"/>
      <w:bookmarkStart w:id="1440" w:name="_Toc49223932"/>
      <w:bookmarkStart w:id="1441" w:name="_Toc107054929"/>
      <w:bookmarkStart w:id="1442" w:name="_Toc134854666"/>
      <w:bookmarkStart w:id="1443" w:name="_Toc136841119"/>
      <w:bookmarkStart w:id="1444" w:name="_Toc131416125"/>
      <w:bookmarkStart w:id="1445" w:name="_Toc170193308"/>
      <w:r>
        <w:rPr>
          <w:rStyle w:val="CharSectno"/>
        </w:rPr>
        <w:t>75J</w:t>
      </w:r>
      <w:r>
        <w:rPr>
          <w:snapToGrid w:val="0"/>
        </w:rPr>
        <w:t>.</w:t>
      </w:r>
      <w:r>
        <w:rPr>
          <w:snapToGrid w:val="0"/>
        </w:rPr>
        <w:tab/>
        <w:t>Interpretation in Part</w:t>
      </w:r>
      <w:bookmarkEnd w:id="1437"/>
      <w:bookmarkEnd w:id="1438"/>
      <w:bookmarkEnd w:id="1439"/>
      <w:bookmarkEnd w:id="1440"/>
      <w:r>
        <w:rPr>
          <w:snapToGrid w:val="0"/>
        </w:rPr>
        <w:t xml:space="preserve"> IIIBAAA</w:t>
      </w:r>
      <w:bookmarkEnd w:id="1441"/>
      <w:bookmarkEnd w:id="1442"/>
      <w:bookmarkEnd w:id="1443"/>
      <w:bookmarkEnd w:id="1444"/>
      <w:bookmarkEnd w:id="1445"/>
    </w:p>
    <w:p>
      <w:pPr>
        <w:pStyle w:val="Subsection"/>
        <w:rPr>
          <w:snapToGrid w:val="0"/>
        </w:rPr>
      </w:pPr>
      <w:r>
        <w:rPr>
          <w:snapToGrid w:val="0"/>
        </w:rPr>
        <w:tab/>
        <w:t>(1)</w:t>
      </w:r>
      <w:r>
        <w:rPr>
          <w:snapToGrid w:val="0"/>
        </w:rPr>
        <w:tab/>
        <w:t>In this Part, unless the contrary intention appears —</w:t>
      </w:r>
      <w:del w:id="1446" w:author="svcMRProcess" w:date="2020-02-20T23:16:00Z">
        <w:r>
          <w:rPr>
            <w:snapToGrid w:val="0"/>
          </w:rPr>
          <w:delText> </w:delText>
        </w:r>
      </w:del>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w:t>
      </w:r>
      <w:del w:id="1447" w:author="svcMRProcess" w:date="2020-02-20T23:16:00Z">
        <w:r>
          <w:rPr>
            <w:snapToGrid w:val="0"/>
          </w:rPr>
          <w:delText> </w:delText>
        </w:r>
      </w:del>
    </w:p>
    <w:p>
      <w:pPr>
        <w:pStyle w:val="Indenta"/>
        <w:spacing w:before="60"/>
        <w:rPr>
          <w:snapToGrid w:val="0"/>
        </w:rPr>
      </w:pPr>
      <w:r>
        <w:rPr>
          <w:snapToGrid w:val="0"/>
        </w:rPr>
        <w:tab/>
        <w:t>(a)</w:t>
      </w:r>
      <w:r>
        <w:rPr>
          <w:snapToGrid w:val="0"/>
        </w:rPr>
        <w:tab/>
        <w:t>2 bodies corporate are associated if —</w:t>
      </w:r>
      <w:del w:id="1448" w:author="svcMRProcess" w:date="2020-02-20T23:16:00Z">
        <w:r>
          <w:rPr>
            <w:snapToGrid w:val="0"/>
          </w:rPr>
          <w:delText> </w:delText>
        </w:r>
      </w:del>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spacing w:before="60"/>
        <w:rPr>
          <w:snapToGrid w:val="0"/>
        </w:rPr>
      </w:pPr>
      <w:r>
        <w:rPr>
          <w:snapToGrid w:val="0"/>
        </w:rPr>
        <w:tab/>
        <w:t>(c)</w:t>
      </w:r>
      <w:r>
        <w:rPr>
          <w:snapToGrid w:val="0"/>
        </w:rPr>
        <w:tab/>
        <w:t>if the claw</w:t>
      </w:r>
      <w:r>
        <w:rPr>
          <w:snapToGrid w:val="0"/>
        </w:rPr>
        <w:noBreakHyphen/>
        <w:t>back applies —</w:t>
      </w:r>
      <w:del w:id="1449" w:author="svcMRProcess" w:date="2020-02-20T23:16:00Z">
        <w:r>
          <w:rPr>
            <w:snapToGrid w:val="0"/>
          </w:rPr>
          <w:delText> </w:delText>
        </w:r>
      </w:del>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del w:id="1450" w:author="svcMRProcess" w:date="2020-02-20T23:16:00Z">
        <w:r>
          <w:rPr>
            <w:snapToGrid w:val="0"/>
          </w:rPr>
          <w:delText> </w:delText>
        </w:r>
      </w:del>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del w:id="1451" w:author="svcMRProcess" w:date="2020-02-20T23:16:00Z">
        <w:r>
          <w:delText xml:space="preserve"> </w:delText>
        </w:r>
      </w:del>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[Section 75J inserted by No. 48 of 1996 s. 42; amended by No. 51 of 1997 s. 5; No. 29 of 2000 s. 5; No. 60 of 2000 s. 20(6); No. 10 of 2001 s. 170; No. 36 of 2001 s. 19; No. 2 of 2003 s. 75; No. 66 of 2003 s. 48; No. 11 of 2005 s. 11.]</w:t>
      </w:r>
      <w:del w:id="1452" w:author="svcMRProcess" w:date="2020-02-20T23:16:00Z">
        <w:r>
          <w:delText xml:space="preserve"> </w:delText>
        </w:r>
      </w:del>
    </w:p>
    <w:p>
      <w:pPr>
        <w:pStyle w:val="Heading5"/>
      </w:pPr>
      <w:bookmarkStart w:id="1453" w:name="_Toc520101149"/>
      <w:bookmarkStart w:id="1454" w:name="_Toc520533048"/>
      <w:bookmarkStart w:id="1455" w:name="_Toc49223933"/>
      <w:bookmarkStart w:id="1456" w:name="_Toc107054930"/>
      <w:bookmarkStart w:id="1457" w:name="_Toc134854667"/>
      <w:bookmarkStart w:id="1458" w:name="_Toc136841120"/>
      <w:bookmarkStart w:id="1459" w:name="_Toc131416126"/>
      <w:bookmarkStart w:id="1460" w:name="_Toc170193309"/>
      <w:bookmarkStart w:id="1461" w:name="_Toc500739958"/>
      <w:r>
        <w:rPr>
          <w:rStyle w:val="CharSectno"/>
        </w:rPr>
        <w:t>75JAA</w:t>
      </w:r>
      <w:r>
        <w:t>.</w:t>
      </w:r>
      <w:r>
        <w:tab/>
        <w:t>Meaning of dormant body corporate</w:t>
      </w:r>
      <w:bookmarkEnd w:id="1453"/>
      <w:bookmarkEnd w:id="1454"/>
      <w:bookmarkEnd w:id="1455"/>
      <w:bookmarkEnd w:id="1456"/>
      <w:bookmarkEnd w:id="1457"/>
      <w:bookmarkEnd w:id="1458"/>
      <w:bookmarkEnd w:id="1459"/>
      <w:bookmarkEnd w:id="1460"/>
    </w:p>
    <w:p>
      <w:pPr>
        <w:pStyle w:val="Subsection"/>
        <w:keepNext/>
        <w:keepLines/>
      </w:pPr>
      <w:r>
        <w:tab/>
      </w:r>
      <w:r>
        <w:tab/>
        <w:t>A body corporate is dormant throughout a particular period if, and only if, throughout that period the body —</w:t>
      </w:r>
      <w:del w:id="1462" w:author="svcMRProcess" w:date="2020-02-20T23:16:00Z">
        <w:r>
          <w:delText xml:space="preserve"> </w:delText>
        </w:r>
      </w:del>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1463" w:name="_Toc520101150"/>
      <w:bookmarkStart w:id="1464" w:name="_Toc520533049"/>
      <w:bookmarkStart w:id="1465" w:name="_Toc49223934"/>
      <w:bookmarkStart w:id="1466" w:name="_Toc107054931"/>
      <w:bookmarkStart w:id="1467" w:name="_Toc134854668"/>
      <w:bookmarkStart w:id="1468" w:name="_Toc136841121"/>
      <w:bookmarkStart w:id="1469" w:name="_Toc131416127"/>
      <w:bookmarkStart w:id="1470" w:name="_Toc170193310"/>
      <w:r>
        <w:rPr>
          <w:rStyle w:val="CharSectno"/>
        </w:rPr>
        <w:t>75JA</w:t>
      </w:r>
      <w:r>
        <w:rPr>
          <w:snapToGrid w:val="0"/>
        </w:rPr>
        <w:t>.</w:t>
      </w:r>
      <w:r>
        <w:rPr>
          <w:snapToGrid w:val="0"/>
        </w:rPr>
        <w:tab/>
        <w:t>Corporate reconstructions: exemptions</w:t>
      </w:r>
      <w:bookmarkEnd w:id="1461"/>
      <w:bookmarkEnd w:id="1463"/>
      <w:bookmarkEnd w:id="1464"/>
      <w:bookmarkEnd w:id="1465"/>
      <w:bookmarkEnd w:id="1466"/>
      <w:bookmarkEnd w:id="1467"/>
      <w:bookmarkEnd w:id="1468"/>
      <w:bookmarkEnd w:id="1469"/>
      <w:bookmarkEnd w:id="1470"/>
      <w:del w:id="1471" w:author="svcMRProcess" w:date="2020-02-20T23:16:00Z">
        <w:r>
          <w:rPr>
            <w:snapToGrid w:val="0"/>
          </w:rPr>
          <w:delText xml:space="preserve"> </w:delText>
        </w:r>
      </w:del>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del w:id="1472" w:author="svcMRProcess" w:date="2020-02-20T23:16:00Z">
        <w:r>
          <w:rPr>
            <w:snapToGrid w:val="0"/>
          </w:rPr>
          <w:delText> </w:delText>
        </w:r>
      </w:del>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del w:id="1473" w:author="svcMRProcess" w:date="2020-02-20T23:16:00Z">
        <w:r>
          <w:rPr>
            <w:snapToGrid w:val="0"/>
          </w:rPr>
          <w:delText> </w:delText>
        </w:r>
      </w:del>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w:t>
      </w:r>
      <w:del w:id="1474" w:author="svcMRProcess" w:date="2020-02-20T23:16:00Z">
        <w:r>
          <w:rPr>
            <w:snapToGrid w:val="0"/>
          </w:rPr>
          <w:delText> </w:delText>
        </w:r>
      </w:del>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Ednotesubsection"/>
        <w:spacing w:before="140"/>
        <w:rPr>
          <w:del w:id="1475" w:author="svcMRProcess" w:date="2020-02-20T23:16:00Z"/>
        </w:rPr>
      </w:pPr>
      <w:del w:id="1476" w:author="svcMRProcess" w:date="2020-02-20T23:16:00Z">
        <w:r>
          <w:tab/>
          <w:delText>[(4)-(6)</w:delText>
        </w:r>
        <w:r>
          <w:tab/>
          <w:delText>repealed]</w:delText>
        </w:r>
      </w:del>
    </w:p>
    <w:p>
      <w:pPr>
        <w:pStyle w:val="Footnotesection"/>
      </w:pPr>
      <w:r>
        <w:tab/>
        <w:t>[Section 75JA inserted by No. 48 of 1996 s. 42; amended by No. 51 of 1997 s. 6; No. 53 of 1999 s. 22; No. 2 of 2003 s. 76; No. 21 of 2003 s. 28(1); No. 66 of 2003 s. 49; No. 11 of 2004 s. 13; No. 12 of 2004 s. 30; No. 11 of 2005 s. 12.]</w:t>
      </w:r>
      <w:del w:id="1477" w:author="svcMRProcess" w:date="2020-02-20T23:16:00Z">
        <w:r>
          <w:delText xml:space="preserve"> </w:delText>
        </w:r>
      </w:del>
    </w:p>
    <w:p>
      <w:pPr>
        <w:pStyle w:val="Heading5"/>
        <w:rPr>
          <w:snapToGrid w:val="0"/>
        </w:rPr>
      </w:pPr>
      <w:bookmarkStart w:id="1478" w:name="_Toc500739959"/>
      <w:bookmarkStart w:id="1479" w:name="_Toc520101151"/>
      <w:bookmarkStart w:id="1480" w:name="_Toc520533050"/>
      <w:bookmarkStart w:id="1481" w:name="_Toc49223935"/>
      <w:bookmarkStart w:id="1482" w:name="_Toc107054932"/>
      <w:bookmarkStart w:id="1483" w:name="_Toc134854669"/>
      <w:bookmarkStart w:id="1484" w:name="_Toc136841122"/>
      <w:bookmarkStart w:id="1485" w:name="_Toc131416128"/>
      <w:bookmarkStart w:id="1486" w:name="_Toc170193311"/>
      <w:r>
        <w:rPr>
          <w:rStyle w:val="CharSectno"/>
        </w:rPr>
        <w:t>75JB</w:t>
      </w:r>
      <w:r>
        <w:rPr>
          <w:snapToGrid w:val="0"/>
        </w:rPr>
        <w:t>.</w:t>
      </w:r>
      <w:r>
        <w:rPr>
          <w:snapToGrid w:val="0"/>
        </w:rPr>
        <w:tab/>
        <w:t>Corporate reorganisations: exemption from duty on conveyances between associated bodies corporate</w:t>
      </w:r>
      <w:bookmarkEnd w:id="1478"/>
      <w:bookmarkEnd w:id="1479"/>
      <w:bookmarkEnd w:id="1480"/>
      <w:bookmarkEnd w:id="1481"/>
      <w:bookmarkEnd w:id="1482"/>
      <w:bookmarkEnd w:id="1483"/>
      <w:bookmarkEnd w:id="1484"/>
      <w:bookmarkEnd w:id="1485"/>
      <w:bookmarkEnd w:id="1486"/>
      <w:del w:id="1487" w:author="svcMRProcess" w:date="2020-02-20T23:16:00Z">
        <w:r>
          <w:rPr>
            <w:snapToGrid w:val="0"/>
          </w:rPr>
          <w:delText xml:space="preserve"> </w:delText>
        </w:r>
      </w:del>
    </w:p>
    <w:p>
      <w:pPr>
        <w:pStyle w:val="Subsection"/>
        <w:keepNext/>
        <w:spacing w:before="100"/>
        <w:rPr>
          <w:snapToGrid w:val="0"/>
        </w:rPr>
      </w:pPr>
      <w:r>
        <w:rPr>
          <w:snapToGrid w:val="0"/>
        </w:rPr>
        <w:tab/>
        <w:t>(1)</w:t>
      </w:r>
      <w:r>
        <w:rPr>
          <w:snapToGrid w:val="0"/>
        </w:rPr>
        <w:tab/>
        <w:t>This section applies if —</w:t>
      </w:r>
      <w:del w:id="1488" w:author="svcMRProcess" w:date="2020-02-20T23:16:00Z">
        <w:r>
          <w:rPr>
            <w:snapToGrid w:val="0"/>
          </w:rPr>
          <w:delText> </w:delText>
        </w:r>
      </w:del>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spacing w:before="100"/>
        <w:rPr>
          <w:snapToGrid w:val="0"/>
        </w:rPr>
      </w:pPr>
      <w:r>
        <w:rPr>
          <w:snapToGrid w:val="0"/>
        </w:rPr>
        <w:tab/>
        <w:t>(c)</w:t>
      </w:r>
      <w:r>
        <w:rPr>
          <w:snapToGrid w:val="0"/>
        </w:rPr>
        <w:tab/>
        <w:t>A and B are associated bodies corporate;</w:t>
      </w:r>
    </w:p>
    <w:p>
      <w:pPr>
        <w:pStyle w:val="Indenta"/>
        <w:spacing w:before="100"/>
        <w:rPr>
          <w:snapToGrid w:val="0"/>
        </w:rPr>
      </w:pPr>
      <w:r>
        <w:rPr>
          <w:snapToGrid w:val="0"/>
        </w:rPr>
        <w:tab/>
        <w:t>(d)</w:t>
      </w:r>
      <w:r>
        <w:rPr>
          <w:snapToGrid w:val="0"/>
        </w:rPr>
        <w:tab/>
        <w:t>at the date of execution of the instrument, A and B have been associated bodies corporate for at least the qualifying period unless —</w:t>
      </w:r>
      <w:del w:id="1489" w:author="svcMRProcess" w:date="2020-02-20T23:16:00Z">
        <w:r>
          <w:rPr>
            <w:snapToGrid w:val="0"/>
          </w:rPr>
          <w:delText> </w:delText>
        </w:r>
      </w:del>
    </w:p>
    <w:p>
      <w:pPr>
        <w:pStyle w:val="Indenti"/>
        <w:spacing w:before="100"/>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spacing w:before="100"/>
        <w:rPr>
          <w:snapToGrid w:val="0"/>
        </w:rPr>
      </w:pPr>
      <w:r>
        <w:rPr>
          <w:snapToGrid w:val="0"/>
        </w:rPr>
        <w:tab/>
        <w:t>(ii)</w:t>
      </w:r>
      <w:r>
        <w:rPr>
          <w:snapToGrid w:val="0"/>
        </w:rPr>
        <w:tab/>
        <w:t>A and B have been associated since A acquired at least 90% of the issued share capital —</w:t>
      </w:r>
      <w:del w:id="1490" w:author="svcMRProcess" w:date="2020-02-20T23:16:00Z">
        <w:r>
          <w:rPr>
            <w:snapToGrid w:val="0"/>
          </w:rPr>
          <w:delText> </w:delText>
        </w:r>
      </w:del>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spacing w:before="100"/>
        <w:rPr>
          <w:snapToGrid w:val="0"/>
        </w:rPr>
      </w:pPr>
      <w:r>
        <w:rPr>
          <w:snapToGrid w:val="0"/>
        </w:rPr>
        <w:tab/>
      </w:r>
      <w:r>
        <w:rPr>
          <w:snapToGrid w:val="0"/>
        </w:rPr>
        <w:tab/>
        <w:t>and B has been dormant from when A and B became associated until B resolved to acquire the beneficial interest;</w:t>
      </w:r>
      <w:del w:id="1491" w:author="svcMRProcess" w:date="2020-02-20T23:16:00Z">
        <w:r>
          <w:rPr>
            <w:snapToGrid w:val="0"/>
          </w:rPr>
          <w:delText xml:space="preserve"> </w:delText>
        </w:r>
      </w:del>
    </w:p>
    <w:p>
      <w:pPr>
        <w:pStyle w:val="Indenti"/>
        <w:spacing w:before="100"/>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del w:id="1492" w:author="svcMRProcess" w:date="2020-02-20T23:16:00Z">
        <w:r>
          <w:rPr>
            <w:snapToGrid w:val="0"/>
          </w:rPr>
          <w:delText> </w:delText>
        </w:r>
      </w:del>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del w:id="1493" w:author="svcMRProcess" w:date="2020-02-20T23:16:00Z">
        <w:r>
          <w:delText xml:space="preserve"> </w:delText>
        </w:r>
      </w:del>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del w:id="1494" w:author="svcMRProcess" w:date="2020-02-20T23:16:00Z">
        <w:r>
          <w:rPr>
            <w:snapToGrid w:val="0"/>
          </w:rPr>
          <w:delText> </w:delText>
        </w:r>
      </w:del>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del w:id="1495" w:author="svcMRProcess" w:date="2020-02-20T23:16:00Z">
        <w:r>
          <w:delText xml:space="preserve"> </w:delText>
        </w:r>
      </w:del>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w:t>
      </w:r>
      <w:ins w:id="1496" w:author="svcMRProcess" w:date="2020-02-20T23:16:00Z">
        <w:r>
          <w:rPr>
            <w:snapToGrid w:val="0"/>
          </w:rPr>
          <w:t> </w:t>
        </w:r>
        <w:r>
          <w:rPr>
            <w:snapToGrid w:val="0"/>
            <w:vertAlign w:val="superscript"/>
          </w:rPr>
          <w:t>1</w:t>
        </w:r>
      </w:ins>
      <w:r>
        <w:rPr>
          <w:snapToGrid w:val="0"/>
        </w:rPr>
        <w:t xml:space="preserve"> evidences an agreement to transfer or assign an interest in a vehicle and </w:t>
      </w:r>
      <w:r>
        <w:t>includes the following information —</w:t>
      </w:r>
      <w:del w:id="1497" w:author="svcMRProcess" w:date="2020-02-20T23:16:00Z">
        <w:r>
          <w:delText xml:space="preserve"> </w:delText>
        </w:r>
      </w:del>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del w:id="1498" w:author="svcMRProcess" w:date="2020-02-20T23:16:00Z">
        <w:r>
          <w:delText xml:space="preserve"> </w:delText>
        </w:r>
      </w:del>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del w:id="1499" w:author="svcMRProcess" w:date="2020-02-20T23:16:00Z">
        <w:r>
          <w:rPr>
            <w:snapToGrid w:val="0"/>
          </w:rPr>
          <w:delText> </w:delText>
        </w:r>
      </w:del>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del w:id="1500" w:author="svcMRProcess" w:date="2020-02-20T23:16:00Z">
        <w:r>
          <w:delText xml:space="preserve"> </w:delText>
        </w:r>
      </w:del>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del w:id="1501" w:author="svcMRProcess" w:date="2020-02-20T23:16:00Z">
        <w:r>
          <w:rPr>
            <w:snapToGrid w:val="0"/>
          </w:rPr>
          <w:delText> </w:delText>
        </w:r>
      </w:del>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del w:id="1502" w:author="svcMRProcess" w:date="2020-02-20T23:16:00Z">
        <w:r>
          <w:delText xml:space="preserve"> </w:delText>
        </w:r>
      </w:del>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del w:id="1503" w:author="svcMRProcess" w:date="2020-02-20T23:16:00Z">
        <w:r>
          <w:delText xml:space="preserve"> </w:delText>
        </w:r>
      </w:del>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del w:id="1504" w:author="svcMRProcess" w:date="2020-02-20T23:16:00Z">
        <w:r>
          <w:delText xml:space="preserve"> </w:delText>
        </w:r>
      </w:del>
    </w:p>
    <w:p>
      <w:pPr>
        <w:pStyle w:val="Defstart"/>
        <w:keepNext/>
      </w:pPr>
      <w:r>
        <w:tab/>
      </w:r>
      <w:r>
        <w:rPr>
          <w:b/>
        </w:rPr>
        <w:t>“</w:t>
      </w:r>
      <w:r>
        <w:rPr>
          <w:rStyle w:val="CharDefText"/>
        </w:rPr>
        <w:t>controlling body</w:t>
      </w:r>
      <w:r>
        <w:rPr>
          <w:b/>
        </w:rPr>
        <w:t>”</w:t>
      </w:r>
      <w:r>
        <w:t xml:space="preserve"> means —</w:t>
      </w:r>
      <w:del w:id="1505" w:author="svcMRProcess" w:date="2020-02-20T23:16:00Z">
        <w:r>
          <w:delText xml:space="preserve"> </w:delText>
        </w:r>
      </w:del>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del w:id="1506" w:author="svcMRProcess" w:date="2020-02-20T23:16:00Z">
        <w:r>
          <w:delText xml:space="preserve"> </w:delText>
        </w:r>
      </w:del>
    </w:p>
    <w:p>
      <w:pPr>
        <w:pStyle w:val="Defstart"/>
      </w:pPr>
      <w:r>
        <w:tab/>
      </w:r>
      <w:r>
        <w:rPr>
          <w:b/>
        </w:rPr>
        <w:t>“</w:t>
      </w:r>
      <w:r>
        <w:rPr>
          <w:rStyle w:val="CharDefText"/>
        </w:rPr>
        <w:t>qualifying period</w:t>
      </w:r>
      <w:r>
        <w:rPr>
          <w:b/>
        </w:rPr>
        <w:t>”</w:t>
      </w:r>
      <w:r>
        <w:t xml:space="preserve"> has the same meaning as it has in subsection (1)(d).</w:t>
      </w:r>
      <w:del w:id="1507" w:author="svcMRProcess" w:date="2020-02-20T23:16:00Z">
        <w:r>
          <w:delText xml:space="preserve"> </w:delText>
        </w:r>
      </w:del>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del w:id="1508" w:author="svcMRProcess" w:date="2020-02-20T23:16:00Z">
        <w:r>
          <w:delText xml:space="preserve"> </w:delText>
        </w:r>
      </w:del>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del w:id="1509" w:author="svcMRProcess" w:date="2020-02-20T23:16:00Z">
        <w:r>
          <w:delText xml:space="preserve"> </w:delText>
        </w:r>
      </w:del>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del w:id="1510" w:author="svcMRProcess" w:date="2020-02-20T23:16:00Z">
        <w:r>
          <w:delText xml:space="preserve"> </w:delText>
        </w:r>
      </w:del>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del w:id="1511" w:author="svcMRProcess" w:date="2020-02-20T23:16:00Z">
        <w:r>
          <w:delText xml:space="preserve"> </w:delText>
        </w:r>
      </w:del>
    </w:p>
    <w:p>
      <w:pPr>
        <w:pStyle w:val="Indenta"/>
        <w:spacing w:before="60"/>
      </w:pPr>
      <w:r>
        <w:tab/>
        <w:t>(a)</w:t>
      </w:r>
      <w:r>
        <w:tab/>
        <w:t>subsection (5f) then applies as if references in it to the parent body were references to the body corporate approved under subsection (5g); and</w:t>
      </w:r>
    </w:p>
    <w:p>
      <w:pPr>
        <w:pStyle w:val="Indenta"/>
        <w:spacing w:before="60"/>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spacing w:before="60"/>
      </w:pPr>
      <w:r>
        <w:tab/>
        <w:t>(aa)</w:t>
      </w:r>
      <w:r>
        <w:tab/>
        <w:t>an instrument is exempted under subsection (3); or</w:t>
      </w:r>
      <w:del w:id="1512" w:author="svcMRProcess" w:date="2020-02-20T23:16:00Z">
        <w:r>
          <w:delText xml:space="preserve"> </w:delText>
        </w:r>
      </w:del>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spacing w:before="60"/>
      </w:pPr>
      <w:r>
        <w:tab/>
        <w:t>(aa)</w:t>
      </w:r>
      <w:r>
        <w:tab/>
        <w:t>an instrument is exempted under subsection (3); or</w:t>
      </w:r>
      <w:del w:id="1513" w:author="svcMRProcess" w:date="2020-02-20T23:16:00Z">
        <w:r>
          <w:delText xml:space="preserve"> </w:delText>
        </w:r>
      </w:del>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rPr>
          <w:snapToGrid w:val="0"/>
        </w:rPr>
      </w:pPr>
      <w:r>
        <w:rPr>
          <w:snapToGrid w:val="0"/>
        </w:rPr>
        <w:tab/>
        <w:t>(c)</w:t>
      </w:r>
      <w:r>
        <w:rPr>
          <w:snapToGrid w:val="0"/>
        </w:rPr>
        <w:tab/>
        <w:t>B’s assets are distributed to its shareholders on a liquidation,</w:t>
      </w:r>
    </w:p>
    <w:p>
      <w:pPr>
        <w:pStyle w:val="Subsection"/>
        <w:spacing w:before="18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80"/>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spacing w:before="180"/>
      </w:pPr>
      <w:r>
        <w:tab/>
        <w:t>(9)</w:t>
      </w:r>
      <w:r>
        <w:tab/>
        <w:t>Subject to subsection (10), if —</w:t>
      </w:r>
    </w:p>
    <w:p>
      <w:pPr>
        <w:pStyle w:val="Indenta"/>
      </w:pPr>
      <w:r>
        <w:tab/>
        <w:t>(aa)</w:t>
      </w:r>
      <w:r>
        <w:tab/>
        <w:t>an instrument is exempted under subsection (3); or</w:t>
      </w:r>
      <w:del w:id="1514" w:author="svcMRProcess" w:date="2020-02-20T23:16:00Z">
        <w:r>
          <w:delText xml:space="preserve"> </w:delText>
        </w:r>
      </w:del>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del w:id="1515" w:author="svcMRProcess" w:date="2020-02-20T23:16:00Z">
        <w:r>
          <w:delText xml:space="preserve"> </w:delText>
        </w:r>
      </w:del>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w:t>
      </w:r>
      <w:del w:id="1516" w:author="svcMRProcess" w:date="2020-02-20T23:16:00Z">
        <w:r>
          <w:rPr>
            <w:i w:val="0"/>
            <w:vertAlign w:val="superscript"/>
          </w:rPr>
          <w:delText> 4</w:delText>
        </w:r>
      </w:del>
      <w:r>
        <w:t>; No. 11 of 2004 s. 14; No. 12 of 2004 s. 31; No. 11 of 2005 s. 13.]</w:t>
      </w:r>
      <w:del w:id="1517" w:author="svcMRProcess" w:date="2020-02-20T23:16:00Z">
        <w:r>
          <w:delText xml:space="preserve"> </w:delText>
        </w:r>
      </w:del>
    </w:p>
    <w:p>
      <w:pPr>
        <w:pStyle w:val="Heading5"/>
      </w:pPr>
      <w:bookmarkStart w:id="1518" w:name="_Toc500739960"/>
      <w:bookmarkStart w:id="1519" w:name="_Toc520101152"/>
      <w:bookmarkStart w:id="1520" w:name="_Toc520533051"/>
      <w:bookmarkStart w:id="1521" w:name="_Toc49223936"/>
      <w:bookmarkStart w:id="1522" w:name="_Toc107054933"/>
      <w:bookmarkStart w:id="1523" w:name="_Toc134854670"/>
      <w:bookmarkStart w:id="1524" w:name="_Toc136841123"/>
      <w:bookmarkStart w:id="1525" w:name="_Toc131416129"/>
      <w:bookmarkStart w:id="1526" w:name="_Toc170193312"/>
      <w:r>
        <w:rPr>
          <w:rStyle w:val="CharSectno"/>
        </w:rPr>
        <w:t>75JBA</w:t>
      </w:r>
      <w:r>
        <w:t>.</w:t>
      </w:r>
      <w:r>
        <w:tab/>
        <w:t>Operation of claw</w:t>
      </w:r>
      <w:r>
        <w:rPr>
          <w:snapToGrid w:val="0"/>
        </w:rPr>
        <w:noBreakHyphen/>
      </w:r>
      <w:r>
        <w:t>back: application for pre</w:t>
      </w:r>
      <w:r>
        <w:noBreakHyphen/>
        <w:t>determination in certain cases</w:t>
      </w:r>
      <w:bookmarkEnd w:id="1518"/>
      <w:bookmarkEnd w:id="1519"/>
      <w:bookmarkEnd w:id="1520"/>
      <w:bookmarkEnd w:id="1521"/>
      <w:bookmarkEnd w:id="1522"/>
      <w:bookmarkEnd w:id="1523"/>
      <w:bookmarkEnd w:id="1524"/>
      <w:bookmarkEnd w:id="1525"/>
      <w:bookmarkEnd w:id="1526"/>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1527" w:name="_Toc500739961"/>
      <w:bookmarkStart w:id="1528" w:name="_Toc520101153"/>
      <w:bookmarkStart w:id="1529" w:name="_Toc520533052"/>
      <w:bookmarkStart w:id="1530" w:name="_Toc49223937"/>
      <w:bookmarkStart w:id="1531" w:name="_Toc107054934"/>
      <w:bookmarkStart w:id="1532" w:name="_Toc134854671"/>
      <w:bookmarkStart w:id="1533" w:name="_Toc136841124"/>
      <w:bookmarkStart w:id="1534" w:name="_Toc131416130"/>
      <w:bookmarkStart w:id="1535" w:name="_Toc170193313"/>
      <w:r>
        <w:rPr>
          <w:rStyle w:val="CharSectno"/>
        </w:rPr>
        <w:t>75JC</w:t>
      </w:r>
      <w:r>
        <w:rPr>
          <w:snapToGrid w:val="0"/>
        </w:rPr>
        <w:t>.</w:t>
      </w:r>
      <w:r>
        <w:rPr>
          <w:snapToGrid w:val="0"/>
        </w:rPr>
        <w:tab/>
        <w:t>Corporate reorganisations: application for pre</w:t>
      </w:r>
      <w:r>
        <w:rPr>
          <w:snapToGrid w:val="0"/>
        </w:rPr>
        <w:noBreakHyphen/>
        <w:t>determination</w:t>
      </w:r>
      <w:bookmarkEnd w:id="1527"/>
      <w:bookmarkEnd w:id="1528"/>
      <w:bookmarkEnd w:id="1529"/>
      <w:bookmarkEnd w:id="1530"/>
      <w:bookmarkEnd w:id="1531"/>
      <w:bookmarkEnd w:id="1532"/>
      <w:bookmarkEnd w:id="1533"/>
      <w:bookmarkEnd w:id="1534"/>
      <w:bookmarkEnd w:id="1535"/>
      <w:del w:id="1536" w:author="svcMRProcess" w:date="2020-02-20T23:16:00Z">
        <w:r>
          <w:rPr>
            <w:snapToGrid w:val="0"/>
          </w:rPr>
          <w:delText xml:space="preserve"> </w:delText>
        </w:r>
      </w:del>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del w:id="1537" w:author="svcMRProcess" w:date="2020-02-20T23:16:00Z">
        <w:r>
          <w:rPr>
            <w:snapToGrid w:val="0"/>
          </w:rPr>
          <w:delText> </w:delText>
        </w:r>
      </w:del>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del w:id="1538" w:author="svcMRProcess" w:date="2020-02-20T23:16:00Z">
        <w:r>
          <w:delText xml:space="preserve"> </w:delText>
        </w:r>
      </w:del>
    </w:p>
    <w:p>
      <w:pPr>
        <w:pStyle w:val="Heading5"/>
        <w:rPr>
          <w:snapToGrid w:val="0"/>
        </w:rPr>
      </w:pPr>
      <w:bookmarkStart w:id="1539" w:name="_Toc500739962"/>
      <w:bookmarkStart w:id="1540" w:name="_Toc520101154"/>
      <w:bookmarkStart w:id="1541" w:name="_Toc520533053"/>
      <w:bookmarkStart w:id="1542" w:name="_Toc49223938"/>
      <w:bookmarkStart w:id="1543" w:name="_Toc107054935"/>
      <w:bookmarkStart w:id="1544" w:name="_Toc134854672"/>
      <w:bookmarkStart w:id="1545" w:name="_Toc136841125"/>
      <w:bookmarkStart w:id="1546" w:name="_Toc131416131"/>
      <w:bookmarkStart w:id="1547" w:name="_Toc170193314"/>
      <w:r>
        <w:rPr>
          <w:rStyle w:val="CharSectno"/>
        </w:rPr>
        <w:t>75JD</w:t>
      </w:r>
      <w:r>
        <w:rPr>
          <w:snapToGrid w:val="0"/>
        </w:rPr>
        <w:t>.</w:t>
      </w:r>
      <w:r>
        <w:rPr>
          <w:snapToGrid w:val="0"/>
        </w:rPr>
        <w:tab/>
        <w:t>Corporate reorganisations: application for exemption</w:t>
      </w:r>
      <w:bookmarkEnd w:id="1539"/>
      <w:bookmarkEnd w:id="1540"/>
      <w:bookmarkEnd w:id="1541"/>
      <w:bookmarkEnd w:id="1542"/>
      <w:bookmarkEnd w:id="1543"/>
      <w:bookmarkEnd w:id="1544"/>
      <w:bookmarkEnd w:id="1545"/>
      <w:bookmarkEnd w:id="1546"/>
      <w:bookmarkEnd w:id="1547"/>
      <w:del w:id="1548" w:author="svcMRProcess" w:date="2020-02-20T23:16:00Z">
        <w:r>
          <w:rPr>
            <w:snapToGrid w:val="0"/>
          </w:rPr>
          <w:delText xml:space="preserve"> </w:delText>
        </w:r>
      </w:del>
    </w:p>
    <w:p>
      <w:pPr>
        <w:pStyle w:val="Subsection"/>
      </w:pPr>
      <w:r>
        <w:tab/>
        <w:t>(1)</w:t>
      </w:r>
      <w:r>
        <w:tab/>
        <w:t>An application for an exemption under section 75JA or 75JB must be made in an approved form.</w:t>
      </w:r>
      <w:del w:id="1549" w:author="svcMRProcess" w:date="2020-02-20T23:16:00Z">
        <w:r>
          <w:delText xml:space="preserve"> </w:delText>
        </w:r>
      </w:del>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del w:id="1550" w:author="svcMRProcess" w:date="2020-02-20T23:16:00Z">
        <w:r>
          <w:delText xml:space="preserve"> </w:delText>
        </w:r>
      </w:del>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[Section 75JD inserted by No. 48 of 1996 s. 42; amended by No. 2 of 2003 s. 80; No. 66 of 2003 s. 53; No. 11 of 2005 s. 15; No. 12 of 2005 s. 7.]</w:t>
      </w:r>
      <w:del w:id="1551" w:author="svcMRProcess" w:date="2020-02-20T23:16:00Z">
        <w:r>
          <w:delText xml:space="preserve"> </w:delText>
        </w:r>
      </w:del>
    </w:p>
    <w:p>
      <w:pPr>
        <w:pStyle w:val="Heading5"/>
      </w:pPr>
      <w:bookmarkStart w:id="1552" w:name="_Toc500739963"/>
      <w:bookmarkStart w:id="1553" w:name="_Toc520101155"/>
      <w:bookmarkStart w:id="1554" w:name="_Toc520533054"/>
      <w:bookmarkStart w:id="1555" w:name="_Toc49223939"/>
      <w:bookmarkStart w:id="1556" w:name="_Toc107054936"/>
      <w:bookmarkStart w:id="1557" w:name="_Toc134854673"/>
      <w:bookmarkStart w:id="1558" w:name="_Toc136841126"/>
      <w:bookmarkStart w:id="1559" w:name="_Toc131416132"/>
      <w:bookmarkStart w:id="1560" w:name="_Toc170193315"/>
      <w:r>
        <w:rPr>
          <w:rStyle w:val="CharSectno"/>
        </w:rPr>
        <w:t>75JDA</w:t>
      </w:r>
      <w:r>
        <w:t>.</w:t>
      </w:r>
      <w:r>
        <w:tab/>
        <w:t>Exemption may be withheld in certain cases</w:t>
      </w:r>
      <w:bookmarkEnd w:id="1552"/>
      <w:bookmarkEnd w:id="1553"/>
      <w:bookmarkEnd w:id="1554"/>
      <w:bookmarkEnd w:id="1555"/>
      <w:bookmarkEnd w:id="1556"/>
      <w:bookmarkEnd w:id="1557"/>
      <w:bookmarkEnd w:id="1558"/>
      <w:bookmarkEnd w:id="1559"/>
      <w:bookmarkEnd w:id="1560"/>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w:t>
      </w:r>
      <w:del w:id="1561" w:author="svcMRProcess" w:date="2020-02-20T23:16:00Z">
        <w:r>
          <w:delText xml:space="preserve"> </w:delText>
        </w:r>
      </w:del>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2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2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2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1562" w:name="_Toc500739964"/>
      <w:bookmarkStart w:id="1563" w:name="_Toc520101156"/>
      <w:bookmarkStart w:id="1564" w:name="_Toc520533055"/>
      <w:bookmarkStart w:id="1565" w:name="_Toc49223940"/>
      <w:bookmarkStart w:id="1566" w:name="_Toc107054937"/>
      <w:bookmarkStart w:id="1567" w:name="_Toc134854674"/>
      <w:bookmarkStart w:id="1568" w:name="_Toc136841127"/>
      <w:bookmarkStart w:id="1569" w:name="_Toc131416133"/>
      <w:bookmarkStart w:id="1570" w:name="_Toc170193316"/>
      <w:r>
        <w:rPr>
          <w:rStyle w:val="CharSectno"/>
        </w:rPr>
        <w:t>75JE</w:t>
      </w:r>
      <w:r>
        <w:rPr>
          <w:snapToGrid w:val="0"/>
        </w:rPr>
        <w:t>.</w:t>
      </w:r>
      <w:r>
        <w:rPr>
          <w:snapToGrid w:val="0"/>
        </w:rPr>
        <w:tab/>
        <w:t>Claw</w:t>
      </w:r>
      <w:r>
        <w:rPr>
          <w:snapToGrid w:val="0"/>
        </w:rPr>
        <w:noBreakHyphen/>
        <w:t>back (instruments)</w:t>
      </w:r>
      <w:bookmarkEnd w:id="1562"/>
      <w:bookmarkEnd w:id="1563"/>
      <w:bookmarkEnd w:id="1564"/>
      <w:bookmarkEnd w:id="1565"/>
      <w:bookmarkEnd w:id="1566"/>
      <w:bookmarkEnd w:id="1567"/>
      <w:bookmarkEnd w:id="1568"/>
      <w:bookmarkEnd w:id="1569"/>
      <w:bookmarkEnd w:id="1570"/>
      <w:del w:id="1571" w:author="svcMRProcess" w:date="2020-02-20T23:16:00Z">
        <w:r>
          <w:rPr>
            <w:snapToGrid w:val="0"/>
          </w:rPr>
          <w:delText xml:space="preserve"> </w:delText>
        </w:r>
      </w:del>
    </w:p>
    <w:p>
      <w:pPr>
        <w:pStyle w:val="Subsection"/>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del w:id="1572" w:author="svcMRProcess" w:date="2020-02-20T23:16:00Z">
        <w:r>
          <w:rPr>
            <w:snapToGrid w:val="0"/>
          </w:rPr>
          <w:delText> </w:delText>
        </w:r>
      </w:del>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Ednotepara"/>
        <w:rPr>
          <w:del w:id="1573" w:author="svcMRProcess" w:date="2020-02-20T23:16:00Z"/>
          <w:snapToGrid w:val="0"/>
        </w:rPr>
      </w:pPr>
      <w:del w:id="1574" w:author="svcMRProcess" w:date="2020-02-20T23:16:00Z">
        <w:r>
          <w:rPr>
            <w:snapToGrid w:val="0"/>
          </w:rPr>
          <w:tab/>
          <w:delText>[(da)</w:delText>
        </w:r>
        <w:r>
          <w:rPr>
            <w:snapToGrid w:val="0"/>
          </w:rPr>
          <w:tab/>
          <w:delText>deleted]</w:delText>
        </w:r>
      </w:del>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del w:id="1575" w:author="svcMRProcess" w:date="2020-02-20T23:16:00Z">
        <w:r>
          <w:rPr>
            <w:snapToGrid w:val="0"/>
          </w:rPr>
          <w:delText> </w:delText>
        </w:r>
      </w:del>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del w:id="1576" w:author="svcMRProcess" w:date="2020-02-20T23:16: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del w:id="1577" w:author="svcMRProcess" w:date="2020-02-20T23:16:00Z">
        <w:r>
          <w:delText xml:space="preserve"> </w:delText>
        </w:r>
      </w:del>
    </w:p>
    <w:p>
      <w:pPr>
        <w:pStyle w:val="Indenta"/>
      </w:pPr>
      <w:r>
        <w:tab/>
        <w:t>(a)</w:t>
      </w:r>
      <w:r>
        <w:tab/>
        <w:t>the Commissioner</w:t>
      </w:r>
      <w:r>
        <w:rPr>
          <w:b/>
          <w:i/>
        </w:rPr>
        <w:t xml:space="preserve"> </w:t>
      </w:r>
      <w:r>
        <w:t>shall assess the amount of duty payable on the transfer under Part IIIC;</w:t>
      </w:r>
    </w:p>
    <w:p>
      <w:pPr>
        <w:pStyle w:val="Indenta"/>
        <w:spacing w:before="60"/>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del w:id="1578" w:author="svcMRProcess" w:date="2020-02-20T23:16:00Z">
        <w:r>
          <w:rPr>
            <w:snapToGrid w:val="0"/>
          </w:rPr>
          <w:delText> </w:delText>
        </w:r>
      </w:del>
    </w:p>
    <w:p>
      <w:pPr>
        <w:pStyle w:val="Indenti"/>
        <w:spacing w:before="60"/>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spacing w:before="60"/>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del w:id="1579" w:author="svcMRProcess" w:date="2020-02-20T23:16:00Z">
        <w:r>
          <w:rPr>
            <w:snapToGrid w:val="0"/>
          </w:rPr>
          <w:delText xml:space="preserve"> </w:delText>
        </w:r>
      </w:del>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spacing w:before="120"/>
      </w:pPr>
      <w:r>
        <w:tab/>
        <w:t>(3)</w:t>
      </w:r>
      <w:r>
        <w:tab/>
        <w:t>For the purposes of subsection (2)(a) —</w:t>
      </w:r>
      <w:del w:id="1580" w:author="svcMRProcess" w:date="2020-02-20T23:16:00Z">
        <w:r>
          <w:delText xml:space="preserve"> </w:delText>
        </w:r>
      </w:del>
    </w:p>
    <w:p>
      <w:pPr>
        <w:pStyle w:val="Indenta"/>
        <w:spacing w:before="60"/>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del w:id="1581" w:author="svcMRProcess" w:date="2020-02-20T23:16:00Z">
        <w:r>
          <w:delText xml:space="preserve"> </w:delText>
        </w:r>
      </w:del>
    </w:p>
    <w:p>
      <w:pPr>
        <w:pStyle w:val="Heading5"/>
        <w:rPr>
          <w:snapToGrid w:val="0"/>
        </w:rPr>
      </w:pPr>
      <w:bookmarkStart w:id="1582" w:name="_Toc500739965"/>
      <w:bookmarkStart w:id="1583" w:name="_Toc520101157"/>
      <w:bookmarkStart w:id="1584" w:name="_Toc520533056"/>
      <w:bookmarkStart w:id="1585" w:name="_Toc49223941"/>
      <w:bookmarkStart w:id="1586" w:name="_Toc107054938"/>
      <w:bookmarkStart w:id="1587" w:name="_Toc134854675"/>
      <w:bookmarkStart w:id="1588" w:name="_Toc136841128"/>
      <w:bookmarkStart w:id="1589" w:name="_Toc131416134"/>
      <w:bookmarkStart w:id="1590" w:name="_Toc170193317"/>
      <w:r>
        <w:rPr>
          <w:rStyle w:val="CharSectno"/>
        </w:rPr>
        <w:t>75JF</w:t>
      </w:r>
      <w:r>
        <w:rPr>
          <w:snapToGrid w:val="0"/>
        </w:rPr>
        <w:t>.</w:t>
      </w:r>
      <w:r>
        <w:rPr>
          <w:snapToGrid w:val="0"/>
        </w:rPr>
        <w:tab/>
        <w:t>Claw</w:t>
      </w:r>
      <w:r>
        <w:rPr>
          <w:snapToGrid w:val="0"/>
        </w:rPr>
        <w:noBreakHyphen/>
        <w:t>back (Part IIIBA statements)</w:t>
      </w:r>
      <w:bookmarkEnd w:id="1582"/>
      <w:bookmarkEnd w:id="1583"/>
      <w:bookmarkEnd w:id="1584"/>
      <w:bookmarkEnd w:id="1585"/>
      <w:bookmarkEnd w:id="1586"/>
      <w:bookmarkEnd w:id="1587"/>
      <w:bookmarkEnd w:id="1588"/>
      <w:bookmarkEnd w:id="1589"/>
      <w:bookmarkEnd w:id="1590"/>
      <w:del w:id="1591" w:author="svcMRProcess" w:date="2020-02-20T23:16:00Z">
        <w:r>
          <w:rPr>
            <w:snapToGrid w:val="0"/>
          </w:rPr>
          <w:delText xml:space="preserve"> </w:delText>
        </w:r>
      </w:del>
    </w:p>
    <w:p>
      <w:pPr>
        <w:pStyle w:val="Subsection"/>
        <w:rPr>
          <w:snapToGrid w:val="0"/>
        </w:rPr>
      </w:pPr>
      <w:r>
        <w:rPr>
          <w:snapToGrid w:val="0"/>
        </w:rPr>
        <w:tab/>
      </w:r>
      <w:r>
        <w:rPr>
          <w:snapToGrid w:val="0"/>
        </w:rPr>
        <w:tab/>
        <w:t>If this section applies to a Part IIIBA statement —</w:t>
      </w:r>
      <w:del w:id="1592" w:author="svcMRProcess" w:date="2020-02-20T23:16:00Z">
        <w:r>
          <w:rPr>
            <w:snapToGrid w:val="0"/>
          </w:rPr>
          <w:delText> </w:delText>
        </w:r>
      </w:del>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del w:id="1593" w:author="svcMRProcess" w:date="2020-02-20T23:16:00Z">
        <w:r>
          <w:delText xml:space="preserve"> </w:delText>
        </w:r>
      </w:del>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del w:id="1594" w:author="svcMRProcess" w:date="2020-02-20T23:16:00Z">
        <w:r>
          <w:rPr>
            <w:snapToGrid w:val="0"/>
          </w:rPr>
          <w:delText> </w:delText>
        </w:r>
      </w:del>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del w:id="1595" w:author="svcMRProcess" w:date="2020-02-20T23:16:00Z">
        <w:r>
          <w:delText xml:space="preserve"> </w:delText>
        </w:r>
      </w:del>
    </w:p>
    <w:p>
      <w:pPr>
        <w:pStyle w:val="Heading5"/>
        <w:rPr>
          <w:snapToGrid w:val="0"/>
        </w:rPr>
      </w:pPr>
      <w:bookmarkStart w:id="1596" w:name="_Toc500739966"/>
      <w:bookmarkStart w:id="1597" w:name="_Toc520101158"/>
      <w:bookmarkStart w:id="1598" w:name="_Toc520533057"/>
      <w:bookmarkStart w:id="1599" w:name="_Toc49223942"/>
      <w:bookmarkStart w:id="1600" w:name="_Toc107054939"/>
      <w:bookmarkStart w:id="1601" w:name="_Toc134854676"/>
      <w:bookmarkStart w:id="1602" w:name="_Toc136841129"/>
      <w:bookmarkStart w:id="1603" w:name="_Toc131416135"/>
      <w:bookmarkStart w:id="1604" w:name="_Toc170193318"/>
      <w:r>
        <w:rPr>
          <w:rStyle w:val="CharSectno"/>
        </w:rPr>
        <w:t>75JG</w:t>
      </w:r>
      <w:r>
        <w:rPr>
          <w:snapToGrid w:val="0"/>
        </w:rPr>
        <w:t>.</w:t>
      </w:r>
      <w:r>
        <w:rPr>
          <w:snapToGrid w:val="0"/>
        </w:rPr>
        <w:tab/>
        <w:t>Offences and recovery of duty etc.</w:t>
      </w:r>
      <w:bookmarkEnd w:id="1596"/>
      <w:bookmarkEnd w:id="1597"/>
      <w:bookmarkEnd w:id="1598"/>
      <w:bookmarkEnd w:id="1599"/>
      <w:bookmarkEnd w:id="1600"/>
      <w:bookmarkEnd w:id="1601"/>
      <w:bookmarkEnd w:id="1602"/>
      <w:bookmarkEnd w:id="1603"/>
      <w:bookmarkEnd w:id="1604"/>
      <w:del w:id="1605" w:author="svcMRProcess" w:date="2020-02-20T23:16:00Z">
        <w:r>
          <w:rPr>
            <w:snapToGrid w:val="0"/>
          </w:rPr>
          <w:delText xml:space="preserve"> </w:delText>
        </w:r>
      </w:del>
    </w:p>
    <w:p>
      <w:pPr>
        <w:pStyle w:val="Subsection"/>
      </w:pPr>
      <w:r>
        <w:tab/>
        <w:t>(1)</w:t>
      </w:r>
      <w:r>
        <w:tab/>
        <w:t>If a person contravenes section 75JA(3)(c) or 75JB(4) or</w:t>
      </w:r>
      <w:del w:id="1606" w:author="svcMRProcess" w:date="2020-02-20T23:16:00Z">
        <w:r>
          <w:delText xml:space="preserve"> </w:delText>
        </w:r>
      </w:del>
      <w:ins w:id="1607" w:author="svcMRProcess" w:date="2020-02-20T23:16:00Z">
        <w:r>
          <w:t> </w:t>
        </w:r>
      </w:ins>
      <w:r>
        <w:t>(5f)(c) —</w:t>
      </w:r>
      <w:del w:id="1608" w:author="svcMRProcess" w:date="2020-02-20T23:16:00Z">
        <w:r>
          <w:delText> </w:delText>
        </w:r>
      </w:del>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del w:id="1609" w:author="svcMRProcess" w:date="2020-02-20T23:16:00Z">
        <w:r>
          <w:delText xml:space="preserve"> </w:delText>
        </w:r>
      </w:del>
    </w:p>
    <w:p>
      <w:pPr>
        <w:pStyle w:val="Heading2"/>
      </w:pPr>
      <w:bookmarkStart w:id="1610" w:name="_Toc58902596"/>
      <w:bookmarkStart w:id="1611" w:name="_Toc76899609"/>
      <w:bookmarkStart w:id="1612" w:name="_Toc78090511"/>
      <w:bookmarkStart w:id="1613" w:name="_Toc88886879"/>
      <w:bookmarkStart w:id="1614" w:name="_Toc90443495"/>
      <w:bookmarkStart w:id="1615" w:name="_Toc90452846"/>
      <w:bookmarkStart w:id="1616" w:name="_Toc100029437"/>
      <w:bookmarkStart w:id="1617" w:name="_Toc100031510"/>
      <w:bookmarkStart w:id="1618" w:name="_Toc100458569"/>
      <w:bookmarkStart w:id="1619" w:name="_Toc101671985"/>
      <w:bookmarkStart w:id="1620" w:name="_Toc101672242"/>
      <w:bookmarkStart w:id="1621" w:name="_Toc102799268"/>
      <w:bookmarkStart w:id="1622" w:name="_Toc102981942"/>
      <w:bookmarkStart w:id="1623" w:name="_Toc103403255"/>
      <w:bookmarkStart w:id="1624" w:name="_Toc103403512"/>
      <w:bookmarkStart w:id="1625" w:name="_Toc103747511"/>
      <w:bookmarkStart w:id="1626" w:name="_Toc107054940"/>
      <w:bookmarkStart w:id="1627" w:name="_Toc113874387"/>
      <w:bookmarkStart w:id="1628" w:name="_Toc113956803"/>
      <w:bookmarkStart w:id="1629" w:name="_Toc116717359"/>
      <w:bookmarkStart w:id="1630" w:name="_Toc116813386"/>
      <w:bookmarkStart w:id="1631" w:name="_Toc122333038"/>
      <w:bookmarkStart w:id="1632" w:name="_Toc122862008"/>
      <w:bookmarkStart w:id="1633" w:name="_Toc122862604"/>
      <w:bookmarkStart w:id="1634" w:name="_Toc122921211"/>
      <w:bookmarkStart w:id="1635" w:name="_Toc122921471"/>
      <w:bookmarkStart w:id="1636" w:name="_Toc122947416"/>
      <w:bookmarkStart w:id="1637" w:name="_Toc124046252"/>
      <w:bookmarkStart w:id="1638" w:name="_Toc130266573"/>
      <w:bookmarkStart w:id="1639" w:name="_Toc130266849"/>
      <w:bookmarkStart w:id="1640" w:name="_Toc131382952"/>
      <w:bookmarkStart w:id="1641" w:name="_Toc133812333"/>
      <w:bookmarkStart w:id="1642" w:name="_Toc133920280"/>
      <w:bookmarkStart w:id="1643" w:name="_Toc134854677"/>
      <w:bookmarkStart w:id="1644" w:name="_Toc134854953"/>
      <w:bookmarkStart w:id="1645" w:name="_Toc136841130"/>
      <w:bookmarkStart w:id="1646" w:name="_Toc131415837"/>
      <w:bookmarkStart w:id="1647" w:name="_Toc131416136"/>
      <w:bookmarkStart w:id="1648" w:name="_Toc170193319"/>
      <w:r>
        <w:rPr>
          <w:rStyle w:val="CharPartNo"/>
        </w:rPr>
        <w:t>Part IIIBA</w:t>
      </w:r>
      <w:r>
        <w:t> — </w:t>
      </w:r>
      <w:r>
        <w:rPr>
          <w:rStyle w:val="CharPartText"/>
        </w:rPr>
        <w:t>Duty on change of control of certain land</w:t>
      </w:r>
      <w:r>
        <w:rPr>
          <w:rStyle w:val="CharPartText"/>
        </w:rPr>
        <w:noBreakHyphen/>
        <w:t>owning corporations</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del w:id="1649" w:author="svcMRProcess" w:date="2020-02-20T23:16:00Z">
        <w:r>
          <w:rPr>
            <w:rStyle w:val="CharPartText"/>
          </w:rPr>
          <w:delText xml:space="preserve"> </w:delText>
        </w:r>
      </w:del>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650" w:name="_Toc58902597"/>
      <w:bookmarkStart w:id="1651" w:name="_Toc76899610"/>
      <w:bookmarkStart w:id="1652" w:name="_Toc78090512"/>
      <w:bookmarkStart w:id="1653" w:name="_Toc88886880"/>
      <w:bookmarkStart w:id="1654" w:name="_Toc90443496"/>
      <w:bookmarkStart w:id="1655" w:name="_Toc90452847"/>
      <w:bookmarkStart w:id="1656" w:name="_Toc100029438"/>
      <w:bookmarkStart w:id="1657" w:name="_Toc100031511"/>
      <w:bookmarkStart w:id="1658" w:name="_Toc100458570"/>
      <w:bookmarkStart w:id="1659" w:name="_Toc101671986"/>
      <w:bookmarkStart w:id="1660" w:name="_Toc101672243"/>
      <w:bookmarkStart w:id="1661" w:name="_Toc102799269"/>
      <w:bookmarkStart w:id="1662" w:name="_Toc102981943"/>
      <w:bookmarkStart w:id="1663" w:name="_Toc103403256"/>
      <w:bookmarkStart w:id="1664" w:name="_Toc103403513"/>
      <w:bookmarkStart w:id="1665" w:name="_Toc103747512"/>
      <w:bookmarkStart w:id="1666" w:name="_Toc107054941"/>
      <w:bookmarkStart w:id="1667" w:name="_Toc113874388"/>
      <w:bookmarkStart w:id="1668" w:name="_Toc113956804"/>
      <w:bookmarkStart w:id="1669" w:name="_Toc116717360"/>
      <w:bookmarkStart w:id="1670" w:name="_Toc116813387"/>
      <w:bookmarkStart w:id="1671" w:name="_Toc122333039"/>
      <w:bookmarkStart w:id="1672" w:name="_Toc122862009"/>
      <w:bookmarkStart w:id="1673" w:name="_Toc122862605"/>
      <w:bookmarkStart w:id="1674" w:name="_Toc122921212"/>
      <w:bookmarkStart w:id="1675" w:name="_Toc122921472"/>
      <w:bookmarkStart w:id="1676" w:name="_Toc122947417"/>
      <w:bookmarkStart w:id="1677" w:name="_Toc124046253"/>
      <w:bookmarkStart w:id="1678" w:name="_Toc130266574"/>
      <w:bookmarkStart w:id="1679" w:name="_Toc130266850"/>
      <w:bookmarkStart w:id="1680" w:name="_Toc131382953"/>
      <w:bookmarkStart w:id="1681" w:name="_Toc133812334"/>
      <w:bookmarkStart w:id="1682" w:name="_Toc133920281"/>
      <w:bookmarkStart w:id="1683" w:name="_Toc134854678"/>
      <w:bookmarkStart w:id="1684" w:name="_Toc134854954"/>
      <w:bookmarkStart w:id="1685" w:name="_Toc136841131"/>
      <w:bookmarkStart w:id="1686" w:name="_Toc131415838"/>
      <w:bookmarkStart w:id="1687" w:name="_Toc131416137"/>
      <w:bookmarkStart w:id="1688" w:name="_Toc170193320"/>
      <w:r>
        <w:rPr>
          <w:rStyle w:val="CharDivNo"/>
        </w:rPr>
        <w:t>Division 1</w:t>
      </w:r>
      <w:r>
        <w:rPr>
          <w:snapToGrid w:val="0"/>
        </w:rPr>
        <w:t> — </w:t>
      </w:r>
      <w:r>
        <w:rPr>
          <w:rStyle w:val="CharDivText"/>
        </w:rPr>
        <w:t xml:space="preserve">Provisions applicable to </w:t>
      </w:r>
      <w:bookmarkEnd w:id="1650"/>
      <w:r>
        <w:rPr>
          <w:rStyle w:val="CharDivText"/>
        </w:rPr>
        <w:t>this Part</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Footnoteheading"/>
        <w:tabs>
          <w:tab w:val="left" w:pos="923"/>
        </w:tabs>
        <w:ind w:left="937" w:hanging="937"/>
        <w:rPr>
          <w:snapToGrid w:val="0"/>
        </w:rPr>
      </w:pPr>
      <w:r>
        <w:rPr>
          <w:snapToGrid w:val="0"/>
        </w:rPr>
        <w:tab/>
        <w:t>[Heading inserted by No. 33 of 1987 s. 22; amended by No. 11 of 2004 s. 16.]</w:t>
      </w:r>
      <w:del w:id="1689" w:author="svcMRProcess" w:date="2020-02-20T23:16:00Z">
        <w:r>
          <w:rPr>
            <w:snapToGrid w:val="0"/>
          </w:rPr>
          <w:delText xml:space="preserve"> </w:delText>
        </w:r>
      </w:del>
    </w:p>
    <w:p>
      <w:pPr>
        <w:pStyle w:val="Heading5"/>
        <w:spacing w:before="120"/>
        <w:rPr>
          <w:snapToGrid w:val="0"/>
        </w:rPr>
      </w:pPr>
      <w:bookmarkStart w:id="1690" w:name="_Toc500739967"/>
      <w:bookmarkStart w:id="1691" w:name="_Toc520101159"/>
      <w:bookmarkStart w:id="1692" w:name="_Toc520533058"/>
      <w:bookmarkStart w:id="1693" w:name="_Toc49223943"/>
      <w:bookmarkStart w:id="1694" w:name="_Toc107054942"/>
      <w:bookmarkStart w:id="1695" w:name="_Toc134854679"/>
      <w:bookmarkStart w:id="1696" w:name="_Toc136841132"/>
      <w:bookmarkStart w:id="1697" w:name="_Toc131416138"/>
      <w:bookmarkStart w:id="1698" w:name="_Toc170193321"/>
      <w:r>
        <w:rPr>
          <w:rStyle w:val="CharSectno"/>
        </w:rPr>
        <w:t>76</w:t>
      </w:r>
      <w:r>
        <w:rPr>
          <w:snapToGrid w:val="0"/>
        </w:rPr>
        <w:t>.</w:t>
      </w:r>
      <w:r>
        <w:rPr>
          <w:snapToGrid w:val="0"/>
        </w:rPr>
        <w:tab/>
        <w:t>Interpretation in Part IIIBA</w:t>
      </w:r>
      <w:bookmarkEnd w:id="1690"/>
      <w:bookmarkEnd w:id="1691"/>
      <w:bookmarkEnd w:id="1692"/>
      <w:bookmarkEnd w:id="1693"/>
      <w:bookmarkEnd w:id="1694"/>
      <w:bookmarkEnd w:id="1695"/>
      <w:bookmarkEnd w:id="1696"/>
      <w:bookmarkEnd w:id="1697"/>
      <w:bookmarkEnd w:id="1698"/>
      <w:del w:id="1699" w:author="svcMRProcess" w:date="2020-02-20T23:16:00Z">
        <w:r>
          <w:rPr>
            <w:snapToGrid w:val="0"/>
          </w:rPr>
          <w:delText xml:space="preserve"> </w:delText>
        </w:r>
      </w:del>
    </w:p>
    <w:p>
      <w:pPr>
        <w:pStyle w:val="Subsection"/>
        <w:rPr>
          <w:snapToGrid w:val="0"/>
        </w:rPr>
      </w:pPr>
      <w:r>
        <w:rPr>
          <w:snapToGrid w:val="0"/>
        </w:rPr>
        <w:tab/>
        <w:t>(1)</w:t>
      </w:r>
      <w:r>
        <w:rPr>
          <w:snapToGrid w:val="0"/>
        </w:rPr>
        <w:tab/>
        <w:t>In this Part, unless the contrary intention appears —</w:t>
      </w:r>
      <w:del w:id="1700" w:author="svcMRProcess" w:date="2020-02-20T23:16:00Z">
        <w:r>
          <w:rPr>
            <w:snapToGrid w:val="0"/>
          </w:rPr>
          <w:delText> </w:delText>
        </w:r>
      </w:del>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del w:id="1701" w:author="svcMRProcess" w:date="2020-02-20T23:16:00Z">
        <w:r>
          <w:delText> </w:delText>
        </w:r>
      </w:del>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del w:id="1702" w:author="svcMRProcess" w:date="2020-02-20T23:16:00Z">
        <w:r>
          <w:delText> </w:delText>
        </w:r>
      </w:del>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del w:id="1703" w:author="svcMRProcess" w:date="2020-02-20T23:16:00Z">
        <w:r>
          <w:delText> </w:delText>
        </w:r>
      </w:del>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del w:id="1704" w:author="svcMRProcess" w:date="2020-02-20T23:16:00Z">
        <w:r>
          <w:delText> </w:delText>
        </w:r>
      </w:del>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del w:id="1705" w:author="svcMRProcess" w:date="2020-02-20T23:16:00Z">
        <w:r>
          <w:rPr>
            <w:vertAlign w:val="superscript"/>
          </w:rPr>
          <w:delText>3</w:delText>
        </w:r>
      </w:del>
      <w:ins w:id="1706" w:author="svcMRProcess" w:date="2020-02-20T23:16:00Z">
        <w:r>
          <w:rPr>
            <w:vertAlign w:val="superscript"/>
          </w:rPr>
          <w:t>2</w:t>
        </w:r>
      </w:ins>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w:t>
      </w:r>
      <w:del w:id="1707" w:author="svcMRProcess" w:date="2020-02-20T23:16:00Z">
        <w:r>
          <w:delText xml:space="preserve"> </w:delText>
        </w:r>
      </w:del>
      <w:ins w:id="1708" w:author="svcMRProcess" w:date="2020-02-20T23:16:00Z">
        <w:r>
          <w:t> </w:t>
        </w:r>
      </w:ins>
      <w:r>
        <w:t>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del w:id="1709" w:author="svcMRProcess" w:date="2020-02-20T23:16:00Z">
        <w:r>
          <w:rPr>
            <w:snapToGrid w:val="0"/>
          </w:rPr>
          <w:delText> </w:delText>
        </w:r>
      </w:del>
    </w:p>
    <w:p>
      <w:pPr>
        <w:pStyle w:val="Indenta"/>
        <w:rPr>
          <w:snapToGrid w:val="0"/>
        </w:rPr>
      </w:pPr>
      <w:r>
        <w:rPr>
          <w:snapToGrid w:val="0"/>
        </w:rPr>
        <w:tab/>
        <w:t>(a)</w:t>
      </w:r>
      <w:r>
        <w:rPr>
          <w:snapToGrid w:val="0"/>
        </w:rPr>
        <w:tab/>
        <w:t>are associated persons in relation to a corporation —</w:t>
      </w:r>
      <w:del w:id="1710" w:author="svcMRProcess" w:date="2020-02-20T23:16:00Z">
        <w:r>
          <w:rPr>
            <w:snapToGrid w:val="0"/>
          </w:rPr>
          <w:delText> </w:delText>
        </w:r>
      </w:del>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del w:id="1711" w:author="svcMRProcess" w:date="2020-02-20T23:16:00Z">
        <w:r>
          <w:rPr>
            <w:snapToGrid w:val="0"/>
          </w:rPr>
          <w:delText> </w:delText>
        </w:r>
      </w:del>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del w:id="1712" w:author="svcMRProcess" w:date="2020-02-20T23:16:00Z">
        <w:r>
          <w:rPr>
            <w:snapToGrid w:val="0"/>
          </w:rPr>
          <w:delText> </w:delText>
        </w:r>
      </w:del>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del w:id="1713" w:author="svcMRProcess" w:date="2020-02-20T23:16:00Z">
        <w:r>
          <w:rPr>
            <w:snapToGrid w:val="0"/>
          </w:rPr>
          <w:delText> </w:delText>
        </w:r>
      </w:del>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del w:id="1714" w:author="svcMRProcess" w:date="2020-02-20T23:16:00Z">
        <w:r>
          <w:rPr>
            <w:snapToGrid w:val="0"/>
          </w:rPr>
          <w:delText> </w:delText>
        </w:r>
      </w:del>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spacing w:before="60"/>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spacing w:before="120"/>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spacing w:before="120"/>
      </w:pPr>
      <w:r>
        <w:tab/>
        <w:t>(5)</w:t>
      </w:r>
      <w:r>
        <w:tab/>
        <w:t>For the purposes of this Part, the entitlement that a person would have at a particular time to participate in the distribution of the property of a corporation on a winding up of the corporation is an entitlement to an amount calculated —</w:t>
      </w:r>
      <w:del w:id="1715" w:author="svcMRProcess" w:date="2020-02-20T23:16:00Z">
        <w:r>
          <w:delText> </w:delText>
        </w:r>
      </w:del>
    </w:p>
    <w:p>
      <w:pPr>
        <w:pStyle w:val="Indenta"/>
        <w:spacing w:before="60"/>
      </w:pPr>
      <w:r>
        <w:tab/>
        <w:t>(a)</w:t>
      </w:r>
      <w:r>
        <w:tab/>
        <w:t>as if the winding up were carried out at that time in accordance with the rules of the corporation and any law relevant to the winding up, as the rules and law then exist; or</w:t>
      </w:r>
    </w:p>
    <w:p>
      <w:pPr>
        <w:pStyle w:val="Indenta"/>
        <w:spacing w:before="60"/>
      </w:pPr>
      <w:r>
        <w:tab/>
        <w:t>(b)</w:t>
      </w:r>
      <w:r>
        <w:tab/>
        <w:t>as if the person had, immediately prior to the winding up, exercised all powers and discretions exercisable by the person by reason of having acquired an interest in the corporation —</w:t>
      </w:r>
      <w:del w:id="1716" w:author="svcMRProcess" w:date="2020-02-20T23:16:00Z">
        <w:r>
          <w:delText> </w:delText>
        </w:r>
      </w:del>
    </w:p>
    <w:p>
      <w:pPr>
        <w:pStyle w:val="Indenti"/>
        <w:spacing w:before="60"/>
      </w:pPr>
      <w:r>
        <w:tab/>
        <w:t>(i)</w:t>
      </w:r>
      <w:r>
        <w:tab/>
        <w:t>to effect or compel an alteration to the rules;</w:t>
      </w:r>
    </w:p>
    <w:p>
      <w:pPr>
        <w:pStyle w:val="Indenti"/>
        <w:spacing w:before="60"/>
      </w:pPr>
      <w:r>
        <w:tab/>
        <w:t>(ii)</w:t>
      </w:r>
      <w:r>
        <w:tab/>
        <w:t>to vary the rights conferred by shares in the corporation; or</w:t>
      </w:r>
    </w:p>
    <w:p>
      <w:pPr>
        <w:pStyle w:val="Indenti"/>
        <w:spacing w:before="60"/>
      </w:pPr>
      <w:r>
        <w:tab/>
        <w:t>(iii)</w:t>
      </w:r>
      <w:r>
        <w:tab/>
        <w:t>to effect or compel the substitution or replacement of shares in the corporation with other shares in the corporation,</w:t>
      </w:r>
    </w:p>
    <w:p>
      <w:pPr>
        <w:pStyle w:val="Indenta"/>
        <w:spacing w:before="60"/>
      </w:pPr>
      <w:r>
        <w:tab/>
      </w:r>
      <w:r>
        <w:tab/>
        <w:t>in such manner as to maximise that amount,</w:t>
      </w:r>
    </w:p>
    <w:p>
      <w:pPr>
        <w:pStyle w:val="Subsection"/>
        <w:spacing w:before="120"/>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spacing w:before="120"/>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2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del w:id="1717" w:author="svcMRProcess" w:date="2020-02-20T23:16:00Z">
        <w:r>
          <w:rPr>
            <w:snapToGrid w:val="0"/>
          </w:rPr>
          <w:delText> </w:delText>
        </w:r>
      </w:del>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2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del w:id="1718" w:author="svcMRProcess" w:date="2020-02-20T23:16:00Z">
        <w:r>
          <w:rPr>
            <w:snapToGrid w:val="0"/>
          </w:rPr>
          <w:delText> </w:delText>
        </w:r>
      </w:del>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del w:id="1719" w:author="svcMRProcess" w:date="2020-02-20T23:16:00Z">
        <w:r>
          <w:delText xml:space="preserve"> </w:delText>
        </w:r>
      </w:del>
    </w:p>
    <w:p>
      <w:pPr>
        <w:pStyle w:val="Heading5"/>
      </w:pPr>
      <w:bookmarkStart w:id="1720" w:name="_Toc49223944"/>
      <w:bookmarkStart w:id="1721" w:name="_Toc107054943"/>
      <w:bookmarkStart w:id="1722" w:name="_Toc134854680"/>
      <w:bookmarkStart w:id="1723" w:name="_Toc136841133"/>
      <w:bookmarkStart w:id="1724" w:name="_Toc131416139"/>
      <w:bookmarkStart w:id="1725" w:name="_Toc170193322"/>
      <w:r>
        <w:rPr>
          <w:rStyle w:val="CharSectno"/>
        </w:rPr>
        <w:t>76A</w:t>
      </w:r>
      <w:r>
        <w:t>.</w:t>
      </w:r>
      <w:r>
        <w:tab/>
        <w:t>Relevant acquisitions by trustees</w:t>
      </w:r>
      <w:bookmarkEnd w:id="1720"/>
      <w:bookmarkEnd w:id="1721"/>
      <w:bookmarkEnd w:id="1722"/>
      <w:bookmarkEnd w:id="1723"/>
      <w:bookmarkEnd w:id="1724"/>
      <w:bookmarkEnd w:id="1725"/>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If the combined interest in the WA company or corporation of a beneficiary and any person related to the beneficiary is greater than the combined interest of the trustee and any person related to the trustee —</w:t>
      </w:r>
      <w:del w:id="1726" w:author="svcMRProcess" w:date="2020-02-20T23:16:00Z">
        <w:r>
          <w:delText xml:space="preserve"> </w:delText>
        </w:r>
      </w:del>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1727" w:name="_Toc49223945"/>
      <w:bookmarkStart w:id="1728" w:name="_Toc107054944"/>
      <w:bookmarkStart w:id="1729" w:name="_Toc134854681"/>
      <w:bookmarkStart w:id="1730" w:name="_Toc136841134"/>
      <w:bookmarkStart w:id="1731" w:name="_Toc131416140"/>
      <w:bookmarkStart w:id="1732" w:name="_Toc170193323"/>
      <w:r>
        <w:rPr>
          <w:rStyle w:val="CharSectno"/>
        </w:rPr>
        <w:t>76AA</w:t>
      </w:r>
      <w:r>
        <w:t>.</w:t>
      </w:r>
      <w:r>
        <w:tab/>
        <w:t>Assessment in the absence of a dutiable statement</w:t>
      </w:r>
      <w:bookmarkEnd w:id="1727"/>
      <w:bookmarkEnd w:id="1728"/>
      <w:bookmarkEnd w:id="1729"/>
      <w:bookmarkEnd w:id="1730"/>
      <w:bookmarkEnd w:id="1731"/>
      <w:bookmarkEnd w:id="1732"/>
      <w:del w:id="1733" w:author="svcMRProcess" w:date="2020-02-20T23:16:00Z">
        <w:r>
          <w:delText xml:space="preserve"> </w:delText>
        </w:r>
      </w:del>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del w:id="1734" w:author="svcMRProcess" w:date="2020-02-20T23:16:00Z">
        <w:r>
          <w:delText xml:space="preserve"> </w:delText>
        </w:r>
      </w:del>
    </w:p>
    <w:p>
      <w:pPr>
        <w:pStyle w:val="Indenta"/>
        <w:spacing w:before="60"/>
      </w:pPr>
      <w:r>
        <w:tab/>
        <w:t>(a)</w:t>
      </w:r>
      <w:r>
        <w:tab/>
        <w:t>the corporation were a corporation to which Division 3 or 3b applies;</w:t>
      </w:r>
    </w:p>
    <w:p>
      <w:pPr>
        <w:pStyle w:val="Indenta"/>
        <w:spacing w:before="60"/>
      </w:pPr>
      <w:r>
        <w:tab/>
        <w:t>(b)</w:t>
      </w:r>
      <w:r>
        <w:tab/>
        <w:t>an acquisition had occurred; and</w:t>
      </w:r>
      <w:del w:id="1735" w:author="svcMRProcess" w:date="2020-02-20T23:16:00Z">
        <w:r>
          <w:delText xml:space="preserve"> </w:delText>
        </w:r>
      </w:del>
    </w:p>
    <w:p>
      <w:pPr>
        <w:pStyle w:val="Indenta"/>
        <w:spacing w:before="60"/>
      </w:pPr>
      <w:r>
        <w:tab/>
        <w:t>(c)</w:t>
      </w:r>
      <w:r>
        <w:tab/>
        <w:t>the acquisition resulted in a person having an entitlement referred to in section 76AR(1) or 76ATK(1) to such an extent as the Commissioner may determine.</w:t>
      </w:r>
      <w:del w:id="1736" w:author="svcMRProcess" w:date="2020-02-20T23:16:00Z">
        <w:r>
          <w:delText xml:space="preserve"> </w:delText>
        </w:r>
      </w:del>
    </w:p>
    <w:p>
      <w:pPr>
        <w:pStyle w:val="Footnotesection"/>
      </w:pPr>
      <w:r>
        <w:tab/>
        <w:t>[Section 76AA inserted by No. 2 of 2003 s. 86; amended by No. 66 of 2003 s. 59; No. 11 of 2004 s. 19.]</w:t>
      </w:r>
    </w:p>
    <w:p>
      <w:pPr>
        <w:pStyle w:val="Heading5"/>
      </w:pPr>
      <w:bookmarkStart w:id="1737" w:name="_Toc107054945"/>
      <w:bookmarkStart w:id="1738" w:name="_Toc134854682"/>
      <w:bookmarkStart w:id="1739" w:name="_Toc136841135"/>
      <w:bookmarkStart w:id="1740" w:name="_Toc131416141"/>
      <w:bookmarkStart w:id="1741" w:name="_Toc170193324"/>
      <w:r>
        <w:rPr>
          <w:rStyle w:val="CharSectno"/>
        </w:rPr>
        <w:t>76AB</w:t>
      </w:r>
      <w:r>
        <w:t>.</w:t>
      </w:r>
      <w:r>
        <w:tab/>
        <w:t>Request that Commissioner determine whether dutiable statement is required to be lodged</w:t>
      </w:r>
      <w:bookmarkEnd w:id="1737"/>
      <w:bookmarkEnd w:id="1738"/>
      <w:bookmarkEnd w:id="1739"/>
      <w:bookmarkEnd w:id="1740"/>
      <w:bookmarkEnd w:id="1741"/>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del w:id="1742" w:author="svcMRProcess" w:date="2020-02-20T23:16:00Z">
        <w:r>
          <w:delText xml:space="preserve"> </w:delText>
        </w:r>
      </w:del>
    </w:p>
    <w:p>
      <w:pPr>
        <w:pStyle w:val="Indenta"/>
        <w:spacing w:before="60"/>
      </w:pPr>
      <w:r>
        <w:tab/>
        <w:t>(a)</w:t>
      </w:r>
      <w:r>
        <w:tab/>
        <w:t>the information that would be required under —</w:t>
      </w:r>
      <w:del w:id="1743" w:author="svcMRProcess" w:date="2020-02-20T23:16:00Z">
        <w:r>
          <w:delText xml:space="preserve"> </w:delText>
        </w:r>
      </w:del>
    </w:p>
    <w:p>
      <w:pPr>
        <w:pStyle w:val="Indenti"/>
        <w:spacing w:before="60"/>
      </w:pPr>
      <w:r>
        <w:tab/>
        <w:t>(i)</w:t>
      </w:r>
      <w:r>
        <w:tab/>
        <w:t>section 76AG(4)(a) to (f);</w:t>
      </w:r>
    </w:p>
    <w:p>
      <w:pPr>
        <w:pStyle w:val="Indenti"/>
      </w:pPr>
      <w:r>
        <w:tab/>
        <w:t>(ii)</w:t>
      </w:r>
      <w:r>
        <w:tab/>
        <w:t>section 76AN(3)(a) to (f);</w:t>
      </w:r>
      <w:del w:id="1744" w:author="svcMRProcess" w:date="2020-02-20T23:16:00Z">
        <w:r>
          <w:delText xml:space="preserve"> </w:delText>
        </w:r>
      </w:del>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del w:id="1745" w:author="svcMRProcess" w:date="2020-02-20T23:16:00Z">
        <w:r>
          <w:delText xml:space="preserve"> </w:delText>
        </w:r>
      </w:del>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del w:id="1746" w:author="svcMRProcess" w:date="2020-02-20T23:16:00Z">
        <w:r>
          <w:delText xml:space="preserve"> </w:delText>
        </w:r>
      </w:del>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1747" w:name="_Toc58902601"/>
      <w:bookmarkStart w:id="1748" w:name="_Toc76899615"/>
      <w:bookmarkStart w:id="1749" w:name="_Toc78090517"/>
      <w:bookmarkStart w:id="1750" w:name="_Toc88886885"/>
      <w:bookmarkStart w:id="1751" w:name="_Toc90443501"/>
      <w:bookmarkStart w:id="1752" w:name="_Toc90452852"/>
      <w:bookmarkStart w:id="1753" w:name="_Toc100029443"/>
      <w:bookmarkStart w:id="1754" w:name="_Toc100031516"/>
      <w:bookmarkStart w:id="1755" w:name="_Toc100458575"/>
      <w:bookmarkStart w:id="1756" w:name="_Toc101671991"/>
      <w:bookmarkStart w:id="1757" w:name="_Toc101672248"/>
      <w:bookmarkStart w:id="1758" w:name="_Toc102799274"/>
      <w:bookmarkStart w:id="1759" w:name="_Toc102981948"/>
      <w:bookmarkStart w:id="1760" w:name="_Toc103403261"/>
      <w:bookmarkStart w:id="1761" w:name="_Toc103403518"/>
      <w:bookmarkStart w:id="1762" w:name="_Toc103747517"/>
      <w:bookmarkStart w:id="1763" w:name="_Toc107054946"/>
      <w:bookmarkStart w:id="1764" w:name="_Toc113874393"/>
      <w:bookmarkStart w:id="1765" w:name="_Toc113956809"/>
      <w:bookmarkStart w:id="1766" w:name="_Toc116717365"/>
      <w:bookmarkStart w:id="1767" w:name="_Toc116813392"/>
      <w:bookmarkStart w:id="1768" w:name="_Toc122333044"/>
      <w:bookmarkStart w:id="1769" w:name="_Toc122862014"/>
      <w:bookmarkStart w:id="1770" w:name="_Toc122862610"/>
      <w:bookmarkStart w:id="1771" w:name="_Toc122921217"/>
      <w:bookmarkStart w:id="1772" w:name="_Toc122921477"/>
      <w:bookmarkStart w:id="1773" w:name="_Toc122947422"/>
      <w:bookmarkStart w:id="1774" w:name="_Toc124046258"/>
      <w:bookmarkStart w:id="1775" w:name="_Toc130266579"/>
      <w:bookmarkStart w:id="1776" w:name="_Toc130266855"/>
      <w:bookmarkStart w:id="1777" w:name="_Toc131382958"/>
      <w:bookmarkStart w:id="1778" w:name="_Toc133812339"/>
      <w:bookmarkStart w:id="1779" w:name="_Toc133920286"/>
      <w:bookmarkStart w:id="1780" w:name="_Toc134854683"/>
      <w:bookmarkStart w:id="1781" w:name="_Toc134854959"/>
      <w:bookmarkStart w:id="1782" w:name="_Toc136841136"/>
      <w:bookmarkStart w:id="1783" w:name="_Toc131415843"/>
      <w:bookmarkStart w:id="1784" w:name="_Toc131416142"/>
      <w:bookmarkStart w:id="1785" w:name="_Toc170193325"/>
      <w:r>
        <w:rPr>
          <w:rStyle w:val="CharDivNo"/>
        </w:rPr>
        <w:t>Division 2</w:t>
      </w:r>
      <w:r>
        <w:rPr>
          <w:snapToGrid w:val="0"/>
        </w:rPr>
        <w:t> — </w:t>
      </w:r>
      <w:r>
        <w:rPr>
          <w:rStyle w:val="CharDivText"/>
        </w:rPr>
        <w:t>Companies taken to be registered in Western Australia</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Footnoteheading"/>
        <w:tabs>
          <w:tab w:val="left" w:pos="923"/>
        </w:tabs>
        <w:ind w:left="937" w:hanging="937"/>
        <w:rPr>
          <w:snapToGrid w:val="0"/>
        </w:rPr>
      </w:pPr>
      <w:r>
        <w:rPr>
          <w:snapToGrid w:val="0"/>
        </w:rPr>
        <w:tab/>
        <w:t>[Heading inserted by No. 33 of 1987 s. 22; amended by No. 10 of 2001 s. 175; No. 2 of 2003 s. 87.]</w:t>
      </w:r>
      <w:del w:id="1786" w:author="svcMRProcess" w:date="2020-02-20T23:16:00Z">
        <w:r>
          <w:rPr>
            <w:snapToGrid w:val="0"/>
          </w:rPr>
          <w:delText xml:space="preserve"> </w:delText>
        </w:r>
      </w:del>
    </w:p>
    <w:p>
      <w:pPr>
        <w:pStyle w:val="Heading5"/>
        <w:rPr>
          <w:snapToGrid w:val="0"/>
        </w:rPr>
      </w:pPr>
      <w:bookmarkStart w:id="1787" w:name="_Toc500739975"/>
      <w:bookmarkStart w:id="1788" w:name="_Toc520101167"/>
      <w:bookmarkStart w:id="1789" w:name="_Toc520533066"/>
      <w:bookmarkStart w:id="1790" w:name="_Toc49223946"/>
      <w:bookmarkStart w:id="1791" w:name="_Toc107054947"/>
      <w:bookmarkStart w:id="1792" w:name="_Toc134854684"/>
      <w:bookmarkStart w:id="1793" w:name="_Toc136841137"/>
      <w:bookmarkStart w:id="1794" w:name="_Toc131416143"/>
      <w:bookmarkStart w:id="1795" w:name="_Toc170193326"/>
      <w:r>
        <w:rPr>
          <w:rStyle w:val="CharSectno"/>
        </w:rPr>
        <w:t>76AG</w:t>
      </w:r>
      <w:r>
        <w:rPr>
          <w:snapToGrid w:val="0"/>
        </w:rPr>
        <w:t>.</w:t>
      </w:r>
      <w:r>
        <w:rPr>
          <w:snapToGrid w:val="0"/>
        </w:rPr>
        <w:tab/>
      </w:r>
      <w:bookmarkEnd w:id="1787"/>
      <w:bookmarkEnd w:id="1788"/>
      <w:bookmarkEnd w:id="1789"/>
      <w:bookmarkEnd w:id="1790"/>
      <w:r>
        <w:rPr>
          <w:snapToGrid w:val="0"/>
        </w:rPr>
        <w:t>Preparation of dutiable statement</w:t>
      </w:r>
      <w:bookmarkEnd w:id="1791"/>
      <w:bookmarkEnd w:id="1792"/>
      <w:bookmarkEnd w:id="1793"/>
      <w:bookmarkEnd w:id="1794"/>
      <w:bookmarkEnd w:id="1795"/>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del w:id="1796" w:author="svcMRProcess" w:date="2020-02-20T23:16:00Z">
        <w:r>
          <w:rPr>
            <w:snapToGrid w:val="0"/>
          </w:rPr>
          <w:delText> </w:delText>
        </w:r>
      </w:del>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del w:id="1797" w:author="svcMRProcess" w:date="2020-02-20T23:16:00Z">
        <w:r>
          <w:rPr>
            <w:snapToGrid w:val="0"/>
          </w:rPr>
          <w:delText xml:space="preserve"> </w:delText>
        </w:r>
      </w:del>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[Section 76AG inserted by No. 33 of 1987 s. 22; amended by No. 41 of 1989 s. 15; No. 39 of 1994 s. 21; No. 22 of 1998 s. 38 and 39; No. 60 of 2000 s. 7; No. 3 of 2001 s. 20; No. 2 of 2003 s. 88; No. 66 of 2003 s. 61.]</w:t>
      </w:r>
      <w:del w:id="1798" w:author="svcMRProcess" w:date="2020-02-20T23:16:00Z">
        <w:r>
          <w:delText xml:space="preserve"> </w:delText>
        </w:r>
      </w:del>
    </w:p>
    <w:p>
      <w:pPr>
        <w:pStyle w:val="Heading5"/>
        <w:spacing w:before="180"/>
        <w:rPr>
          <w:snapToGrid w:val="0"/>
        </w:rPr>
      </w:pPr>
      <w:bookmarkStart w:id="1799" w:name="_Toc500739976"/>
      <w:bookmarkStart w:id="1800" w:name="_Toc520101168"/>
      <w:bookmarkStart w:id="1801" w:name="_Toc520533067"/>
      <w:bookmarkStart w:id="1802" w:name="_Toc49223947"/>
      <w:bookmarkStart w:id="1803" w:name="_Toc107054948"/>
      <w:bookmarkStart w:id="1804" w:name="_Toc134854685"/>
      <w:bookmarkStart w:id="1805" w:name="_Toc136841138"/>
      <w:bookmarkStart w:id="1806" w:name="_Toc131416144"/>
      <w:bookmarkStart w:id="1807" w:name="_Toc170193327"/>
      <w:r>
        <w:rPr>
          <w:rStyle w:val="CharSectno"/>
        </w:rPr>
        <w:t>76AH</w:t>
      </w:r>
      <w:r>
        <w:rPr>
          <w:snapToGrid w:val="0"/>
        </w:rPr>
        <w:t>.</w:t>
      </w:r>
      <w:r>
        <w:rPr>
          <w:snapToGrid w:val="0"/>
        </w:rPr>
        <w:tab/>
        <w:t>Statement chargeable with duty</w:t>
      </w:r>
      <w:bookmarkEnd w:id="1799"/>
      <w:bookmarkEnd w:id="1800"/>
      <w:bookmarkEnd w:id="1801"/>
      <w:bookmarkEnd w:id="1802"/>
      <w:bookmarkEnd w:id="1803"/>
      <w:bookmarkEnd w:id="1804"/>
      <w:bookmarkEnd w:id="1805"/>
      <w:bookmarkEnd w:id="1806"/>
      <w:bookmarkEnd w:id="1807"/>
      <w:del w:id="1808" w:author="svcMRProcess" w:date="2020-02-20T23:16:00Z">
        <w:r>
          <w:rPr>
            <w:snapToGrid w:val="0"/>
          </w:rPr>
          <w:delText xml:space="preserve"> </w:delText>
        </w:r>
      </w:del>
    </w:p>
    <w:p>
      <w:pPr>
        <w:pStyle w:val="Subsection"/>
        <w:spacing w:before="10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spacing w:before="60"/>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del w:id="1809" w:author="svcMRProcess" w:date="2020-02-20T23:16:00Z">
        <w:r>
          <w:rPr>
            <w:snapToGrid w:val="0"/>
          </w:rPr>
          <w:delText xml:space="preserve"> </w:delText>
        </w:r>
      </w:del>
    </w:p>
    <w:p>
      <w:pPr>
        <w:pStyle w:val="Indenta"/>
        <w:spacing w:before="60"/>
      </w:pPr>
      <w:r>
        <w:tab/>
        <w:t>(aa)</w:t>
      </w:r>
      <w:r>
        <w:tab/>
        <w:t>where the section 76AG statement relates to a relevant acquisition within section 76AJ(1)(a)(ii), the duty —</w:t>
      </w:r>
      <w:del w:id="1810" w:author="svcMRProcess" w:date="2020-02-20T23:16:00Z">
        <w:r>
          <w:delText xml:space="preserve"> </w:delText>
        </w:r>
      </w:del>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del w:id="1811" w:author="svcMRProcess" w:date="2020-02-20T23:16:00Z">
        <w:r>
          <w:rPr>
            <w:snapToGrid w:val="0"/>
          </w:rPr>
          <w:delText> </w:delText>
        </w:r>
      </w:del>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0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del w:id="1812" w:author="svcMRProcess" w:date="2020-02-20T23:16:00Z">
        <w:r>
          <w:rPr>
            <w:snapToGrid w:val="0"/>
          </w:rPr>
          <w:delText> </w:delText>
        </w:r>
      </w:del>
    </w:p>
    <w:p>
      <w:pPr>
        <w:pStyle w:val="Equation"/>
        <w:tabs>
          <w:tab w:val="left" w:pos="1418"/>
        </w:tabs>
        <w:spacing w:before="80"/>
        <w:rPr>
          <w:del w:id="1813" w:author="svcMRProcess" w:date="2020-02-20T23:16:00Z"/>
        </w:rPr>
      </w:pPr>
      <w:del w:id="1814" w:author="svcMRProcess" w:date="2020-02-20T23:16:00Z">
        <w:r>
          <w:tab/>
        </w:r>
        <w:r>
          <w:rPr>
            <w:position w:val="-26"/>
          </w:rPr>
          <w:pict>
            <v:shape id="_x0000_i1033" type="#_x0000_t75" style="width:81pt;height:30pt" fillcolor="window">
              <v:imagedata r:id="rId24" o:title=""/>
            </v:shape>
          </w:pict>
        </w:r>
      </w:del>
    </w:p>
    <w:p>
      <w:pPr>
        <w:pStyle w:val="Equation"/>
        <w:spacing w:before="120"/>
        <w:jc w:val="center"/>
        <w:rPr>
          <w:ins w:id="1815" w:author="svcMRProcess" w:date="2020-02-20T23:16:00Z"/>
        </w:rPr>
      </w:pPr>
      <w:ins w:id="1816" w:author="svcMRProcess" w:date="2020-02-20T23:16:00Z">
        <w:r>
          <w:rPr>
            <w:position w:val="-30"/>
          </w:rPr>
          <w:pict>
            <v:shape id="_x0000_i1034" type="#_x0000_t75" style="width:98.25pt;height:33.75pt">
              <v:imagedata r:id="rId25" o:title=""/>
            </v:shape>
          </w:pict>
        </w:r>
      </w:ins>
    </w:p>
    <w:p>
      <w:pPr>
        <w:pStyle w:val="Subsection"/>
        <w:keepNext/>
        <w:spacing w:before="80"/>
        <w:rPr>
          <w:snapToGrid w:val="0"/>
        </w:rPr>
      </w:pPr>
      <w:r>
        <w:rPr>
          <w:snapToGrid w:val="0"/>
        </w:rPr>
        <w:tab/>
      </w:r>
      <w:r>
        <w:rPr>
          <w:snapToGrid w:val="0"/>
        </w:rPr>
        <w:tab/>
        <w:t>where —</w:t>
      </w:r>
      <w:del w:id="1817" w:author="svcMRProcess" w:date="2020-02-20T23:16:00Z">
        <w:r>
          <w:rPr>
            <w:snapToGrid w:val="0"/>
          </w:rPr>
          <w:delText> </w:delText>
        </w:r>
      </w:del>
    </w:p>
    <w:p>
      <w:pPr>
        <w:pStyle w:val="Indenta"/>
        <w:spacing w:before="4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[Section 76AH inserted by No. 33 of 1987 s. 22; amended by No. 39 of 1994 s. 14 and 21; No. 22 of 1998 s. 38 and 40; No. 60 of 2000 s. 8; No. 36 of 2001 s. 22; No. 2 of 2003 s. 89; No. 66 of 2003 s. 62; No. 11 of 2004 s. 21.]</w:t>
      </w:r>
      <w:del w:id="1818" w:author="svcMRProcess" w:date="2020-02-20T23:16:00Z">
        <w:r>
          <w:delText xml:space="preserve"> </w:delText>
        </w:r>
      </w:del>
    </w:p>
    <w:p>
      <w:pPr>
        <w:pStyle w:val="Heading5"/>
        <w:spacing w:before="200"/>
        <w:rPr>
          <w:snapToGrid w:val="0"/>
        </w:rPr>
      </w:pPr>
      <w:bookmarkStart w:id="1819" w:name="_Toc500739977"/>
      <w:bookmarkStart w:id="1820" w:name="_Toc520101169"/>
      <w:bookmarkStart w:id="1821" w:name="_Toc520533068"/>
      <w:bookmarkStart w:id="1822" w:name="_Toc49223948"/>
      <w:bookmarkStart w:id="1823" w:name="_Toc107054949"/>
      <w:bookmarkStart w:id="1824" w:name="_Toc134854686"/>
      <w:bookmarkStart w:id="1825" w:name="_Toc136841139"/>
      <w:bookmarkStart w:id="1826" w:name="_Toc131416145"/>
      <w:bookmarkStart w:id="1827" w:name="_Toc170193328"/>
      <w:r>
        <w:rPr>
          <w:rStyle w:val="CharSectno"/>
        </w:rPr>
        <w:t>76AI</w:t>
      </w:r>
      <w:r>
        <w:rPr>
          <w:snapToGrid w:val="0"/>
        </w:rPr>
        <w:t>.</w:t>
      </w:r>
      <w:r>
        <w:rPr>
          <w:snapToGrid w:val="0"/>
        </w:rPr>
        <w:tab/>
        <w:t>Companies to which this Division applies</w:t>
      </w:r>
      <w:bookmarkEnd w:id="1819"/>
      <w:bookmarkEnd w:id="1820"/>
      <w:bookmarkEnd w:id="1821"/>
      <w:bookmarkEnd w:id="1822"/>
      <w:bookmarkEnd w:id="1823"/>
      <w:bookmarkEnd w:id="1824"/>
      <w:bookmarkEnd w:id="1825"/>
      <w:bookmarkEnd w:id="1826"/>
      <w:bookmarkEnd w:id="1827"/>
      <w:del w:id="1828" w:author="svcMRProcess" w:date="2020-02-20T23:16:00Z">
        <w:r>
          <w:rPr>
            <w:snapToGrid w:val="0"/>
          </w:rPr>
          <w:delText xml:space="preserve"> </w:delText>
        </w:r>
      </w:del>
    </w:p>
    <w:p>
      <w:pPr>
        <w:pStyle w:val="Subsection"/>
      </w:pPr>
      <w:r>
        <w:tab/>
        <w:t>(1)</w:t>
      </w:r>
      <w:r>
        <w:tab/>
        <w:t>This Division applies to a WA company if it is a land</w:t>
      </w:r>
      <w:r>
        <w:noBreakHyphen/>
        <w:t>holder within the meaning in subsection (2) unless —</w:t>
      </w:r>
      <w:del w:id="1829" w:author="svcMRProcess" w:date="2020-02-20T23:16:00Z">
        <w:r>
          <w:delText xml:space="preserve"> </w:delText>
        </w:r>
      </w:del>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del w:id="1830" w:author="svcMRProcess" w:date="2020-02-20T23:16:00Z">
        <w:r>
          <w:delText xml:space="preserve"> </w:delText>
        </w:r>
      </w:del>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del w:id="1831" w:author="svcMRProcess" w:date="2020-02-20T23:16:00Z">
        <w:r>
          <w:rPr>
            <w:snapToGrid w:val="0"/>
          </w:rPr>
          <w:delText> </w:delText>
        </w:r>
      </w:del>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del w:id="1832" w:author="svcMRProcess" w:date="2020-02-20T23:16:00Z">
        <w:r>
          <w:rPr>
            <w:snapToGrid w:val="0"/>
          </w:rPr>
          <w:delText> </w:delText>
        </w:r>
      </w:del>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del w:id="1833" w:author="svcMRProcess" w:date="2020-02-20T23:16:00Z">
        <w:r>
          <w:rPr>
            <w:snapToGrid w:val="0"/>
          </w:rPr>
          <w:delText> </w:delText>
        </w:r>
      </w:del>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del w:id="1834" w:author="svcMRProcess" w:date="2020-02-20T23:16:00Z">
        <w:r>
          <w:rPr>
            <w:snapToGrid w:val="0"/>
          </w:rPr>
          <w:delText> </w:delText>
        </w:r>
      </w:del>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w:t>
      </w:r>
      <w:del w:id="1835" w:author="svcMRProcess" w:date="2020-02-20T23:16:00Z">
        <w:r>
          <w:rPr>
            <w:snapToGrid w:val="0"/>
          </w:rPr>
          <w:delText> </w:delText>
        </w:r>
      </w:del>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w:t>
      </w:r>
      <w:del w:id="1836" w:author="svcMRProcess" w:date="2020-02-20T23:16:00Z">
        <w:r>
          <w:rPr>
            <w:snapToGrid w:val="0"/>
          </w:rPr>
          <w:delText> </w:delText>
        </w:r>
      </w:del>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del w:id="1837" w:author="svcMRProcess" w:date="2020-02-20T23:16:00Z">
        <w:r>
          <w:delText xml:space="preserve"> </w:delText>
        </w:r>
      </w:del>
    </w:p>
    <w:p>
      <w:pPr>
        <w:pStyle w:val="Heading5"/>
      </w:pPr>
      <w:bookmarkStart w:id="1838" w:name="_Toc500739978"/>
      <w:bookmarkStart w:id="1839" w:name="_Toc520101170"/>
      <w:bookmarkStart w:id="1840" w:name="_Toc520533069"/>
      <w:bookmarkStart w:id="1841" w:name="_Toc49223949"/>
      <w:bookmarkStart w:id="1842" w:name="_Toc107054950"/>
      <w:bookmarkStart w:id="1843" w:name="_Toc134854687"/>
      <w:bookmarkStart w:id="1844" w:name="_Toc136841140"/>
      <w:bookmarkStart w:id="1845" w:name="_Toc131416146"/>
      <w:bookmarkStart w:id="1846" w:name="_Toc170193329"/>
      <w:r>
        <w:rPr>
          <w:rStyle w:val="CharSectno"/>
        </w:rPr>
        <w:t>76AJ</w:t>
      </w:r>
      <w:r>
        <w:t>.</w:t>
      </w:r>
      <w:r>
        <w:tab/>
        <w:t>Meaning of “</w:t>
      </w:r>
      <w:r>
        <w:rPr>
          <w:rStyle w:val="CharDefText"/>
          <w:b/>
        </w:rPr>
        <w:t>relevant acquisition</w:t>
      </w:r>
      <w:r>
        <w:t>”</w:t>
      </w:r>
      <w:bookmarkEnd w:id="1838"/>
      <w:bookmarkEnd w:id="1839"/>
      <w:bookmarkEnd w:id="1840"/>
      <w:bookmarkEnd w:id="1841"/>
      <w:bookmarkEnd w:id="1842"/>
      <w:bookmarkEnd w:id="1843"/>
      <w:bookmarkEnd w:id="1844"/>
      <w:bookmarkEnd w:id="1845"/>
      <w:bookmarkEnd w:id="1846"/>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del w:id="1847" w:author="svcMRProcess" w:date="2020-02-20T23:16:00Z">
        <w:r>
          <w:delText> </w:delText>
        </w:r>
      </w:del>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1848" w:name="_Toc500739979"/>
      <w:bookmarkStart w:id="1849" w:name="_Toc520101171"/>
      <w:bookmarkStart w:id="1850" w:name="_Toc520533070"/>
      <w:bookmarkStart w:id="1851" w:name="_Toc49223950"/>
      <w:bookmarkStart w:id="1852" w:name="_Toc107054951"/>
      <w:bookmarkStart w:id="1853" w:name="_Toc134854688"/>
      <w:bookmarkStart w:id="1854" w:name="_Toc136841141"/>
      <w:bookmarkStart w:id="1855" w:name="_Toc131416147"/>
      <w:bookmarkStart w:id="1856" w:name="_Toc170193330"/>
      <w:r>
        <w:rPr>
          <w:rStyle w:val="CharSectno"/>
        </w:rPr>
        <w:t>76AK</w:t>
      </w:r>
      <w:r>
        <w:t>.</w:t>
      </w:r>
      <w:r>
        <w:tab/>
        <w:t>Meaning of “</w:t>
      </w:r>
      <w:r>
        <w:rPr>
          <w:rStyle w:val="CharDefText"/>
          <w:b/>
        </w:rPr>
        <w:t>interest</w:t>
      </w:r>
      <w:r>
        <w:t>”, “majority interest” or “</w:t>
      </w:r>
      <w:r>
        <w:rPr>
          <w:rStyle w:val="CharDefText"/>
          <w:b/>
        </w:rPr>
        <w:t>further interest</w:t>
      </w:r>
      <w:bookmarkEnd w:id="1848"/>
      <w:bookmarkEnd w:id="1849"/>
      <w:bookmarkEnd w:id="1850"/>
      <w:bookmarkEnd w:id="1851"/>
      <w:r>
        <w:t>”</w:t>
      </w:r>
      <w:bookmarkEnd w:id="1852"/>
      <w:bookmarkEnd w:id="1853"/>
      <w:bookmarkEnd w:id="1854"/>
      <w:bookmarkEnd w:id="1855"/>
      <w:bookmarkEnd w:id="1856"/>
      <w:del w:id="1857" w:author="svcMRProcess" w:date="2020-02-20T23:16:00Z">
        <w:r>
          <w:delText xml:space="preserve"> </w:delText>
        </w:r>
      </w:del>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w:t>
      </w:r>
      <w:del w:id="1858" w:author="svcMRProcess" w:date="2020-02-20T23:16:00Z">
        <w:r>
          <w:delText> </w:delText>
        </w:r>
      </w:del>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1859" w:name="_Toc500739980"/>
      <w:bookmarkStart w:id="1860" w:name="_Toc520101172"/>
      <w:bookmarkStart w:id="1861" w:name="_Toc520533071"/>
      <w:bookmarkStart w:id="1862" w:name="_Toc49223951"/>
      <w:bookmarkStart w:id="1863" w:name="_Toc107054952"/>
      <w:bookmarkStart w:id="1864" w:name="_Toc134854689"/>
      <w:bookmarkStart w:id="1865" w:name="_Toc136841142"/>
      <w:bookmarkStart w:id="1866" w:name="_Toc131416148"/>
      <w:bookmarkStart w:id="1867" w:name="_Toc170193331"/>
      <w:r>
        <w:rPr>
          <w:rStyle w:val="CharSectno"/>
        </w:rPr>
        <w:t>76AL</w:t>
      </w:r>
      <w:r>
        <w:rPr>
          <w:snapToGrid w:val="0"/>
        </w:rPr>
        <w:t>.</w:t>
      </w:r>
      <w:r>
        <w:rPr>
          <w:snapToGrid w:val="0"/>
        </w:rPr>
        <w:tab/>
        <w:t>How dutiable value is determined</w:t>
      </w:r>
      <w:bookmarkEnd w:id="1859"/>
      <w:bookmarkEnd w:id="1860"/>
      <w:bookmarkEnd w:id="1861"/>
      <w:bookmarkEnd w:id="1862"/>
      <w:bookmarkEnd w:id="1863"/>
      <w:bookmarkEnd w:id="1864"/>
      <w:bookmarkEnd w:id="1865"/>
      <w:bookmarkEnd w:id="1866"/>
      <w:bookmarkEnd w:id="1867"/>
      <w:del w:id="1868" w:author="svcMRProcess" w:date="2020-02-20T23:16:00Z">
        <w:r>
          <w:rPr>
            <w:snapToGrid w:val="0"/>
          </w:rPr>
          <w:delText xml:space="preserve"> </w:delText>
        </w:r>
      </w:del>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del w:id="1869" w:author="svcMRProcess" w:date="2020-02-20T23:16:00Z">
        <w:r>
          <w:delText xml:space="preserve"> </w:delText>
        </w:r>
      </w:del>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del w:id="1870" w:author="svcMRProcess" w:date="2020-02-20T23:16:00Z">
        <w:r>
          <w:rPr>
            <w:snapToGrid w:val="0"/>
          </w:rPr>
          <w:delText> </w:delText>
        </w:r>
      </w:del>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del w:id="1871" w:author="svcMRProcess" w:date="2020-02-20T23:16:00Z">
        <w:r>
          <w:rPr>
            <w:snapToGrid w:val="0"/>
          </w:rPr>
          <w:delText> </w:delText>
        </w:r>
      </w:del>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[Section 76AL inserted by No. 33 of 1987 s. 22; amended by No. 39 of 1994 s. 21; No. 22 of 1998 s. 38; No. 60 of 2000 s. 11; No. 2 of 2003 s. 91; No. 11 of 2004 s. 24.]</w:t>
      </w:r>
      <w:del w:id="1872" w:author="svcMRProcess" w:date="2020-02-20T23:16:00Z">
        <w:r>
          <w:delText xml:space="preserve"> </w:delText>
        </w:r>
      </w:del>
    </w:p>
    <w:p>
      <w:pPr>
        <w:pStyle w:val="Heading5"/>
        <w:rPr>
          <w:snapToGrid w:val="0"/>
        </w:rPr>
      </w:pPr>
      <w:bookmarkStart w:id="1873" w:name="_Toc500739981"/>
      <w:bookmarkStart w:id="1874" w:name="_Toc520101173"/>
      <w:bookmarkStart w:id="1875" w:name="_Toc520533072"/>
      <w:bookmarkStart w:id="1876" w:name="_Toc49223952"/>
      <w:bookmarkStart w:id="1877" w:name="_Toc107054953"/>
      <w:bookmarkStart w:id="1878" w:name="_Toc134854690"/>
      <w:bookmarkStart w:id="1879" w:name="_Toc136841143"/>
      <w:bookmarkStart w:id="1880" w:name="_Toc131416149"/>
      <w:bookmarkStart w:id="1881" w:name="_Toc170193332"/>
      <w:r>
        <w:rPr>
          <w:rStyle w:val="CharSectno"/>
        </w:rPr>
        <w:t>76AM</w:t>
      </w:r>
      <w:r>
        <w:rPr>
          <w:snapToGrid w:val="0"/>
        </w:rPr>
        <w:t>.</w:t>
      </w:r>
      <w:r>
        <w:rPr>
          <w:snapToGrid w:val="0"/>
        </w:rPr>
        <w:tab/>
        <w:t>Liability for duty</w:t>
      </w:r>
      <w:bookmarkEnd w:id="1873"/>
      <w:bookmarkEnd w:id="1874"/>
      <w:bookmarkEnd w:id="1875"/>
      <w:bookmarkEnd w:id="1876"/>
      <w:bookmarkEnd w:id="1877"/>
      <w:bookmarkEnd w:id="1878"/>
      <w:bookmarkEnd w:id="1879"/>
      <w:bookmarkEnd w:id="1880"/>
      <w:bookmarkEnd w:id="1881"/>
      <w:del w:id="1882" w:author="svcMRProcess" w:date="2020-02-20T23:16:00Z">
        <w:r>
          <w:rPr>
            <w:snapToGrid w:val="0"/>
          </w:rPr>
          <w:delText xml:space="preserve"> </w:delText>
        </w:r>
      </w:del>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[Section 76AM inserted by No. 33 of 1987 s. 22; amended by No. 39 of 1994 s. 21; No. 60 of 2000 s. 12; No. 2 of 2003 s. 92; No. 66 of 2003 s. 65.]</w:t>
      </w:r>
      <w:del w:id="1883" w:author="svcMRProcess" w:date="2020-02-20T23:16:00Z">
        <w:r>
          <w:delText xml:space="preserve"> </w:delText>
        </w:r>
      </w:del>
    </w:p>
    <w:p>
      <w:pPr>
        <w:pStyle w:val="Heading3"/>
        <w:keepLines/>
      </w:pPr>
      <w:bookmarkStart w:id="1884" w:name="_Toc58902609"/>
      <w:bookmarkStart w:id="1885" w:name="_Toc76899623"/>
      <w:bookmarkStart w:id="1886" w:name="_Toc78090525"/>
      <w:bookmarkStart w:id="1887" w:name="_Toc88886893"/>
      <w:bookmarkStart w:id="1888" w:name="_Toc90443509"/>
      <w:bookmarkStart w:id="1889" w:name="_Toc90452860"/>
      <w:bookmarkStart w:id="1890" w:name="_Toc100029451"/>
      <w:bookmarkStart w:id="1891" w:name="_Toc100031524"/>
      <w:bookmarkStart w:id="1892" w:name="_Toc100458583"/>
      <w:bookmarkStart w:id="1893" w:name="_Toc101671999"/>
      <w:bookmarkStart w:id="1894" w:name="_Toc101672256"/>
      <w:bookmarkStart w:id="1895" w:name="_Toc102799282"/>
      <w:bookmarkStart w:id="1896" w:name="_Toc102981956"/>
      <w:bookmarkStart w:id="1897" w:name="_Toc103403269"/>
      <w:bookmarkStart w:id="1898" w:name="_Toc103403526"/>
      <w:bookmarkStart w:id="1899" w:name="_Toc103747525"/>
      <w:bookmarkStart w:id="1900" w:name="_Toc107054954"/>
      <w:bookmarkStart w:id="1901" w:name="_Toc113874401"/>
      <w:bookmarkStart w:id="1902" w:name="_Toc113956817"/>
      <w:bookmarkStart w:id="1903" w:name="_Toc116717373"/>
      <w:bookmarkStart w:id="1904" w:name="_Toc116813400"/>
      <w:bookmarkStart w:id="1905" w:name="_Toc122333052"/>
      <w:bookmarkStart w:id="1906" w:name="_Toc122862022"/>
      <w:bookmarkStart w:id="1907" w:name="_Toc122862618"/>
      <w:bookmarkStart w:id="1908" w:name="_Toc122921225"/>
      <w:bookmarkStart w:id="1909" w:name="_Toc122921485"/>
      <w:bookmarkStart w:id="1910" w:name="_Toc122947430"/>
      <w:bookmarkStart w:id="1911" w:name="_Toc124046266"/>
      <w:bookmarkStart w:id="1912" w:name="_Toc130266587"/>
      <w:bookmarkStart w:id="1913" w:name="_Toc130266863"/>
      <w:bookmarkStart w:id="1914" w:name="_Toc131382966"/>
      <w:bookmarkStart w:id="1915" w:name="_Toc133812347"/>
      <w:bookmarkStart w:id="1916" w:name="_Toc133920294"/>
      <w:bookmarkStart w:id="1917" w:name="_Toc134854691"/>
      <w:bookmarkStart w:id="1918" w:name="_Toc134854967"/>
      <w:bookmarkStart w:id="1919" w:name="_Toc136841144"/>
      <w:bookmarkStart w:id="1920" w:name="_Toc131415851"/>
      <w:bookmarkStart w:id="1921" w:name="_Toc131416150"/>
      <w:bookmarkStart w:id="1922" w:name="_Toc170193333"/>
      <w:bookmarkStart w:id="1923" w:name="_Toc500739982"/>
      <w:r>
        <w:rPr>
          <w:rStyle w:val="CharDivNo"/>
        </w:rPr>
        <w:t>Division 3</w:t>
      </w:r>
      <w:r>
        <w:t> — </w:t>
      </w:r>
      <w:r>
        <w:rPr>
          <w:rStyle w:val="CharDivText"/>
        </w:rPr>
        <w:t>Corporations incorporated, or taken to be registered, outside Western Australia, and certain other companies not within Division 2</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del w:id="1924" w:author="svcMRProcess" w:date="2020-02-20T23:16:00Z">
        <w:r>
          <w:rPr>
            <w:rStyle w:val="CharDivText"/>
          </w:rPr>
          <w:delText xml:space="preserve"> </w:delText>
        </w:r>
      </w:del>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1925" w:name="_Toc520101174"/>
      <w:bookmarkStart w:id="1926" w:name="_Toc520533073"/>
      <w:bookmarkStart w:id="1927" w:name="_Toc49223953"/>
      <w:bookmarkStart w:id="1928" w:name="_Toc107054955"/>
      <w:bookmarkStart w:id="1929" w:name="_Toc134854692"/>
      <w:bookmarkStart w:id="1930" w:name="_Toc136841145"/>
      <w:bookmarkStart w:id="1931" w:name="_Toc131416151"/>
      <w:bookmarkStart w:id="1932" w:name="_Toc170193334"/>
      <w:r>
        <w:rPr>
          <w:rStyle w:val="CharSectno"/>
        </w:rPr>
        <w:t>76AN</w:t>
      </w:r>
      <w:r>
        <w:rPr>
          <w:snapToGrid w:val="0"/>
        </w:rPr>
        <w:t>.</w:t>
      </w:r>
      <w:r>
        <w:rPr>
          <w:snapToGrid w:val="0"/>
        </w:rPr>
        <w:tab/>
      </w:r>
      <w:bookmarkEnd w:id="1923"/>
      <w:bookmarkEnd w:id="1925"/>
      <w:bookmarkEnd w:id="1926"/>
      <w:bookmarkEnd w:id="1927"/>
      <w:r>
        <w:rPr>
          <w:snapToGrid w:val="0"/>
        </w:rPr>
        <w:t>Preparation of dutiable statement</w:t>
      </w:r>
      <w:bookmarkEnd w:id="1928"/>
      <w:bookmarkEnd w:id="1929"/>
      <w:bookmarkEnd w:id="1930"/>
      <w:bookmarkEnd w:id="1931"/>
      <w:bookmarkEnd w:id="1932"/>
      <w:del w:id="1933" w:author="svcMRProcess" w:date="2020-02-20T23:16:00Z">
        <w:r>
          <w:rPr>
            <w:snapToGrid w:val="0"/>
          </w:rPr>
          <w:delText xml:space="preserve"> </w:delText>
        </w:r>
      </w:del>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del w:id="1934" w:author="svcMRProcess" w:date="2020-02-20T23:16:00Z">
        <w:r>
          <w:rPr>
            <w:snapToGrid w:val="0"/>
          </w:rPr>
          <w:delText> </w:delText>
        </w:r>
      </w:del>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del w:id="1935" w:author="svcMRProcess" w:date="2020-02-20T23:16:00Z">
        <w:r>
          <w:delText xml:space="preserve"> </w:delText>
        </w:r>
      </w:del>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(4)</w:t>
      </w:r>
      <w:r>
        <w:tab/>
        <w:t>A dutiable statement lodged under subsection (1) is taken to be an instrument evidencing the relevant acquisition and is chargeable with duty accordingly.</w:t>
      </w:r>
    </w:p>
    <w:p>
      <w:pPr>
        <w:pStyle w:val="Subsection"/>
        <w:spacing w:before="12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1936" w:name="_Toc500739983"/>
      <w:bookmarkStart w:id="1937" w:name="_Toc520101175"/>
      <w:bookmarkStart w:id="1938" w:name="_Toc520533074"/>
      <w:bookmarkStart w:id="1939" w:name="_Toc49223954"/>
      <w:bookmarkStart w:id="1940" w:name="_Toc107054956"/>
      <w:bookmarkStart w:id="1941" w:name="_Toc134854693"/>
      <w:bookmarkStart w:id="1942" w:name="_Toc136841146"/>
      <w:bookmarkStart w:id="1943" w:name="_Toc131416152"/>
      <w:bookmarkStart w:id="1944" w:name="_Toc170193335"/>
      <w:r>
        <w:rPr>
          <w:rStyle w:val="CharSectno"/>
        </w:rPr>
        <w:t>76AO</w:t>
      </w:r>
      <w:r>
        <w:rPr>
          <w:snapToGrid w:val="0"/>
        </w:rPr>
        <w:t>.</w:t>
      </w:r>
      <w:r>
        <w:rPr>
          <w:snapToGrid w:val="0"/>
        </w:rPr>
        <w:tab/>
        <w:t>Statement chargeable with duty</w:t>
      </w:r>
      <w:bookmarkEnd w:id="1936"/>
      <w:bookmarkEnd w:id="1937"/>
      <w:bookmarkEnd w:id="1938"/>
      <w:bookmarkEnd w:id="1939"/>
      <w:bookmarkEnd w:id="1940"/>
      <w:bookmarkEnd w:id="1941"/>
      <w:bookmarkEnd w:id="1942"/>
      <w:bookmarkEnd w:id="1943"/>
      <w:bookmarkEnd w:id="1944"/>
      <w:del w:id="1945" w:author="svcMRProcess" w:date="2020-02-20T23:16:00Z">
        <w:r>
          <w:rPr>
            <w:snapToGrid w:val="0"/>
          </w:rPr>
          <w:delText xml:space="preserve"> </w:delText>
        </w:r>
      </w:del>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del w:id="1946" w:author="svcMRProcess" w:date="2020-02-20T23:16:00Z">
        <w:r>
          <w:rPr>
            <w:snapToGrid w:val="0"/>
          </w:rPr>
          <w:delText> </w:delText>
        </w:r>
      </w:del>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del w:id="1947" w:author="svcMRProcess" w:date="2020-02-20T23:16:00Z">
        <w:r>
          <w:rPr>
            <w:snapToGrid w:val="0"/>
          </w:rPr>
          <w:delText xml:space="preserve"> </w:delText>
        </w:r>
      </w:del>
    </w:p>
    <w:p>
      <w:pPr>
        <w:pStyle w:val="Indenta"/>
        <w:keepNext/>
        <w:keepLines/>
      </w:pPr>
      <w:r>
        <w:tab/>
        <w:t>(aa)</w:t>
      </w:r>
      <w:r>
        <w:tab/>
        <w:t>where the section 76AN statement relates to a relevant acquisition within section 76AQ(1)(a)(ii), the duty —</w:t>
      </w:r>
      <w:del w:id="1948" w:author="svcMRProcess" w:date="2020-02-20T23:16:00Z">
        <w:r>
          <w:delText xml:space="preserve"> </w:delText>
        </w:r>
      </w:del>
    </w:p>
    <w:p>
      <w:pPr>
        <w:pStyle w:val="Indenti"/>
        <w:spacing w:before="60"/>
      </w:pPr>
      <w:r>
        <w:tab/>
        <w:t>(i)</w:t>
      </w:r>
      <w:r>
        <w:tab/>
        <w:t>shall be calculated on the dutiable value determined under section 76AS(2a)(a); but</w:t>
      </w:r>
    </w:p>
    <w:p>
      <w:pPr>
        <w:pStyle w:val="Indenti"/>
        <w:spacing w:before="60"/>
      </w:pPr>
      <w:r>
        <w:tab/>
        <w:t>(ii)</w:t>
      </w:r>
      <w:r>
        <w:tab/>
        <w:t>shall be reduced by the amount of duty determined on the dutiable value calculated under section 76AS(2a)(b);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del w:id="1949" w:author="svcMRProcess" w:date="2020-02-20T23:16:00Z">
        <w:r>
          <w:rPr>
            <w:snapToGrid w:val="0"/>
          </w:rPr>
          <w:delText> </w:delText>
        </w:r>
      </w:del>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before="10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del w:id="1950" w:author="svcMRProcess" w:date="2020-02-20T23:16:00Z">
        <w:r>
          <w:rPr>
            <w:snapToGrid w:val="0"/>
          </w:rPr>
          <w:delText> </w:delText>
        </w:r>
      </w:del>
    </w:p>
    <w:p>
      <w:pPr>
        <w:pStyle w:val="Equation"/>
        <w:tabs>
          <w:tab w:val="left" w:pos="1418"/>
        </w:tabs>
        <w:spacing w:before="60"/>
        <w:rPr>
          <w:del w:id="1951" w:author="svcMRProcess" w:date="2020-02-20T23:16:00Z"/>
          <w:snapToGrid w:val="0"/>
        </w:rPr>
      </w:pPr>
      <w:del w:id="1952" w:author="svcMRProcess" w:date="2020-02-20T23:16:00Z">
        <w:r>
          <w:rPr>
            <w:snapToGrid w:val="0"/>
          </w:rPr>
          <w:tab/>
        </w:r>
        <w:r>
          <w:rPr>
            <w:snapToGrid w:val="0"/>
            <w:position w:val="-26"/>
          </w:rPr>
          <w:pict>
            <v:shape id="_x0000_i1035" type="#_x0000_t75" style="width:83.25pt;height:30pt">
              <v:imagedata r:id="rId26" o:title=""/>
            </v:shape>
          </w:pict>
        </w:r>
      </w:del>
    </w:p>
    <w:p>
      <w:pPr>
        <w:pStyle w:val="Equation"/>
        <w:spacing w:before="120"/>
        <w:jc w:val="center"/>
        <w:rPr>
          <w:ins w:id="1953" w:author="svcMRProcess" w:date="2020-02-20T23:16:00Z"/>
        </w:rPr>
      </w:pPr>
      <w:ins w:id="1954" w:author="svcMRProcess" w:date="2020-02-20T23:16:00Z">
        <w:r>
          <w:rPr>
            <w:position w:val="-30"/>
          </w:rPr>
          <w:pict>
            <v:shape id="_x0000_i1036" type="#_x0000_t75" style="width:98.25pt;height:33.75pt">
              <v:imagedata r:id="rId27" o:title=""/>
            </v:shape>
          </w:pict>
        </w:r>
      </w:ins>
    </w:p>
    <w:p>
      <w:pPr>
        <w:pStyle w:val="Subsection"/>
        <w:spacing w:before="80"/>
        <w:rPr>
          <w:snapToGrid w:val="0"/>
        </w:rPr>
      </w:pPr>
      <w:r>
        <w:rPr>
          <w:snapToGrid w:val="0"/>
        </w:rPr>
        <w:tab/>
      </w:r>
      <w:r>
        <w:rPr>
          <w:snapToGrid w:val="0"/>
        </w:rPr>
        <w:tab/>
        <w:t>where —</w:t>
      </w:r>
      <w:del w:id="1955" w:author="svcMRProcess" w:date="2020-02-20T23:16:00Z">
        <w:r>
          <w:rPr>
            <w:snapToGrid w:val="0"/>
          </w:rPr>
          <w:delText> </w:delText>
        </w:r>
      </w:del>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[Section 76AO inserted by No. 33 of 1987 s. 22; amended by No. 39 of 1994 s. 14; No. 22 of 1998 s. 38 and 42; No. 60 of 2000 s. 14; No. 36 of 2001 s. 22; No. 2 of 2003 s. 95; No. 66 of 2003 s. 67; No. 11 of 2004 s. 25.]</w:t>
      </w:r>
      <w:del w:id="1956" w:author="svcMRProcess" w:date="2020-02-20T23:16:00Z">
        <w:r>
          <w:delText xml:space="preserve"> </w:delText>
        </w:r>
      </w:del>
    </w:p>
    <w:p>
      <w:pPr>
        <w:pStyle w:val="Heading5"/>
        <w:rPr>
          <w:snapToGrid w:val="0"/>
        </w:rPr>
      </w:pPr>
      <w:bookmarkStart w:id="1957" w:name="_Toc500739984"/>
      <w:bookmarkStart w:id="1958" w:name="_Toc520101176"/>
      <w:bookmarkStart w:id="1959" w:name="_Toc520533075"/>
      <w:bookmarkStart w:id="1960" w:name="_Toc49223955"/>
      <w:bookmarkStart w:id="1961" w:name="_Toc107054957"/>
      <w:bookmarkStart w:id="1962" w:name="_Toc134854694"/>
      <w:bookmarkStart w:id="1963" w:name="_Toc136841147"/>
      <w:bookmarkStart w:id="1964" w:name="_Toc131416153"/>
      <w:bookmarkStart w:id="1965" w:name="_Toc170193336"/>
      <w:r>
        <w:rPr>
          <w:rStyle w:val="CharSectno"/>
        </w:rPr>
        <w:t>76AP</w:t>
      </w:r>
      <w:r>
        <w:rPr>
          <w:snapToGrid w:val="0"/>
        </w:rPr>
        <w:t>.</w:t>
      </w:r>
      <w:r>
        <w:rPr>
          <w:snapToGrid w:val="0"/>
        </w:rPr>
        <w:tab/>
        <w:t>Corporations to which this Division applies</w:t>
      </w:r>
      <w:bookmarkEnd w:id="1957"/>
      <w:bookmarkEnd w:id="1958"/>
      <w:bookmarkEnd w:id="1959"/>
      <w:bookmarkEnd w:id="1960"/>
      <w:bookmarkEnd w:id="1961"/>
      <w:bookmarkEnd w:id="1962"/>
      <w:bookmarkEnd w:id="1963"/>
      <w:bookmarkEnd w:id="1964"/>
      <w:bookmarkEnd w:id="1965"/>
      <w:del w:id="1966" w:author="svcMRProcess" w:date="2020-02-20T23:16:00Z">
        <w:r>
          <w:rPr>
            <w:snapToGrid w:val="0"/>
          </w:rPr>
          <w:delText xml:space="preserve"> </w:delText>
        </w:r>
      </w:del>
    </w:p>
    <w:p>
      <w:pPr>
        <w:pStyle w:val="Subsection"/>
        <w:rPr>
          <w:snapToGrid w:val="0"/>
        </w:rPr>
      </w:pPr>
      <w:r>
        <w:rPr>
          <w:snapToGrid w:val="0"/>
        </w:rPr>
        <w:tab/>
        <w:t>(1)</w:t>
      </w:r>
      <w:r>
        <w:rPr>
          <w:snapToGrid w:val="0"/>
        </w:rPr>
        <w:tab/>
        <w:t>This Division applies to a corporation if —</w:t>
      </w:r>
      <w:del w:id="1967" w:author="svcMRProcess" w:date="2020-02-20T23:16:00Z">
        <w:r>
          <w:rPr>
            <w:snapToGrid w:val="0"/>
          </w:rPr>
          <w:delText> </w:delText>
        </w:r>
      </w:del>
    </w:p>
    <w:p>
      <w:pPr>
        <w:pStyle w:val="Indenta"/>
        <w:spacing w:before="60"/>
        <w:rPr>
          <w:snapToGrid w:val="0"/>
        </w:rPr>
      </w:pPr>
      <w:r>
        <w:rPr>
          <w:snapToGrid w:val="0"/>
        </w:rPr>
        <w:tab/>
        <w:t>(a)</w:t>
      </w:r>
      <w:r>
        <w:rPr>
          <w:snapToGrid w:val="0"/>
        </w:rPr>
        <w:tab/>
        <w:t>it is —</w:t>
      </w:r>
      <w:del w:id="1968" w:author="svcMRProcess" w:date="2020-02-20T23:16:00Z">
        <w:r>
          <w:rPr>
            <w:snapToGrid w:val="0"/>
          </w:rPr>
          <w:delText> </w:delText>
        </w:r>
      </w:del>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del w:id="1969" w:author="svcMRProcess" w:date="2020-02-20T23:16:00Z">
        <w:r>
          <w:rPr>
            <w:snapToGrid w:val="0"/>
          </w:rPr>
          <w:delText> </w:delText>
        </w:r>
      </w:del>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unless —</w:t>
      </w:r>
      <w:del w:id="1970" w:author="svcMRProcess" w:date="2020-02-20T23:16:00Z">
        <w:r>
          <w:delText xml:space="preserve"> </w:delText>
        </w:r>
      </w:del>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For the purposes of subsection (1)(e) the Commissioner may take into account any matter that the Commissioner considers is relevant but must take into account —</w:t>
      </w:r>
      <w:del w:id="1971" w:author="svcMRProcess" w:date="2020-02-20T23:16:00Z">
        <w:r>
          <w:delText xml:space="preserve"> </w:delText>
        </w:r>
      </w:del>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del w:id="1972" w:author="svcMRProcess" w:date="2020-02-20T23:16:00Z">
        <w:r>
          <w:rPr>
            <w:snapToGrid w:val="0"/>
          </w:rPr>
          <w:delText> </w:delText>
        </w:r>
      </w:del>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del w:id="1973" w:author="svcMRProcess" w:date="2020-02-20T23:16:00Z">
        <w:r>
          <w:rPr>
            <w:snapToGrid w:val="0"/>
          </w:rPr>
          <w:delText> </w:delText>
        </w:r>
      </w:del>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w:t>
      </w:r>
      <w:del w:id="1974" w:author="svcMRProcess" w:date="2020-02-20T23:16:00Z">
        <w:r>
          <w:rPr>
            <w:snapToGrid w:val="0"/>
          </w:rPr>
          <w:delText> </w:delText>
        </w:r>
      </w:del>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del w:id="1975" w:author="svcMRProcess" w:date="2020-02-20T23:16:00Z">
        <w:r>
          <w:delText xml:space="preserve"> </w:delText>
        </w:r>
      </w:del>
    </w:p>
    <w:p>
      <w:pPr>
        <w:pStyle w:val="Indenti"/>
      </w:pPr>
      <w:r>
        <w:tab/>
        <w:t>(i)</w:t>
      </w:r>
      <w:r>
        <w:tab/>
        <w:t>locate, extract, process, transport or market minerals; or</w:t>
      </w:r>
      <w:del w:id="1976" w:author="svcMRProcess" w:date="2020-02-20T23:16:00Z">
        <w:r>
          <w:delText xml:space="preserve"> </w:delText>
        </w:r>
      </w:del>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del w:id="1977" w:author="svcMRProcess" w:date="2020-02-20T23:16:00Z">
        <w:r>
          <w:rPr>
            <w:snapToGrid w:val="0"/>
          </w:rPr>
          <w:delText> </w:delText>
        </w:r>
      </w:del>
    </w:p>
    <w:p>
      <w:pPr>
        <w:pStyle w:val="Indenta"/>
        <w:spacing w:before="60"/>
        <w:rPr>
          <w:snapToGrid w:val="0"/>
        </w:rPr>
      </w:pPr>
      <w:r>
        <w:rPr>
          <w:snapToGrid w:val="0"/>
        </w:rPr>
        <w:tab/>
        <w:t>(a)</w:t>
      </w:r>
      <w:r>
        <w:rPr>
          <w:snapToGrid w:val="0"/>
        </w:rPr>
        <w:tab/>
        <w:t>the trustee of a trust is entitled to that land or property and the corporation —</w:t>
      </w:r>
      <w:del w:id="1978" w:author="svcMRProcess" w:date="2020-02-20T23:16:00Z">
        <w:r>
          <w:rPr>
            <w:snapToGrid w:val="0"/>
          </w:rPr>
          <w:delText> </w:delText>
        </w:r>
      </w:del>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del w:id="1979" w:author="svcMRProcess" w:date="2020-02-20T23:16:00Z">
        <w:r>
          <w:delText xml:space="preserve"> </w:delText>
        </w:r>
      </w:del>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del w:id="1980" w:author="svcMRProcess" w:date="2020-02-20T23:16:00Z">
        <w:r>
          <w:delText xml:space="preserve"> </w:delText>
        </w:r>
      </w:del>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In determining the entitlement of an entity to land for the purposes of this section or section 76AS —</w:t>
      </w:r>
      <w:del w:id="1981" w:author="svcMRProcess" w:date="2020-02-20T23:16:00Z">
        <w:r>
          <w:delText xml:space="preserve"> </w:delText>
        </w:r>
      </w:del>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del w:id="1982" w:author="svcMRProcess" w:date="2020-02-20T23:16:00Z">
        <w:r>
          <w:delText xml:space="preserve"> </w:delText>
        </w:r>
      </w:del>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del w:id="1983" w:author="svcMRProcess" w:date="2020-02-20T23:16:00Z">
        <w:r>
          <w:delText xml:space="preserve"> </w:delText>
        </w:r>
      </w:del>
    </w:p>
    <w:p>
      <w:pPr>
        <w:pStyle w:val="Heading5"/>
        <w:spacing w:before="240"/>
      </w:pPr>
      <w:bookmarkStart w:id="1984" w:name="_Toc492201394"/>
      <w:bookmarkStart w:id="1985" w:name="_Toc500739985"/>
      <w:bookmarkStart w:id="1986" w:name="_Toc520101177"/>
      <w:bookmarkStart w:id="1987" w:name="_Toc520533076"/>
      <w:bookmarkStart w:id="1988" w:name="_Toc49223956"/>
      <w:bookmarkStart w:id="1989" w:name="_Toc107054958"/>
      <w:bookmarkStart w:id="1990" w:name="_Toc134854695"/>
      <w:bookmarkStart w:id="1991" w:name="_Toc136841148"/>
      <w:bookmarkStart w:id="1992" w:name="_Toc131416154"/>
      <w:bookmarkStart w:id="1993" w:name="_Toc170193337"/>
      <w:r>
        <w:rPr>
          <w:rStyle w:val="CharSectno"/>
        </w:rPr>
        <w:t>76AQ</w:t>
      </w:r>
      <w:r>
        <w:t>.</w:t>
      </w:r>
      <w:r>
        <w:tab/>
        <w:t>Meaning of “</w:t>
      </w:r>
      <w:r>
        <w:rPr>
          <w:rStyle w:val="CharDefText"/>
          <w:b/>
        </w:rPr>
        <w:t>relevant acquisition</w:t>
      </w:r>
      <w:r>
        <w:t>”</w:t>
      </w:r>
      <w:bookmarkEnd w:id="1984"/>
      <w:bookmarkEnd w:id="1985"/>
      <w:bookmarkEnd w:id="1986"/>
      <w:bookmarkEnd w:id="1987"/>
      <w:bookmarkEnd w:id="1988"/>
      <w:bookmarkEnd w:id="1989"/>
      <w:bookmarkEnd w:id="1990"/>
      <w:bookmarkEnd w:id="1991"/>
      <w:bookmarkEnd w:id="1992"/>
      <w:bookmarkEnd w:id="1993"/>
    </w:p>
    <w:p>
      <w:pPr>
        <w:pStyle w:val="Subsection"/>
        <w:spacing w:before="180"/>
      </w:pPr>
      <w:r>
        <w:tab/>
        <w:t>(1)</w:t>
      </w:r>
      <w:r>
        <w:tab/>
        <w:t>An acquisition is a relevant acquisition for the purposes of this Division —</w:t>
      </w:r>
      <w:del w:id="1994" w:author="svcMRProcess" w:date="2020-02-20T23:16:00Z">
        <w:r>
          <w:delText> </w:delText>
        </w:r>
      </w:del>
    </w:p>
    <w:p>
      <w:pPr>
        <w:pStyle w:val="Indenta"/>
        <w:spacing w:before="100"/>
      </w:pPr>
      <w:r>
        <w:tab/>
        <w:t>(a)</w:t>
      </w:r>
      <w:r>
        <w:tab/>
        <w:t>if by that acquisition a person acquires a majority interest in a corporation by acquiring an interest —</w:t>
      </w:r>
      <w:del w:id="1995" w:author="svcMRProcess" w:date="2020-02-20T23:16:00Z">
        <w:r>
          <w:delText> </w:delText>
        </w:r>
      </w:del>
    </w:p>
    <w:p>
      <w:pPr>
        <w:pStyle w:val="Indenti"/>
        <w:spacing w:before="100"/>
      </w:pPr>
      <w:r>
        <w:tab/>
        <w:t>(i)</w:t>
      </w:r>
      <w:r>
        <w:tab/>
        <w:t>that is itself a majority interest in the corporation; or</w:t>
      </w:r>
    </w:p>
    <w:p>
      <w:pPr>
        <w:pStyle w:val="Indenti"/>
        <w:spacing w:before="100"/>
      </w:pPr>
      <w:r>
        <w:tab/>
        <w:t>(ii)</w:t>
      </w:r>
      <w:r>
        <w:tab/>
        <w:t>that is, when taken with each previous acquisition of an interest in the corporation made by the person on or after the relevant day for that acquisition, a majority interest in the corporation;</w:t>
      </w:r>
      <w:del w:id="1996" w:author="svcMRProcess" w:date="2020-02-20T23:16:00Z">
        <w:r>
          <w:delText xml:space="preserve"> </w:delText>
        </w:r>
      </w:del>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1997" w:name="_Toc500739986"/>
      <w:bookmarkStart w:id="1998" w:name="_Toc520101178"/>
      <w:bookmarkStart w:id="1999" w:name="_Toc520533077"/>
      <w:bookmarkStart w:id="2000" w:name="_Toc49223957"/>
      <w:bookmarkStart w:id="2001" w:name="_Toc107054959"/>
      <w:bookmarkStart w:id="2002" w:name="_Toc134854696"/>
      <w:bookmarkStart w:id="2003" w:name="_Toc136841149"/>
      <w:bookmarkStart w:id="2004" w:name="_Toc131416155"/>
      <w:bookmarkStart w:id="2005" w:name="_Toc170193338"/>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1997"/>
      <w:bookmarkEnd w:id="1998"/>
      <w:bookmarkEnd w:id="1999"/>
      <w:bookmarkEnd w:id="2000"/>
      <w:r>
        <w:t>”</w:t>
      </w:r>
      <w:bookmarkEnd w:id="2001"/>
      <w:bookmarkEnd w:id="2002"/>
      <w:bookmarkEnd w:id="2003"/>
      <w:bookmarkEnd w:id="2004"/>
      <w:bookmarkEnd w:id="2005"/>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pPr>
      <w:r>
        <w:tab/>
        <w:t>(3)</w:t>
      </w:r>
      <w:r>
        <w:tab/>
        <w:t>For the purposes of this Division, a person acquires a further interest in a corporation if —</w:t>
      </w:r>
      <w:del w:id="2006" w:author="svcMRProcess" w:date="2020-02-20T23:16:00Z">
        <w:r>
          <w:delText> </w:delText>
        </w:r>
      </w:del>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w:t>
      </w:r>
      <w:del w:id="2007" w:author="svcMRProcess" w:date="2020-02-20T23:16:00Z">
        <w:r>
          <w:delText> </w:delText>
        </w:r>
      </w:del>
    </w:p>
    <w:p>
      <w:pPr>
        <w:pStyle w:val="Indenta"/>
      </w:pPr>
      <w:r>
        <w:tab/>
        <w:t>(a)</w:t>
      </w:r>
      <w:r>
        <w:tab/>
        <w:t>means a corporation —</w:t>
      </w:r>
      <w:del w:id="2008" w:author="svcMRProcess" w:date="2020-02-20T23:16:00Z">
        <w:r>
          <w:delText> </w:delText>
        </w:r>
      </w:del>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del w:id="2009" w:author="svcMRProcess" w:date="2020-02-20T23:16:00Z">
        <w:r>
          <w:delText> </w:delText>
        </w:r>
      </w:del>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del w:id="2010" w:author="svcMRProcess" w:date="2020-02-20T23:16:00Z">
        <w:r>
          <w:delText> </w:delText>
        </w:r>
      </w:del>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del w:id="2011" w:author="svcMRProcess" w:date="2020-02-20T23:16:00Z">
        <w:r>
          <w:delText xml:space="preserve"> </w:delText>
        </w:r>
      </w:del>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2012" w:name="_Toc500739987"/>
      <w:bookmarkStart w:id="2013" w:name="_Toc520101179"/>
      <w:bookmarkStart w:id="2014" w:name="_Toc520533078"/>
      <w:bookmarkStart w:id="2015" w:name="_Toc49223958"/>
      <w:bookmarkStart w:id="2016" w:name="_Toc107054960"/>
      <w:bookmarkStart w:id="2017" w:name="_Toc134854697"/>
      <w:bookmarkStart w:id="2018" w:name="_Toc136841150"/>
      <w:bookmarkStart w:id="2019" w:name="_Toc131416156"/>
      <w:bookmarkStart w:id="2020" w:name="_Toc170193339"/>
      <w:r>
        <w:rPr>
          <w:rStyle w:val="CharSectno"/>
        </w:rPr>
        <w:t>76AS</w:t>
      </w:r>
      <w:r>
        <w:rPr>
          <w:snapToGrid w:val="0"/>
        </w:rPr>
        <w:t>.</w:t>
      </w:r>
      <w:r>
        <w:rPr>
          <w:snapToGrid w:val="0"/>
        </w:rPr>
        <w:tab/>
        <w:t>How dutiable value is determined</w:t>
      </w:r>
      <w:bookmarkEnd w:id="2012"/>
      <w:bookmarkEnd w:id="2013"/>
      <w:bookmarkEnd w:id="2014"/>
      <w:bookmarkEnd w:id="2015"/>
      <w:bookmarkEnd w:id="2016"/>
      <w:bookmarkEnd w:id="2017"/>
      <w:bookmarkEnd w:id="2018"/>
      <w:bookmarkEnd w:id="2019"/>
      <w:bookmarkEnd w:id="2020"/>
      <w:del w:id="2021" w:author="svcMRProcess" w:date="2020-02-20T23:16:00Z">
        <w:r>
          <w:rPr>
            <w:snapToGrid w:val="0"/>
          </w:rPr>
          <w:delText xml:space="preserve"> </w:delText>
        </w:r>
      </w:del>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del w:id="2022" w:author="svcMRProcess" w:date="2020-02-20T23:16:00Z">
        <w:r>
          <w:delText xml:space="preserve"> </w:delText>
        </w:r>
      </w:del>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w:t>
      </w:r>
      <w:del w:id="2023" w:author="svcMRProcess" w:date="2020-02-20T23:16:00Z">
        <w:r>
          <w:rPr>
            <w:snapToGrid w:val="0"/>
          </w:rPr>
          <w:delText> </w:delText>
        </w:r>
      </w:del>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del w:id="2024" w:author="svcMRProcess" w:date="2020-02-20T23:16:00Z">
        <w:r>
          <w:rPr>
            <w:snapToGrid w:val="0"/>
          </w:rPr>
          <w:delText> </w:delText>
        </w:r>
      </w:del>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[Section 76AS inserted by No. 33 of 1987 s. 22; amended by No. 22 of 1998 s. 38; No. 60 of 2000 s. 17; No. 2 of 2003 s. 97; No. 11 of 2004 s. 28.]</w:t>
      </w:r>
      <w:del w:id="2025" w:author="svcMRProcess" w:date="2020-02-20T23:16:00Z">
        <w:r>
          <w:delText xml:space="preserve"> </w:delText>
        </w:r>
      </w:del>
    </w:p>
    <w:p>
      <w:pPr>
        <w:pStyle w:val="Heading3"/>
      </w:pPr>
      <w:bookmarkStart w:id="2026" w:name="_Toc76899630"/>
      <w:bookmarkStart w:id="2027" w:name="_Toc78090532"/>
      <w:bookmarkStart w:id="2028" w:name="_Toc88886900"/>
      <w:bookmarkStart w:id="2029" w:name="_Toc90443516"/>
      <w:bookmarkStart w:id="2030" w:name="_Toc90452867"/>
      <w:bookmarkStart w:id="2031" w:name="_Toc100029458"/>
      <w:bookmarkStart w:id="2032" w:name="_Toc100031531"/>
      <w:bookmarkStart w:id="2033" w:name="_Toc100458590"/>
      <w:bookmarkStart w:id="2034" w:name="_Toc101672006"/>
      <w:bookmarkStart w:id="2035" w:name="_Toc101672263"/>
      <w:bookmarkStart w:id="2036" w:name="_Toc102799289"/>
      <w:bookmarkStart w:id="2037" w:name="_Toc102981963"/>
      <w:bookmarkStart w:id="2038" w:name="_Toc103403276"/>
      <w:bookmarkStart w:id="2039" w:name="_Toc103403533"/>
      <w:bookmarkStart w:id="2040" w:name="_Toc103747532"/>
      <w:bookmarkStart w:id="2041" w:name="_Toc107054961"/>
      <w:bookmarkStart w:id="2042" w:name="_Toc113874408"/>
      <w:bookmarkStart w:id="2043" w:name="_Toc113956824"/>
      <w:bookmarkStart w:id="2044" w:name="_Toc116717380"/>
      <w:bookmarkStart w:id="2045" w:name="_Toc116813407"/>
      <w:bookmarkStart w:id="2046" w:name="_Toc122333059"/>
      <w:bookmarkStart w:id="2047" w:name="_Toc122862029"/>
      <w:bookmarkStart w:id="2048" w:name="_Toc122862625"/>
      <w:bookmarkStart w:id="2049" w:name="_Toc122921232"/>
      <w:bookmarkStart w:id="2050" w:name="_Toc122921492"/>
      <w:bookmarkStart w:id="2051" w:name="_Toc122947437"/>
      <w:bookmarkStart w:id="2052" w:name="_Toc124046273"/>
      <w:bookmarkStart w:id="2053" w:name="_Toc130266594"/>
      <w:bookmarkStart w:id="2054" w:name="_Toc130266870"/>
      <w:bookmarkStart w:id="2055" w:name="_Toc131382973"/>
      <w:bookmarkStart w:id="2056" w:name="_Toc133812354"/>
      <w:bookmarkStart w:id="2057" w:name="_Toc133920301"/>
      <w:bookmarkStart w:id="2058" w:name="_Toc134854698"/>
      <w:bookmarkStart w:id="2059" w:name="_Toc134854974"/>
      <w:bookmarkStart w:id="2060" w:name="_Toc136841151"/>
      <w:bookmarkStart w:id="2061" w:name="_Toc131415858"/>
      <w:bookmarkStart w:id="2062" w:name="_Toc131416157"/>
      <w:bookmarkStart w:id="2063" w:name="_Toc170193340"/>
      <w:bookmarkStart w:id="2064" w:name="_Toc58902616"/>
      <w:r>
        <w:rPr>
          <w:rStyle w:val="CharDivNo"/>
        </w:rPr>
        <w:t>Division 3a</w:t>
      </w:r>
      <w:r>
        <w:t> — </w:t>
      </w:r>
      <w:r>
        <w:rPr>
          <w:rStyle w:val="CharDivText"/>
        </w:rPr>
        <w:t>Listed companies taken to be registered in Western Australia</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Footnoteheading"/>
        <w:tabs>
          <w:tab w:val="left" w:pos="851"/>
        </w:tabs>
      </w:pPr>
      <w:r>
        <w:tab/>
        <w:t>[Heading inserted by No. 11 of 2004 s. 29.]</w:t>
      </w:r>
    </w:p>
    <w:p>
      <w:pPr>
        <w:pStyle w:val="Heading5"/>
      </w:pPr>
      <w:bookmarkStart w:id="2065" w:name="_Toc107054962"/>
      <w:bookmarkStart w:id="2066" w:name="_Toc134854699"/>
      <w:bookmarkStart w:id="2067" w:name="_Toc136841152"/>
      <w:bookmarkStart w:id="2068" w:name="_Toc131416158"/>
      <w:bookmarkStart w:id="2069" w:name="_Toc170193341"/>
      <w:r>
        <w:rPr>
          <w:rStyle w:val="CharSectno"/>
        </w:rPr>
        <w:t>76AT</w:t>
      </w:r>
      <w:r>
        <w:t>.</w:t>
      </w:r>
      <w:r>
        <w:tab/>
        <w:t>Preparation of dutiable statement</w:t>
      </w:r>
      <w:bookmarkEnd w:id="2065"/>
      <w:bookmarkEnd w:id="2066"/>
      <w:bookmarkEnd w:id="2067"/>
      <w:bookmarkEnd w:id="2068"/>
      <w:bookmarkEnd w:id="2069"/>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del w:id="2070" w:author="svcMRProcess" w:date="2020-02-20T23:16:00Z">
        <w:r>
          <w:delText xml:space="preserve"> </w:delText>
        </w:r>
      </w:del>
    </w:p>
    <w:p>
      <w:pPr>
        <w:pStyle w:val="Indenta"/>
      </w:pPr>
      <w:r>
        <w:tab/>
        <w:t>(a)</w:t>
      </w:r>
      <w:r>
        <w:tab/>
        <w:t>the Commissioner is to notify the person accordingly specifying —</w:t>
      </w:r>
      <w:del w:id="2071" w:author="svcMRProcess" w:date="2020-02-20T23:16:00Z">
        <w:r>
          <w:delText xml:space="preserve"> </w:delText>
        </w:r>
      </w:del>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person shall —</w:t>
      </w:r>
      <w:del w:id="2072" w:author="svcMRProcess" w:date="2020-02-20T23:16:00Z">
        <w:r>
          <w:delText xml:space="preserve"> </w:delText>
        </w:r>
      </w:del>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del w:id="2073" w:author="svcMRProcess" w:date="2020-02-20T23:16:00Z">
        <w:r>
          <w:delText xml:space="preserve"> </w:delText>
        </w:r>
      </w:del>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w:t>
      </w:r>
      <w:del w:id="2074" w:author="svcMRProcess" w:date="2020-02-20T23:16:00Z">
        <w:r>
          <w:delText xml:space="preserve"> </w:delText>
        </w:r>
      </w:del>
      <w:ins w:id="2075" w:author="svcMRProcess" w:date="2020-02-20T23:16:00Z">
        <w:r>
          <w:t> </w:t>
        </w:r>
      </w:ins>
      <w:r>
        <w:t>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A dutiable statement under subsection (1) shall include the following information —</w:t>
      </w:r>
      <w:del w:id="2076" w:author="svcMRProcess" w:date="2020-02-20T23:16:00Z">
        <w:r>
          <w:delText xml:space="preserve"> </w:delText>
        </w:r>
      </w:del>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del w:id="2077" w:author="svcMRProcess" w:date="2020-02-20T23:16:00Z">
        <w:r>
          <w:delText xml:space="preserve"> </w:delText>
        </w:r>
      </w:del>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del w:id="2078" w:author="svcMRProcess" w:date="2020-02-20T23:16:00Z">
        <w:r>
          <w:delText xml:space="preserve"> </w:delText>
        </w:r>
      </w:del>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A dutiable statement under subsection (4)(c) in respect of a relevant period shall include the following information —</w:t>
      </w:r>
      <w:del w:id="2079" w:author="svcMRProcess" w:date="2020-02-20T23:16:00Z">
        <w:r>
          <w:delText xml:space="preserve"> </w:delText>
        </w:r>
      </w:del>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in relation to each additional interest acquired during the relevant period —</w:t>
      </w:r>
      <w:del w:id="2080" w:author="svcMRProcess" w:date="2020-02-20T23:16:00Z">
        <w:r>
          <w:delText xml:space="preserve"> </w:delText>
        </w:r>
      </w:del>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w:t>
      </w:r>
      <w:del w:id="2081" w:author="svcMRProcess" w:date="2020-02-20T23:16:00Z">
        <w:r>
          <w:delText xml:space="preserve"> </w:delText>
        </w:r>
      </w:del>
      <w:ins w:id="2082" w:author="svcMRProcess" w:date="2020-02-20T23:16:00Z">
        <w:r>
          <w:t> </w:t>
        </w:r>
      </w:ins>
      <w:r>
        <w:t>(5)(b) commits an offence.</w:t>
      </w:r>
    </w:p>
    <w:p>
      <w:pPr>
        <w:pStyle w:val="Penstart"/>
      </w:pPr>
      <w:r>
        <w:tab/>
        <w:t>Penalty: $20 000.</w:t>
      </w:r>
    </w:p>
    <w:p>
      <w:pPr>
        <w:pStyle w:val="Footnotesection"/>
      </w:pPr>
      <w:r>
        <w:tab/>
        <w:t>[Section 76AT inserted by No. 11 of 2004 s. 29.]</w:t>
      </w:r>
    </w:p>
    <w:p>
      <w:pPr>
        <w:pStyle w:val="Heading5"/>
      </w:pPr>
      <w:bookmarkStart w:id="2083" w:name="_Toc107054963"/>
      <w:bookmarkStart w:id="2084" w:name="_Toc134854700"/>
      <w:bookmarkStart w:id="2085" w:name="_Toc136841153"/>
      <w:bookmarkStart w:id="2086" w:name="_Toc131416159"/>
      <w:bookmarkStart w:id="2087" w:name="_Toc170193342"/>
      <w:r>
        <w:rPr>
          <w:rStyle w:val="CharSectno"/>
        </w:rPr>
        <w:t>76ATA</w:t>
      </w:r>
      <w:r>
        <w:t>.</w:t>
      </w:r>
      <w:r>
        <w:tab/>
        <w:t>Statement chargeable with duty</w:t>
      </w:r>
      <w:bookmarkEnd w:id="2083"/>
      <w:bookmarkEnd w:id="2084"/>
      <w:bookmarkEnd w:id="2085"/>
      <w:bookmarkEnd w:id="2086"/>
      <w:bookmarkEnd w:id="2087"/>
      <w:del w:id="2088" w:author="svcMRProcess" w:date="2020-02-20T23:16:00Z">
        <w:r>
          <w:delText xml:space="preserve"> </w:delText>
        </w:r>
      </w:del>
    </w:p>
    <w:p>
      <w:pPr>
        <w:pStyle w:val="Subsection"/>
        <w:spacing w:before="100"/>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del w:id="2089" w:author="svcMRProcess" w:date="2020-02-20T23:16:00Z">
        <w:r>
          <w:delText xml:space="preserve"> </w:delText>
        </w:r>
      </w:del>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unless paragraph (d) applies, where the section 76AT statement relates to a relevant acquisition within section 76ATC(1)(b), the duty —</w:t>
      </w:r>
      <w:del w:id="2090" w:author="svcMRProcess" w:date="2020-02-20T23:16:00Z">
        <w:r>
          <w:delText xml:space="preserve"> </w:delText>
        </w:r>
      </w:del>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where approval has been granted under section 76AT(4), the duty —</w:t>
      </w:r>
      <w:del w:id="2091" w:author="svcMRProcess" w:date="2020-02-20T23:16:00Z">
        <w:r>
          <w:delText xml:space="preserve"> </w:delText>
        </w:r>
      </w:del>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before="12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del w:id="2092" w:author="svcMRProcess" w:date="2020-02-20T23:16:00Z">
        <w:r>
          <w:delText xml:space="preserve"> </w:delText>
        </w:r>
      </w:del>
    </w:p>
    <w:p>
      <w:pPr>
        <w:pStyle w:val="Equation"/>
        <w:tabs>
          <w:tab w:val="left" w:pos="1418"/>
        </w:tabs>
        <w:rPr>
          <w:del w:id="2093" w:author="svcMRProcess" w:date="2020-02-20T23:16:00Z"/>
          <w:snapToGrid w:val="0"/>
        </w:rPr>
      </w:pPr>
      <w:del w:id="2094" w:author="svcMRProcess" w:date="2020-02-20T23:16:00Z">
        <w:r>
          <w:rPr>
            <w:snapToGrid w:val="0"/>
          </w:rPr>
          <w:tab/>
        </w:r>
        <w:r>
          <w:rPr>
            <w:snapToGrid w:val="0"/>
            <w:position w:val="-26"/>
          </w:rPr>
          <w:pict>
            <v:shape id="_x0000_i1037" type="#_x0000_t75" style="width:83.25pt;height:30pt">
              <v:imagedata r:id="rId28" o:title=""/>
            </v:shape>
          </w:pict>
        </w:r>
      </w:del>
    </w:p>
    <w:p>
      <w:pPr>
        <w:pStyle w:val="Equation"/>
        <w:spacing w:before="100"/>
        <w:jc w:val="center"/>
        <w:rPr>
          <w:ins w:id="2095" w:author="svcMRProcess" w:date="2020-02-20T23:16:00Z"/>
        </w:rPr>
      </w:pPr>
      <w:ins w:id="2096" w:author="svcMRProcess" w:date="2020-02-20T23:16:00Z">
        <w:r>
          <w:rPr>
            <w:position w:val="-30"/>
          </w:rPr>
          <w:pict>
            <v:shape id="_x0000_i1038" type="#_x0000_t75" style="width:98.25pt;height:33.75pt">
              <v:imagedata r:id="rId29" o:title=""/>
            </v:shape>
          </w:pict>
        </w:r>
      </w:ins>
    </w:p>
    <w:p>
      <w:pPr>
        <w:pStyle w:val="Subsection"/>
        <w:spacing w:before="0"/>
      </w:pPr>
      <w:r>
        <w:tab/>
      </w:r>
      <w:r>
        <w:tab/>
        <w:t>where —</w:t>
      </w:r>
      <w:del w:id="2097" w:author="svcMRProcess" w:date="2020-02-20T23:16:00Z">
        <w:r>
          <w:delText xml:space="preserve"> </w:delText>
        </w:r>
      </w:del>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0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0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00"/>
      </w:pPr>
      <w:r>
        <w:tab/>
        <w:t>(5)</w:t>
      </w:r>
      <w:r>
        <w:tab/>
        <w:t>If —</w:t>
      </w:r>
      <w:del w:id="2098" w:author="svcMRProcess" w:date="2020-02-20T23:16:00Z">
        <w:r>
          <w:delText xml:space="preserve"> </w:delText>
        </w:r>
      </w:del>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0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spacing w:before="120"/>
      </w:pPr>
      <w:bookmarkStart w:id="2099" w:name="_Toc107054964"/>
      <w:bookmarkStart w:id="2100" w:name="_Toc134854701"/>
      <w:bookmarkStart w:id="2101" w:name="_Toc136841154"/>
      <w:bookmarkStart w:id="2102" w:name="_Toc131416160"/>
      <w:bookmarkStart w:id="2103" w:name="_Toc170193343"/>
      <w:r>
        <w:rPr>
          <w:rStyle w:val="CharSectno"/>
        </w:rPr>
        <w:t>76ATB</w:t>
      </w:r>
      <w:r>
        <w:t>.</w:t>
      </w:r>
      <w:r>
        <w:tab/>
        <w:t>Meaning of “listed land</w:t>
      </w:r>
      <w:r>
        <w:noBreakHyphen/>
        <w:t>holder WA company”</w:t>
      </w:r>
      <w:bookmarkEnd w:id="2099"/>
      <w:bookmarkEnd w:id="2100"/>
      <w:bookmarkEnd w:id="2101"/>
      <w:bookmarkEnd w:id="2102"/>
      <w:bookmarkEnd w:id="2103"/>
    </w:p>
    <w:p>
      <w:pPr>
        <w:pStyle w:val="Subsection"/>
        <w:spacing w:before="100"/>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spacing w:before="100"/>
      </w:pPr>
      <w:r>
        <w:tab/>
        <w:t>(2)</w:t>
      </w:r>
      <w:r>
        <w:tab/>
        <w:t>A WA company is a land</w:t>
      </w:r>
      <w:r>
        <w:rPr>
          <w:snapToGrid w:val="0"/>
        </w:rPr>
        <w:noBreakHyphen/>
      </w:r>
      <w:r>
        <w:t>holder for the purposes of this Division if at the time of an acquisition of a controlling interest —</w:t>
      </w:r>
      <w:del w:id="2104" w:author="svcMRProcess" w:date="2020-02-20T23:16:00Z">
        <w:r>
          <w:delText xml:space="preserve"> </w:delText>
        </w:r>
      </w:del>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0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del w:id="2105" w:author="svcMRProcess" w:date="2020-02-20T23:16:00Z">
        <w:r>
          <w:delText xml:space="preserve"> </w:delText>
        </w:r>
      </w:del>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del w:id="2106" w:author="svcMRProcess" w:date="2020-02-20T23:16:00Z">
        <w:r>
          <w:delText xml:space="preserve"> </w:delText>
        </w:r>
      </w:del>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del w:id="2107" w:author="svcMRProcess" w:date="2020-02-20T23:16:00Z">
        <w:r>
          <w:delText xml:space="preserve"> </w:delText>
        </w:r>
      </w:del>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where</w:t>
      </w:r>
      <w:del w:id="2108" w:author="svcMRProcess" w:date="2020-02-20T23:16:00Z">
        <w:r>
          <w:delText xml:space="preserve"> by</w:delText>
        </w:r>
      </w:del>
      <w:r>
        <w:t xml:space="preserv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Without limiting the meaning of “entitled”, a WA company is deemed to be entitled to land or property to the extent that a subsidiary is entitled to that land or property, and for the purposes of this subsection a subsidiary is —</w:t>
      </w:r>
      <w:del w:id="2109" w:author="svcMRProcess" w:date="2020-02-20T23:16:00Z">
        <w:r>
          <w:delText xml:space="preserve"> </w:delText>
        </w:r>
      </w:del>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del w:id="2110" w:author="svcMRProcess" w:date="2020-02-20T23:16:00Z">
        <w:r>
          <w:delText xml:space="preserve"> </w:delText>
        </w:r>
      </w:del>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del w:id="2111" w:author="svcMRProcess" w:date="2020-02-20T23:16:00Z">
        <w:r>
          <w:delText xml:space="preserve"> </w:delText>
        </w:r>
      </w:del>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2112" w:name="_Toc107054965"/>
      <w:bookmarkStart w:id="2113" w:name="_Toc134854702"/>
      <w:bookmarkStart w:id="2114" w:name="_Toc136841155"/>
      <w:bookmarkStart w:id="2115" w:name="_Toc131416161"/>
      <w:bookmarkStart w:id="2116" w:name="_Toc170193344"/>
      <w:r>
        <w:rPr>
          <w:rStyle w:val="CharSectno"/>
        </w:rPr>
        <w:t>76ATC</w:t>
      </w:r>
      <w:r>
        <w:t>.</w:t>
      </w:r>
      <w:r>
        <w:tab/>
        <w:t>Meaning of “relevant acquisition”</w:t>
      </w:r>
      <w:bookmarkEnd w:id="2112"/>
      <w:bookmarkEnd w:id="2113"/>
      <w:bookmarkEnd w:id="2114"/>
      <w:bookmarkEnd w:id="2115"/>
      <w:bookmarkEnd w:id="2116"/>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if by that acquisition a person acquires a controlling interest in a WA company by acquiring an interest —</w:t>
      </w:r>
      <w:del w:id="2117" w:author="svcMRProcess" w:date="2020-02-20T23:16:00Z">
        <w:r>
          <w:delText xml:space="preserve"> </w:delText>
        </w:r>
      </w:del>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2118" w:name="_Toc107054966"/>
      <w:bookmarkStart w:id="2119" w:name="_Toc134854703"/>
      <w:bookmarkStart w:id="2120" w:name="_Toc136841156"/>
      <w:bookmarkStart w:id="2121" w:name="_Toc131416162"/>
      <w:bookmarkStart w:id="2122" w:name="_Toc170193345"/>
      <w:r>
        <w:rPr>
          <w:rStyle w:val="CharSectno"/>
        </w:rPr>
        <w:t>76ATD</w:t>
      </w:r>
      <w:r>
        <w:t>.</w:t>
      </w:r>
      <w:r>
        <w:tab/>
        <w:t>Meaning of “interest”, “controlling interest” or “additional interest”</w:t>
      </w:r>
      <w:bookmarkEnd w:id="2118"/>
      <w:bookmarkEnd w:id="2119"/>
      <w:bookmarkEnd w:id="2120"/>
      <w:bookmarkEnd w:id="2121"/>
      <w:bookmarkEnd w:id="2122"/>
      <w:del w:id="2123" w:author="svcMRProcess" w:date="2020-02-20T23:16:00Z">
        <w:r>
          <w:delText xml:space="preserve"> </w:delText>
        </w:r>
      </w:del>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0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spacing w:before="100"/>
      </w:pPr>
      <w:r>
        <w:tab/>
        <w:t>(3)</w:t>
      </w:r>
      <w:r>
        <w:tab/>
        <w:t xml:space="preserve">For the purposes of this Division, a person acquires an </w:t>
      </w:r>
      <w:r>
        <w:rPr>
          <w:b/>
        </w:rPr>
        <w:t>“</w:t>
      </w:r>
      <w:r>
        <w:rPr>
          <w:rStyle w:val="CharDefText"/>
        </w:rPr>
        <w:t>additional interest</w:t>
      </w:r>
      <w:r>
        <w:rPr>
          <w:b/>
        </w:rPr>
        <w:t>”</w:t>
      </w:r>
      <w:r>
        <w:t xml:space="preserve"> in a WA company if —</w:t>
      </w:r>
      <w:del w:id="2124" w:author="svcMRProcess" w:date="2020-02-20T23:16:00Z">
        <w:r>
          <w:delText xml:space="preserve"> </w:delText>
        </w:r>
      </w:del>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2125" w:name="_Toc107054967"/>
      <w:bookmarkStart w:id="2126" w:name="_Toc134854704"/>
      <w:bookmarkStart w:id="2127" w:name="_Toc136841157"/>
      <w:bookmarkStart w:id="2128" w:name="_Toc131416163"/>
      <w:bookmarkStart w:id="2129" w:name="_Toc170193346"/>
      <w:r>
        <w:rPr>
          <w:rStyle w:val="CharSectno"/>
        </w:rPr>
        <w:t>76ATE</w:t>
      </w:r>
      <w:r>
        <w:t>.</w:t>
      </w:r>
      <w:r>
        <w:tab/>
        <w:t>How dutiable value is determined</w:t>
      </w:r>
      <w:bookmarkEnd w:id="2125"/>
      <w:bookmarkEnd w:id="2126"/>
      <w:bookmarkEnd w:id="2127"/>
      <w:bookmarkEnd w:id="2128"/>
      <w:bookmarkEnd w:id="2129"/>
    </w:p>
    <w:p>
      <w:pPr>
        <w:pStyle w:val="Subsection"/>
        <w:spacing w:before="10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0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del w:id="2130" w:author="svcMRProcess" w:date="2020-02-20T23:16:00Z">
        <w:r>
          <w:delText xml:space="preserve"> </w:delText>
        </w:r>
      </w:del>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00"/>
      </w:pPr>
      <w:r>
        <w:tab/>
        <w:t>(5)</w:t>
      </w:r>
      <w:r>
        <w:tab/>
        <w:t>Unless subsection (6) applies, where the relevant acquisition is within section 76ATC(1)(b) the dutiable value —</w:t>
      </w:r>
      <w:del w:id="2131" w:author="svcMRProcess" w:date="2020-02-20T23:16:00Z">
        <w:r>
          <w:delText xml:space="preserve"> </w:delText>
        </w:r>
      </w:del>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Where approval has been granted under section 76AT(4) the dutiable value —</w:t>
      </w:r>
      <w:del w:id="2132" w:author="svcMRProcess" w:date="2020-02-20T23:16:00Z">
        <w:r>
          <w:delText xml:space="preserve"> </w:delText>
        </w:r>
      </w:del>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del w:id="2133" w:author="svcMRProcess" w:date="2020-02-20T23:16:00Z">
        <w:r>
          <w:delText xml:space="preserve"> </w:delText>
        </w:r>
      </w:del>
    </w:p>
    <w:p>
      <w:pPr>
        <w:pStyle w:val="Indenta"/>
        <w:spacing w:before="120"/>
      </w:pPr>
      <w:r>
        <w:tab/>
        <w:t>(a)</w:t>
      </w:r>
      <w:r>
        <w:tab/>
        <w:t>in the case of land and chattels to which the WA company is entitled without reference to subsection (6) of section 76ATB, the unencumbered value of the land and chattels at that time; and</w:t>
      </w:r>
    </w:p>
    <w:p>
      <w:pPr>
        <w:pStyle w:val="Indenta"/>
        <w:spacing w:before="12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4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4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ind w:left="890" w:hanging="890"/>
      </w:pPr>
      <w:r>
        <w:tab/>
        <w:t>[Section 76ATE inserted by No. 11 of 2004 s. 29.]</w:t>
      </w:r>
    </w:p>
    <w:p>
      <w:pPr>
        <w:pStyle w:val="Heading5"/>
        <w:spacing w:before="240"/>
      </w:pPr>
      <w:bookmarkStart w:id="2134" w:name="_Toc107054968"/>
      <w:bookmarkStart w:id="2135" w:name="_Toc134854705"/>
      <w:bookmarkStart w:id="2136" w:name="_Toc136841158"/>
      <w:bookmarkStart w:id="2137" w:name="_Toc131416164"/>
      <w:bookmarkStart w:id="2138" w:name="_Toc170193347"/>
      <w:r>
        <w:rPr>
          <w:rStyle w:val="CharSectno"/>
        </w:rPr>
        <w:t>76ATF</w:t>
      </w:r>
      <w:r>
        <w:t>.</w:t>
      </w:r>
      <w:r>
        <w:tab/>
        <w:t>Liability for duty</w:t>
      </w:r>
      <w:bookmarkEnd w:id="2134"/>
      <w:bookmarkEnd w:id="2135"/>
      <w:bookmarkEnd w:id="2136"/>
      <w:bookmarkEnd w:id="2137"/>
      <w:bookmarkEnd w:id="2138"/>
      <w:del w:id="2139" w:author="svcMRProcess" w:date="2020-02-20T23:16:00Z">
        <w:r>
          <w:delText xml:space="preserve"> </w:delText>
        </w:r>
      </w:del>
    </w:p>
    <w:p>
      <w:pPr>
        <w:pStyle w:val="Subsection"/>
        <w:spacing w:before="14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2140" w:name="_Toc76899638"/>
      <w:bookmarkStart w:id="2141" w:name="_Toc78090540"/>
      <w:bookmarkStart w:id="2142" w:name="_Toc88886908"/>
      <w:bookmarkStart w:id="2143" w:name="_Toc90443524"/>
      <w:bookmarkStart w:id="2144" w:name="_Toc90452875"/>
      <w:bookmarkStart w:id="2145" w:name="_Toc100029466"/>
      <w:bookmarkStart w:id="2146" w:name="_Toc100031539"/>
      <w:bookmarkStart w:id="2147" w:name="_Toc100458598"/>
      <w:bookmarkStart w:id="2148" w:name="_Toc101672014"/>
      <w:bookmarkStart w:id="2149" w:name="_Toc101672271"/>
      <w:bookmarkStart w:id="2150" w:name="_Toc102799297"/>
      <w:bookmarkStart w:id="2151" w:name="_Toc102981971"/>
      <w:bookmarkStart w:id="2152" w:name="_Toc103403284"/>
      <w:bookmarkStart w:id="2153" w:name="_Toc103403541"/>
      <w:bookmarkStart w:id="2154" w:name="_Toc103747540"/>
      <w:bookmarkStart w:id="2155" w:name="_Toc107054969"/>
      <w:bookmarkStart w:id="2156" w:name="_Toc113874416"/>
      <w:bookmarkStart w:id="2157" w:name="_Toc113956832"/>
      <w:bookmarkStart w:id="2158" w:name="_Toc116717388"/>
      <w:bookmarkStart w:id="2159" w:name="_Toc116813415"/>
      <w:bookmarkStart w:id="2160" w:name="_Toc122333067"/>
      <w:bookmarkStart w:id="2161" w:name="_Toc122862037"/>
      <w:bookmarkStart w:id="2162" w:name="_Toc122862633"/>
      <w:bookmarkStart w:id="2163" w:name="_Toc122921240"/>
      <w:bookmarkStart w:id="2164" w:name="_Toc122921500"/>
      <w:bookmarkStart w:id="2165" w:name="_Toc122947445"/>
      <w:bookmarkStart w:id="2166" w:name="_Toc124046281"/>
      <w:bookmarkStart w:id="2167" w:name="_Toc130266602"/>
      <w:bookmarkStart w:id="2168" w:name="_Toc130266878"/>
      <w:bookmarkStart w:id="2169" w:name="_Toc131382981"/>
      <w:bookmarkStart w:id="2170" w:name="_Toc133812362"/>
      <w:bookmarkStart w:id="2171" w:name="_Toc133920309"/>
      <w:bookmarkStart w:id="2172" w:name="_Toc134854706"/>
      <w:bookmarkStart w:id="2173" w:name="_Toc134854982"/>
      <w:bookmarkStart w:id="2174" w:name="_Toc136841159"/>
      <w:bookmarkStart w:id="2175" w:name="_Toc131415866"/>
      <w:bookmarkStart w:id="2176" w:name="_Toc131416165"/>
      <w:bookmarkStart w:id="2177" w:name="_Toc170193348"/>
      <w:r>
        <w:rPr>
          <w:rStyle w:val="CharDivNo"/>
        </w:rPr>
        <w:t>Division 3b</w:t>
      </w:r>
      <w:r>
        <w:t> — </w:t>
      </w:r>
      <w:r>
        <w:rPr>
          <w:rStyle w:val="CharDivText"/>
        </w:rPr>
        <w:t>Listed corporations incorporated, or taken to be registered, outside Western Australia, and certain other companies not within Division 3a</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p>
    <w:p>
      <w:pPr>
        <w:pStyle w:val="Footnoteheading"/>
        <w:tabs>
          <w:tab w:val="left" w:pos="851"/>
        </w:tabs>
      </w:pPr>
      <w:r>
        <w:tab/>
        <w:t>[Heading inserted by No. 11 of 2004 s. 29.]</w:t>
      </w:r>
    </w:p>
    <w:p>
      <w:pPr>
        <w:pStyle w:val="Heading5"/>
      </w:pPr>
      <w:bookmarkStart w:id="2178" w:name="_Toc107054970"/>
      <w:bookmarkStart w:id="2179" w:name="_Toc134854707"/>
      <w:bookmarkStart w:id="2180" w:name="_Toc136841160"/>
      <w:bookmarkStart w:id="2181" w:name="_Toc131416166"/>
      <w:bookmarkStart w:id="2182" w:name="_Toc170193349"/>
      <w:r>
        <w:rPr>
          <w:rStyle w:val="CharSectno"/>
        </w:rPr>
        <w:t>76ATG</w:t>
      </w:r>
      <w:r>
        <w:t>.</w:t>
      </w:r>
      <w:r>
        <w:tab/>
        <w:t>Preparation of dutiable statement</w:t>
      </w:r>
      <w:bookmarkEnd w:id="2178"/>
      <w:bookmarkEnd w:id="2179"/>
      <w:bookmarkEnd w:id="2180"/>
      <w:bookmarkEnd w:id="2181"/>
      <w:bookmarkEnd w:id="2182"/>
      <w:del w:id="2183" w:author="svcMRProcess" w:date="2020-02-20T23:16:00Z">
        <w:r>
          <w:delText xml:space="preserve"> </w:delText>
        </w:r>
      </w:del>
    </w:p>
    <w:p>
      <w:pPr>
        <w:pStyle w:val="Subsection"/>
      </w:pPr>
      <w:r>
        <w:tab/>
        <w:t>(1)</w:t>
      </w:r>
      <w:r>
        <w:tab/>
        <w:t>Where by a relevant acquisition a person acquires a controlling interest in —</w:t>
      </w:r>
      <w:del w:id="2184" w:author="svcMRProcess" w:date="2020-02-20T23:16:00Z">
        <w:r>
          <w:delText xml:space="preserve"> </w:delText>
        </w:r>
      </w:del>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del w:id="2185" w:author="svcMRProcess" w:date="2020-02-20T23:16:00Z">
        <w:r>
          <w:delText xml:space="preserve"> </w:delText>
        </w:r>
      </w:del>
    </w:p>
    <w:p>
      <w:pPr>
        <w:pStyle w:val="Indenta"/>
      </w:pPr>
      <w:r>
        <w:tab/>
        <w:t>(a)</w:t>
      </w:r>
      <w:r>
        <w:tab/>
        <w:t>the Commissioner is to notify the corporation accordingly specifying —</w:t>
      </w:r>
      <w:del w:id="2186" w:author="svcMRProcess" w:date="2020-02-20T23:16:00Z">
        <w:r>
          <w:delText xml:space="preserve"> </w:delText>
        </w:r>
      </w:del>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del w:id="2187" w:author="svcMRProcess" w:date="2020-02-20T23:16:00Z">
        <w:r>
          <w:delText xml:space="preserve"> </w:delText>
        </w:r>
      </w:del>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del w:id="2188" w:author="svcMRProcess" w:date="2020-02-20T23:16:00Z">
        <w:r>
          <w:delText xml:space="preserve"> </w:delText>
        </w:r>
      </w:del>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A dutiable statement under subsection (1) shall include the following information —</w:t>
      </w:r>
      <w:del w:id="2189" w:author="svcMRProcess" w:date="2020-02-20T23:16:00Z">
        <w:r>
          <w:delText xml:space="preserve"> </w:delText>
        </w:r>
      </w:del>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del w:id="2190" w:author="svcMRProcess" w:date="2020-02-20T23:16:00Z">
        <w:r>
          <w:delText xml:space="preserve"> </w:delText>
        </w:r>
      </w:del>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A dutiable statement under subsection (2) or (5)(b) shall include the following information —</w:t>
      </w:r>
      <w:del w:id="2191" w:author="svcMRProcess" w:date="2020-02-20T23:16:00Z">
        <w:r>
          <w:delText xml:space="preserve"> </w:delText>
        </w:r>
      </w:del>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del w:id="2192" w:author="svcMRProcess" w:date="2020-02-20T23:16:00Z">
        <w:r>
          <w:delText xml:space="preserve"> </w:delText>
        </w:r>
      </w:del>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del w:id="2193" w:author="svcMRProcess" w:date="2020-02-20T23:16:00Z">
        <w:r>
          <w:delText xml:space="preserve"> </w:delText>
        </w:r>
      </w:del>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del w:id="2194" w:author="svcMRProcess" w:date="2020-02-20T23:16:00Z">
        <w:r>
          <w:delText xml:space="preserve"> </w:delText>
        </w:r>
      </w:del>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2195" w:name="_Toc107054971"/>
      <w:bookmarkStart w:id="2196" w:name="_Toc134854708"/>
      <w:bookmarkStart w:id="2197" w:name="_Toc136841161"/>
      <w:bookmarkStart w:id="2198" w:name="_Toc131416167"/>
      <w:bookmarkStart w:id="2199" w:name="_Toc170193350"/>
      <w:r>
        <w:rPr>
          <w:rStyle w:val="CharSectno"/>
        </w:rPr>
        <w:t>76ATH</w:t>
      </w:r>
      <w:r>
        <w:t>.</w:t>
      </w:r>
      <w:r>
        <w:tab/>
        <w:t>Statement chargeable with duty</w:t>
      </w:r>
      <w:bookmarkEnd w:id="2195"/>
      <w:bookmarkEnd w:id="2196"/>
      <w:bookmarkEnd w:id="2197"/>
      <w:bookmarkEnd w:id="2198"/>
      <w:bookmarkEnd w:id="2199"/>
      <w:del w:id="2200" w:author="svcMRProcess" w:date="2020-02-20T23:16:00Z">
        <w:r>
          <w:delText xml:space="preserve"> </w:delText>
        </w:r>
      </w:del>
    </w:p>
    <w:p>
      <w:pPr>
        <w:pStyle w:val="Subsection"/>
      </w:pPr>
      <w:r>
        <w:tab/>
        <w:t>(1)</w:t>
      </w:r>
      <w:r>
        <w:tab/>
        <w:t>A section 76ATG statement is chargeable, in accordance with section 76ATL, with duty at the rate provided for in item 4(1) of the Second Schedule calculated as follows —</w:t>
      </w:r>
      <w:del w:id="2201" w:author="svcMRProcess" w:date="2020-02-20T23:16:00Z">
        <w:r>
          <w:delText xml:space="preserve"> </w:delText>
        </w:r>
      </w:del>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del w:id="2202" w:author="svcMRProcess" w:date="2020-02-20T23:16:00Z">
        <w:r>
          <w:delText xml:space="preserve"> </w:delText>
        </w:r>
      </w:del>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del w:id="2203" w:author="svcMRProcess" w:date="2020-02-20T23:16:00Z">
        <w:r>
          <w:delText xml:space="preserve"> </w:delText>
        </w:r>
      </w:del>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del w:id="2204" w:author="svcMRProcess" w:date="2020-02-20T23:16:00Z">
        <w:r>
          <w:delText xml:space="preserve"> </w:delText>
        </w:r>
      </w:del>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del w:id="2205" w:author="svcMRProcess" w:date="2020-02-20T23:16:00Z">
        <w:r>
          <w:delText xml:space="preserve"> </w:delText>
        </w:r>
      </w:del>
    </w:p>
    <w:p>
      <w:pPr>
        <w:pStyle w:val="Equation"/>
        <w:tabs>
          <w:tab w:val="left" w:pos="1418"/>
        </w:tabs>
        <w:rPr>
          <w:del w:id="2206" w:author="svcMRProcess" w:date="2020-02-20T23:16:00Z"/>
          <w:snapToGrid w:val="0"/>
        </w:rPr>
      </w:pPr>
      <w:del w:id="2207" w:author="svcMRProcess" w:date="2020-02-20T23:16:00Z">
        <w:r>
          <w:rPr>
            <w:snapToGrid w:val="0"/>
          </w:rPr>
          <w:tab/>
        </w:r>
        <w:r>
          <w:rPr>
            <w:snapToGrid w:val="0"/>
            <w:position w:val="-26"/>
          </w:rPr>
          <w:pict>
            <v:shape id="_x0000_i1039" type="#_x0000_t75" style="width:83.25pt;height:30pt">
              <v:imagedata r:id="rId28" o:title=""/>
            </v:shape>
          </w:pict>
        </w:r>
      </w:del>
    </w:p>
    <w:p>
      <w:pPr>
        <w:pStyle w:val="Equation"/>
        <w:spacing w:before="120"/>
        <w:jc w:val="center"/>
        <w:rPr>
          <w:ins w:id="2208" w:author="svcMRProcess" w:date="2020-02-20T23:16:00Z"/>
        </w:rPr>
      </w:pPr>
      <w:ins w:id="2209" w:author="svcMRProcess" w:date="2020-02-20T23:16:00Z">
        <w:r>
          <w:rPr>
            <w:position w:val="-30"/>
          </w:rPr>
          <w:pict>
            <v:shape id="_x0000_i1040" type="#_x0000_t75" style="width:96.75pt;height:33.75pt">
              <v:imagedata r:id="rId30" o:title=""/>
            </v:shape>
          </w:pict>
        </w:r>
      </w:ins>
    </w:p>
    <w:p>
      <w:pPr>
        <w:pStyle w:val="Subsection"/>
        <w:keepNext/>
        <w:keepLines/>
        <w:spacing w:before="60" w:after="60"/>
      </w:pPr>
      <w:r>
        <w:tab/>
      </w:r>
      <w:r>
        <w:tab/>
        <w:t>where —</w:t>
      </w:r>
      <w:del w:id="2210" w:author="svcMRProcess" w:date="2020-02-20T23:16:00Z">
        <w:r>
          <w:delText xml:space="preserve"> </w:delText>
        </w:r>
      </w:del>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del w:id="2211" w:author="svcMRProcess" w:date="2020-02-20T23:16:00Z">
        <w:r>
          <w:delText xml:space="preserve"> </w:delText>
        </w:r>
      </w:del>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del w:id="2212" w:author="svcMRProcess" w:date="2020-02-20T23:16:00Z">
        <w:r>
          <w:delText xml:space="preserve"> </w:delText>
        </w:r>
      </w:del>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2213" w:name="_Toc107054972"/>
      <w:bookmarkStart w:id="2214" w:name="_Toc134854709"/>
      <w:bookmarkStart w:id="2215" w:name="_Toc136841162"/>
      <w:bookmarkStart w:id="2216" w:name="_Toc131416168"/>
      <w:bookmarkStart w:id="2217" w:name="_Toc170193351"/>
      <w:r>
        <w:rPr>
          <w:rStyle w:val="CharSectno"/>
        </w:rPr>
        <w:t>76ATI</w:t>
      </w:r>
      <w:r>
        <w:t>.</w:t>
      </w:r>
      <w:r>
        <w:tab/>
        <w:t>Meaning of “listed land</w:t>
      </w:r>
      <w:r>
        <w:rPr>
          <w:snapToGrid w:val="0"/>
        </w:rPr>
        <w:noBreakHyphen/>
      </w:r>
      <w:r>
        <w:t>holder corporation”</w:t>
      </w:r>
      <w:bookmarkEnd w:id="2213"/>
      <w:bookmarkEnd w:id="2214"/>
      <w:bookmarkEnd w:id="2215"/>
      <w:bookmarkEnd w:id="2216"/>
      <w:bookmarkEnd w:id="2217"/>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del w:id="2218" w:author="svcMRProcess" w:date="2020-02-20T23:16:00Z">
        <w:r>
          <w:delText xml:space="preserve"> </w:delText>
        </w:r>
      </w:del>
    </w:p>
    <w:p>
      <w:pPr>
        <w:pStyle w:val="Indenta"/>
      </w:pPr>
      <w:r>
        <w:tab/>
        <w:t>(a)</w:t>
      </w:r>
      <w:r>
        <w:tab/>
        <w:t>it is —</w:t>
      </w:r>
      <w:del w:id="2219" w:author="svcMRProcess" w:date="2020-02-20T23:16:00Z">
        <w:r>
          <w:delText xml:space="preserve"> </w:delText>
        </w:r>
      </w:del>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del w:id="2220" w:author="svcMRProcess" w:date="2020-02-20T23:16:00Z">
        <w:r>
          <w:delText xml:space="preserve"> </w:delText>
        </w:r>
      </w:del>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del w:id="2221" w:author="svcMRProcess" w:date="2020-02-20T23:16:00Z">
        <w:r>
          <w:delText xml:space="preserve"> </w:delText>
        </w:r>
      </w:del>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spacing w:before="120"/>
      </w:pPr>
      <w:r>
        <w:tab/>
        <w:t>(3)</w:t>
      </w:r>
      <w:r>
        <w:tab/>
        <w:t>If the Commissioner makes a determination under subsection (2) —</w:t>
      </w:r>
      <w:del w:id="2222" w:author="svcMRProcess" w:date="2020-02-20T23:16:00Z">
        <w:r>
          <w:delText xml:space="preserve"> </w:delText>
        </w:r>
      </w:del>
    </w:p>
    <w:p>
      <w:pPr>
        <w:pStyle w:val="Indenta"/>
      </w:pPr>
      <w:r>
        <w:tab/>
        <w:t>(a)</w:t>
      </w:r>
      <w:r>
        <w:tab/>
        <w:t>the Commissioner is to give notice of it to the corporation;</w:t>
      </w:r>
    </w:p>
    <w:p>
      <w:pPr>
        <w:pStyle w:val="Indenta"/>
      </w:pPr>
      <w:r>
        <w:tab/>
        <w:t>(b)</w:t>
      </w:r>
      <w:r>
        <w:tab/>
        <w:t>the notice is to contain reasons for the determination;</w:t>
      </w:r>
      <w:del w:id="2223" w:author="svcMRProcess" w:date="2020-02-20T23:16:00Z">
        <w:r>
          <w:delText xml:space="preserve"> </w:delText>
        </w:r>
      </w:del>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del w:id="2224" w:author="svcMRProcess" w:date="2020-02-20T23:16:00Z">
        <w:r>
          <w:delText xml:space="preserve"> </w:delText>
        </w:r>
      </w:del>
    </w:p>
    <w:p>
      <w:pPr>
        <w:pStyle w:val="Indenta"/>
        <w:spacing w:before="60"/>
      </w:pPr>
      <w:r>
        <w:tab/>
        <w:t>(a)</w:t>
      </w:r>
      <w:r>
        <w:tab/>
        <w:t>cash or money in an account at call;</w:t>
      </w:r>
    </w:p>
    <w:p>
      <w:pPr>
        <w:pStyle w:val="Indenta"/>
        <w:spacing w:before="60"/>
      </w:pPr>
      <w:r>
        <w:tab/>
        <w:t>(b)</w:t>
      </w:r>
      <w:r>
        <w:tab/>
        <w:t>negotiable instruments, and money on deposit with any person;</w:t>
      </w:r>
    </w:p>
    <w:p>
      <w:pPr>
        <w:pStyle w:val="Indenta"/>
        <w:spacing w:before="60"/>
      </w:pPr>
      <w:r>
        <w:tab/>
        <w:t>(c)</w:t>
      </w:r>
      <w:r>
        <w:tab/>
        <w:t>property consisting of rights or interests under a sales contract (including a forward sales contract) relating to minerals, primary products or other commodities;</w:t>
      </w:r>
    </w:p>
    <w:p>
      <w:pPr>
        <w:pStyle w:val="Indenta"/>
        <w:spacing w:before="60"/>
      </w:pPr>
      <w:r>
        <w:tab/>
        <w:t>(ca)</w:t>
      </w:r>
      <w:r>
        <w:tab/>
        <w:t>an amount paid or payable to the corporation or the trustee or other corporation referred to in subsection (6) under a contract or agreement referred to in subsection (7)(b);</w:t>
      </w:r>
    </w:p>
    <w:p>
      <w:pPr>
        <w:pStyle w:val="Indenta"/>
        <w:spacing w:before="60"/>
      </w:pPr>
      <w:r>
        <w:tab/>
        <w:t>(d)</w:t>
      </w:r>
      <w:r>
        <w:tab/>
        <w:t>money lent by the corporation or a trustee or a related corporation referred to in subsection (6) to —</w:t>
      </w:r>
      <w:del w:id="2225" w:author="svcMRProcess" w:date="2020-02-20T23:16:00Z">
        <w:r>
          <w:delText xml:space="preserve"> </w:delText>
        </w:r>
      </w:del>
    </w:p>
    <w:p>
      <w:pPr>
        <w:pStyle w:val="Indenti"/>
        <w:spacing w:before="60"/>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del w:id="2226" w:author="svcMRProcess" w:date="2020-02-20T23:16:00Z">
        <w:r>
          <w:delText xml:space="preserve"> </w:delText>
        </w:r>
      </w:del>
    </w:p>
    <w:p>
      <w:pPr>
        <w:pStyle w:val="Indenti"/>
      </w:pPr>
      <w:r>
        <w:tab/>
        <w:t>(i)</w:t>
      </w:r>
      <w:r>
        <w:tab/>
        <w:t>locate, extract, process, transport or market minerals; or</w:t>
      </w:r>
      <w:del w:id="2227" w:author="svcMRProcess" w:date="2020-02-20T23:16:00Z">
        <w:r>
          <w:delText xml:space="preserve"> </w:delText>
        </w:r>
      </w:del>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del w:id="2228" w:author="svcMRProcess" w:date="2020-02-20T23:16:00Z">
        <w:r>
          <w:delText xml:space="preserve"> </w:delText>
        </w:r>
      </w:del>
    </w:p>
    <w:p>
      <w:pPr>
        <w:pStyle w:val="Indenta"/>
      </w:pPr>
      <w:r>
        <w:tab/>
        <w:t>(a)</w:t>
      </w:r>
      <w:r>
        <w:tab/>
        <w:t>the trustee of a trust is entitled to that land or property and the corporation —</w:t>
      </w:r>
      <w:del w:id="2229" w:author="svcMRProcess" w:date="2020-02-20T23:16:00Z">
        <w:r>
          <w:delText xml:space="preserve"> </w:delText>
        </w:r>
      </w:del>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del w:id="2230" w:author="svcMRProcess" w:date="2020-02-20T23:16:00Z">
        <w:r>
          <w:delText xml:space="preserve"> </w:delText>
        </w:r>
      </w:del>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w:t>
      </w:r>
      <w:del w:id="2231" w:author="svcMRProcess" w:date="2020-02-20T23:16:00Z">
        <w:r>
          <w:delText> </w:delText>
        </w:r>
      </w:del>
      <w:ins w:id="2232" w:author="svcMRProcess" w:date="2020-02-20T23:16:00Z">
        <w:r>
          <w:t xml:space="preserve"> </w:t>
        </w:r>
      </w:ins>
      <w:r>
        <w:t>the following corporations is entitled to that land or property —</w:t>
      </w:r>
      <w:del w:id="2233" w:author="svcMRProcess" w:date="2020-02-20T23:16:00Z">
        <w:r>
          <w:delText xml:space="preserve"> </w:delText>
        </w:r>
      </w:del>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del w:id="2234" w:author="svcMRProcess" w:date="2020-02-20T23:16:00Z">
        <w:r>
          <w:delText xml:space="preserve"> </w:delText>
        </w:r>
      </w:del>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del w:id="2235" w:author="svcMRProcess" w:date="2020-02-20T23:16:00Z">
        <w:r>
          <w:delText xml:space="preserve"> </w:delText>
        </w:r>
      </w:del>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2236" w:name="_Toc107054973"/>
      <w:bookmarkStart w:id="2237" w:name="_Toc134854710"/>
      <w:bookmarkStart w:id="2238" w:name="_Toc136841163"/>
      <w:bookmarkStart w:id="2239" w:name="_Toc131416169"/>
      <w:bookmarkStart w:id="2240" w:name="_Toc170193352"/>
      <w:r>
        <w:rPr>
          <w:rStyle w:val="CharSectno"/>
        </w:rPr>
        <w:t>76ATJ</w:t>
      </w:r>
      <w:r>
        <w:t>.</w:t>
      </w:r>
      <w:r>
        <w:tab/>
        <w:t>Meaning o</w:t>
      </w:r>
      <w:r>
        <w:rPr>
          <w:rFonts w:ascii="Times" w:hAnsi="Times"/>
          <w:spacing w:val="40"/>
        </w:rPr>
        <w:t>f</w:t>
      </w:r>
      <w:r>
        <w:t xml:space="preserve"> “relevant acquisition”</w:t>
      </w:r>
      <w:bookmarkEnd w:id="2236"/>
      <w:bookmarkEnd w:id="2237"/>
      <w:bookmarkEnd w:id="2238"/>
      <w:bookmarkEnd w:id="2239"/>
      <w:bookmarkEnd w:id="2240"/>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del w:id="2241" w:author="svcMRProcess" w:date="2020-02-20T23:16:00Z">
        <w:r>
          <w:delText xml:space="preserve"> </w:delText>
        </w:r>
      </w:del>
    </w:p>
    <w:p>
      <w:pPr>
        <w:pStyle w:val="Indenta"/>
      </w:pPr>
      <w:r>
        <w:tab/>
        <w:t>(a)</w:t>
      </w:r>
      <w:r>
        <w:tab/>
        <w:t>if by that acquisition a person acquires a controlling interest in a corporation by acquiring an interest —</w:t>
      </w:r>
      <w:del w:id="2242" w:author="svcMRProcess" w:date="2020-02-20T23:16:00Z">
        <w:r>
          <w:delText xml:space="preserve"> </w:delText>
        </w:r>
      </w:del>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del w:id="2243" w:author="svcMRProcess" w:date="2020-02-20T23:16:00Z">
        <w:r>
          <w:delText xml:space="preserve"> </w:delText>
        </w:r>
      </w:del>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2244" w:name="_Toc107054974"/>
      <w:bookmarkStart w:id="2245" w:name="_Toc134854711"/>
      <w:bookmarkStart w:id="2246" w:name="_Toc136841164"/>
      <w:bookmarkStart w:id="2247" w:name="_Toc131416170"/>
      <w:bookmarkStart w:id="2248" w:name="_Toc170193353"/>
      <w:r>
        <w:rPr>
          <w:rStyle w:val="CharSectno"/>
        </w:rPr>
        <w:t>76ATK</w:t>
      </w:r>
      <w:r>
        <w:t>.</w:t>
      </w:r>
      <w:r>
        <w:tab/>
        <w:t>Meaning of “interest”, “controlling interest” or “additional interest”</w:t>
      </w:r>
      <w:bookmarkEnd w:id="2244"/>
      <w:bookmarkEnd w:id="2245"/>
      <w:bookmarkEnd w:id="2246"/>
      <w:bookmarkEnd w:id="2247"/>
      <w:bookmarkEnd w:id="2248"/>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del w:id="2249" w:author="svcMRProcess" w:date="2020-02-20T23:16:00Z">
        <w:r>
          <w:delText xml:space="preserve"> </w:delText>
        </w:r>
      </w:del>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del w:id="2250" w:author="svcMRProcess" w:date="2020-02-20T23:16:00Z">
        <w:r>
          <w:delText xml:space="preserve"> </w:delText>
        </w:r>
      </w:del>
    </w:p>
    <w:p>
      <w:pPr>
        <w:pStyle w:val="Defstart"/>
      </w:pPr>
      <w:r>
        <w:rPr>
          <w:b/>
        </w:rPr>
        <w:tab/>
        <w:t>“</w:t>
      </w:r>
      <w:r>
        <w:rPr>
          <w:rStyle w:val="CharDefText"/>
        </w:rPr>
        <w:t>holding corporation</w:t>
      </w:r>
      <w:r>
        <w:rPr>
          <w:b/>
        </w:rPr>
        <w:t>”</w:t>
      </w:r>
      <w:r>
        <w:t xml:space="preserve"> in relation to a corporation —</w:t>
      </w:r>
      <w:del w:id="2251" w:author="svcMRProcess" w:date="2020-02-20T23:16:00Z">
        <w:r>
          <w:delText xml:space="preserve"> </w:delText>
        </w:r>
      </w:del>
    </w:p>
    <w:p>
      <w:pPr>
        <w:pStyle w:val="Defpara"/>
      </w:pPr>
      <w:r>
        <w:tab/>
        <w:t>(a)</w:t>
      </w:r>
      <w:r>
        <w:tab/>
        <w:t>means a corporation —</w:t>
      </w:r>
      <w:del w:id="2252" w:author="svcMRProcess" w:date="2020-02-20T23:16:00Z">
        <w:r>
          <w:delText xml:space="preserve"> </w:delText>
        </w:r>
      </w:del>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del w:id="2253" w:author="svcMRProcess" w:date="2020-02-20T23:16:00Z">
        <w:r>
          <w:delText xml:space="preserve"> </w:delText>
        </w:r>
      </w:del>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del w:id="2254" w:author="svcMRProcess" w:date="2020-02-20T23:16:00Z">
        <w:r>
          <w:delText xml:space="preserve"> </w:delText>
        </w:r>
      </w:del>
    </w:p>
    <w:p>
      <w:pPr>
        <w:pStyle w:val="Defitem"/>
      </w:pPr>
      <w:r>
        <w:tab/>
        <w:t>(I)</w:t>
      </w:r>
      <w:r>
        <w:tab/>
        <w:t>is entitled to a share or interest in the trust whether vested or contingent; or</w:t>
      </w:r>
    </w:p>
    <w:p>
      <w:pPr>
        <w:pStyle w:val="Defitem"/>
      </w:pPr>
      <w:r>
        <w:tab/>
        <w:t>(II)</w:t>
      </w:r>
      <w:r>
        <w:tab/>
        <w:t>in the case of a discretionary trust, may benefit from that trust;</w:t>
      </w:r>
      <w:del w:id="2255" w:author="svcMRProcess" w:date="2020-02-20T23:16:00Z">
        <w:r>
          <w:delText xml:space="preserve"> </w:delText>
        </w:r>
      </w:del>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2256" w:name="_Toc107054975"/>
      <w:bookmarkStart w:id="2257" w:name="_Toc134854712"/>
      <w:bookmarkStart w:id="2258" w:name="_Toc136841165"/>
      <w:bookmarkStart w:id="2259" w:name="_Toc131416171"/>
      <w:bookmarkStart w:id="2260" w:name="_Toc170193354"/>
      <w:r>
        <w:rPr>
          <w:rStyle w:val="CharSectno"/>
        </w:rPr>
        <w:t>76ATL</w:t>
      </w:r>
      <w:r>
        <w:t>.</w:t>
      </w:r>
      <w:r>
        <w:tab/>
        <w:t>How dutiable value is determined</w:t>
      </w:r>
      <w:bookmarkEnd w:id="2256"/>
      <w:bookmarkEnd w:id="2257"/>
      <w:bookmarkEnd w:id="2258"/>
      <w:bookmarkEnd w:id="2259"/>
      <w:bookmarkEnd w:id="2260"/>
      <w:del w:id="2261" w:author="svcMRProcess" w:date="2020-02-20T23:16:00Z">
        <w:r>
          <w:delText xml:space="preserve"> </w:delText>
        </w:r>
      </w:del>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del w:id="2262" w:author="svcMRProcess" w:date="2020-02-20T23:16:00Z">
        <w:r>
          <w:delText xml:space="preserve"> </w:delText>
        </w:r>
      </w:del>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del w:id="2263" w:author="svcMRProcess" w:date="2020-02-20T23:16:00Z">
        <w:r>
          <w:delText xml:space="preserve"> </w:delText>
        </w:r>
      </w:del>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del w:id="2264" w:author="svcMRProcess" w:date="2020-02-20T23:16:00Z">
        <w:r>
          <w:delText xml:space="preserve"> </w:delText>
        </w:r>
      </w:del>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del w:id="2265" w:author="svcMRProcess" w:date="2020-02-20T23:16:00Z">
        <w:r>
          <w:delText xml:space="preserve"> </w:delText>
        </w:r>
      </w:del>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2266" w:name="_Toc76899645"/>
      <w:bookmarkStart w:id="2267" w:name="_Toc78090547"/>
      <w:bookmarkStart w:id="2268" w:name="_Toc88886915"/>
      <w:bookmarkStart w:id="2269" w:name="_Toc90443531"/>
      <w:bookmarkStart w:id="2270" w:name="_Toc90452882"/>
      <w:bookmarkStart w:id="2271" w:name="_Toc100029473"/>
      <w:bookmarkStart w:id="2272" w:name="_Toc100031546"/>
      <w:bookmarkStart w:id="2273" w:name="_Toc100458605"/>
      <w:bookmarkStart w:id="2274" w:name="_Toc101672021"/>
      <w:bookmarkStart w:id="2275" w:name="_Toc101672278"/>
      <w:bookmarkStart w:id="2276" w:name="_Toc102799304"/>
      <w:bookmarkStart w:id="2277" w:name="_Toc102981978"/>
      <w:bookmarkStart w:id="2278" w:name="_Toc103403291"/>
      <w:bookmarkStart w:id="2279" w:name="_Toc103403548"/>
      <w:bookmarkStart w:id="2280" w:name="_Toc103747547"/>
      <w:bookmarkStart w:id="2281" w:name="_Toc107054976"/>
      <w:bookmarkStart w:id="2282" w:name="_Toc113874423"/>
      <w:bookmarkStart w:id="2283" w:name="_Toc113956839"/>
      <w:bookmarkStart w:id="2284" w:name="_Toc116717395"/>
      <w:bookmarkStart w:id="2285" w:name="_Toc116813422"/>
      <w:bookmarkStart w:id="2286" w:name="_Toc122333074"/>
      <w:bookmarkStart w:id="2287" w:name="_Toc122862044"/>
      <w:bookmarkStart w:id="2288" w:name="_Toc122862640"/>
      <w:bookmarkStart w:id="2289" w:name="_Toc122921247"/>
      <w:bookmarkStart w:id="2290" w:name="_Toc122921507"/>
      <w:bookmarkStart w:id="2291" w:name="_Toc122947452"/>
      <w:bookmarkStart w:id="2292" w:name="_Toc124046288"/>
      <w:bookmarkStart w:id="2293" w:name="_Toc130266609"/>
      <w:bookmarkStart w:id="2294" w:name="_Toc130266885"/>
      <w:bookmarkStart w:id="2295" w:name="_Toc131382988"/>
      <w:bookmarkStart w:id="2296" w:name="_Toc133812369"/>
      <w:bookmarkStart w:id="2297" w:name="_Toc133920316"/>
      <w:bookmarkStart w:id="2298" w:name="_Toc134854713"/>
      <w:bookmarkStart w:id="2299" w:name="_Toc134854989"/>
      <w:bookmarkStart w:id="2300" w:name="_Toc136841166"/>
      <w:bookmarkStart w:id="2301" w:name="_Toc131415873"/>
      <w:bookmarkStart w:id="2302" w:name="_Toc131416172"/>
      <w:bookmarkStart w:id="2303" w:name="_Toc170193355"/>
      <w:r>
        <w:rPr>
          <w:rStyle w:val="CharDivNo"/>
        </w:rPr>
        <w:t>Division 4</w:t>
      </w:r>
      <w:r>
        <w:t> — </w:t>
      </w:r>
      <w:r>
        <w:rPr>
          <w:rStyle w:val="CharDivText"/>
        </w:rPr>
        <w:t>Reassessment of liability for duty</w:t>
      </w:r>
      <w:bookmarkEnd w:id="2064"/>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del w:id="2304" w:author="svcMRProcess" w:date="2020-02-20T23:16:00Z">
        <w:r>
          <w:rPr>
            <w:rStyle w:val="CharDivText"/>
          </w:rPr>
          <w:delText xml:space="preserve"> </w:delText>
        </w:r>
      </w:del>
    </w:p>
    <w:p>
      <w:pPr>
        <w:pStyle w:val="Footnoteheading"/>
        <w:keepNext/>
        <w:keepLines/>
        <w:tabs>
          <w:tab w:val="left" w:pos="923"/>
        </w:tabs>
        <w:ind w:left="937" w:hanging="937"/>
      </w:pPr>
      <w:r>
        <w:tab/>
        <w:t>[Heading inserted by No. 60 of 2000 s. 19.]</w:t>
      </w:r>
    </w:p>
    <w:p>
      <w:pPr>
        <w:pStyle w:val="Heading5"/>
      </w:pPr>
      <w:bookmarkStart w:id="2305" w:name="_Toc49223959"/>
      <w:bookmarkStart w:id="2306" w:name="_Toc107054977"/>
      <w:bookmarkStart w:id="2307" w:name="_Toc134854714"/>
      <w:bookmarkStart w:id="2308" w:name="_Toc136841167"/>
      <w:bookmarkStart w:id="2309" w:name="_Toc131416173"/>
      <w:bookmarkStart w:id="2310" w:name="_Toc170193356"/>
      <w:r>
        <w:rPr>
          <w:rStyle w:val="CharSectno"/>
        </w:rPr>
        <w:t>76AU</w:t>
      </w:r>
      <w:r>
        <w:t>.</w:t>
      </w:r>
      <w:r>
        <w:tab/>
        <w:t>Reassessment where deeming provision applied</w:t>
      </w:r>
      <w:bookmarkEnd w:id="2305"/>
      <w:bookmarkEnd w:id="2306"/>
      <w:bookmarkEnd w:id="2307"/>
      <w:bookmarkEnd w:id="2308"/>
      <w:bookmarkEnd w:id="2309"/>
      <w:bookmarkEnd w:id="2310"/>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2311" w:name="_Toc76899647"/>
      <w:bookmarkStart w:id="2312" w:name="_Toc78090549"/>
      <w:bookmarkStart w:id="2313" w:name="_Toc88886917"/>
      <w:bookmarkStart w:id="2314" w:name="_Toc90443533"/>
      <w:bookmarkStart w:id="2315" w:name="_Toc90452884"/>
      <w:bookmarkStart w:id="2316" w:name="_Toc100029475"/>
      <w:bookmarkStart w:id="2317" w:name="_Toc100031548"/>
      <w:bookmarkStart w:id="2318" w:name="_Toc100458607"/>
      <w:bookmarkStart w:id="2319" w:name="_Toc101672023"/>
      <w:bookmarkStart w:id="2320" w:name="_Toc101672280"/>
      <w:bookmarkStart w:id="2321" w:name="_Toc102799306"/>
      <w:bookmarkStart w:id="2322" w:name="_Toc102981980"/>
      <w:bookmarkStart w:id="2323" w:name="_Toc103403293"/>
      <w:bookmarkStart w:id="2324" w:name="_Toc103403550"/>
      <w:bookmarkStart w:id="2325" w:name="_Toc103747549"/>
      <w:bookmarkStart w:id="2326" w:name="_Toc107054978"/>
      <w:bookmarkStart w:id="2327" w:name="_Toc113874425"/>
      <w:bookmarkStart w:id="2328" w:name="_Toc113956841"/>
      <w:bookmarkStart w:id="2329" w:name="_Toc116717397"/>
      <w:bookmarkStart w:id="2330" w:name="_Toc116813424"/>
      <w:bookmarkStart w:id="2331" w:name="_Toc122333076"/>
      <w:bookmarkStart w:id="2332" w:name="_Toc122862046"/>
      <w:bookmarkStart w:id="2333" w:name="_Toc122862642"/>
      <w:bookmarkStart w:id="2334" w:name="_Toc122921249"/>
      <w:bookmarkStart w:id="2335" w:name="_Toc122921509"/>
      <w:bookmarkStart w:id="2336" w:name="_Toc122947454"/>
      <w:bookmarkStart w:id="2337" w:name="_Toc124046290"/>
      <w:bookmarkStart w:id="2338" w:name="_Toc130266611"/>
      <w:bookmarkStart w:id="2339" w:name="_Toc130266887"/>
      <w:bookmarkStart w:id="2340" w:name="_Toc131382990"/>
      <w:bookmarkStart w:id="2341" w:name="_Toc133812371"/>
      <w:bookmarkStart w:id="2342" w:name="_Toc133920318"/>
      <w:bookmarkStart w:id="2343" w:name="_Toc134854715"/>
      <w:bookmarkStart w:id="2344" w:name="_Toc134854991"/>
      <w:bookmarkStart w:id="2345" w:name="_Toc136841168"/>
      <w:bookmarkStart w:id="2346" w:name="_Toc131415875"/>
      <w:bookmarkStart w:id="2347" w:name="_Toc131416174"/>
      <w:bookmarkStart w:id="2348" w:name="_Toc170193357"/>
      <w:r>
        <w:rPr>
          <w:rStyle w:val="CharDivNo"/>
        </w:rPr>
        <w:t>Division 5</w:t>
      </w:r>
      <w:r>
        <w:t> — </w:t>
      </w:r>
      <w:r>
        <w:rPr>
          <w:rStyle w:val="CharDivText"/>
        </w:rPr>
        <w:t>Avoidance of duty</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p>
    <w:p>
      <w:pPr>
        <w:pStyle w:val="Footnoteheading"/>
        <w:keepNext/>
        <w:tabs>
          <w:tab w:val="left" w:pos="851"/>
        </w:tabs>
        <w:spacing w:before="100"/>
      </w:pPr>
      <w:r>
        <w:tab/>
        <w:t>[Heading inserted by No. 11 of 2004 s. 31.]</w:t>
      </w:r>
    </w:p>
    <w:p>
      <w:pPr>
        <w:pStyle w:val="Heading5"/>
        <w:spacing w:before="200"/>
      </w:pPr>
      <w:bookmarkStart w:id="2349" w:name="_Toc107054979"/>
      <w:bookmarkStart w:id="2350" w:name="_Toc134854716"/>
      <w:bookmarkStart w:id="2351" w:name="_Toc136841169"/>
      <w:bookmarkStart w:id="2352" w:name="_Toc131416175"/>
      <w:bookmarkStart w:id="2353" w:name="_Toc170193358"/>
      <w:r>
        <w:rPr>
          <w:rStyle w:val="CharSectno"/>
        </w:rPr>
        <w:t>76AV</w:t>
      </w:r>
      <w:r>
        <w:t>.</w:t>
      </w:r>
      <w:r>
        <w:tab/>
        <w:t>Commissioner may determine that an obligation to lodge a statement has been avoided</w:t>
      </w:r>
      <w:bookmarkEnd w:id="2349"/>
      <w:bookmarkEnd w:id="2350"/>
      <w:bookmarkEnd w:id="2351"/>
      <w:bookmarkEnd w:id="2352"/>
      <w:bookmarkEnd w:id="2353"/>
    </w:p>
    <w:p>
      <w:pPr>
        <w:pStyle w:val="Subsection"/>
        <w:spacing w:before="140"/>
      </w:pPr>
      <w:r>
        <w:tab/>
        <w:t>(1)</w:t>
      </w:r>
      <w:r>
        <w:tab/>
        <w:t xml:space="preserve">This Division applies to an arrangement or scheme (the </w:t>
      </w:r>
      <w:r>
        <w:rPr>
          <w:b/>
        </w:rPr>
        <w:t>“</w:t>
      </w:r>
      <w:r>
        <w:rPr>
          <w:rStyle w:val="CharDefText"/>
        </w:rPr>
        <w:t>scheme</w:t>
      </w:r>
      <w:r>
        <w:rPr>
          <w:b/>
        </w:rPr>
        <w:t>”</w:t>
      </w:r>
      <w:r>
        <w:t>) if the Commissioner determines that, but for the scheme —</w:t>
      </w:r>
      <w:del w:id="2354" w:author="svcMRProcess" w:date="2020-02-20T23:16:00Z">
        <w:r>
          <w:delText xml:space="preserve"> </w:delText>
        </w:r>
      </w:del>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del w:id="2355" w:author="svcMRProcess" w:date="2020-02-20T23:16:00Z">
        <w:r>
          <w:delText xml:space="preserve"> </w:delText>
        </w:r>
      </w:del>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2356" w:name="_Toc107054980"/>
      <w:bookmarkStart w:id="2357" w:name="_Toc134854717"/>
      <w:bookmarkStart w:id="2358" w:name="_Toc136841170"/>
      <w:bookmarkStart w:id="2359" w:name="_Toc131416176"/>
      <w:bookmarkStart w:id="2360" w:name="_Toc170193359"/>
      <w:r>
        <w:rPr>
          <w:rStyle w:val="CharSectno"/>
        </w:rPr>
        <w:t>76AW</w:t>
      </w:r>
      <w:r>
        <w:t>.</w:t>
      </w:r>
      <w:r>
        <w:tab/>
        <w:t>Liability to pay duty that has been avoided</w:t>
      </w:r>
      <w:bookmarkEnd w:id="2356"/>
      <w:bookmarkEnd w:id="2357"/>
      <w:bookmarkEnd w:id="2358"/>
      <w:bookmarkEnd w:id="2359"/>
      <w:bookmarkEnd w:id="2360"/>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2361" w:name="_Toc107054981"/>
      <w:bookmarkStart w:id="2362" w:name="_Toc134854718"/>
      <w:bookmarkStart w:id="2363" w:name="_Toc136841171"/>
      <w:bookmarkStart w:id="2364" w:name="_Toc131416177"/>
      <w:bookmarkStart w:id="2365" w:name="_Toc170193360"/>
      <w:r>
        <w:rPr>
          <w:rStyle w:val="CharSectno"/>
        </w:rPr>
        <w:t>76AX</w:t>
      </w:r>
      <w:r>
        <w:t>.</w:t>
      </w:r>
      <w:r>
        <w:tab/>
        <w:t>Reasons for determination that duty has been avoided</w:t>
      </w:r>
      <w:bookmarkEnd w:id="2361"/>
      <w:bookmarkEnd w:id="2362"/>
      <w:bookmarkEnd w:id="2363"/>
      <w:bookmarkEnd w:id="2364"/>
      <w:bookmarkEnd w:id="2365"/>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2366" w:name="_Toc58902618"/>
      <w:bookmarkStart w:id="2367" w:name="_Toc76899651"/>
      <w:bookmarkStart w:id="2368" w:name="_Toc78090553"/>
      <w:bookmarkStart w:id="2369" w:name="_Toc88886921"/>
      <w:bookmarkStart w:id="2370" w:name="_Toc90443537"/>
      <w:bookmarkStart w:id="2371" w:name="_Toc90452888"/>
      <w:bookmarkStart w:id="2372" w:name="_Toc100029479"/>
      <w:bookmarkStart w:id="2373" w:name="_Toc100031552"/>
      <w:bookmarkStart w:id="2374" w:name="_Toc100458611"/>
      <w:bookmarkStart w:id="2375" w:name="_Toc101672027"/>
      <w:bookmarkStart w:id="2376" w:name="_Toc101672284"/>
      <w:bookmarkStart w:id="2377" w:name="_Toc102799310"/>
      <w:bookmarkStart w:id="2378" w:name="_Toc102981984"/>
      <w:bookmarkStart w:id="2379" w:name="_Toc103403297"/>
      <w:bookmarkStart w:id="2380" w:name="_Toc103403554"/>
      <w:bookmarkStart w:id="2381" w:name="_Toc103747553"/>
      <w:bookmarkStart w:id="2382" w:name="_Toc107054982"/>
      <w:bookmarkStart w:id="2383" w:name="_Toc113874429"/>
      <w:bookmarkStart w:id="2384" w:name="_Toc113956845"/>
      <w:bookmarkStart w:id="2385" w:name="_Toc116717401"/>
      <w:bookmarkStart w:id="2386" w:name="_Toc116813428"/>
      <w:bookmarkStart w:id="2387" w:name="_Toc122333080"/>
      <w:bookmarkStart w:id="2388" w:name="_Toc122862050"/>
      <w:bookmarkStart w:id="2389" w:name="_Toc122862646"/>
      <w:bookmarkStart w:id="2390" w:name="_Toc122921253"/>
      <w:bookmarkStart w:id="2391" w:name="_Toc122921513"/>
      <w:bookmarkStart w:id="2392" w:name="_Toc122947458"/>
      <w:bookmarkStart w:id="2393" w:name="_Toc124046294"/>
      <w:bookmarkStart w:id="2394" w:name="_Toc130266615"/>
      <w:bookmarkStart w:id="2395" w:name="_Toc130266891"/>
      <w:bookmarkStart w:id="2396" w:name="_Toc131382994"/>
      <w:bookmarkStart w:id="2397" w:name="_Toc133812375"/>
      <w:bookmarkStart w:id="2398" w:name="_Toc133920322"/>
      <w:bookmarkStart w:id="2399" w:name="_Toc134854719"/>
      <w:bookmarkStart w:id="2400" w:name="_Toc134854995"/>
      <w:bookmarkStart w:id="2401" w:name="_Toc136841172"/>
      <w:bookmarkStart w:id="2402" w:name="_Toc131415879"/>
      <w:bookmarkStart w:id="2403" w:name="_Toc131416178"/>
      <w:bookmarkStart w:id="2404" w:name="_Toc170193361"/>
      <w:r>
        <w:rPr>
          <w:rStyle w:val="CharPartNo"/>
        </w:rPr>
        <w:t>Part IIIC</w:t>
      </w:r>
      <w:r>
        <w:rPr>
          <w:rStyle w:val="CharDivNo"/>
        </w:rPr>
        <w:t> </w:t>
      </w:r>
      <w:r>
        <w:t>—</w:t>
      </w:r>
      <w:r>
        <w:rPr>
          <w:rStyle w:val="CharDivText"/>
        </w:rPr>
        <w:t> </w:t>
      </w:r>
      <w:r>
        <w:rPr>
          <w:rStyle w:val="CharPartText"/>
        </w:rPr>
        <w:t>Vehicle licences</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Footnoteheading"/>
        <w:tabs>
          <w:tab w:val="left" w:pos="923"/>
        </w:tabs>
        <w:ind w:left="937" w:hanging="937"/>
      </w:pPr>
      <w:r>
        <w:tab/>
        <w:t>[Heading inserted by No. 2 of 2003 s. 100.]</w:t>
      </w:r>
    </w:p>
    <w:p>
      <w:pPr>
        <w:pStyle w:val="Heading5"/>
      </w:pPr>
      <w:bookmarkStart w:id="2405" w:name="_Toc49223960"/>
      <w:bookmarkStart w:id="2406" w:name="_Toc107054983"/>
      <w:bookmarkStart w:id="2407" w:name="_Toc134854720"/>
      <w:bookmarkStart w:id="2408" w:name="_Toc136841173"/>
      <w:bookmarkStart w:id="2409" w:name="_Toc131416179"/>
      <w:bookmarkStart w:id="2410" w:name="_Toc170193362"/>
      <w:r>
        <w:rPr>
          <w:rStyle w:val="CharSectno"/>
        </w:rPr>
        <w:t>76B</w:t>
      </w:r>
      <w:r>
        <w:t>.</w:t>
      </w:r>
      <w:r>
        <w:tab/>
        <w:t>Interpretation in Part IIIC</w:t>
      </w:r>
      <w:bookmarkEnd w:id="2405"/>
      <w:bookmarkEnd w:id="2406"/>
      <w:bookmarkEnd w:id="2407"/>
      <w:bookmarkEnd w:id="2408"/>
      <w:bookmarkEnd w:id="2409"/>
      <w:bookmarkEnd w:id="2410"/>
    </w:p>
    <w:p>
      <w:pPr>
        <w:pStyle w:val="Subsection"/>
      </w:pPr>
      <w:r>
        <w:tab/>
        <w:t>(1)</w:t>
      </w:r>
      <w:r>
        <w:tab/>
        <w:t>In this Part —</w:t>
      </w:r>
      <w:del w:id="2411" w:author="svcMRProcess" w:date="2020-02-20T23:16:00Z">
        <w:r>
          <w:delText xml:space="preserve"> </w:delText>
        </w:r>
      </w:del>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del w:id="2412" w:author="svcMRProcess" w:date="2020-02-20T23:16:00Z">
        <w:r>
          <w:delText xml:space="preserve"> </w:delText>
        </w:r>
      </w:del>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del w:id="2413" w:author="svcMRProcess" w:date="2020-02-20T23:16:00Z">
        <w:r>
          <w:delText xml:space="preserve"> </w:delText>
        </w:r>
      </w:del>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del w:id="2414" w:author="svcMRProcess" w:date="2020-02-20T23:16:00Z">
        <w:r>
          <w:delText xml:space="preserve"> </w:delText>
        </w:r>
      </w:del>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bCs/>
        </w:rPr>
        <w:t>“</w:t>
      </w:r>
      <w:r>
        <w:rPr>
          <w:rStyle w:val="CharDefText"/>
        </w:rPr>
        <w:t>market value</w:t>
      </w:r>
      <w:r>
        <w:rPr>
          <w:b/>
          <w:bCs/>
        </w:rPr>
        <w:t>”</w:t>
      </w:r>
      <w:r>
        <w:t xml:space="preserve"> means —</w:t>
      </w:r>
      <w:del w:id="2415" w:author="svcMRProcess" w:date="2020-02-20T23:16:00Z">
        <w:r>
          <w:delText xml:space="preserve"> </w:delText>
        </w:r>
      </w:del>
    </w:p>
    <w:p>
      <w:pPr>
        <w:pStyle w:val="Defpara"/>
      </w:pPr>
      <w:r>
        <w:tab/>
        <w:t>(a)</w:t>
      </w:r>
      <w:r>
        <w:tab/>
        <w:t>in relation to a new vehicle —</w:t>
      </w:r>
      <w:del w:id="2416" w:author="svcMRProcess" w:date="2020-02-20T23:16:00Z">
        <w:r>
          <w:delText xml:space="preserve"> </w:delText>
        </w:r>
      </w:del>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del w:id="2417" w:author="svcMRProcess" w:date="2020-02-20T23:16:00Z">
        <w:r>
          <w:delText xml:space="preserve"> </w:delText>
        </w:r>
      </w:del>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w:t>
      </w:r>
      <w:del w:id="2418" w:author="svcMRProcess" w:date="2020-02-20T23:16:00Z">
        <w:r>
          <w:delText xml:space="preserve"> </w:delText>
        </w:r>
      </w:del>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in relation to a vehicle, includes any amount —</w:t>
      </w:r>
      <w:del w:id="2419" w:author="svcMRProcess" w:date="2020-02-20T23:16:00Z">
        <w:r>
          <w:delText xml:space="preserve"> </w:delText>
        </w:r>
      </w:del>
    </w:p>
    <w:p>
      <w:pPr>
        <w:pStyle w:val="Defpara"/>
        <w:spacing w:before="70"/>
      </w:pPr>
      <w:r>
        <w:tab/>
        <w:t>(a)</w:t>
      </w:r>
      <w:r>
        <w:tab/>
        <w:t>allowed by the seller on a trade</w:t>
      </w:r>
      <w:r>
        <w:noBreakHyphen/>
        <w:t>in or an exchange of any article;</w:t>
      </w:r>
    </w:p>
    <w:p>
      <w:pPr>
        <w:pStyle w:val="Defpara"/>
        <w:spacing w:before="70"/>
      </w:pPr>
      <w:r>
        <w:tab/>
        <w:t>(b)</w:t>
      </w:r>
      <w:r>
        <w:tab/>
        <w:t>paid to the seller for anything included with or incorporated into the vehicle; or</w:t>
      </w:r>
      <w:del w:id="2420" w:author="svcMRProcess" w:date="2020-02-20T23:16:00Z">
        <w:r>
          <w:delText xml:space="preserve"> </w:delText>
        </w:r>
      </w:del>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a crane;</w:t>
      </w:r>
      <w:del w:id="2421" w:author="svcMRProcess" w:date="2020-02-20T23:16:00Z">
        <w:r>
          <w:delText xml:space="preserve"> </w:delText>
        </w:r>
      </w:del>
    </w:p>
    <w:p>
      <w:pPr>
        <w:pStyle w:val="Defpara"/>
        <w:spacing w:before="70"/>
      </w:pPr>
      <w:r>
        <w:tab/>
        <w:t>(b)</w:t>
      </w:r>
      <w:r>
        <w:tab/>
        <w:t>an excavator, road roller, road grader, bulldozer, mechanical shovel, plough, rotary hoe or similar plant;</w:t>
      </w:r>
      <w:del w:id="2422" w:author="svcMRProcess" w:date="2020-02-20T23:16:00Z">
        <w:r>
          <w:delText xml:space="preserve"> </w:delText>
        </w:r>
      </w:del>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road sweeping equipment;</w:t>
      </w:r>
      <w:del w:id="2423" w:author="svcMRProcess" w:date="2020-02-20T23:16:00Z">
        <w:r>
          <w:delText xml:space="preserve"> </w:delText>
        </w:r>
      </w:del>
    </w:p>
    <w:p>
      <w:pPr>
        <w:pStyle w:val="Defpara"/>
        <w:spacing w:before="60"/>
      </w:pPr>
      <w:r>
        <w:tab/>
        <w:t>(h)</w:t>
      </w:r>
      <w:r>
        <w:tab/>
        <w:t>a refrigeration unit;</w:t>
      </w:r>
      <w:del w:id="2424" w:author="svcMRProcess" w:date="2020-02-20T23:16:00Z">
        <w:r>
          <w:delText xml:space="preserve"> </w:delText>
        </w:r>
      </w:del>
    </w:p>
    <w:p>
      <w:pPr>
        <w:pStyle w:val="Defpara"/>
        <w:spacing w:before="60"/>
      </w:pPr>
      <w:r>
        <w:tab/>
        <w:t>(i)</w:t>
      </w:r>
      <w:r>
        <w:tab/>
        <w:t>a stock crate;</w:t>
      </w:r>
    </w:p>
    <w:p>
      <w:pPr>
        <w:pStyle w:val="Defpara"/>
        <w:spacing w:before="60"/>
      </w:pPr>
      <w:r>
        <w:tab/>
        <w:t>(j)</w:t>
      </w:r>
      <w:r>
        <w:tab/>
        <w:t>a tank for transporting liquids;</w:t>
      </w:r>
      <w:del w:id="2425" w:author="svcMRProcess" w:date="2020-02-20T23:16:00Z">
        <w:r>
          <w:delText xml:space="preserve"> </w:delText>
        </w:r>
      </w:del>
    </w:p>
    <w:p>
      <w:pPr>
        <w:pStyle w:val="Defpara"/>
        <w:spacing w:before="60"/>
      </w:pPr>
      <w:r>
        <w:tab/>
        <w:t>(k)</w:t>
      </w:r>
      <w:r>
        <w:tab/>
        <w:t>equipment to make the vehicle habitable by a person in the course of a journey; or</w:t>
      </w:r>
      <w:del w:id="2426" w:author="svcMRProcess" w:date="2020-02-20T23:16:00Z">
        <w:r>
          <w:delText xml:space="preserve"> </w:delText>
        </w:r>
      </w:del>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2427" w:name="_Toc49223961"/>
      <w:bookmarkStart w:id="2428" w:name="_Toc107054984"/>
      <w:bookmarkStart w:id="2429" w:name="_Toc134854721"/>
      <w:bookmarkStart w:id="2430" w:name="_Toc136841174"/>
      <w:bookmarkStart w:id="2431" w:name="_Toc131416180"/>
      <w:bookmarkStart w:id="2432" w:name="_Toc170193363"/>
      <w:r>
        <w:rPr>
          <w:rStyle w:val="CharSectno"/>
        </w:rPr>
        <w:t>76C</w:t>
      </w:r>
      <w:r>
        <w:t>.</w:t>
      </w:r>
      <w:r>
        <w:tab/>
        <w:t>Non</w:t>
      </w:r>
      <w:r>
        <w:noBreakHyphen/>
        <w:t>beneficial change of ownership</w:t>
      </w:r>
      <w:bookmarkEnd w:id="2427"/>
      <w:bookmarkEnd w:id="2428"/>
      <w:bookmarkEnd w:id="2429"/>
      <w:bookmarkEnd w:id="2430"/>
      <w:bookmarkEnd w:id="2431"/>
      <w:bookmarkEnd w:id="2432"/>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del w:id="2433" w:author="svcMRProcess" w:date="2020-02-20T23:16:00Z">
        <w:r>
          <w:delText xml:space="preserve"> </w:delText>
        </w:r>
      </w:del>
    </w:p>
    <w:p>
      <w:pPr>
        <w:pStyle w:val="Indenti"/>
      </w:pPr>
      <w:r>
        <w:tab/>
        <w:t>(ii)</w:t>
      </w:r>
      <w:r>
        <w:tab/>
        <w:t>paid duty on the grant or transfer to him or her of the licence.</w:t>
      </w:r>
      <w:del w:id="2434" w:author="svcMRProcess" w:date="2020-02-20T23:16:00Z">
        <w:r>
          <w:delText xml:space="preserve"> </w:delText>
        </w:r>
      </w:del>
    </w:p>
    <w:p>
      <w:pPr>
        <w:pStyle w:val="Subsection"/>
      </w:pPr>
      <w:r>
        <w:tab/>
        <w:t>(2)</w:t>
      </w:r>
      <w:r>
        <w:tab/>
        <w:t>An application for an authorisation is to be made to the Commissioner in an approved form.</w:t>
      </w:r>
      <w:del w:id="2435" w:author="svcMRProcess" w:date="2020-02-20T23:16:00Z">
        <w:r>
          <w:delText xml:space="preserve"> </w:delText>
        </w:r>
      </w:del>
    </w:p>
    <w:p>
      <w:pPr>
        <w:pStyle w:val="Subsection"/>
      </w:pPr>
      <w:r>
        <w:tab/>
        <w:t>(3)</w:t>
      </w:r>
      <w:r>
        <w:tab/>
        <w:t>For the purposes of subsection (1)(a), a change in the legal ownership of a vehicle does not change the beneficial ownership of the vehicle if —</w:t>
      </w:r>
      <w:del w:id="2436" w:author="svcMRProcess" w:date="2020-02-20T23:16:00Z">
        <w:r>
          <w:delText xml:space="preserve"> </w:delText>
        </w:r>
      </w:del>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del w:id="2437" w:author="svcMRProcess" w:date="2020-02-20T23:16:00Z">
        <w:r>
          <w:delText xml:space="preserve"> </w:delText>
        </w:r>
      </w:del>
    </w:p>
    <w:p>
      <w:pPr>
        <w:pStyle w:val="Indenta"/>
        <w:spacing w:before="100"/>
      </w:pPr>
      <w:r>
        <w:tab/>
        <w:t>(e)</w:t>
      </w:r>
      <w:r>
        <w:tab/>
        <w:t>the legal ownership of the vehicle passes to the holder of a unit in a unit trust scheme from the unit trustee if the change in the legal ownership of the vehicle —</w:t>
      </w:r>
      <w:del w:id="2438" w:author="svcMRProcess" w:date="2020-02-20T23:16:00Z">
        <w:r>
          <w:delText> </w:delText>
        </w:r>
      </w:del>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does not have the effect of varying, abrogating or altering the rights of the holder or holders of other units under the unit trust scheme in respect of the remaining trust property;</w:t>
      </w:r>
      <w:del w:id="2439" w:author="svcMRProcess" w:date="2020-02-20T23:16:00Z">
        <w:r>
          <w:delText xml:space="preserve"> </w:delText>
        </w:r>
      </w:del>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2440" w:name="_Toc49223962"/>
      <w:bookmarkStart w:id="2441" w:name="_Toc107054985"/>
      <w:bookmarkStart w:id="2442" w:name="_Toc134854722"/>
      <w:bookmarkStart w:id="2443" w:name="_Toc136841175"/>
      <w:bookmarkStart w:id="2444" w:name="_Toc131416181"/>
      <w:bookmarkStart w:id="2445" w:name="_Toc170193364"/>
      <w:r>
        <w:rPr>
          <w:rStyle w:val="CharSectno"/>
        </w:rPr>
        <w:t>76D</w:t>
      </w:r>
      <w:r>
        <w:t>.</w:t>
      </w:r>
      <w:r>
        <w:tab/>
        <w:t>Duty on the grant or transfer of a vehicle licence</w:t>
      </w:r>
      <w:bookmarkEnd w:id="2440"/>
      <w:bookmarkEnd w:id="2441"/>
      <w:bookmarkEnd w:id="2442"/>
      <w:bookmarkEnd w:id="2443"/>
      <w:bookmarkEnd w:id="2444"/>
      <w:bookmarkEnd w:id="2445"/>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del w:id="2446" w:author="svcMRProcess" w:date="2020-02-20T23:16:00Z">
        <w:r>
          <w:delText xml:space="preserve"> </w:delText>
        </w:r>
      </w:del>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del w:id="2447" w:author="svcMRProcess" w:date="2020-02-20T23:16:00Z">
        <w:r>
          <w:delText xml:space="preserve"> </w:delText>
        </w:r>
      </w:del>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del w:id="2448" w:author="svcMRProcess" w:date="2020-02-20T23:16:00Z">
        <w:r>
          <w:delText xml:space="preserve"> </w:delText>
        </w:r>
      </w:del>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del w:id="2449" w:author="svcMRProcess" w:date="2020-02-20T23:16:00Z">
        <w:r>
          <w:delText xml:space="preserve"> </w:delText>
        </w:r>
      </w:del>
    </w:p>
    <w:p>
      <w:pPr>
        <w:pStyle w:val="Indenti"/>
      </w:pPr>
      <w:r>
        <w:tab/>
        <w:t>(i)</w:t>
      </w:r>
      <w:r>
        <w:tab/>
        <w:t>selling it to another person in the ordinary course of the dealer’s business; or</w:t>
      </w:r>
    </w:p>
    <w:p>
      <w:pPr>
        <w:pStyle w:val="Indenti"/>
        <w:keepNext/>
      </w:pPr>
      <w:r>
        <w:tab/>
        <w:t>(ii)</w:t>
      </w:r>
      <w:r>
        <w:tab/>
        <w:t>demonstrating it to prospective purchasers;</w:t>
      </w:r>
      <w:del w:id="2450" w:author="svcMRProcess" w:date="2020-02-20T23:16:00Z">
        <w:r>
          <w:delText xml:space="preserve"> </w:delText>
        </w:r>
      </w:del>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del w:id="2451" w:author="svcMRProcess" w:date="2020-02-20T23:16:00Z">
        <w:r>
          <w:delText xml:space="preserve"> </w:delText>
        </w:r>
      </w:del>
    </w:p>
    <w:p>
      <w:pPr>
        <w:pStyle w:val="Indenta"/>
      </w:pPr>
      <w:r>
        <w:tab/>
        <w:t>(a)</w:t>
      </w:r>
      <w:r>
        <w:tab/>
        <w:t>the vehicle for which the licence was granted or transferred is to be loaned by the dealer —</w:t>
      </w:r>
      <w:del w:id="2452" w:author="svcMRProcess" w:date="2020-02-20T23:16:00Z">
        <w:r>
          <w:delText xml:space="preserve"> </w:delText>
        </w:r>
      </w:del>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del w:id="2453" w:author="svcMRProcess" w:date="2020-02-20T23:16:00Z">
        <w:r>
          <w:delText xml:space="preserve"> </w:delText>
        </w:r>
      </w:del>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del w:id="2454" w:author="svcMRProcess" w:date="2020-02-20T23:16:00Z">
        <w:r>
          <w:delText xml:space="preserve"> </w:delText>
        </w:r>
      </w:del>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del w:id="2455" w:author="svcMRProcess" w:date="2020-02-20T23:16:00Z">
        <w:r>
          <w:delText xml:space="preserve"> </w:delText>
        </w:r>
      </w:del>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2456" w:name="_Toc49223963"/>
      <w:bookmarkStart w:id="2457" w:name="_Toc107054986"/>
      <w:bookmarkStart w:id="2458" w:name="_Toc134854723"/>
      <w:bookmarkStart w:id="2459" w:name="_Toc136841176"/>
      <w:bookmarkStart w:id="2460" w:name="_Toc131416182"/>
      <w:bookmarkStart w:id="2461" w:name="_Toc170193365"/>
      <w:r>
        <w:rPr>
          <w:rStyle w:val="CharSectno"/>
        </w:rPr>
        <w:t>76E</w:t>
      </w:r>
      <w:r>
        <w:t>.</w:t>
      </w:r>
      <w:r>
        <w:tab/>
        <w:t>Determination of value and assessment of duty</w:t>
      </w:r>
      <w:bookmarkEnd w:id="2456"/>
      <w:bookmarkEnd w:id="2457"/>
      <w:bookmarkEnd w:id="2458"/>
      <w:bookmarkEnd w:id="2459"/>
      <w:bookmarkEnd w:id="2460"/>
      <w:bookmarkEnd w:id="2461"/>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del w:id="2462" w:author="svcMRProcess" w:date="2020-02-20T23:16:00Z">
        <w:r>
          <w:delText xml:space="preserve"> </w:delText>
        </w:r>
      </w:del>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2463" w:name="_Toc49223964"/>
      <w:bookmarkStart w:id="2464" w:name="_Toc107054987"/>
      <w:bookmarkStart w:id="2465" w:name="_Toc134854724"/>
      <w:bookmarkStart w:id="2466" w:name="_Toc136841177"/>
      <w:bookmarkStart w:id="2467" w:name="_Toc131416183"/>
      <w:bookmarkStart w:id="2468" w:name="_Toc170193366"/>
      <w:r>
        <w:rPr>
          <w:rStyle w:val="CharSectno"/>
        </w:rPr>
        <w:t>76F</w:t>
      </w:r>
      <w:r>
        <w:t>.</w:t>
      </w:r>
      <w:r>
        <w:tab/>
        <w:t>Payment of duty</w:t>
      </w:r>
      <w:bookmarkEnd w:id="2463"/>
      <w:bookmarkEnd w:id="2464"/>
      <w:bookmarkEnd w:id="2465"/>
      <w:bookmarkEnd w:id="2466"/>
      <w:bookmarkEnd w:id="2467"/>
      <w:bookmarkEnd w:id="2468"/>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2469" w:name="_Toc49223965"/>
      <w:bookmarkStart w:id="2470" w:name="_Toc107054988"/>
      <w:bookmarkStart w:id="2471" w:name="_Toc134854725"/>
      <w:bookmarkStart w:id="2472" w:name="_Toc136841178"/>
      <w:bookmarkStart w:id="2473" w:name="_Toc131416184"/>
      <w:bookmarkStart w:id="2474" w:name="_Toc170193367"/>
      <w:r>
        <w:rPr>
          <w:rStyle w:val="CharSectno"/>
        </w:rPr>
        <w:t>76G</w:t>
      </w:r>
      <w:r>
        <w:t>.</w:t>
      </w:r>
      <w:r>
        <w:tab/>
        <w:t>Applicant’s statement of value in application</w:t>
      </w:r>
      <w:bookmarkEnd w:id="2469"/>
      <w:bookmarkEnd w:id="2470"/>
      <w:bookmarkEnd w:id="2471"/>
      <w:bookmarkEnd w:id="2472"/>
      <w:bookmarkEnd w:id="2473"/>
      <w:bookmarkEnd w:id="2474"/>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del w:id="2475" w:author="svcMRProcess" w:date="2020-02-20T23:16:00Z">
        <w:r>
          <w:delText xml:space="preserve"> </w:delText>
        </w:r>
      </w:del>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2476" w:name="_Toc49223966"/>
      <w:bookmarkStart w:id="2477" w:name="_Toc107054989"/>
      <w:bookmarkStart w:id="2478" w:name="_Toc134854726"/>
      <w:bookmarkStart w:id="2479" w:name="_Toc136841179"/>
      <w:bookmarkStart w:id="2480" w:name="_Toc131416185"/>
      <w:bookmarkStart w:id="2481" w:name="_Toc170193368"/>
      <w:r>
        <w:rPr>
          <w:rStyle w:val="CharSectno"/>
        </w:rPr>
        <w:t>76H</w:t>
      </w:r>
      <w:r>
        <w:t>.</w:t>
      </w:r>
      <w:r>
        <w:tab/>
        <w:t>Seller’s obligation to notify purchase price</w:t>
      </w:r>
      <w:bookmarkEnd w:id="2476"/>
      <w:bookmarkEnd w:id="2477"/>
      <w:bookmarkEnd w:id="2478"/>
      <w:bookmarkEnd w:id="2479"/>
      <w:bookmarkEnd w:id="2480"/>
      <w:bookmarkEnd w:id="2481"/>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del w:id="2482" w:author="svcMRProcess" w:date="2020-02-20T23:16:00Z">
        <w:r>
          <w:delText xml:space="preserve"> </w:delText>
        </w:r>
      </w:del>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2483" w:name="_Toc49223967"/>
      <w:bookmarkStart w:id="2484" w:name="_Toc107054990"/>
      <w:bookmarkStart w:id="2485" w:name="_Toc134854727"/>
      <w:bookmarkStart w:id="2486" w:name="_Toc136841180"/>
      <w:bookmarkStart w:id="2487" w:name="_Toc131416186"/>
      <w:bookmarkStart w:id="2488" w:name="_Toc170193369"/>
      <w:r>
        <w:rPr>
          <w:rStyle w:val="CharSectno"/>
        </w:rPr>
        <w:t>76I</w:t>
      </w:r>
      <w:r>
        <w:t>.</w:t>
      </w:r>
      <w:r>
        <w:tab/>
        <w:t>Use of dealer registered vehicle for other purposes</w:t>
      </w:r>
      <w:bookmarkEnd w:id="2483"/>
      <w:bookmarkEnd w:id="2484"/>
      <w:bookmarkEnd w:id="2485"/>
      <w:bookmarkEnd w:id="2486"/>
      <w:bookmarkEnd w:id="2487"/>
      <w:bookmarkEnd w:id="2488"/>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del w:id="2489" w:author="svcMRProcess" w:date="2020-02-20T23:16:00Z">
        <w:r>
          <w:rPr>
            <w:snapToGrid w:val="0"/>
          </w:rPr>
          <w:delText xml:space="preserve"> </w:delText>
        </w:r>
      </w:del>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2490" w:name="_Toc49223968"/>
      <w:bookmarkStart w:id="2491" w:name="_Toc107054991"/>
      <w:bookmarkStart w:id="2492" w:name="_Toc134854728"/>
      <w:bookmarkStart w:id="2493" w:name="_Toc136841181"/>
      <w:bookmarkStart w:id="2494" w:name="_Toc131416187"/>
      <w:bookmarkStart w:id="2495" w:name="_Toc170193370"/>
      <w:r>
        <w:rPr>
          <w:rStyle w:val="CharSectno"/>
        </w:rPr>
        <w:t>76J</w:t>
      </w:r>
      <w:r>
        <w:t>.</w:t>
      </w:r>
      <w:r>
        <w:tab/>
        <w:t>Use of specialised equipment on another vehicle</w:t>
      </w:r>
      <w:bookmarkEnd w:id="2490"/>
      <w:bookmarkEnd w:id="2491"/>
      <w:bookmarkEnd w:id="2492"/>
      <w:bookmarkEnd w:id="2493"/>
      <w:bookmarkEnd w:id="2494"/>
      <w:bookmarkEnd w:id="2495"/>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del w:id="2496" w:author="svcMRProcess" w:date="2020-02-20T23:16:00Z">
        <w:r>
          <w:delText xml:space="preserve"> </w:delText>
        </w:r>
      </w:del>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del w:id="2497" w:author="svcMRProcess" w:date="2020-02-20T23:16:00Z">
        <w:r>
          <w:delText xml:space="preserve"> </w:delText>
        </w:r>
      </w:del>
    </w:p>
    <w:p>
      <w:pPr>
        <w:pStyle w:val="Subsection"/>
      </w:pPr>
      <w:r>
        <w:tab/>
      </w:r>
      <w:r>
        <w:tab/>
        <w:t>the person must not attach the original equipment to any other vehicle for which the licensee intends to become the licence holder.</w:t>
      </w:r>
      <w:del w:id="2498" w:author="svcMRProcess" w:date="2020-02-20T23:16:00Z">
        <w:r>
          <w:delText xml:space="preserve"> </w:delText>
        </w:r>
      </w:del>
    </w:p>
    <w:p>
      <w:pPr>
        <w:pStyle w:val="Penstart"/>
      </w:pPr>
      <w:r>
        <w:tab/>
        <w:t>Penalty: $20 000.</w:t>
      </w:r>
    </w:p>
    <w:p>
      <w:pPr>
        <w:pStyle w:val="Subsection"/>
        <w:keepNext/>
      </w:pPr>
      <w:r>
        <w:tab/>
        <w:t>(2)</w:t>
      </w:r>
      <w:r>
        <w:tab/>
        <w:t>If a licensee contravenes subsection (1) —</w:t>
      </w:r>
    </w:p>
    <w:p>
      <w:pPr>
        <w:pStyle w:val="Indenta"/>
        <w:rPr>
          <w:snapToGrid w:val="0"/>
          <w:spacing w:val="-4"/>
        </w:rPr>
      </w:pPr>
      <w:r>
        <w:rPr>
          <w:spacing w:val="-4"/>
        </w:rPr>
        <w:tab/>
        <w:t>(a)</w:t>
      </w:r>
      <w:r>
        <w:rPr>
          <w:spacing w:val="-4"/>
        </w:rPr>
        <w:tab/>
      </w:r>
      <w:r>
        <w:rPr>
          <w:snapToGrid w:val="0"/>
          <w:spacing w:val="-4"/>
        </w:rPr>
        <w:t>the grant or transfer of the licence is taken to be, and always to have been, chargeable with duty on the market value of the eligible vehicle including the specialised equipment attached to it;</w:t>
      </w:r>
      <w:del w:id="2499" w:author="svcMRProcess" w:date="2020-02-20T23:16:00Z">
        <w:r>
          <w:rPr>
            <w:snapToGrid w:val="0"/>
            <w:spacing w:val="-4"/>
          </w:rPr>
          <w:delText xml:space="preserve"> </w:delText>
        </w:r>
      </w:del>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2500" w:name="_Toc49223969"/>
      <w:bookmarkStart w:id="2501" w:name="_Toc107054992"/>
      <w:bookmarkStart w:id="2502" w:name="_Toc134854729"/>
      <w:bookmarkStart w:id="2503" w:name="_Toc136841182"/>
      <w:bookmarkStart w:id="2504" w:name="_Toc131416188"/>
      <w:bookmarkStart w:id="2505" w:name="_Toc170193371"/>
      <w:r>
        <w:rPr>
          <w:rStyle w:val="CharSectno"/>
        </w:rPr>
        <w:t>76K</w:t>
      </w:r>
      <w:r>
        <w:t>.</w:t>
      </w:r>
      <w:r>
        <w:tab/>
        <w:t>Failure to apply for transfer of licence</w:t>
      </w:r>
      <w:bookmarkEnd w:id="2500"/>
      <w:bookmarkEnd w:id="2501"/>
      <w:bookmarkEnd w:id="2502"/>
      <w:bookmarkEnd w:id="2503"/>
      <w:bookmarkEnd w:id="2504"/>
      <w:bookmarkEnd w:id="2505"/>
      <w:del w:id="2506" w:author="svcMRProcess" w:date="2020-02-20T23:16:00Z">
        <w:r>
          <w:delText xml:space="preserve"> </w:delText>
        </w:r>
      </w:del>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del w:id="2507" w:author="svcMRProcess" w:date="2020-02-20T23:16:00Z">
        <w:r>
          <w:delText xml:space="preserve"> </w:delText>
        </w:r>
      </w:del>
    </w:p>
    <w:p>
      <w:pPr>
        <w:pStyle w:val="Footnotesection"/>
      </w:pPr>
      <w:r>
        <w:tab/>
        <w:t>[Section 76K inserted by No. 2 of 2003 s. 100.]</w:t>
      </w:r>
    </w:p>
    <w:p>
      <w:pPr>
        <w:pStyle w:val="Heading5"/>
      </w:pPr>
      <w:bookmarkStart w:id="2508" w:name="_Toc49223970"/>
      <w:bookmarkStart w:id="2509" w:name="_Toc107054993"/>
      <w:bookmarkStart w:id="2510" w:name="_Toc134854730"/>
      <w:bookmarkStart w:id="2511" w:name="_Toc136841183"/>
      <w:bookmarkStart w:id="2512" w:name="_Toc131416189"/>
      <w:bookmarkStart w:id="2513" w:name="_Toc170193372"/>
      <w:r>
        <w:rPr>
          <w:rStyle w:val="CharSectno"/>
        </w:rPr>
        <w:t>76L</w:t>
      </w:r>
      <w:r>
        <w:t>.</w:t>
      </w:r>
      <w:r>
        <w:tab/>
        <w:t>Powers of Director General and Commissioner</w:t>
      </w:r>
      <w:bookmarkEnd w:id="2508"/>
      <w:bookmarkEnd w:id="2509"/>
      <w:bookmarkEnd w:id="2510"/>
      <w:bookmarkEnd w:id="2511"/>
      <w:bookmarkEnd w:id="2512"/>
      <w:bookmarkEnd w:id="2513"/>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2514" w:name="_Toc49223971"/>
      <w:bookmarkStart w:id="2515" w:name="_Toc107054994"/>
      <w:bookmarkStart w:id="2516" w:name="_Toc134854731"/>
      <w:bookmarkStart w:id="2517" w:name="_Toc136841184"/>
      <w:bookmarkStart w:id="2518" w:name="_Toc131416190"/>
      <w:bookmarkStart w:id="2519" w:name="_Toc170193373"/>
      <w:r>
        <w:rPr>
          <w:rStyle w:val="CharSectno"/>
        </w:rPr>
        <w:t>76M</w:t>
      </w:r>
      <w:r>
        <w:t>.</w:t>
      </w:r>
      <w:r>
        <w:tab/>
        <w:t>Duty to be remitted to Commissioner</w:t>
      </w:r>
      <w:bookmarkEnd w:id="2514"/>
      <w:bookmarkEnd w:id="2515"/>
      <w:bookmarkEnd w:id="2516"/>
      <w:bookmarkEnd w:id="2517"/>
      <w:bookmarkEnd w:id="2518"/>
      <w:bookmarkEnd w:id="2519"/>
    </w:p>
    <w:p>
      <w:pPr>
        <w:pStyle w:val="Subsection"/>
      </w:pPr>
      <w:r>
        <w:tab/>
      </w:r>
      <w:r>
        <w:tab/>
        <w:t>The Director General must, in accordance with any agreement between the Director General and the Commissioner —</w:t>
      </w:r>
      <w:del w:id="2520" w:author="svcMRProcess" w:date="2020-02-20T23:16:00Z">
        <w:r>
          <w:delText xml:space="preserve"> </w:delText>
        </w:r>
      </w:del>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2521" w:name="_Toc122241798"/>
      <w:bookmarkStart w:id="2522" w:name="_Toc122331086"/>
      <w:bookmarkStart w:id="2523" w:name="_Toc134854732"/>
      <w:bookmarkStart w:id="2524" w:name="_Toc136841185"/>
      <w:bookmarkStart w:id="2525" w:name="_Toc131416191"/>
      <w:bookmarkStart w:id="2526" w:name="_Toc170193374"/>
      <w:r>
        <w:rPr>
          <w:rStyle w:val="CharSectno"/>
        </w:rPr>
        <w:t>76N</w:t>
      </w:r>
      <w:r>
        <w:t>.</w:t>
      </w:r>
      <w:r>
        <w:tab/>
        <w:t>Records</w:t>
      </w:r>
      <w:bookmarkEnd w:id="2521"/>
      <w:bookmarkEnd w:id="2522"/>
      <w:bookmarkEnd w:id="2523"/>
      <w:bookmarkEnd w:id="2524"/>
      <w:bookmarkEnd w:id="2525"/>
      <w:bookmarkEnd w:id="2526"/>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2527" w:name="_Toc58902631"/>
      <w:bookmarkStart w:id="2528" w:name="_Toc76899664"/>
      <w:bookmarkStart w:id="2529" w:name="_Toc78090566"/>
      <w:bookmarkStart w:id="2530" w:name="_Toc88886934"/>
      <w:bookmarkStart w:id="2531" w:name="_Toc90443550"/>
      <w:bookmarkStart w:id="2532" w:name="_Toc90452901"/>
      <w:bookmarkStart w:id="2533" w:name="_Toc100029492"/>
      <w:bookmarkStart w:id="2534" w:name="_Toc100031565"/>
      <w:bookmarkStart w:id="2535" w:name="_Toc100458624"/>
      <w:bookmarkStart w:id="2536" w:name="_Toc101672040"/>
      <w:bookmarkStart w:id="2537" w:name="_Toc101672297"/>
      <w:bookmarkStart w:id="2538" w:name="_Toc102799323"/>
      <w:bookmarkStart w:id="2539" w:name="_Toc102981997"/>
      <w:bookmarkStart w:id="2540" w:name="_Toc103403310"/>
      <w:bookmarkStart w:id="2541" w:name="_Toc103403567"/>
      <w:bookmarkStart w:id="2542" w:name="_Toc103747566"/>
      <w:bookmarkStart w:id="2543" w:name="_Toc107054995"/>
      <w:bookmarkStart w:id="2544" w:name="_Toc113874442"/>
      <w:bookmarkStart w:id="2545" w:name="_Toc113956858"/>
      <w:bookmarkStart w:id="2546" w:name="_Toc116717414"/>
      <w:bookmarkStart w:id="2547" w:name="_Toc116813441"/>
      <w:bookmarkStart w:id="2548" w:name="_Toc122333094"/>
      <w:bookmarkStart w:id="2549" w:name="_Toc122862064"/>
      <w:bookmarkStart w:id="2550" w:name="_Toc122862660"/>
      <w:bookmarkStart w:id="2551" w:name="_Toc122921267"/>
      <w:bookmarkStart w:id="2552" w:name="_Toc122921527"/>
      <w:bookmarkStart w:id="2553" w:name="_Toc122947472"/>
      <w:bookmarkStart w:id="2554" w:name="_Toc124046308"/>
      <w:bookmarkStart w:id="2555" w:name="_Toc130266629"/>
      <w:bookmarkStart w:id="2556" w:name="_Toc130266905"/>
      <w:bookmarkStart w:id="2557" w:name="_Toc131383008"/>
      <w:bookmarkStart w:id="2558" w:name="_Toc133812389"/>
      <w:bookmarkStart w:id="2559" w:name="_Toc133920336"/>
      <w:bookmarkStart w:id="2560" w:name="_Toc134854733"/>
      <w:bookmarkStart w:id="2561" w:name="_Toc134855009"/>
      <w:bookmarkStart w:id="2562" w:name="_Toc136841186"/>
      <w:bookmarkStart w:id="2563" w:name="_Toc131415893"/>
      <w:bookmarkStart w:id="2564" w:name="_Toc131416192"/>
      <w:bookmarkStart w:id="2565" w:name="_Toc170193375"/>
      <w:r>
        <w:rPr>
          <w:rStyle w:val="CharPartNo"/>
        </w:rPr>
        <w:t>Part IIID</w:t>
      </w:r>
      <w:r>
        <w:rPr>
          <w:rStyle w:val="CharDivNo"/>
        </w:rPr>
        <w:t> </w:t>
      </w:r>
      <w:r>
        <w:t>—</w:t>
      </w:r>
      <w:r>
        <w:rPr>
          <w:rStyle w:val="CharDivText"/>
        </w:rPr>
        <w:t> </w:t>
      </w:r>
      <w:r>
        <w:rPr>
          <w:rStyle w:val="CharPartText"/>
        </w:rPr>
        <w:t>Leases</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del w:id="2566" w:author="svcMRProcess" w:date="2020-02-20T23:16:00Z">
        <w:r>
          <w:rPr>
            <w:rStyle w:val="CharPartText"/>
          </w:rPr>
          <w:delText xml:space="preserve"> </w:delText>
        </w:r>
      </w:del>
    </w:p>
    <w:p>
      <w:pPr>
        <w:pStyle w:val="Footnoteheading"/>
        <w:tabs>
          <w:tab w:val="left" w:pos="923"/>
        </w:tabs>
        <w:ind w:left="937" w:hanging="937"/>
        <w:rPr>
          <w:snapToGrid w:val="0"/>
        </w:rPr>
      </w:pPr>
      <w:r>
        <w:rPr>
          <w:snapToGrid w:val="0"/>
        </w:rPr>
        <w:tab/>
        <w:t>[Heading inserted by No. 37 of 1979 s. 56.]</w:t>
      </w:r>
      <w:del w:id="2567" w:author="svcMRProcess" w:date="2020-02-20T23:16:00Z">
        <w:r>
          <w:rPr>
            <w:snapToGrid w:val="0"/>
          </w:rPr>
          <w:delText xml:space="preserve"> </w:delText>
        </w:r>
      </w:del>
    </w:p>
    <w:p>
      <w:pPr>
        <w:pStyle w:val="Heading5"/>
        <w:rPr>
          <w:snapToGrid w:val="0"/>
        </w:rPr>
      </w:pPr>
      <w:bookmarkStart w:id="2568" w:name="_Toc500739998"/>
      <w:bookmarkStart w:id="2569" w:name="_Toc520101190"/>
      <w:bookmarkStart w:id="2570" w:name="_Toc520533089"/>
      <w:bookmarkStart w:id="2571" w:name="_Toc49223972"/>
      <w:bookmarkStart w:id="2572" w:name="_Toc107054996"/>
      <w:bookmarkStart w:id="2573" w:name="_Toc134854734"/>
      <w:bookmarkStart w:id="2574" w:name="_Toc136841187"/>
      <w:bookmarkStart w:id="2575" w:name="_Toc131416193"/>
      <w:bookmarkStart w:id="2576" w:name="_Toc170193376"/>
      <w:r>
        <w:rPr>
          <w:rStyle w:val="CharSectno"/>
        </w:rPr>
        <w:t>77</w:t>
      </w:r>
      <w:r>
        <w:rPr>
          <w:snapToGrid w:val="0"/>
        </w:rPr>
        <w:t>.</w:t>
      </w:r>
      <w:r>
        <w:rPr>
          <w:snapToGrid w:val="0"/>
        </w:rPr>
        <w:tab/>
        <w:t>Agreement for any lease to be charged as a lease</w:t>
      </w:r>
      <w:bookmarkEnd w:id="2568"/>
      <w:bookmarkEnd w:id="2569"/>
      <w:bookmarkEnd w:id="2570"/>
      <w:bookmarkEnd w:id="2571"/>
      <w:bookmarkEnd w:id="2572"/>
      <w:bookmarkEnd w:id="2573"/>
      <w:bookmarkEnd w:id="2574"/>
      <w:bookmarkEnd w:id="2575"/>
      <w:bookmarkEnd w:id="2576"/>
      <w:del w:id="2577" w:author="svcMRProcess" w:date="2020-02-20T23:16:00Z">
        <w:r>
          <w:rPr>
            <w:snapToGrid w:val="0"/>
          </w:rPr>
          <w:delText xml:space="preserve"> </w:delText>
        </w:r>
      </w:del>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2578" w:name="_Toc107054997"/>
      <w:bookmarkStart w:id="2579" w:name="_Toc134854735"/>
      <w:bookmarkStart w:id="2580" w:name="_Toc136841188"/>
      <w:bookmarkStart w:id="2581" w:name="_Toc131416194"/>
      <w:bookmarkStart w:id="2582" w:name="_Toc170193377"/>
      <w:bookmarkStart w:id="2583" w:name="_Toc500739999"/>
      <w:bookmarkStart w:id="2584" w:name="_Toc520101191"/>
      <w:bookmarkStart w:id="2585" w:name="_Toc520533090"/>
      <w:bookmarkStart w:id="2586" w:name="_Toc49223973"/>
      <w:r>
        <w:rPr>
          <w:rStyle w:val="CharSectno"/>
        </w:rPr>
        <w:t>77A</w:t>
      </w:r>
      <w:r>
        <w:t>.</w:t>
      </w:r>
      <w:r>
        <w:tab/>
        <w:t>Offer to lease</w:t>
      </w:r>
      <w:bookmarkEnd w:id="2578"/>
      <w:bookmarkEnd w:id="2579"/>
      <w:bookmarkEnd w:id="2580"/>
      <w:bookmarkEnd w:id="2581"/>
      <w:bookmarkEnd w:id="2582"/>
    </w:p>
    <w:p>
      <w:pPr>
        <w:pStyle w:val="Subsection"/>
      </w:pPr>
      <w:r>
        <w:tab/>
        <w:t>(1)</w:t>
      </w:r>
      <w:r>
        <w:tab/>
        <w:t xml:space="preserve">Subject to </w:t>
      </w:r>
      <w:r>
        <w:rPr>
          <w:snapToGrid w:val="0"/>
        </w:rPr>
        <w:t>subsection</w:t>
      </w:r>
      <w:r>
        <w:t> (2), where there is a transaction —</w:t>
      </w:r>
      <w:del w:id="2587" w:author="svcMRProcess" w:date="2020-02-20T23:16:00Z">
        <w:r>
          <w:delText xml:space="preserve"> </w:delText>
        </w:r>
      </w:del>
    </w:p>
    <w:p>
      <w:pPr>
        <w:pStyle w:val="Indenta"/>
        <w:spacing w:before="120"/>
      </w:pPr>
      <w:r>
        <w:tab/>
        <w:t>(a)</w:t>
      </w:r>
      <w:r>
        <w:tab/>
        <w:t>by which —</w:t>
      </w:r>
      <w:del w:id="2588" w:author="svcMRProcess" w:date="2020-02-20T23:16:00Z">
        <w:r>
          <w:delText xml:space="preserve"> </w:delText>
        </w:r>
      </w:del>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2589" w:name="_Toc107054998"/>
      <w:bookmarkStart w:id="2590" w:name="_Toc134854736"/>
      <w:bookmarkStart w:id="2591" w:name="_Toc136841189"/>
      <w:bookmarkStart w:id="2592" w:name="_Toc131416195"/>
      <w:bookmarkStart w:id="2593" w:name="_Toc170193378"/>
      <w:r>
        <w:rPr>
          <w:rStyle w:val="CharSectno"/>
        </w:rPr>
        <w:t>78</w:t>
      </w:r>
      <w:r>
        <w:rPr>
          <w:snapToGrid w:val="0"/>
        </w:rPr>
        <w:t>.</w:t>
      </w:r>
      <w:r>
        <w:rPr>
          <w:snapToGrid w:val="0"/>
        </w:rPr>
        <w:tab/>
        <w:t>Leases: how to be charged in respect of produce, etc.</w:t>
      </w:r>
      <w:bookmarkEnd w:id="2583"/>
      <w:bookmarkEnd w:id="2584"/>
      <w:bookmarkEnd w:id="2585"/>
      <w:bookmarkEnd w:id="2586"/>
      <w:bookmarkEnd w:id="2589"/>
      <w:bookmarkEnd w:id="2590"/>
      <w:bookmarkEnd w:id="2591"/>
      <w:bookmarkEnd w:id="2592"/>
      <w:bookmarkEnd w:id="2593"/>
      <w:del w:id="2594" w:author="svcMRProcess" w:date="2020-02-20T23:16:00Z">
        <w:r>
          <w:rPr>
            <w:snapToGrid w:val="0"/>
          </w:rPr>
          <w:delText xml:space="preserve"> </w:delText>
        </w:r>
      </w:del>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spacing w:before="120"/>
        <w:rPr>
          <w:snapToGrid w:val="0"/>
          <w:spacing w:val="-4"/>
        </w:rPr>
      </w:pPr>
      <w:r>
        <w:rPr>
          <w:snapToGrid w:val="0"/>
          <w:spacing w:val="-4"/>
        </w:rPr>
        <w:tab/>
        <w:t>(2)</w:t>
      </w:r>
      <w:r>
        <w:rPr>
          <w:snapToGrid w:val="0"/>
          <w:spacing w:val="-4"/>
        </w:rPr>
        <w:tab/>
        <w:t xml:space="preserve">A lease or </w:t>
      </w:r>
      <w:r>
        <w:rPr>
          <w:snapToGrid w:val="0"/>
        </w:rPr>
        <w:t>agreement</w:t>
      </w:r>
      <w:r>
        <w:rPr>
          <w:snapToGrid w:val="0"/>
          <w:spacing w:val="-4"/>
        </w:rPr>
        <w:t xml:space="preserve">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2595" w:name="_Toc500740000"/>
      <w:bookmarkStart w:id="2596" w:name="_Toc520101192"/>
      <w:bookmarkStart w:id="2597" w:name="_Toc520533091"/>
      <w:r>
        <w:tab/>
        <w:t>[Section 78 amended by No. 2 of 2003 s. 102.]</w:t>
      </w:r>
    </w:p>
    <w:p>
      <w:pPr>
        <w:pStyle w:val="Heading5"/>
        <w:spacing w:before="120"/>
        <w:rPr>
          <w:snapToGrid w:val="0"/>
        </w:rPr>
      </w:pPr>
      <w:bookmarkStart w:id="2598" w:name="_Toc49223974"/>
      <w:bookmarkStart w:id="2599" w:name="_Toc107054999"/>
      <w:bookmarkStart w:id="2600" w:name="_Toc134854737"/>
      <w:bookmarkStart w:id="2601" w:name="_Toc136841190"/>
      <w:bookmarkStart w:id="2602" w:name="_Toc131416196"/>
      <w:bookmarkStart w:id="2603" w:name="_Toc170193379"/>
      <w:r>
        <w:rPr>
          <w:rStyle w:val="CharSectno"/>
        </w:rPr>
        <w:t>79</w:t>
      </w:r>
      <w:r>
        <w:rPr>
          <w:snapToGrid w:val="0"/>
        </w:rPr>
        <w:t>.</w:t>
      </w:r>
      <w:r>
        <w:rPr>
          <w:snapToGrid w:val="0"/>
        </w:rPr>
        <w:tab/>
        <w:t>Directions as to duty in certain cases</w:t>
      </w:r>
      <w:bookmarkEnd w:id="2595"/>
      <w:bookmarkEnd w:id="2596"/>
      <w:bookmarkEnd w:id="2597"/>
      <w:bookmarkEnd w:id="2598"/>
      <w:bookmarkEnd w:id="2599"/>
      <w:bookmarkEnd w:id="2600"/>
      <w:bookmarkEnd w:id="2601"/>
      <w:bookmarkEnd w:id="2602"/>
      <w:bookmarkEnd w:id="2603"/>
      <w:del w:id="2604" w:author="svcMRProcess" w:date="2020-02-20T23:16:00Z">
        <w:r>
          <w:rPr>
            <w:snapToGrid w:val="0"/>
          </w:rPr>
          <w:delText xml:space="preserve"> </w:delText>
        </w:r>
      </w:del>
    </w:p>
    <w:p>
      <w:pPr>
        <w:pStyle w:val="Subsection"/>
        <w:spacing w:before="120"/>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spacing w:before="120"/>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spacing w:before="120"/>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del w:id="2605" w:author="svcMRProcess" w:date="2020-02-20T23:16:00Z">
        <w:r>
          <w:delText xml:space="preserve"> </w:delText>
        </w:r>
      </w:del>
    </w:p>
    <w:p>
      <w:pPr>
        <w:pStyle w:val="Ednotesection"/>
      </w:pPr>
      <w:r>
        <w:t>[</w:t>
      </w:r>
      <w:r>
        <w:rPr>
          <w:b/>
        </w:rPr>
        <w:t>80.</w:t>
      </w:r>
      <w:r>
        <w:tab/>
        <w:t>Repealed by No. 66 of 2003 s. 78.]</w:t>
      </w:r>
    </w:p>
    <w:p>
      <w:pPr>
        <w:pStyle w:val="Heading5"/>
        <w:rPr>
          <w:snapToGrid w:val="0"/>
        </w:rPr>
      </w:pPr>
      <w:bookmarkStart w:id="2606" w:name="_Toc500740002"/>
      <w:bookmarkStart w:id="2607" w:name="_Toc520101194"/>
      <w:bookmarkStart w:id="2608" w:name="_Toc520533093"/>
      <w:bookmarkStart w:id="2609" w:name="_Toc49223976"/>
      <w:bookmarkStart w:id="2610" w:name="_Toc107055000"/>
      <w:bookmarkStart w:id="2611" w:name="_Toc134854738"/>
      <w:bookmarkStart w:id="2612" w:name="_Toc136841191"/>
      <w:bookmarkStart w:id="2613" w:name="_Toc131416197"/>
      <w:bookmarkStart w:id="2614" w:name="_Toc170193380"/>
      <w:r>
        <w:rPr>
          <w:rStyle w:val="CharSectno"/>
        </w:rPr>
        <w:t>80A</w:t>
      </w:r>
      <w:r>
        <w:rPr>
          <w:snapToGrid w:val="0"/>
        </w:rPr>
        <w:t>.</w:t>
      </w:r>
      <w:r>
        <w:rPr>
          <w:snapToGrid w:val="0"/>
        </w:rPr>
        <w:tab/>
        <w:t xml:space="preserve">Power </w:t>
      </w:r>
      <w:bookmarkEnd w:id="2606"/>
      <w:bookmarkEnd w:id="2607"/>
      <w:bookmarkEnd w:id="2608"/>
      <w:bookmarkEnd w:id="2609"/>
      <w:r>
        <w:rPr>
          <w:snapToGrid w:val="0"/>
        </w:rPr>
        <w:t>to exempt instruments made for charitable or similar purposes</w:t>
      </w:r>
      <w:bookmarkEnd w:id="2610"/>
      <w:bookmarkEnd w:id="2611"/>
      <w:bookmarkEnd w:id="2612"/>
      <w:bookmarkEnd w:id="2613"/>
      <w:bookmarkEnd w:id="2614"/>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del w:id="2615" w:author="svcMRProcess" w:date="2020-02-20T23:16:00Z">
        <w:r>
          <w:delText xml:space="preserve"> </w:delText>
        </w:r>
      </w:del>
    </w:p>
    <w:p>
      <w:pPr>
        <w:pStyle w:val="Heading2"/>
      </w:pPr>
      <w:bookmarkStart w:id="2616" w:name="_Toc76899670"/>
      <w:bookmarkStart w:id="2617" w:name="_Toc78090572"/>
      <w:bookmarkStart w:id="2618" w:name="_Toc88886940"/>
      <w:bookmarkStart w:id="2619" w:name="_Toc90443556"/>
      <w:bookmarkStart w:id="2620" w:name="_Toc90452907"/>
      <w:bookmarkStart w:id="2621" w:name="_Toc100029498"/>
      <w:bookmarkStart w:id="2622" w:name="_Toc100031571"/>
      <w:bookmarkStart w:id="2623" w:name="_Toc100458630"/>
      <w:bookmarkStart w:id="2624" w:name="_Toc101672046"/>
      <w:bookmarkStart w:id="2625" w:name="_Toc101672303"/>
      <w:bookmarkStart w:id="2626" w:name="_Toc102799329"/>
      <w:bookmarkStart w:id="2627" w:name="_Toc102982003"/>
      <w:bookmarkStart w:id="2628" w:name="_Toc103403316"/>
      <w:bookmarkStart w:id="2629" w:name="_Toc103403573"/>
      <w:bookmarkStart w:id="2630" w:name="_Toc103747572"/>
      <w:bookmarkStart w:id="2631" w:name="_Toc107055001"/>
      <w:bookmarkStart w:id="2632" w:name="_Toc113874448"/>
      <w:bookmarkStart w:id="2633" w:name="_Toc113956864"/>
      <w:bookmarkStart w:id="2634" w:name="_Toc116717420"/>
      <w:bookmarkStart w:id="2635" w:name="_Toc116813447"/>
      <w:bookmarkStart w:id="2636" w:name="_Toc122333100"/>
      <w:bookmarkStart w:id="2637" w:name="_Toc122862070"/>
      <w:bookmarkStart w:id="2638" w:name="_Toc122862666"/>
      <w:bookmarkStart w:id="2639" w:name="_Toc122921273"/>
      <w:bookmarkStart w:id="2640" w:name="_Toc122921533"/>
      <w:bookmarkStart w:id="2641" w:name="_Toc122947478"/>
      <w:bookmarkStart w:id="2642" w:name="_Toc124046314"/>
      <w:bookmarkStart w:id="2643" w:name="_Toc130266635"/>
      <w:bookmarkStart w:id="2644" w:name="_Toc130266911"/>
      <w:bookmarkStart w:id="2645" w:name="_Toc131383014"/>
      <w:bookmarkStart w:id="2646" w:name="_Toc133812395"/>
      <w:bookmarkStart w:id="2647" w:name="_Toc133920342"/>
      <w:bookmarkStart w:id="2648" w:name="_Toc134854739"/>
      <w:bookmarkStart w:id="2649" w:name="_Toc134855015"/>
      <w:bookmarkStart w:id="2650" w:name="_Toc136841192"/>
      <w:bookmarkStart w:id="2651" w:name="_Toc131415899"/>
      <w:bookmarkStart w:id="2652" w:name="_Toc131416198"/>
      <w:bookmarkStart w:id="2653" w:name="_Toc170193381"/>
      <w:r>
        <w:rPr>
          <w:rStyle w:val="CharPartNo"/>
        </w:rPr>
        <w:t>Part IIIE</w:t>
      </w:r>
      <w:r>
        <w:rPr>
          <w:b w:val="0"/>
        </w:rPr>
        <w:t> </w:t>
      </w:r>
      <w:r>
        <w:t>—</w:t>
      </w:r>
      <w:r>
        <w:rPr>
          <w:b w:val="0"/>
        </w:rPr>
        <w:t> </w:t>
      </w:r>
      <w:r>
        <w:rPr>
          <w:rStyle w:val="CharPartText"/>
        </w:rPr>
        <w:t>Mortgage duty</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p>
    <w:p>
      <w:pPr>
        <w:pStyle w:val="Footnoteheading"/>
        <w:tabs>
          <w:tab w:val="left" w:pos="851"/>
        </w:tabs>
      </w:pPr>
      <w:r>
        <w:tab/>
        <w:t>[Heading inserted by No. 66 of 2003 s. 79.]</w:t>
      </w:r>
    </w:p>
    <w:p>
      <w:pPr>
        <w:pStyle w:val="Heading3"/>
      </w:pPr>
      <w:bookmarkStart w:id="2654" w:name="_Toc76899671"/>
      <w:bookmarkStart w:id="2655" w:name="_Toc78090573"/>
      <w:bookmarkStart w:id="2656" w:name="_Toc88886941"/>
      <w:bookmarkStart w:id="2657" w:name="_Toc90443557"/>
      <w:bookmarkStart w:id="2658" w:name="_Toc90452908"/>
      <w:bookmarkStart w:id="2659" w:name="_Toc100029499"/>
      <w:bookmarkStart w:id="2660" w:name="_Toc100031572"/>
      <w:bookmarkStart w:id="2661" w:name="_Toc100458631"/>
      <w:bookmarkStart w:id="2662" w:name="_Toc101672047"/>
      <w:bookmarkStart w:id="2663" w:name="_Toc101672304"/>
      <w:bookmarkStart w:id="2664" w:name="_Toc102799330"/>
      <w:bookmarkStart w:id="2665" w:name="_Toc102982004"/>
      <w:bookmarkStart w:id="2666" w:name="_Toc103403317"/>
      <w:bookmarkStart w:id="2667" w:name="_Toc103403574"/>
      <w:bookmarkStart w:id="2668" w:name="_Toc103747573"/>
      <w:bookmarkStart w:id="2669" w:name="_Toc107055002"/>
      <w:bookmarkStart w:id="2670" w:name="_Toc113874449"/>
      <w:bookmarkStart w:id="2671" w:name="_Toc113956865"/>
      <w:bookmarkStart w:id="2672" w:name="_Toc116717421"/>
      <w:bookmarkStart w:id="2673" w:name="_Toc116813448"/>
      <w:bookmarkStart w:id="2674" w:name="_Toc122333101"/>
      <w:bookmarkStart w:id="2675" w:name="_Toc122862071"/>
      <w:bookmarkStart w:id="2676" w:name="_Toc122862667"/>
      <w:bookmarkStart w:id="2677" w:name="_Toc122921274"/>
      <w:bookmarkStart w:id="2678" w:name="_Toc122921534"/>
      <w:bookmarkStart w:id="2679" w:name="_Toc122947479"/>
      <w:bookmarkStart w:id="2680" w:name="_Toc124046315"/>
      <w:bookmarkStart w:id="2681" w:name="_Toc130266636"/>
      <w:bookmarkStart w:id="2682" w:name="_Toc130266912"/>
      <w:bookmarkStart w:id="2683" w:name="_Toc131383015"/>
      <w:bookmarkStart w:id="2684" w:name="_Toc133812396"/>
      <w:bookmarkStart w:id="2685" w:name="_Toc133920343"/>
      <w:bookmarkStart w:id="2686" w:name="_Toc134854740"/>
      <w:bookmarkStart w:id="2687" w:name="_Toc134855016"/>
      <w:bookmarkStart w:id="2688" w:name="_Toc136841193"/>
      <w:bookmarkStart w:id="2689" w:name="_Toc131415900"/>
      <w:bookmarkStart w:id="2690" w:name="_Toc131416199"/>
      <w:bookmarkStart w:id="2691" w:name="_Toc170193382"/>
      <w:r>
        <w:rPr>
          <w:rStyle w:val="CharDivNo"/>
        </w:rPr>
        <w:t>Division 1</w:t>
      </w:r>
      <w:r>
        <w:t> — </w:t>
      </w:r>
      <w:r>
        <w:rPr>
          <w:rStyle w:val="CharDivText"/>
        </w:rPr>
        <w:t>Interpretation for this Part</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Footnoteheading"/>
        <w:tabs>
          <w:tab w:val="left" w:pos="851"/>
        </w:tabs>
      </w:pPr>
      <w:r>
        <w:tab/>
        <w:t>[Heading inserted by No. 66 of 2003 s. 79.]</w:t>
      </w:r>
    </w:p>
    <w:p>
      <w:pPr>
        <w:pStyle w:val="Heading5"/>
      </w:pPr>
      <w:bookmarkStart w:id="2692" w:name="_Toc107055003"/>
      <w:bookmarkStart w:id="2693" w:name="_Toc134854741"/>
      <w:bookmarkStart w:id="2694" w:name="_Toc136841194"/>
      <w:bookmarkStart w:id="2695" w:name="_Toc131416200"/>
      <w:bookmarkStart w:id="2696" w:name="_Toc170193383"/>
      <w:r>
        <w:rPr>
          <w:rStyle w:val="CharSectno"/>
        </w:rPr>
        <w:t>81</w:t>
      </w:r>
      <w:r>
        <w:t>.</w:t>
      </w:r>
      <w:r>
        <w:tab/>
        <w:t>Definitions</w:t>
      </w:r>
      <w:bookmarkEnd w:id="2692"/>
      <w:bookmarkEnd w:id="2693"/>
      <w:bookmarkEnd w:id="2694"/>
      <w:bookmarkEnd w:id="2695"/>
      <w:bookmarkEnd w:id="2696"/>
    </w:p>
    <w:p>
      <w:pPr>
        <w:pStyle w:val="Subsection"/>
      </w:pPr>
      <w:r>
        <w:tab/>
      </w:r>
      <w:r>
        <w:tab/>
        <w:t>In this Part, unless the contrary intention appears —</w:t>
      </w:r>
      <w:del w:id="2697" w:author="svcMRProcess" w:date="2020-02-20T23:16:00Z">
        <w:r>
          <w:delText xml:space="preserve"> </w:delText>
        </w:r>
      </w:del>
    </w:p>
    <w:p>
      <w:pPr>
        <w:pStyle w:val="Defstart"/>
        <w:spacing w:before="60"/>
      </w:pPr>
      <w:r>
        <w:rPr>
          <w:b/>
        </w:rPr>
        <w:tab/>
        <w:t>“</w:t>
      </w:r>
      <w:r>
        <w:rPr>
          <w:rStyle w:val="CharDefText"/>
        </w:rPr>
        <w:t>advance</w:t>
      </w:r>
      <w:r>
        <w:rPr>
          <w:b/>
        </w:rPr>
        <w:t>”</w:t>
      </w:r>
      <w:r>
        <w:t xml:space="preserve"> has the meaning given in section 83;</w:t>
      </w:r>
    </w:p>
    <w:p>
      <w:pPr>
        <w:pStyle w:val="Defstart"/>
        <w:spacing w:before="60"/>
        <w:rPr>
          <w:ins w:id="2698" w:author="svcMRProcess" w:date="2020-02-20T23:16:00Z"/>
        </w:rPr>
      </w:pPr>
      <w:ins w:id="2699" w:author="svcMRProcess" w:date="2020-02-20T23:16:00Z">
        <w:r>
          <w:rPr>
            <w:b/>
          </w:rPr>
          <w:tab/>
          <w:t>“</w:t>
        </w:r>
        <w:r>
          <w:rPr>
            <w:rStyle w:val="CharDefText"/>
          </w:rPr>
          <w:t>collateral mortgage</w:t>
        </w:r>
        <w:r>
          <w:rPr>
            <w:b/>
          </w:rPr>
          <w:t>”</w:t>
        </w:r>
        <w:r>
          <w:t xml:space="preserve"> means a mortgage that is or is to be stamped as a collateral mortgage under section 91B;</w:t>
        </w:r>
      </w:ins>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rPr>
          <w:del w:id="2700" w:author="svcMRProcess" w:date="2020-02-20T23:16:00Z"/>
        </w:rPr>
      </w:pPr>
      <w:del w:id="2701" w:author="svcMRProcess" w:date="2020-02-20T23:16:00Z">
        <w:r>
          <w:rPr>
            <w:b/>
          </w:rPr>
          <w:tab/>
          <w:delText>“</w:delText>
        </w:r>
        <w:r>
          <w:rPr>
            <w:rStyle w:val="CharDefText"/>
          </w:rPr>
          <w:delText>collateral mortgage</w:delText>
        </w:r>
        <w:r>
          <w:rPr>
            <w:b/>
          </w:rPr>
          <w:delText>”</w:delText>
        </w:r>
        <w:r>
          <w:delText xml:space="preserve"> means a mortgage that is or is to be stamped as a collateral mortgage under section 91B;</w:delText>
        </w:r>
      </w:del>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2702" w:name="_Toc107055004"/>
      <w:bookmarkStart w:id="2703" w:name="_Toc134854742"/>
      <w:bookmarkStart w:id="2704" w:name="_Toc136841195"/>
      <w:bookmarkStart w:id="2705" w:name="_Toc131416201"/>
      <w:bookmarkStart w:id="2706" w:name="_Toc170193384"/>
      <w:r>
        <w:rPr>
          <w:rStyle w:val="CharSectno"/>
        </w:rPr>
        <w:t>82</w:t>
      </w:r>
      <w:r>
        <w:t>.</w:t>
      </w:r>
      <w:r>
        <w:tab/>
        <w:t>Mortgages</w:t>
      </w:r>
      <w:bookmarkEnd w:id="2702"/>
      <w:bookmarkEnd w:id="2703"/>
      <w:bookmarkEnd w:id="2704"/>
      <w:bookmarkEnd w:id="2705"/>
      <w:bookmarkEnd w:id="2706"/>
    </w:p>
    <w:p>
      <w:pPr>
        <w:pStyle w:val="Subsection"/>
      </w:pPr>
      <w:r>
        <w:tab/>
        <w:t>(1)</w:t>
      </w:r>
      <w:r>
        <w:tab/>
        <w:t xml:space="preserve">For the purposes of this Part, a </w:t>
      </w:r>
      <w:r>
        <w:rPr>
          <w:b/>
        </w:rPr>
        <w:t>“</w:t>
      </w:r>
      <w:r>
        <w:rPr>
          <w:rStyle w:val="CharDefText"/>
        </w:rPr>
        <w:t>mortgage</w:t>
      </w:r>
      <w:r>
        <w:rPr>
          <w:b/>
        </w:rPr>
        <w:t>”</w:t>
      </w:r>
      <w:r>
        <w:t xml:space="preserve"> is an instrument that —</w:t>
      </w:r>
      <w:del w:id="2707" w:author="svcMRProcess" w:date="2020-02-20T23:16:00Z">
        <w:r>
          <w:delText xml:space="preserve"> </w:delText>
        </w:r>
      </w:del>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del w:id="2708" w:author="svcMRProcess" w:date="2020-02-20T23:16:00Z">
        <w:r>
          <w:delText xml:space="preserve"> </w:delText>
        </w:r>
      </w:del>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2709" w:name="_Toc107055005"/>
      <w:bookmarkStart w:id="2710" w:name="_Toc134854743"/>
      <w:bookmarkStart w:id="2711" w:name="_Toc136841196"/>
      <w:bookmarkStart w:id="2712" w:name="_Toc131416202"/>
      <w:bookmarkStart w:id="2713" w:name="_Toc170193385"/>
      <w:r>
        <w:rPr>
          <w:rStyle w:val="CharSectno"/>
        </w:rPr>
        <w:t>83</w:t>
      </w:r>
      <w:r>
        <w:t>.</w:t>
      </w:r>
      <w:r>
        <w:tab/>
        <w:t>Advances</w:t>
      </w:r>
      <w:bookmarkEnd w:id="2709"/>
      <w:bookmarkEnd w:id="2710"/>
      <w:bookmarkEnd w:id="2711"/>
      <w:bookmarkEnd w:id="2712"/>
      <w:bookmarkEnd w:id="2713"/>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del w:id="2714" w:author="svcMRProcess" w:date="2020-02-20T23:16:00Z">
        <w:r>
          <w:delText xml:space="preserve"> </w:delText>
        </w:r>
      </w:del>
    </w:p>
    <w:p>
      <w:pPr>
        <w:pStyle w:val="Indenta"/>
      </w:pPr>
      <w:r>
        <w:tab/>
        <w:t>(a)</w:t>
      </w:r>
      <w:r>
        <w:tab/>
        <w:t>a loan; or</w:t>
      </w:r>
    </w:p>
    <w:p>
      <w:pPr>
        <w:pStyle w:val="Indenta"/>
        <w:rPr>
          <w:spacing w:val="-4"/>
        </w:rPr>
      </w:pPr>
      <w:r>
        <w:rPr>
          <w:spacing w:val="-4"/>
        </w:rPr>
        <w:tab/>
        <w:t>(b)</w:t>
      </w:r>
      <w:r>
        <w:rPr>
          <w:spacing w:val="-4"/>
        </w:rPr>
        <w:tab/>
        <w:t>a bill facility that is one or more agreements, understandings or arrangements as a consequence of which a bill of exchange or promissory note —</w:t>
      </w:r>
      <w:del w:id="2715" w:author="svcMRProcess" w:date="2020-02-20T23:16:00Z">
        <w:r>
          <w:rPr>
            <w:spacing w:val="-4"/>
          </w:rPr>
          <w:delText xml:space="preserve"> </w:delText>
        </w:r>
      </w:del>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del w:id="2716" w:author="svcMRProcess" w:date="2020-02-20T23:16:00Z">
        <w:r>
          <w:delText xml:space="preserve"> </w:delText>
        </w:r>
      </w:del>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2717" w:name="_Toc107055006"/>
      <w:bookmarkStart w:id="2718" w:name="_Toc134854744"/>
      <w:bookmarkStart w:id="2719" w:name="_Toc136841197"/>
      <w:bookmarkStart w:id="2720" w:name="_Toc131416203"/>
      <w:bookmarkStart w:id="2721" w:name="_Toc170193386"/>
      <w:r>
        <w:rPr>
          <w:rStyle w:val="CharSectno"/>
        </w:rPr>
        <w:t>84</w:t>
      </w:r>
      <w:r>
        <w:t>.</w:t>
      </w:r>
      <w:r>
        <w:tab/>
        <w:t>Loans</w:t>
      </w:r>
      <w:bookmarkEnd w:id="2717"/>
      <w:bookmarkEnd w:id="2718"/>
      <w:bookmarkEnd w:id="2719"/>
      <w:bookmarkEnd w:id="2720"/>
      <w:bookmarkEnd w:id="2721"/>
    </w:p>
    <w:p>
      <w:pPr>
        <w:pStyle w:val="Subsection"/>
      </w:pPr>
      <w:r>
        <w:tab/>
      </w:r>
      <w:r>
        <w:tab/>
        <w:t xml:space="preserve">Each of the following is a </w:t>
      </w:r>
      <w:r>
        <w:rPr>
          <w:b/>
        </w:rPr>
        <w:t>“</w:t>
      </w:r>
      <w:r>
        <w:rPr>
          <w:rStyle w:val="CharDefText"/>
        </w:rPr>
        <w:t>loan</w:t>
      </w:r>
      <w:r>
        <w:rPr>
          <w:b/>
        </w:rPr>
        <w:t>”</w:t>
      </w:r>
      <w:r>
        <w:t> —</w:t>
      </w:r>
      <w:del w:id="2722" w:author="svcMRProcess" w:date="2020-02-20T23:16:00Z">
        <w:r>
          <w:delText xml:space="preserve"> </w:delText>
        </w:r>
      </w:del>
    </w:p>
    <w:p>
      <w:pPr>
        <w:pStyle w:val="Indenta"/>
      </w:pPr>
      <w:r>
        <w:tab/>
        <w:t>(a)</w:t>
      </w:r>
      <w:r>
        <w:tab/>
        <w:t>an advance of money;</w:t>
      </w:r>
    </w:p>
    <w:p>
      <w:pPr>
        <w:pStyle w:val="Indenta"/>
        <w:spacing w:before="60"/>
      </w:pPr>
      <w:r>
        <w:tab/>
        <w:t>(b)</w:t>
      </w:r>
      <w:r>
        <w:tab/>
        <w:t>the payment of money for or on account of, or at the request of, any person;</w:t>
      </w:r>
    </w:p>
    <w:p>
      <w:pPr>
        <w:pStyle w:val="Indenta"/>
        <w:spacing w:before="60"/>
      </w:pPr>
      <w:r>
        <w:tab/>
        <w:t>(c)</w:t>
      </w:r>
      <w:r>
        <w:tab/>
        <w:t>a forbearance to require the payment of money owing on any account;</w:t>
      </w:r>
    </w:p>
    <w:p>
      <w:pPr>
        <w:pStyle w:val="Indenta"/>
        <w:spacing w:before="60"/>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spacing w:before="180"/>
      </w:pPr>
      <w:bookmarkStart w:id="2723" w:name="_Toc107055007"/>
      <w:bookmarkStart w:id="2724" w:name="_Toc134854745"/>
      <w:bookmarkStart w:id="2725" w:name="_Toc136841198"/>
      <w:bookmarkStart w:id="2726" w:name="_Toc131416204"/>
      <w:bookmarkStart w:id="2727" w:name="_Toc170193387"/>
      <w:r>
        <w:rPr>
          <w:rStyle w:val="CharSectno"/>
        </w:rPr>
        <w:t>85</w:t>
      </w:r>
      <w:r>
        <w:t>.</w:t>
      </w:r>
      <w:r>
        <w:tab/>
        <w:t>Home mortgages</w:t>
      </w:r>
      <w:bookmarkEnd w:id="2723"/>
      <w:bookmarkEnd w:id="2724"/>
      <w:bookmarkEnd w:id="2725"/>
      <w:bookmarkEnd w:id="2726"/>
      <w:bookmarkEnd w:id="2727"/>
    </w:p>
    <w:p>
      <w:pPr>
        <w:pStyle w:val="Subsection"/>
        <w:spacing w:before="120"/>
      </w:pPr>
      <w:r>
        <w:tab/>
        <w:t>(1)</w:t>
      </w:r>
      <w:r>
        <w:tab/>
        <w:t>A mortgage is a home mortgage if —</w:t>
      </w:r>
      <w:del w:id="2728" w:author="svcMRProcess" w:date="2020-02-20T23:16:00Z">
        <w:r>
          <w:delText xml:space="preserve"> </w:delText>
        </w:r>
      </w:del>
    </w:p>
    <w:p>
      <w:pPr>
        <w:pStyle w:val="Indenta"/>
        <w:spacing w:before="60"/>
      </w:pPr>
      <w:r>
        <w:tab/>
        <w:t>(a)</w:t>
      </w:r>
      <w:r>
        <w:tab/>
        <w:t>the mortgagor is an individual;</w:t>
      </w:r>
    </w:p>
    <w:p>
      <w:pPr>
        <w:pStyle w:val="Indenta"/>
        <w:spacing w:before="60"/>
      </w:pPr>
      <w:r>
        <w:tab/>
        <w:t>(b)</w:t>
      </w:r>
      <w:r>
        <w:tab/>
        <w:t>part or all of the secured amount is used for a dwellinghouse as provided by subsection (2); and</w:t>
      </w:r>
    </w:p>
    <w:p>
      <w:pPr>
        <w:pStyle w:val="Indenta"/>
        <w:spacing w:before="60"/>
      </w:pPr>
      <w:r>
        <w:tab/>
        <w:t>(c)</w:t>
      </w:r>
      <w:r>
        <w:tab/>
        <w:t>the dwellinghouse is being or will be used by the mortgagor as his or her sole or principal place of residence.</w:t>
      </w:r>
    </w:p>
    <w:p>
      <w:pPr>
        <w:pStyle w:val="Subsection"/>
        <w:spacing w:before="120"/>
      </w:pPr>
      <w:r>
        <w:tab/>
        <w:t>(2)</w:t>
      </w:r>
      <w:r>
        <w:tab/>
        <w:t>An amount is used for a dwellinghouse if it is used solely in or towards the cost of any of the following —</w:t>
      </w:r>
      <w:del w:id="2729" w:author="svcMRProcess" w:date="2020-02-20T23:16:00Z">
        <w:r>
          <w:delText xml:space="preserve"> </w:delText>
        </w:r>
      </w:del>
    </w:p>
    <w:p>
      <w:pPr>
        <w:pStyle w:val="Indenta"/>
        <w:spacing w:before="60"/>
      </w:pPr>
      <w:r>
        <w:tab/>
        <w:t>(a)</w:t>
      </w:r>
      <w:r>
        <w:tab/>
        <w:t>purchasing any property which is or includes a dwellinghouse;</w:t>
      </w:r>
    </w:p>
    <w:p>
      <w:pPr>
        <w:pStyle w:val="Indenta"/>
        <w:spacing w:before="60"/>
      </w:pPr>
      <w:r>
        <w:tab/>
        <w:t>(b)</w:t>
      </w:r>
      <w:r>
        <w:tab/>
        <w:t>building a dwellinghouse;</w:t>
      </w:r>
    </w:p>
    <w:p>
      <w:pPr>
        <w:pStyle w:val="Indenta"/>
        <w:spacing w:before="60"/>
      </w:pPr>
      <w:r>
        <w:tab/>
        <w:t>(c)</w:t>
      </w:r>
      <w:r>
        <w:tab/>
        <w:t>effecting improvements or additions to a dwellinghouse;</w:t>
      </w:r>
    </w:p>
    <w:p>
      <w:pPr>
        <w:pStyle w:val="Indenta"/>
        <w:spacing w:before="60"/>
      </w:pPr>
      <w:r>
        <w:tab/>
        <w:t>(d)</w:t>
      </w:r>
      <w:r>
        <w:tab/>
        <w:t>repaying money that was used solely for a purpose referred to in paragraph (a), (b) or (c).</w:t>
      </w:r>
    </w:p>
    <w:p>
      <w:pPr>
        <w:pStyle w:val="Footnotesection"/>
      </w:pPr>
      <w:r>
        <w:tab/>
        <w:t>[Section 85 inserted by No. 66 of 2003 s. 79.]</w:t>
      </w:r>
    </w:p>
    <w:p>
      <w:pPr>
        <w:pStyle w:val="Heading3"/>
        <w:spacing w:before="180"/>
      </w:pPr>
      <w:bookmarkStart w:id="2730" w:name="_Toc76899677"/>
      <w:bookmarkStart w:id="2731" w:name="_Toc78090579"/>
      <w:bookmarkStart w:id="2732" w:name="_Toc88886947"/>
      <w:bookmarkStart w:id="2733" w:name="_Toc90443563"/>
      <w:bookmarkStart w:id="2734" w:name="_Toc90452914"/>
      <w:bookmarkStart w:id="2735" w:name="_Toc100029505"/>
      <w:bookmarkStart w:id="2736" w:name="_Toc100031578"/>
      <w:bookmarkStart w:id="2737" w:name="_Toc100458637"/>
      <w:bookmarkStart w:id="2738" w:name="_Toc101672053"/>
      <w:bookmarkStart w:id="2739" w:name="_Toc101672310"/>
      <w:bookmarkStart w:id="2740" w:name="_Toc102799336"/>
      <w:bookmarkStart w:id="2741" w:name="_Toc102982010"/>
      <w:bookmarkStart w:id="2742" w:name="_Toc103403323"/>
      <w:bookmarkStart w:id="2743" w:name="_Toc103403580"/>
      <w:bookmarkStart w:id="2744" w:name="_Toc103747579"/>
      <w:bookmarkStart w:id="2745" w:name="_Toc107055008"/>
      <w:bookmarkStart w:id="2746" w:name="_Toc113874455"/>
      <w:bookmarkStart w:id="2747" w:name="_Toc113956871"/>
      <w:bookmarkStart w:id="2748" w:name="_Toc116717427"/>
      <w:bookmarkStart w:id="2749" w:name="_Toc116813454"/>
      <w:bookmarkStart w:id="2750" w:name="_Toc122333107"/>
      <w:bookmarkStart w:id="2751" w:name="_Toc122862077"/>
      <w:bookmarkStart w:id="2752" w:name="_Toc122862673"/>
      <w:bookmarkStart w:id="2753" w:name="_Toc122921280"/>
      <w:bookmarkStart w:id="2754" w:name="_Toc122921540"/>
      <w:bookmarkStart w:id="2755" w:name="_Toc122947485"/>
      <w:bookmarkStart w:id="2756" w:name="_Toc124046321"/>
      <w:bookmarkStart w:id="2757" w:name="_Toc130266642"/>
      <w:bookmarkStart w:id="2758" w:name="_Toc130266918"/>
      <w:bookmarkStart w:id="2759" w:name="_Toc131383021"/>
      <w:bookmarkStart w:id="2760" w:name="_Toc133812402"/>
      <w:bookmarkStart w:id="2761" w:name="_Toc133920349"/>
      <w:bookmarkStart w:id="2762" w:name="_Toc134854746"/>
      <w:bookmarkStart w:id="2763" w:name="_Toc134855022"/>
      <w:bookmarkStart w:id="2764" w:name="_Toc136841199"/>
      <w:bookmarkStart w:id="2765" w:name="_Toc131415906"/>
      <w:bookmarkStart w:id="2766" w:name="_Toc131416205"/>
      <w:bookmarkStart w:id="2767" w:name="_Toc170193388"/>
      <w:r>
        <w:rPr>
          <w:rStyle w:val="CharDivNo"/>
        </w:rPr>
        <w:t>Division 2</w:t>
      </w:r>
      <w:r>
        <w:rPr>
          <w:sz w:val="24"/>
        </w:rPr>
        <w:t> — </w:t>
      </w:r>
      <w:r>
        <w:rPr>
          <w:rStyle w:val="CharDivText"/>
        </w:rPr>
        <w:t>Liability for mortgage duty</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p>
    <w:p>
      <w:pPr>
        <w:pStyle w:val="Footnoteheading"/>
        <w:tabs>
          <w:tab w:val="left" w:pos="851"/>
        </w:tabs>
      </w:pPr>
      <w:r>
        <w:tab/>
        <w:t>[Heading inserted by No. 66 of 2003 s. 79.]</w:t>
      </w:r>
    </w:p>
    <w:p>
      <w:pPr>
        <w:pStyle w:val="Heading5"/>
        <w:spacing w:before="180"/>
      </w:pPr>
      <w:bookmarkStart w:id="2768" w:name="_Toc107055009"/>
      <w:bookmarkStart w:id="2769" w:name="_Toc134854747"/>
      <w:bookmarkStart w:id="2770" w:name="_Toc136841200"/>
      <w:bookmarkStart w:id="2771" w:name="_Toc131416206"/>
      <w:bookmarkStart w:id="2772" w:name="_Toc170193389"/>
      <w:r>
        <w:rPr>
          <w:rStyle w:val="CharSectno"/>
        </w:rPr>
        <w:t>86</w:t>
      </w:r>
      <w:r>
        <w:t>.</w:t>
      </w:r>
      <w:r>
        <w:tab/>
        <w:t>Assessing mortgage duty</w:t>
      </w:r>
      <w:bookmarkEnd w:id="2768"/>
      <w:bookmarkEnd w:id="2769"/>
      <w:bookmarkEnd w:id="2770"/>
      <w:bookmarkEnd w:id="2771"/>
      <w:bookmarkEnd w:id="2772"/>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other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del w:id="2773" w:author="svcMRProcess" w:date="2020-02-20T23:16:00Z">
        <w:r>
          <w:delText xml:space="preserve"> </w:delText>
        </w:r>
      </w:del>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w:t>
      </w:r>
    </w:p>
    <w:p>
      <w:pPr>
        <w:pStyle w:val="Heading5"/>
      </w:pPr>
      <w:bookmarkStart w:id="2774" w:name="_Toc123698930"/>
      <w:bookmarkStart w:id="2775" w:name="_Toc134854748"/>
      <w:bookmarkStart w:id="2776" w:name="_Toc136841201"/>
      <w:bookmarkStart w:id="2777" w:name="_Toc131416207"/>
      <w:bookmarkStart w:id="2778" w:name="_Toc170193390"/>
      <w:bookmarkStart w:id="2779" w:name="_Toc107055010"/>
      <w:r>
        <w:rPr>
          <w:rStyle w:val="CharSectno"/>
        </w:rPr>
        <w:t>86A</w:t>
      </w:r>
      <w:r>
        <w:t>.</w:t>
      </w:r>
      <w:r>
        <w:tab/>
        <w:t>Exemption — refinancing home loans</w:t>
      </w:r>
      <w:bookmarkEnd w:id="2774"/>
      <w:bookmarkEnd w:id="2775"/>
      <w:bookmarkEnd w:id="2776"/>
      <w:bookmarkEnd w:id="2777"/>
      <w:bookmarkEnd w:id="2778"/>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del w:id="2780" w:author="svcMRProcess" w:date="2020-02-20T23:16:00Z">
        <w:r>
          <w:delText xml:space="preserve"> </w:delText>
        </w:r>
      </w:del>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If —</w:t>
      </w:r>
      <w:del w:id="2781" w:author="svcMRProcess" w:date="2020-02-20T23:16:00Z">
        <w:r>
          <w:delText xml:space="preserve"> </w:delText>
        </w:r>
      </w:del>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del w:id="2782" w:author="svcMRProcess" w:date="2020-02-20T23:16:00Z">
        <w:r>
          <w:delText xml:space="preserve"> </w:delText>
        </w:r>
      </w:del>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2783" w:name="_Toc123698931"/>
      <w:r>
        <w:tab/>
        <w:t>[Section 86A inserted by No. 34 of 2005 s. 10(1).]</w:t>
      </w:r>
    </w:p>
    <w:p>
      <w:pPr>
        <w:pStyle w:val="Heading5"/>
      </w:pPr>
      <w:bookmarkStart w:id="2784" w:name="_Toc134854749"/>
      <w:bookmarkStart w:id="2785" w:name="_Toc136841202"/>
      <w:bookmarkStart w:id="2786" w:name="_Toc131416208"/>
      <w:bookmarkStart w:id="2787" w:name="_Toc170193391"/>
      <w:r>
        <w:rPr>
          <w:rStyle w:val="CharSectno"/>
        </w:rPr>
        <w:t>86B</w:t>
      </w:r>
      <w:r>
        <w:t>.</w:t>
      </w:r>
      <w:r>
        <w:tab/>
        <w:t>Exemption — refinancing small business loans</w:t>
      </w:r>
      <w:bookmarkEnd w:id="2783"/>
      <w:bookmarkEnd w:id="2784"/>
      <w:bookmarkEnd w:id="2785"/>
      <w:bookmarkEnd w:id="2786"/>
      <w:bookmarkEnd w:id="2787"/>
    </w:p>
    <w:p>
      <w:pPr>
        <w:pStyle w:val="Subsection"/>
      </w:pPr>
      <w:r>
        <w:tab/>
        <w:t>(1)</w:t>
      </w:r>
      <w:r>
        <w:tab/>
        <w:t>Duty is not payable on a business mortgage to the extent to which —</w:t>
      </w:r>
      <w:del w:id="2788" w:author="svcMRProcess" w:date="2020-02-20T23:16:00Z">
        <w:r>
          <w:delText xml:space="preserve"> </w:delText>
        </w:r>
      </w:del>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del w:id="2789" w:author="svcMRProcess" w:date="2020-02-20T23:16:00Z">
        <w:r>
          <w:delText xml:space="preserve"> </w:delText>
        </w:r>
      </w:del>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del w:id="2790" w:author="svcMRProcess" w:date="2020-02-20T23:16:00Z">
        <w:r>
          <w:delText xml:space="preserve"> </w:delText>
        </w:r>
      </w:del>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bCs/>
        </w:rPr>
        <w:t>“</w:t>
      </w:r>
      <w:r>
        <w:rPr>
          <w:rStyle w:val="CharDefText"/>
        </w:rPr>
        <w:t>business mortgage</w:t>
      </w:r>
      <w:r>
        <w:rPr>
          <w:b/>
          <w:bCs/>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bCs/>
        </w:rPr>
        <w:t>“</w:t>
      </w:r>
      <w:r>
        <w:rPr>
          <w:rStyle w:val="CharDefText"/>
        </w:rPr>
        <w:t>business owner</w:t>
      </w:r>
      <w:r>
        <w:rPr>
          <w:b/>
          <w:bCs/>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2791" w:name="_Toc134854750"/>
      <w:bookmarkStart w:id="2792" w:name="_Toc136841203"/>
      <w:bookmarkStart w:id="2793" w:name="_Toc131416209"/>
      <w:bookmarkStart w:id="2794" w:name="_Toc170193392"/>
      <w:r>
        <w:rPr>
          <w:rStyle w:val="CharSectno"/>
        </w:rPr>
        <w:t>87</w:t>
      </w:r>
      <w:r>
        <w:t>.</w:t>
      </w:r>
      <w:r>
        <w:tab/>
        <w:t>Liability dates</w:t>
      </w:r>
      <w:bookmarkEnd w:id="2779"/>
      <w:bookmarkEnd w:id="2791"/>
      <w:bookmarkEnd w:id="2792"/>
      <w:bookmarkEnd w:id="2793"/>
      <w:bookmarkEnd w:id="2794"/>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del w:id="2795" w:author="svcMRProcess" w:date="2020-02-20T23:16:00Z">
        <w:r>
          <w:delText xml:space="preserve"> </w:delText>
        </w:r>
      </w:del>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2796" w:name="_Toc107055011"/>
      <w:bookmarkStart w:id="2797" w:name="_Toc134854751"/>
      <w:bookmarkStart w:id="2798" w:name="_Toc136841204"/>
      <w:bookmarkStart w:id="2799" w:name="_Toc131416210"/>
      <w:bookmarkStart w:id="2800" w:name="_Toc170193393"/>
      <w:r>
        <w:rPr>
          <w:rStyle w:val="CharSectno"/>
        </w:rPr>
        <w:t>88</w:t>
      </w:r>
      <w:r>
        <w:t>.</w:t>
      </w:r>
      <w:r>
        <w:tab/>
        <w:t>Stamping before advance</w:t>
      </w:r>
      <w:bookmarkEnd w:id="2796"/>
      <w:bookmarkEnd w:id="2797"/>
      <w:bookmarkEnd w:id="2798"/>
      <w:bookmarkEnd w:id="2799"/>
      <w:bookmarkEnd w:id="2800"/>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2801" w:name="_Toc76899681"/>
      <w:bookmarkStart w:id="2802" w:name="_Toc78090583"/>
      <w:bookmarkStart w:id="2803" w:name="_Toc88886951"/>
      <w:bookmarkStart w:id="2804" w:name="_Toc90443567"/>
      <w:bookmarkStart w:id="2805" w:name="_Toc90452918"/>
      <w:bookmarkStart w:id="2806" w:name="_Toc100029509"/>
      <w:bookmarkStart w:id="2807" w:name="_Toc100031582"/>
      <w:bookmarkStart w:id="2808" w:name="_Toc100458641"/>
      <w:bookmarkStart w:id="2809" w:name="_Toc101672057"/>
      <w:bookmarkStart w:id="2810" w:name="_Toc101672314"/>
      <w:bookmarkStart w:id="2811" w:name="_Toc102799340"/>
      <w:bookmarkStart w:id="2812" w:name="_Toc102982014"/>
      <w:bookmarkStart w:id="2813" w:name="_Toc103403327"/>
      <w:bookmarkStart w:id="2814" w:name="_Toc103403584"/>
      <w:bookmarkStart w:id="2815" w:name="_Toc103747583"/>
      <w:bookmarkStart w:id="2816" w:name="_Toc107055012"/>
      <w:bookmarkStart w:id="2817" w:name="_Toc113874459"/>
      <w:bookmarkStart w:id="2818" w:name="_Toc113956875"/>
      <w:bookmarkStart w:id="2819" w:name="_Toc116717431"/>
      <w:bookmarkStart w:id="2820" w:name="_Toc116813458"/>
      <w:bookmarkStart w:id="2821" w:name="_Toc122333111"/>
      <w:bookmarkStart w:id="2822" w:name="_Toc122862081"/>
      <w:bookmarkStart w:id="2823" w:name="_Toc122862677"/>
      <w:bookmarkStart w:id="2824" w:name="_Toc122921284"/>
      <w:bookmarkStart w:id="2825" w:name="_Toc122921544"/>
      <w:bookmarkStart w:id="2826" w:name="_Toc122947489"/>
      <w:bookmarkStart w:id="2827" w:name="_Toc124046327"/>
      <w:bookmarkStart w:id="2828" w:name="_Toc130266648"/>
      <w:bookmarkStart w:id="2829" w:name="_Toc130266924"/>
      <w:bookmarkStart w:id="2830" w:name="_Toc131383027"/>
      <w:bookmarkStart w:id="2831" w:name="_Toc133812408"/>
      <w:bookmarkStart w:id="2832" w:name="_Toc133920355"/>
      <w:bookmarkStart w:id="2833" w:name="_Toc134854752"/>
      <w:bookmarkStart w:id="2834" w:name="_Toc134855028"/>
      <w:bookmarkStart w:id="2835" w:name="_Toc136841205"/>
      <w:bookmarkStart w:id="2836" w:name="_Toc131415912"/>
      <w:bookmarkStart w:id="2837" w:name="_Toc131416211"/>
      <w:bookmarkStart w:id="2838" w:name="_Toc170193394"/>
      <w:r>
        <w:rPr>
          <w:rStyle w:val="CharDivNo"/>
        </w:rPr>
        <w:t>Division 3</w:t>
      </w:r>
      <w:r>
        <w:t> — </w:t>
      </w:r>
      <w:r>
        <w:rPr>
          <w:rStyle w:val="CharDivText"/>
        </w:rPr>
        <w:t>Amount secured by a mortgage</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Footnoteheading"/>
        <w:keepNext/>
        <w:tabs>
          <w:tab w:val="left" w:pos="851"/>
        </w:tabs>
      </w:pPr>
      <w:r>
        <w:tab/>
        <w:t>[Heading inserted by No. 66 of 2003 s. 79.]</w:t>
      </w:r>
    </w:p>
    <w:p>
      <w:pPr>
        <w:pStyle w:val="Heading5"/>
      </w:pPr>
      <w:bookmarkStart w:id="2839" w:name="_Toc107055013"/>
      <w:bookmarkStart w:id="2840" w:name="_Toc134854753"/>
      <w:bookmarkStart w:id="2841" w:name="_Toc136841206"/>
      <w:bookmarkStart w:id="2842" w:name="_Toc131416212"/>
      <w:bookmarkStart w:id="2843" w:name="_Toc170193395"/>
      <w:r>
        <w:rPr>
          <w:rStyle w:val="CharSectno"/>
        </w:rPr>
        <w:t>89</w:t>
      </w:r>
      <w:r>
        <w:t>.</w:t>
      </w:r>
      <w:r>
        <w:tab/>
        <w:t>The secured amount</w:t>
      </w:r>
      <w:bookmarkEnd w:id="2839"/>
      <w:bookmarkEnd w:id="2840"/>
      <w:bookmarkEnd w:id="2841"/>
      <w:bookmarkEnd w:id="2842"/>
      <w:bookmarkEnd w:id="2843"/>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However, if —</w:t>
      </w:r>
      <w:del w:id="2844" w:author="svcMRProcess" w:date="2020-02-20T23:16:00Z">
        <w:r>
          <w:delText xml:space="preserve"> </w:delText>
        </w:r>
      </w:del>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del w:id="2845" w:author="svcMRProcess" w:date="2020-02-20T23:16:00Z">
        <w:r>
          <w:delText xml:space="preserve"> </w:delText>
        </w:r>
      </w:del>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2846" w:name="_Toc107055014"/>
      <w:bookmarkStart w:id="2847" w:name="_Toc134854754"/>
      <w:bookmarkStart w:id="2848" w:name="_Toc136841207"/>
      <w:bookmarkStart w:id="2849" w:name="_Toc131416213"/>
      <w:bookmarkStart w:id="2850" w:name="_Toc170193396"/>
      <w:r>
        <w:rPr>
          <w:rStyle w:val="CharSectno"/>
        </w:rPr>
        <w:t>90</w:t>
      </w:r>
      <w:r>
        <w:t>.</w:t>
      </w:r>
      <w:r>
        <w:tab/>
        <w:t>Contingent liabilities</w:t>
      </w:r>
      <w:bookmarkEnd w:id="2846"/>
      <w:bookmarkEnd w:id="2847"/>
      <w:bookmarkEnd w:id="2848"/>
      <w:bookmarkEnd w:id="2849"/>
      <w:bookmarkEnd w:id="2850"/>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del w:id="2851" w:author="svcMRProcess" w:date="2020-02-20T23:16:00Z">
        <w:r>
          <w:delText xml:space="preserve"> </w:delText>
        </w:r>
      </w:del>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del w:id="2852" w:author="svcMRProcess" w:date="2020-02-20T23:16:00Z">
        <w:r>
          <w:delText xml:space="preserve"> </w:delText>
        </w:r>
      </w:del>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2853" w:name="_Toc107055015"/>
      <w:bookmarkStart w:id="2854" w:name="_Toc134854755"/>
      <w:bookmarkStart w:id="2855" w:name="_Toc136841208"/>
      <w:bookmarkStart w:id="2856" w:name="_Toc131416214"/>
      <w:bookmarkStart w:id="2857" w:name="_Toc170193397"/>
      <w:r>
        <w:rPr>
          <w:rStyle w:val="CharSectno"/>
        </w:rPr>
        <w:t>91</w:t>
      </w:r>
      <w:r>
        <w:t>.</w:t>
      </w:r>
      <w:r>
        <w:tab/>
        <w:t>Mortgage over property partly outside WA</w:t>
      </w:r>
      <w:bookmarkEnd w:id="2853"/>
      <w:bookmarkEnd w:id="2854"/>
      <w:bookmarkEnd w:id="2855"/>
      <w:bookmarkEnd w:id="2856"/>
      <w:bookmarkEnd w:id="2857"/>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del w:id="2858" w:author="svcMRProcess" w:date="2020-02-20T23:16:00Z">
        <w:r>
          <w:delText xml:space="preserve"> </w:delText>
        </w:r>
      </w:del>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del w:id="2859" w:author="svcMRProcess" w:date="2020-02-20T23:16:00Z">
        <w:r>
          <w:delText>)</w:delText>
        </w:r>
        <w:r>
          <w:rPr>
            <w:i w:val="0"/>
            <w:vertAlign w:val="superscript"/>
          </w:rPr>
          <w:delText xml:space="preserve"> 2</w:delText>
        </w:r>
        <w:r>
          <w:delText>.]</w:delText>
        </w:r>
      </w:del>
      <w:ins w:id="2860" w:author="svcMRProcess" w:date="2020-02-20T23:16:00Z">
        <w:r>
          <w:t>).]</w:t>
        </w:r>
      </w:ins>
    </w:p>
    <w:p>
      <w:pPr>
        <w:pStyle w:val="Heading5"/>
      </w:pPr>
      <w:bookmarkStart w:id="2861" w:name="_Toc107055016"/>
      <w:bookmarkStart w:id="2862" w:name="_Toc134854756"/>
      <w:bookmarkStart w:id="2863" w:name="_Toc136841209"/>
      <w:bookmarkStart w:id="2864" w:name="_Toc131416215"/>
      <w:bookmarkStart w:id="2865" w:name="_Toc170193398"/>
      <w:r>
        <w:rPr>
          <w:rStyle w:val="CharSectno"/>
        </w:rPr>
        <w:t>91A</w:t>
      </w:r>
      <w:r>
        <w:t>.</w:t>
      </w:r>
      <w:r>
        <w:tab/>
        <w:t>Mortgage packages</w:t>
      </w:r>
      <w:bookmarkEnd w:id="2861"/>
      <w:bookmarkEnd w:id="2862"/>
      <w:bookmarkEnd w:id="2863"/>
      <w:bookmarkEnd w:id="2864"/>
      <w:bookmarkEnd w:id="2865"/>
    </w:p>
    <w:p>
      <w:pPr>
        <w:pStyle w:val="Subsection"/>
      </w:pPr>
      <w:r>
        <w:tab/>
        <w:t>(1)</w:t>
      </w:r>
      <w:r>
        <w:tab/>
        <w:t xml:space="preserve">Two or more security instruments constitute a </w:t>
      </w:r>
      <w:r>
        <w:rPr>
          <w:b/>
        </w:rPr>
        <w:t>“</w:t>
      </w:r>
      <w:r>
        <w:rPr>
          <w:rStyle w:val="CharDefText"/>
        </w:rPr>
        <w:t>mortgage package</w:t>
      </w:r>
      <w:r>
        <w:rPr>
          <w:b/>
        </w:rPr>
        <w:t>”</w:t>
      </w:r>
      <w:r>
        <w:t xml:space="preserve"> if —</w:t>
      </w:r>
      <w:del w:id="2866" w:author="svcMRProcess" w:date="2020-02-20T23:16:00Z">
        <w:r>
          <w:delText xml:space="preserve"> </w:delText>
        </w:r>
      </w:del>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del w:id="2867" w:author="svcMRProcess" w:date="2020-02-20T23:16:00Z">
        <w:r>
          <w:delText xml:space="preserve"> </w:delText>
        </w:r>
      </w:del>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2868" w:name="_Toc107055017"/>
      <w:bookmarkStart w:id="2869" w:name="_Toc134854757"/>
      <w:bookmarkStart w:id="2870" w:name="_Toc136841210"/>
      <w:bookmarkStart w:id="2871" w:name="_Toc131416216"/>
      <w:bookmarkStart w:id="2872" w:name="_Toc170193399"/>
      <w:r>
        <w:rPr>
          <w:rStyle w:val="CharSectno"/>
        </w:rPr>
        <w:t>91B</w:t>
      </w:r>
      <w:r>
        <w:t>.</w:t>
      </w:r>
      <w:r>
        <w:tab/>
        <w:t>Collateral mortgages</w:t>
      </w:r>
      <w:bookmarkEnd w:id="2868"/>
      <w:bookmarkEnd w:id="2869"/>
      <w:bookmarkEnd w:id="2870"/>
      <w:bookmarkEnd w:id="2871"/>
      <w:bookmarkEnd w:id="2872"/>
    </w:p>
    <w:p>
      <w:pPr>
        <w:pStyle w:val="Subsection"/>
      </w:pPr>
      <w:r>
        <w:tab/>
        <w:t>(1)</w:t>
      </w:r>
      <w:r>
        <w:tab/>
        <w:t>Mortgage duty is not imposed in relation to the part of the amount secured by a collateral mortgage that is secured by —</w:t>
      </w:r>
      <w:del w:id="2873" w:author="svcMRProcess" w:date="2020-02-20T23:16:00Z">
        <w:r>
          <w:delText xml:space="preserve"> </w:delText>
        </w:r>
      </w:del>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2874" w:name="_Toc107055018"/>
      <w:bookmarkStart w:id="2875" w:name="_Toc134854758"/>
      <w:bookmarkStart w:id="2876" w:name="_Toc136841211"/>
      <w:bookmarkStart w:id="2877" w:name="_Toc131416217"/>
      <w:bookmarkStart w:id="2878" w:name="_Toc170193400"/>
      <w:r>
        <w:rPr>
          <w:rStyle w:val="CharSectno"/>
        </w:rPr>
        <w:t>91C</w:t>
      </w:r>
      <w:r>
        <w:t>.</w:t>
      </w:r>
      <w:r>
        <w:tab/>
        <w:t>Extent to which mortgage can be enforced</w:t>
      </w:r>
      <w:bookmarkEnd w:id="2874"/>
      <w:bookmarkEnd w:id="2875"/>
      <w:bookmarkEnd w:id="2876"/>
      <w:bookmarkEnd w:id="2877"/>
      <w:bookmarkEnd w:id="2878"/>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del w:id="2879" w:author="svcMRProcess" w:date="2020-02-20T23:16:00Z">
        <w:r>
          <w:delText xml:space="preserve"> </w:delText>
        </w:r>
      </w:del>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2880" w:name="_Toc107055019"/>
      <w:bookmarkStart w:id="2881" w:name="_Toc134854759"/>
      <w:bookmarkStart w:id="2882" w:name="_Toc136841212"/>
      <w:bookmarkStart w:id="2883" w:name="_Toc131416218"/>
      <w:bookmarkStart w:id="2884" w:name="_Toc170193401"/>
      <w:r>
        <w:rPr>
          <w:rStyle w:val="CharSectno"/>
        </w:rPr>
        <w:t>91D</w:t>
      </w:r>
      <w:r>
        <w:t>.</w:t>
      </w:r>
      <w:r>
        <w:tab/>
        <w:t>Use of stamped and collateral mortgages as security</w:t>
      </w:r>
      <w:bookmarkEnd w:id="2880"/>
      <w:bookmarkEnd w:id="2881"/>
      <w:bookmarkEnd w:id="2882"/>
      <w:bookmarkEnd w:id="2883"/>
      <w:bookmarkEnd w:id="2884"/>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2885" w:name="_Toc107055020"/>
      <w:bookmarkStart w:id="2886" w:name="_Toc134854760"/>
      <w:bookmarkStart w:id="2887" w:name="_Toc136841213"/>
      <w:bookmarkStart w:id="2888" w:name="_Toc131416219"/>
      <w:bookmarkStart w:id="2889" w:name="_Toc170193402"/>
      <w:r>
        <w:rPr>
          <w:rStyle w:val="CharSectno"/>
        </w:rPr>
        <w:t>91E</w:t>
      </w:r>
      <w:r>
        <w:t>.</w:t>
      </w:r>
      <w:r>
        <w:tab/>
        <w:t>Multi</w:t>
      </w:r>
      <w:r>
        <w:noBreakHyphen/>
        <w:t>jurisdictional statement</w:t>
      </w:r>
      <w:bookmarkEnd w:id="2885"/>
      <w:bookmarkEnd w:id="2886"/>
      <w:bookmarkEnd w:id="2887"/>
      <w:bookmarkEnd w:id="2888"/>
      <w:bookmarkEnd w:id="2889"/>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2890" w:name="_Toc107055021"/>
      <w:bookmarkStart w:id="2891" w:name="_Toc134854761"/>
      <w:bookmarkStart w:id="2892" w:name="_Toc136841214"/>
      <w:bookmarkStart w:id="2893" w:name="_Toc131416220"/>
      <w:bookmarkStart w:id="2894" w:name="_Toc170193403"/>
      <w:r>
        <w:rPr>
          <w:rStyle w:val="CharSectno"/>
        </w:rPr>
        <w:t>91F</w:t>
      </w:r>
      <w:r>
        <w:t>.</w:t>
      </w:r>
      <w:r>
        <w:tab/>
        <w:t>Exemptions for charitable or public purposes</w:t>
      </w:r>
      <w:bookmarkEnd w:id="2890"/>
      <w:bookmarkEnd w:id="2891"/>
      <w:bookmarkEnd w:id="2892"/>
      <w:bookmarkEnd w:id="2893"/>
      <w:bookmarkEnd w:id="2894"/>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2895" w:name="_Toc128285588"/>
      <w:bookmarkStart w:id="2896" w:name="_Toc130266658"/>
      <w:bookmarkStart w:id="2897" w:name="_Toc130266934"/>
      <w:bookmarkStart w:id="2898" w:name="_Toc131383037"/>
      <w:bookmarkStart w:id="2899" w:name="_Toc133812418"/>
      <w:bookmarkStart w:id="2900" w:name="_Toc133920365"/>
      <w:bookmarkStart w:id="2901" w:name="_Toc134854762"/>
      <w:bookmarkStart w:id="2902" w:name="_Toc134855038"/>
      <w:bookmarkStart w:id="2903" w:name="_Toc136841215"/>
      <w:bookmarkStart w:id="2904" w:name="_Toc131415922"/>
      <w:bookmarkStart w:id="2905" w:name="_Toc131416221"/>
      <w:bookmarkStart w:id="2906" w:name="_Toc170193404"/>
      <w:r>
        <w:rPr>
          <w:rStyle w:val="CharPartNo"/>
        </w:rPr>
        <w:t>Part IIIF</w:t>
      </w:r>
      <w:r>
        <w:rPr>
          <w:b w:val="0"/>
        </w:rPr>
        <w:t> </w:t>
      </w:r>
      <w:r>
        <w:t>—</w:t>
      </w:r>
      <w:r>
        <w:rPr>
          <w:b w:val="0"/>
        </w:rPr>
        <w:t> </w:t>
      </w:r>
      <w:r>
        <w:rPr>
          <w:rStyle w:val="CharPartText"/>
        </w:rPr>
        <w:t>Insurance</w:t>
      </w:r>
      <w:bookmarkEnd w:id="2895"/>
      <w:bookmarkEnd w:id="2896"/>
      <w:bookmarkEnd w:id="2897"/>
      <w:bookmarkEnd w:id="2898"/>
      <w:bookmarkEnd w:id="2899"/>
      <w:bookmarkEnd w:id="2900"/>
      <w:bookmarkEnd w:id="2901"/>
      <w:bookmarkEnd w:id="2902"/>
      <w:bookmarkEnd w:id="2903"/>
      <w:bookmarkEnd w:id="2904"/>
      <w:bookmarkEnd w:id="2905"/>
      <w:bookmarkEnd w:id="2906"/>
    </w:p>
    <w:p>
      <w:pPr>
        <w:pStyle w:val="Footnoteheading"/>
      </w:pPr>
      <w:r>
        <w:tab/>
        <w:t>[Heading inserted by No. 36 of 2005 s. 6.]</w:t>
      </w:r>
    </w:p>
    <w:p>
      <w:pPr>
        <w:pStyle w:val="Heading3"/>
        <w:spacing w:before="180"/>
      </w:pPr>
      <w:bookmarkStart w:id="2907" w:name="_Toc128285589"/>
      <w:bookmarkStart w:id="2908" w:name="_Toc130266659"/>
      <w:bookmarkStart w:id="2909" w:name="_Toc130266935"/>
      <w:bookmarkStart w:id="2910" w:name="_Toc131383038"/>
      <w:bookmarkStart w:id="2911" w:name="_Toc133812419"/>
      <w:bookmarkStart w:id="2912" w:name="_Toc133920366"/>
      <w:bookmarkStart w:id="2913" w:name="_Toc134854763"/>
      <w:bookmarkStart w:id="2914" w:name="_Toc134855039"/>
      <w:bookmarkStart w:id="2915" w:name="_Toc136841216"/>
      <w:bookmarkStart w:id="2916" w:name="_Toc131415923"/>
      <w:bookmarkStart w:id="2917" w:name="_Toc131416222"/>
      <w:bookmarkStart w:id="2918" w:name="_Toc170193405"/>
      <w:r>
        <w:rPr>
          <w:rStyle w:val="CharDivNo"/>
        </w:rPr>
        <w:t>Division 1</w:t>
      </w:r>
      <w:r>
        <w:t> — </w:t>
      </w:r>
      <w:r>
        <w:rPr>
          <w:rStyle w:val="CharDivText"/>
        </w:rPr>
        <w:t>Interpretation in Part IIIF and connection to the State</w:t>
      </w:r>
      <w:bookmarkEnd w:id="2907"/>
      <w:bookmarkEnd w:id="2908"/>
      <w:bookmarkEnd w:id="2909"/>
      <w:bookmarkEnd w:id="2910"/>
      <w:bookmarkEnd w:id="2911"/>
      <w:bookmarkEnd w:id="2912"/>
      <w:bookmarkEnd w:id="2913"/>
      <w:bookmarkEnd w:id="2914"/>
      <w:bookmarkEnd w:id="2915"/>
      <w:bookmarkEnd w:id="2916"/>
      <w:bookmarkEnd w:id="2917"/>
      <w:bookmarkEnd w:id="2918"/>
    </w:p>
    <w:p>
      <w:pPr>
        <w:pStyle w:val="Footnoteheading"/>
      </w:pPr>
      <w:bookmarkStart w:id="2919" w:name="_Toc128285590"/>
      <w:r>
        <w:tab/>
        <w:t>[Heading inserted by No. 36 of 2005 s. 6.]</w:t>
      </w:r>
    </w:p>
    <w:p>
      <w:pPr>
        <w:pStyle w:val="Heading5"/>
        <w:spacing w:before="180"/>
      </w:pPr>
      <w:bookmarkStart w:id="2920" w:name="_Toc134854764"/>
      <w:bookmarkStart w:id="2921" w:name="_Toc136841217"/>
      <w:bookmarkStart w:id="2922" w:name="_Toc131416223"/>
      <w:bookmarkStart w:id="2923" w:name="_Toc170193406"/>
      <w:r>
        <w:rPr>
          <w:rStyle w:val="CharSectno"/>
        </w:rPr>
        <w:t>92</w:t>
      </w:r>
      <w:r>
        <w:t>.</w:t>
      </w:r>
      <w:r>
        <w:tab/>
        <w:t>Terms used in this Part</w:t>
      </w:r>
      <w:bookmarkEnd w:id="2919"/>
      <w:bookmarkEnd w:id="2920"/>
      <w:bookmarkEnd w:id="2921"/>
      <w:bookmarkEnd w:id="2922"/>
      <w:bookmarkEnd w:id="2923"/>
    </w:p>
    <w:p>
      <w:pPr>
        <w:pStyle w:val="Subsection"/>
        <w:spacing w:before="120"/>
      </w:pPr>
      <w:r>
        <w:tab/>
      </w:r>
      <w:r>
        <w:tab/>
        <w:t>In this Part, unless the contrary intention appears —</w:t>
      </w:r>
      <w:del w:id="2924" w:author="svcMRProcess" w:date="2020-02-20T23:16:00Z">
        <w:r>
          <w:delText xml:space="preserve"> </w:delText>
        </w:r>
      </w:del>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rPr>
          <w:iCs/>
        </w:rPr>
        <w:t xml:space="preserve"> of</w:t>
      </w:r>
      <w:r>
        <w:t xml:space="preserve">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del w:id="2925" w:author="svcMRProcess" w:date="2020-02-20T23:16:00Z">
        <w:r>
          <w:delText xml:space="preserve"> </w:delText>
        </w:r>
      </w:del>
    </w:p>
    <w:p>
      <w:pPr>
        <w:pStyle w:val="Defpara"/>
        <w:spacing w:before="60"/>
      </w:pPr>
      <w:r>
        <w:tab/>
        <w:t>(a)</w:t>
      </w:r>
      <w:r>
        <w:tab/>
        <w:t>writes general insurance otherwise than as an intermediary of an insurer (including a Division 4 insurer); and</w:t>
      </w:r>
    </w:p>
    <w:p>
      <w:pPr>
        <w:pStyle w:val="Defpara"/>
      </w:pPr>
      <w:r>
        <w:tab/>
        <w:t>(b)</w:t>
      </w:r>
      <w:r>
        <w:tab/>
        <w:t>is either —</w:t>
      </w:r>
      <w:del w:id="2926" w:author="svcMRProcess" w:date="2020-02-20T23:16:00Z">
        <w:r>
          <w:delText xml:space="preserve"> </w:delText>
        </w:r>
      </w:del>
    </w:p>
    <w:p>
      <w:pPr>
        <w:pStyle w:val="Defsubpara"/>
        <w:keepLines w:val="0"/>
      </w:pPr>
      <w:r>
        <w:tab/>
        <w:t>(i)</w:t>
      </w:r>
      <w:r>
        <w:tab/>
        <w:t xml:space="preserve">authorised under the </w:t>
      </w:r>
      <w:r>
        <w:rPr>
          <w:i/>
          <w:iCs/>
        </w:rPr>
        <w:t>Insurance Act 1973</w:t>
      </w:r>
      <w:r>
        <w:t xml:space="preserve"> of the Commonwealth; or</w:t>
      </w:r>
    </w:p>
    <w:p>
      <w:pPr>
        <w:pStyle w:val="Defsubpara"/>
        <w:keepLines w:val="0"/>
      </w:pPr>
      <w:r>
        <w:tab/>
        <w:t>(ii)</w:t>
      </w:r>
      <w:r>
        <w:tab/>
        <w:t xml:space="preserve">registered under the </w:t>
      </w:r>
      <w:r>
        <w:rPr>
          <w:i/>
          <w:iCs/>
        </w:rPr>
        <w:t>Life Insurance Act 1995</w:t>
      </w:r>
      <w:r>
        <w:t xml:space="preserve"> of the Commonwealth;</w:t>
      </w:r>
    </w:p>
    <w:p>
      <w:pPr>
        <w:pStyle w:val="Defstart"/>
      </w:pPr>
      <w:r>
        <w:rPr>
          <w:b/>
        </w:rPr>
        <w:tab/>
        <w:t>“</w:t>
      </w:r>
      <w:r>
        <w:rPr>
          <w:rStyle w:val="CharDefText"/>
        </w:rPr>
        <w:t>intermediary</w:t>
      </w:r>
      <w:r>
        <w:rPr>
          <w:b/>
        </w:rPr>
        <w:t>”</w:t>
      </w:r>
      <w:r>
        <w:t>, of an insurer, means —</w:t>
      </w:r>
      <w:del w:id="2927" w:author="svcMRProcess" w:date="2020-02-20T23:16:00Z">
        <w:r>
          <w:delText xml:space="preserve"> </w:delText>
        </w:r>
      </w:del>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del w:id="2928" w:author="svcMRProcess" w:date="2020-02-20T23:16:00Z">
        <w:r>
          <w:delText xml:space="preserve"> </w:delText>
        </w:r>
      </w:del>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del w:id="2929" w:author="svcMRProcess" w:date="2020-02-20T23:16:00Z">
        <w:r>
          <w:delText xml:space="preserve"> </w:delText>
        </w:r>
      </w:del>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rPr>
          <w:bCs/>
        </w:rPr>
        <w:t>,</w:t>
      </w:r>
      <w:r>
        <w:rPr>
          <w:b/>
        </w:rPr>
        <w:t xml:space="preserve"> </w:t>
      </w:r>
      <w:r>
        <w:t>of a registered insurer, has the meaning given in section 94B.</w:t>
      </w:r>
    </w:p>
    <w:p>
      <w:pPr>
        <w:pStyle w:val="Footnotesection"/>
      </w:pPr>
      <w:r>
        <w:tab/>
        <w:t>[Section 92 inserted by No. 36 of 2005 s. 6.]</w:t>
      </w:r>
    </w:p>
    <w:p>
      <w:pPr>
        <w:pStyle w:val="Heading5"/>
      </w:pPr>
      <w:bookmarkStart w:id="2930" w:name="_Toc128285591"/>
      <w:bookmarkStart w:id="2931" w:name="_Toc134854765"/>
      <w:bookmarkStart w:id="2932" w:name="_Toc136841218"/>
      <w:bookmarkStart w:id="2933" w:name="_Toc131416224"/>
      <w:bookmarkStart w:id="2934" w:name="_Toc170193407"/>
      <w:r>
        <w:rPr>
          <w:rStyle w:val="CharSectno"/>
        </w:rPr>
        <w:t>92A</w:t>
      </w:r>
      <w:r>
        <w:t>.</w:t>
      </w:r>
      <w:r>
        <w:tab/>
        <w:t>Meaning of general insurance and connection to the State</w:t>
      </w:r>
      <w:bookmarkEnd w:id="2930"/>
      <w:bookmarkEnd w:id="2931"/>
      <w:bookmarkEnd w:id="2932"/>
      <w:bookmarkEnd w:id="2933"/>
      <w:bookmarkEnd w:id="2934"/>
    </w:p>
    <w:p>
      <w:pPr>
        <w:pStyle w:val="Subsection"/>
      </w:pPr>
      <w:r>
        <w:tab/>
        <w:t>(1)</w:t>
      </w:r>
      <w:r>
        <w:tab/>
      </w:r>
      <w:r>
        <w:rPr>
          <w:b/>
          <w:bCs/>
        </w:rPr>
        <w:t>“</w:t>
      </w:r>
      <w:r>
        <w:rPr>
          <w:rStyle w:val="CharDefText"/>
        </w:rPr>
        <w:t>General insurance</w:t>
      </w:r>
      <w:r>
        <w:rPr>
          <w:b/>
          <w:bCs/>
        </w:rPr>
        <w:t>”</w:t>
      </w:r>
      <w:r>
        <w:t xml:space="preserve"> means any kind of insurance that is applicable to —</w:t>
      </w:r>
      <w:del w:id="2935" w:author="svcMRProcess" w:date="2020-02-20T23:16:00Z">
        <w:r>
          <w:delText xml:space="preserve"> </w:delText>
        </w:r>
      </w:del>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del w:id="2936" w:author="svcMRProcess" w:date="2020-02-20T23:16:00Z">
        <w:r>
          <w:delText xml:space="preserve"> </w:delText>
        </w:r>
      </w:del>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2937" w:name="_Toc128285592"/>
      <w:r>
        <w:tab/>
        <w:t>[Section 92A inserted by No. 36 of 2005 s. 6.]</w:t>
      </w:r>
    </w:p>
    <w:p>
      <w:pPr>
        <w:pStyle w:val="Heading5"/>
      </w:pPr>
      <w:bookmarkStart w:id="2938" w:name="_Toc134854766"/>
      <w:bookmarkStart w:id="2939" w:name="_Toc136841219"/>
      <w:bookmarkStart w:id="2940" w:name="_Toc131416225"/>
      <w:bookmarkStart w:id="2941" w:name="_Toc170193408"/>
      <w:r>
        <w:rPr>
          <w:rStyle w:val="CharSectno"/>
        </w:rPr>
        <w:t>92B</w:t>
      </w:r>
      <w:r>
        <w:t>.</w:t>
      </w:r>
      <w:r>
        <w:tab/>
        <w:t>Additional insurance — life riders</w:t>
      </w:r>
      <w:bookmarkEnd w:id="2937"/>
      <w:bookmarkEnd w:id="2938"/>
      <w:bookmarkEnd w:id="2939"/>
      <w:bookmarkEnd w:id="2940"/>
      <w:bookmarkEnd w:id="2941"/>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2942" w:name="_Toc128285593"/>
      <w:r>
        <w:tab/>
        <w:t>[Section 92B inserted by No. 36 of 2005 s. 6.]</w:t>
      </w:r>
    </w:p>
    <w:p>
      <w:pPr>
        <w:pStyle w:val="Heading5"/>
      </w:pPr>
      <w:bookmarkStart w:id="2943" w:name="_Toc134854767"/>
      <w:bookmarkStart w:id="2944" w:name="_Toc136841220"/>
      <w:bookmarkStart w:id="2945" w:name="_Toc131416226"/>
      <w:bookmarkStart w:id="2946" w:name="_Toc170193409"/>
      <w:r>
        <w:rPr>
          <w:rStyle w:val="CharSectno"/>
        </w:rPr>
        <w:t>92C</w:t>
      </w:r>
      <w:r>
        <w:t>.</w:t>
      </w:r>
      <w:r>
        <w:tab/>
        <w:t>Payment of premiums</w:t>
      </w:r>
      <w:bookmarkEnd w:id="2942"/>
      <w:bookmarkEnd w:id="2943"/>
      <w:bookmarkEnd w:id="2944"/>
      <w:bookmarkEnd w:id="2945"/>
      <w:bookmarkEnd w:id="2946"/>
    </w:p>
    <w:p>
      <w:pPr>
        <w:pStyle w:val="Subsection"/>
      </w:pPr>
      <w:r>
        <w:tab/>
        <w:t>(1)</w:t>
      </w:r>
      <w:r>
        <w:tab/>
        <w:t>For the purposes of this Part, a premium, or an instalment, is paid when the first of the following events occurs —</w:t>
      </w:r>
      <w:del w:id="2947" w:author="svcMRProcess" w:date="2020-02-20T23:16:00Z">
        <w:r>
          <w:delText xml:space="preserve"> </w:delText>
        </w:r>
      </w:del>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2948" w:name="_Toc128285594"/>
      <w:r>
        <w:tab/>
        <w:t>[Section 92C inserted by No. 36 of 2005 s. 6.]</w:t>
      </w:r>
    </w:p>
    <w:p>
      <w:pPr>
        <w:pStyle w:val="Heading3"/>
      </w:pPr>
      <w:bookmarkStart w:id="2949" w:name="_Toc130266664"/>
      <w:bookmarkStart w:id="2950" w:name="_Toc130266940"/>
      <w:bookmarkStart w:id="2951" w:name="_Toc131383043"/>
      <w:bookmarkStart w:id="2952" w:name="_Toc133812424"/>
      <w:bookmarkStart w:id="2953" w:name="_Toc133920371"/>
      <w:bookmarkStart w:id="2954" w:name="_Toc134854768"/>
      <w:bookmarkStart w:id="2955" w:name="_Toc134855044"/>
      <w:bookmarkStart w:id="2956" w:name="_Toc136841221"/>
      <w:bookmarkStart w:id="2957" w:name="_Toc131415928"/>
      <w:bookmarkStart w:id="2958" w:name="_Toc131416227"/>
      <w:bookmarkStart w:id="2959" w:name="_Toc170193410"/>
      <w:r>
        <w:rPr>
          <w:rStyle w:val="CharDivNo"/>
        </w:rPr>
        <w:t>Division 2</w:t>
      </w:r>
      <w:r>
        <w:t> — </w:t>
      </w:r>
      <w:r>
        <w:rPr>
          <w:rStyle w:val="CharDivText"/>
        </w:rPr>
        <w:t>Registration of insurers</w:t>
      </w:r>
      <w:bookmarkEnd w:id="2948"/>
      <w:bookmarkEnd w:id="2949"/>
      <w:bookmarkEnd w:id="2950"/>
      <w:bookmarkEnd w:id="2951"/>
      <w:bookmarkEnd w:id="2952"/>
      <w:bookmarkEnd w:id="2953"/>
      <w:bookmarkEnd w:id="2954"/>
      <w:bookmarkEnd w:id="2955"/>
      <w:bookmarkEnd w:id="2956"/>
      <w:bookmarkEnd w:id="2957"/>
      <w:bookmarkEnd w:id="2958"/>
      <w:bookmarkEnd w:id="2959"/>
    </w:p>
    <w:p>
      <w:pPr>
        <w:pStyle w:val="Footnoteheading"/>
      </w:pPr>
      <w:bookmarkStart w:id="2960" w:name="_Toc128285595"/>
      <w:r>
        <w:tab/>
        <w:t>[Heading inserted by No. 36 of 2005 s. 6.]</w:t>
      </w:r>
    </w:p>
    <w:p>
      <w:pPr>
        <w:pStyle w:val="Heading5"/>
      </w:pPr>
      <w:bookmarkStart w:id="2961" w:name="_Toc134854769"/>
      <w:bookmarkStart w:id="2962" w:name="_Toc136841222"/>
      <w:bookmarkStart w:id="2963" w:name="_Toc131416228"/>
      <w:bookmarkStart w:id="2964" w:name="_Toc170193411"/>
      <w:r>
        <w:rPr>
          <w:rStyle w:val="CharSectno"/>
        </w:rPr>
        <w:t>93</w:t>
      </w:r>
      <w:r>
        <w:t>.</w:t>
      </w:r>
      <w:r>
        <w:tab/>
        <w:t>Insurers to be registered</w:t>
      </w:r>
      <w:bookmarkEnd w:id="2960"/>
      <w:bookmarkEnd w:id="2961"/>
      <w:bookmarkEnd w:id="2962"/>
      <w:bookmarkEnd w:id="2963"/>
      <w:bookmarkEnd w:id="2964"/>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965" w:name="_Toc128285596"/>
      <w:r>
        <w:tab/>
        <w:t>[Section 93 inserted by No. 36 of 2005 s. 6.]</w:t>
      </w:r>
    </w:p>
    <w:p>
      <w:pPr>
        <w:pStyle w:val="Heading5"/>
      </w:pPr>
      <w:bookmarkStart w:id="2966" w:name="_Toc134854770"/>
      <w:bookmarkStart w:id="2967" w:name="_Toc136841223"/>
      <w:bookmarkStart w:id="2968" w:name="_Toc131416229"/>
      <w:bookmarkStart w:id="2969" w:name="_Toc170193412"/>
      <w:r>
        <w:rPr>
          <w:rStyle w:val="CharSectno"/>
        </w:rPr>
        <w:t>93A</w:t>
      </w:r>
      <w:r>
        <w:t>.</w:t>
      </w:r>
      <w:r>
        <w:tab/>
        <w:t>Registration of insurers</w:t>
      </w:r>
      <w:bookmarkEnd w:id="2965"/>
      <w:bookmarkEnd w:id="2966"/>
      <w:bookmarkEnd w:id="2967"/>
      <w:bookmarkEnd w:id="2968"/>
      <w:bookmarkEnd w:id="2969"/>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2970" w:name="_Toc128285597"/>
      <w:r>
        <w:tab/>
        <w:t>[Section 93A inserted by No. 36 of 2005 s. 6.]</w:t>
      </w:r>
    </w:p>
    <w:p>
      <w:pPr>
        <w:pStyle w:val="Heading5"/>
      </w:pPr>
      <w:bookmarkStart w:id="2971" w:name="_Toc134854771"/>
      <w:bookmarkStart w:id="2972" w:name="_Toc136841224"/>
      <w:bookmarkStart w:id="2973" w:name="_Toc131416230"/>
      <w:bookmarkStart w:id="2974" w:name="_Toc170193413"/>
      <w:r>
        <w:rPr>
          <w:rStyle w:val="CharSectno"/>
        </w:rPr>
        <w:t>93B</w:t>
      </w:r>
      <w:r>
        <w:t>.</w:t>
      </w:r>
      <w:r>
        <w:tab/>
        <w:t>Cancelling registration of insurers</w:t>
      </w:r>
      <w:bookmarkEnd w:id="2970"/>
      <w:bookmarkEnd w:id="2971"/>
      <w:bookmarkEnd w:id="2972"/>
      <w:bookmarkEnd w:id="2973"/>
      <w:bookmarkEnd w:id="2974"/>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2975" w:name="_Toc128285598"/>
      <w:r>
        <w:tab/>
        <w:t>[Section 93B inserted by No. 36 of 2005 s. 6.]</w:t>
      </w:r>
    </w:p>
    <w:p>
      <w:pPr>
        <w:pStyle w:val="Heading3"/>
      </w:pPr>
      <w:bookmarkStart w:id="2976" w:name="_Toc130266668"/>
      <w:bookmarkStart w:id="2977" w:name="_Toc130266944"/>
      <w:bookmarkStart w:id="2978" w:name="_Toc131383047"/>
      <w:bookmarkStart w:id="2979" w:name="_Toc133812428"/>
      <w:bookmarkStart w:id="2980" w:name="_Toc133920375"/>
      <w:bookmarkStart w:id="2981" w:name="_Toc134854772"/>
      <w:bookmarkStart w:id="2982" w:name="_Toc134855048"/>
      <w:bookmarkStart w:id="2983" w:name="_Toc136841225"/>
      <w:bookmarkStart w:id="2984" w:name="_Toc131415932"/>
      <w:bookmarkStart w:id="2985" w:name="_Toc131416231"/>
      <w:bookmarkStart w:id="2986" w:name="_Toc170193414"/>
      <w:r>
        <w:rPr>
          <w:rStyle w:val="CharDivNo"/>
        </w:rPr>
        <w:t>Division 3</w:t>
      </w:r>
      <w:r>
        <w:t> — </w:t>
      </w:r>
      <w:r>
        <w:rPr>
          <w:rStyle w:val="CharDivText"/>
        </w:rPr>
        <w:t>Duty payable by insurers</w:t>
      </w:r>
      <w:bookmarkEnd w:id="2975"/>
      <w:bookmarkEnd w:id="2976"/>
      <w:bookmarkEnd w:id="2977"/>
      <w:bookmarkEnd w:id="2978"/>
      <w:bookmarkEnd w:id="2979"/>
      <w:bookmarkEnd w:id="2980"/>
      <w:bookmarkEnd w:id="2981"/>
      <w:bookmarkEnd w:id="2982"/>
      <w:bookmarkEnd w:id="2983"/>
      <w:bookmarkEnd w:id="2984"/>
      <w:bookmarkEnd w:id="2985"/>
      <w:bookmarkEnd w:id="2986"/>
    </w:p>
    <w:p>
      <w:pPr>
        <w:pStyle w:val="Footnoteheading"/>
      </w:pPr>
      <w:bookmarkStart w:id="2987" w:name="_Toc128285599"/>
      <w:r>
        <w:tab/>
        <w:t>[Heading inserted by No. 36 of 2005 s. 6.]</w:t>
      </w:r>
    </w:p>
    <w:p>
      <w:pPr>
        <w:pStyle w:val="Heading5"/>
      </w:pPr>
      <w:bookmarkStart w:id="2988" w:name="_Toc134854773"/>
      <w:bookmarkStart w:id="2989" w:name="_Toc136841226"/>
      <w:bookmarkStart w:id="2990" w:name="_Toc131416232"/>
      <w:bookmarkStart w:id="2991" w:name="_Toc170193415"/>
      <w:r>
        <w:rPr>
          <w:rStyle w:val="CharSectno"/>
        </w:rPr>
        <w:t>94</w:t>
      </w:r>
      <w:r>
        <w:t>.</w:t>
      </w:r>
      <w:r>
        <w:tab/>
        <w:t>Lodging returns and paying duty</w:t>
      </w:r>
      <w:bookmarkEnd w:id="2987"/>
      <w:bookmarkEnd w:id="2988"/>
      <w:bookmarkEnd w:id="2989"/>
      <w:bookmarkEnd w:id="2990"/>
      <w:bookmarkEnd w:id="2991"/>
    </w:p>
    <w:p>
      <w:pPr>
        <w:pStyle w:val="Subsection"/>
      </w:pPr>
      <w:r>
        <w:tab/>
        <w:t>(1)</w:t>
      </w:r>
      <w:r>
        <w:tab/>
        <w:t>A registered insurer must —</w:t>
      </w:r>
      <w:del w:id="2992" w:author="svcMRProcess" w:date="2020-02-20T23:16:00Z">
        <w:r>
          <w:delText xml:space="preserve"> </w:delText>
        </w:r>
      </w:del>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del w:id="2993" w:author="svcMRProcess" w:date="2020-02-20T23:16:00Z">
        <w:r>
          <w:delText xml:space="preserve"> </w:delText>
        </w:r>
      </w:del>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994" w:name="_Toc128285600"/>
      <w:r>
        <w:tab/>
        <w:t>[Section 94 inserted by No. 36 of 2005 s. 6.]</w:t>
      </w:r>
    </w:p>
    <w:p>
      <w:pPr>
        <w:pStyle w:val="Heading5"/>
      </w:pPr>
      <w:bookmarkStart w:id="2995" w:name="_Toc134854774"/>
      <w:bookmarkStart w:id="2996" w:name="_Toc136841227"/>
      <w:bookmarkStart w:id="2997" w:name="_Toc131416233"/>
      <w:bookmarkStart w:id="2998" w:name="_Toc170193416"/>
      <w:r>
        <w:rPr>
          <w:rStyle w:val="CharSectno"/>
        </w:rPr>
        <w:t>94A</w:t>
      </w:r>
      <w:r>
        <w:t>.</w:t>
      </w:r>
      <w:r>
        <w:tab/>
        <w:t>Calculating the amount of duty payable on a return</w:t>
      </w:r>
      <w:bookmarkEnd w:id="2994"/>
      <w:bookmarkEnd w:id="2995"/>
      <w:bookmarkEnd w:id="2996"/>
      <w:bookmarkEnd w:id="2997"/>
      <w:bookmarkEnd w:id="2998"/>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999" w:name="_Toc128285601"/>
      <w:r>
        <w:tab/>
        <w:t>[Section 94A inserted by No. 36 of 2005 s. 6.]</w:t>
      </w:r>
    </w:p>
    <w:p>
      <w:pPr>
        <w:pStyle w:val="Heading5"/>
      </w:pPr>
      <w:bookmarkStart w:id="3000" w:name="_Toc134854775"/>
      <w:bookmarkStart w:id="3001" w:name="_Toc136841228"/>
      <w:bookmarkStart w:id="3002" w:name="_Toc131416234"/>
      <w:bookmarkStart w:id="3003" w:name="_Toc170193417"/>
      <w:r>
        <w:rPr>
          <w:rStyle w:val="CharSectno"/>
        </w:rPr>
        <w:t>94B</w:t>
      </w:r>
      <w:r>
        <w:t>.</w:t>
      </w:r>
      <w:r>
        <w:tab/>
        <w:t>Return period of an insurer</w:t>
      </w:r>
      <w:bookmarkEnd w:id="2999"/>
      <w:bookmarkEnd w:id="3000"/>
      <w:bookmarkEnd w:id="3001"/>
      <w:bookmarkEnd w:id="3002"/>
      <w:bookmarkEnd w:id="3003"/>
    </w:p>
    <w:p>
      <w:pPr>
        <w:pStyle w:val="Subsection"/>
      </w:pPr>
      <w:r>
        <w:tab/>
      </w:r>
      <w:r>
        <w:tab/>
        <w:t>The return period of a registered insurer is —</w:t>
      </w:r>
      <w:del w:id="3004" w:author="svcMRProcess" w:date="2020-02-20T23:16:00Z">
        <w:r>
          <w:delText xml:space="preserve"> </w:delText>
        </w:r>
      </w:del>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3005" w:name="_Toc128285602"/>
      <w:r>
        <w:tab/>
        <w:t>[Section 94B inserted by No. 36 of 2005 s. 6.]</w:t>
      </w:r>
    </w:p>
    <w:p>
      <w:pPr>
        <w:pStyle w:val="Heading3"/>
      </w:pPr>
      <w:bookmarkStart w:id="3006" w:name="_Toc130266672"/>
      <w:bookmarkStart w:id="3007" w:name="_Toc130266948"/>
      <w:bookmarkStart w:id="3008" w:name="_Toc131383051"/>
      <w:bookmarkStart w:id="3009" w:name="_Toc133812432"/>
      <w:bookmarkStart w:id="3010" w:name="_Toc133920379"/>
      <w:bookmarkStart w:id="3011" w:name="_Toc134854776"/>
      <w:bookmarkStart w:id="3012" w:name="_Toc134855052"/>
      <w:bookmarkStart w:id="3013" w:name="_Toc136841229"/>
      <w:bookmarkStart w:id="3014" w:name="_Toc131415936"/>
      <w:bookmarkStart w:id="3015" w:name="_Toc131416235"/>
      <w:bookmarkStart w:id="3016" w:name="_Toc170193418"/>
      <w:r>
        <w:rPr>
          <w:rStyle w:val="CharDivNo"/>
        </w:rPr>
        <w:t>Division 4</w:t>
      </w:r>
      <w:r>
        <w:t> — </w:t>
      </w:r>
      <w:r>
        <w:rPr>
          <w:rStyle w:val="CharDivText"/>
        </w:rPr>
        <w:t>Duty payable by insured persons</w:t>
      </w:r>
      <w:bookmarkEnd w:id="3005"/>
      <w:bookmarkEnd w:id="3006"/>
      <w:bookmarkEnd w:id="3007"/>
      <w:bookmarkEnd w:id="3008"/>
      <w:bookmarkEnd w:id="3009"/>
      <w:bookmarkEnd w:id="3010"/>
      <w:bookmarkEnd w:id="3011"/>
      <w:bookmarkEnd w:id="3012"/>
      <w:bookmarkEnd w:id="3013"/>
      <w:bookmarkEnd w:id="3014"/>
      <w:bookmarkEnd w:id="3015"/>
      <w:bookmarkEnd w:id="3016"/>
    </w:p>
    <w:p>
      <w:pPr>
        <w:pStyle w:val="Footnoteheading"/>
      </w:pPr>
      <w:bookmarkStart w:id="3017" w:name="_Toc128285603"/>
      <w:r>
        <w:tab/>
        <w:t>[Heading inserted by No. 36 of 2005 s. 6.]</w:t>
      </w:r>
    </w:p>
    <w:p>
      <w:pPr>
        <w:pStyle w:val="Heading5"/>
      </w:pPr>
      <w:bookmarkStart w:id="3018" w:name="_Toc134854777"/>
      <w:bookmarkStart w:id="3019" w:name="_Toc136841230"/>
      <w:bookmarkStart w:id="3020" w:name="_Toc131416236"/>
      <w:bookmarkStart w:id="3021" w:name="_Toc170193419"/>
      <w:r>
        <w:rPr>
          <w:rStyle w:val="CharSectno"/>
        </w:rPr>
        <w:t>95</w:t>
      </w:r>
      <w:r>
        <w:t>.</w:t>
      </w:r>
      <w:r>
        <w:tab/>
        <w:t>Meaning of insurer in this Division</w:t>
      </w:r>
      <w:bookmarkEnd w:id="3017"/>
      <w:bookmarkEnd w:id="3018"/>
      <w:bookmarkEnd w:id="3019"/>
      <w:bookmarkEnd w:id="3020"/>
      <w:bookmarkEnd w:id="3021"/>
    </w:p>
    <w:p>
      <w:pPr>
        <w:pStyle w:val="Subsection"/>
      </w:pPr>
      <w:r>
        <w:tab/>
      </w:r>
      <w:r>
        <w:tab/>
        <w:t>In this Division —</w:t>
      </w:r>
      <w:del w:id="3022" w:author="svcMRProcess" w:date="2020-02-20T23:16:00Z">
        <w:r>
          <w:delText xml:space="preserve"> </w:delText>
        </w:r>
      </w:del>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iCs/>
        </w:rPr>
        <w:t>Insurance Act 1973</w:t>
      </w:r>
      <w:r>
        <w:t xml:space="preserve"> of the Commonwealth and not registered under the </w:t>
      </w:r>
      <w:r>
        <w:rPr>
          <w:i/>
          <w:iCs/>
        </w:rPr>
        <w:t>Life Insurance Act 1995</w:t>
      </w:r>
      <w:r>
        <w:t xml:space="preserve"> of the Commonwealth.</w:t>
      </w:r>
    </w:p>
    <w:p>
      <w:pPr>
        <w:pStyle w:val="Footnotesection"/>
      </w:pPr>
      <w:bookmarkStart w:id="3023" w:name="_Toc128285604"/>
      <w:r>
        <w:tab/>
        <w:t>[Section 95 inserted by No. 36 of 2005 s. 6.]</w:t>
      </w:r>
    </w:p>
    <w:p>
      <w:pPr>
        <w:pStyle w:val="Heading5"/>
      </w:pPr>
      <w:bookmarkStart w:id="3024" w:name="_Toc134854778"/>
      <w:bookmarkStart w:id="3025" w:name="_Toc136841231"/>
      <w:bookmarkStart w:id="3026" w:name="_Toc131416237"/>
      <w:bookmarkStart w:id="3027" w:name="_Toc170193420"/>
      <w:r>
        <w:rPr>
          <w:rStyle w:val="CharSectno"/>
        </w:rPr>
        <w:t>95A</w:t>
      </w:r>
      <w:r>
        <w:t>.</w:t>
      </w:r>
      <w:r>
        <w:tab/>
        <w:t>Insured person to lodge statement and pay duty</w:t>
      </w:r>
      <w:bookmarkEnd w:id="3023"/>
      <w:bookmarkEnd w:id="3024"/>
      <w:bookmarkEnd w:id="3025"/>
      <w:bookmarkEnd w:id="3026"/>
      <w:bookmarkEnd w:id="3027"/>
    </w:p>
    <w:p>
      <w:pPr>
        <w:pStyle w:val="Subsection"/>
      </w:pPr>
      <w:r>
        <w:tab/>
        <w:t>(1)</w:t>
      </w:r>
      <w:r>
        <w:tab/>
        <w:t>If a person obtains, effects or renews general insurance with a Division 4 insurer, the person must —</w:t>
      </w:r>
      <w:del w:id="3028" w:author="svcMRProcess" w:date="2020-02-20T23:16:00Z">
        <w:r>
          <w:delText xml:space="preserve"> </w:delText>
        </w:r>
      </w:del>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3029" w:name="_Toc128285605"/>
      <w:r>
        <w:tab/>
        <w:t>[Section 95A inserted by No. 36 of 2005 s. 6.]</w:t>
      </w:r>
    </w:p>
    <w:p>
      <w:pPr>
        <w:pStyle w:val="Heading5"/>
        <w:spacing w:before="180"/>
      </w:pPr>
      <w:bookmarkStart w:id="3030" w:name="_Toc134854779"/>
      <w:bookmarkStart w:id="3031" w:name="_Toc136841232"/>
      <w:bookmarkStart w:id="3032" w:name="_Toc131416238"/>
      <w:bookmarkStart w:id="3033" w:name="_Toc170193421"/>
      <w:r>
        <w:rPr>
          <w:rStyle w:val="CharSectno"/>
        </w:rPr>
        <w:t>95B</w:t>
      </w:r>
      <w:r>
        <w:t>.</w:t>
      </w:r>
      <w:r>
        <w:tab/>
        <w:t>Insurer and intermediary to notify Commissioner of contracts of insurance</w:t>
      </w:r>
      <w:bookmarkEnd w:id="3029"/>
      <w:bookmarkEnd w:id="3030"/>
      <w:bookmarkEnd w:id="3031"/>
      <w:bookmarkEnd w:id="3032"/>
      <w:bookmarkEnd w:id="3033"/>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del w:id="3034" w:author="svcMRProcess" w:date="2020-02-20T23:16:00Z">
        <w:r>
          <w:delText xml:space="preserve"> </w:delText>
        </w:r>
      </w:del>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del w:id="3035" w:author="svcMRProcess" w:date="2020-02-20T23:16:00Z">
        <w:r>
          <w:delText xml:space="preserve"> </w:delText>
        </w:r>
      </w:del>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3036" w:name="_Toc128285606"/>
      <w:r>
        <w:tab/>
        <w:t>[Section 95B inserted by No. 36 of 2005 s. 6.]</w:t>
      </w:r>
    </w:p>
    <w:p>
      <w:pPr>
        <w:pStyle w:val="Heading3"/>
      </w:pPr>
      <w:bookmarkStart w:id="3037" w:name="_Toc130266676"/>
      <w:bookmarkStart w:id="3038" w:name="_Toc130266952"/>
      <w:bookmarkStart w:id="3039" w:name="_Toc131383055"/>
      <w:bookmarkStart w:id="3040" w:name="_Toc133812436"/>
      <w:bookmarkStart w:id="3041" w:name="_Toc133920383"/>
      <w:bookmarkStart w:id="3042" w:name="_Toc134854780"/>
      <w:bookmarkStart w:id="3043" w:name="_Toc134855056"/>
      <w:bookmarkStart w:id="3044" w:name="_Toc136841233"/>
      <w:bookmarkStart w:id="3045" w:name="_Toc131415940"/>
      <w:bookmarkStart w:id="3046" w:name="_Toc131416239"/>
      <w:bookmarkStart w:id="3047" w:name="_Toc170193422"/>
      <w:r>
        <w:rPr>
          <w:rStyle w:val="CharDivNo"/>
        </w:rPr>
        <w:t>Division 5</w:t>
      </w:r>
      <w:r>
        <w:t> — </w:t>
      </w:r>
      <w:r>
        <w:rPr>
          <w:rStyle w:val="CharDivText"/>
        </w:rPr>
        <w:t>General provisions</w:t>
      </w:r>
      <w:bookmarkEnd w:id="3036"/>
      <w:bookmarkEnd w:id="3037"/>
      <w:bookmarkEnd w:id="3038"/>
      <w:bookmarkEnd w:id="3039"/>
      <w:bookmarkEnd w:id="3040"/>
      <w:bookmarkEnd w:id="3041"/>
      <w:bookmarkEnd w:id="3042"/>
      <w:bookmarkEnd w:id="3043"/>
      <w:bookmarkEnd w:id="3044"/>
      <w:bookmarkEnd w:id="3045"/>
      <w:bookmarkEnd w:id="3046"/>
      <w:bookmarkEnd w:id="3047"/>
    </w:p>
    <w:p>
      <w:pPr>
        <w:pStyle w:val="Footnoteheading"/>
      </w:pPr>
      <w:bookmarkStart w:id="3048" w:name="_Toc128285607"/>
      <w:r>
        <w:tab/>
        <w:t>[Heading inserted by No. 36 of 2005 s. 6.]</w:t>
      </w:r>
    </w:p>
    <w:p>
      <w:pPr>
        <w:pStyle w:val="Heading5"/>
      </w:pPr>
      <w:bookmarkStart w:id="3049" w:name="_Toc134854781"/>
      <w:bookmarkStart w:id="3050" w:name="_Toc136841234"/>
      <w:bookmarkStart w:id="3051" w:name="_Toc131416240"/>
      <w:bookmarkStart w:id="3052" w:name="_Toc170193423"/>
      <w:r>
        <w:rPr>
          <w:rStyle w:val="CharSectno"/>
        </w:rPr>
        <w:t>96</w:t>
      </w:r>
      <w:r>
        <w:t>.</w:t>
      </w:r>
      <w:r>
        <w:tab/>
        <w:t>Apportionment of premiums and instalments</w:t>
      </w:r>
      <w:bookmarkEnd w:id="3048"/>
      <w:bookmarkEnd w:id="3049"/>
      <w:bookmarkEnd w:id="3050"/>
      <w:bookmarkEnd w:id="3051"/>
      <w:bookmarkEnd w:id="3052"/>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iCs/>
        </w:rPr>
        <w:t>Taxation Administration Act 2003</w:t>
      </w:r>
      <w:r>
        <w:t>.</w:t>
      </w:r>
    </w:p>
    <w:p>
      <w:pPr>
        <w:pStyle w:val="Subsection"/>
      </w:pPr>
      <w:r>
        <w:tab/>
        <w:t>(3)</w:t>
      </w:r>
      <w:r>
        <w:tab/>
        <w:t xml:space="preserve">A method of apportionment published under section 127 of the </w:t>
      </w:r>
      <w:r>
        <w:rPr>
          <w:i/>
          <w:iCs/>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del w:id="3053" w:author="svcMRProcess" w:date="2020-02-20T23:16:00Z">
        <w:r>
          <w:delText xml:space="preserve"> </w:delText>
        </w:r>
      </w:del>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3054" w:name="_Toc128285608"/>
      <w:r>
        <w:tab/>
        <w:t>[Section 96 inserted by No. 36 of 2005 s. 6.]</w:t>
      </w:r>
    </w:p>
    <w:p>
      <w:pPr>
        <w:pStyle w:val="Heading5"/>
      </w:pPr>
      <w:bookmarkStart w:id="3055" w:name="_Toc134854782"/>
      <w:bookmarkStart w:id="3056" w:name="_Toc136841235"/>
      <w:bookmarkStart w:id="3057" w:name="_Toc131416241"/>
      <w:bookmarkStart w:id="3058" w:name="_Toc170193424"/>
      <w:r>
        <w:rPr>
          <w:rStyle w:val="CharSectno"/>
        </w:rPr>
        <w:t>96A</w:t>
      </w:r>
      <w:r>
        <w:t>.</w:t>
      </w:r>
      <w:r>
        <w:tab/>
        <w:t>Refunds</w:t>
      </w:r>
      <w:bookmarkEnd w:id="3054"/>
      <w:bookmarkEnd w:id="3055"/>
      <w:bookmarkEnd w:id="3056"/>
      <w:bookmarkEnd w:id="3057"/>
      <w:bookmarkEnd w:id="3058"/>
    </w:p>
    <w:p>
      <w:pPr>
        <w:pStyle w:val="Subsection"/>
      </w:pPr>
      <w:r>
        <w:tab/>
        <w:t>(1)</w:t>
      </w:r>
      <w:r>
        <w:tab/>
        <w:t>If —</w:t>
      </w:r>
      <w:del w:id="3059" w:author="svcMRProcess" w:date="2020-02-20T23:16:00Z">
        <w:r>
          <w:delText xml:space="preserve"> </w:delText>
        </w:r>
      </w:del>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del w:id="3060" w:author="svcMRProcess" w:date="2020-02-20T23:16:00Z">
        <w:r>
          <w:delText xml:space="preserve"> </w:delText>
        </w:r>
      </w:del>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del w:id="3061" w:author="svcMRProcess" w:date="2020-02-20T23:16:00Z">
        <w:r>
          <w:delText xml:space="preserve"> </w:delText>
        </w:r>
      </w:del>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3062" w:name="_Toc128285609"/>
      <w:r>
        <w:tab/>
        <w:t>[Section 96A inserted by No. 36 of 2005 s. 6.]</w:t>
      </w:r>
    </w:p>
    <w:p>
      <w:pPr>
        <w:pStyle w:val="Heading5"/>
      </w:pPr>
      <w:bookmarkStart w:id="3063" w:name="_Toc134854783"/>
      <w:bookmarkStart w:id="3064" w:name="_Toc136841236"/>
      <w:bookmarkStart w:id="3065" w:name="_Toc131416242"/>
      <w:bookmarkStart w:id="3066" w:name="_Toc170193425"/>
      <w:r>
        <w:rPr>
          <w:rStyle w:val="CharSectno"/>
        </w:rPr>
        <w:t>96B</w:t>
      </w:r>
      <w:r>
        <w:t>.</w:t>
      </w:r>
      <w:r>
        <w:tab/>
        <w:t>Records</w:t>
      </w:r>
      <w:bookmarkEnd w:id="3062"/>
      <w:bookmarkEnd w:id="3063"/>
      <w:bookmarkEnd w:id="3064"/>
      <w:bookmarkEnd w:id="3065"/>
      <w:bookmarkEnd w:id="3066"/>
    </w:p>
    <w:p>
      <w:pPr>
        <w:pStyle w:val="Subsection"/>
      </w:pPr>
      <w:r>
        <w:tab/>
        <w:t>(1)</w:t>
      </w:r>
      <w:r>
        <w:tab/>
        <w:t>An insurer and a person who is liable to pay duty under Division 4 must keep —</w:t>
      </w:r>
      <w:del w:id="3067" w:author="svcMRProcess" w:date="2020-02-20T23:16:00Z">
        <w:r>
          <w:delText xml:space="preserve"> </w:delText>
        </w:r>
      </w:del>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rPr>
          <w:ins w:id="3068" w:author="svcMRProcess" w:date="2020-02-20T23:16:00Z"/>
        </w:rPr>
      </w:pPr>
      <w:ins w:id="3069" w:author="svcMRProcess" w:date="2020-02-20T23:16:00Z">
        <w:r>
          <w:t>[</w:t>
        </w:r>
        <w:r>
          <w:rPr>
            <w:b/>
          </w:rPr>
          <w:t>97.</w:t>
        </w:r>
        <w:r>
          <w:rPr>
            <w:b/>
          </w:rPr>
          <w:tab/>
        </w:r>
        <w:r>
          <w:t>Repealed by No. 2 of 2003 s. 119.]</w:t>
        </w:r>
      </w:ins>
    </w:p>
    <w:p>
      <w:pPr>
        <w:pStyle w:val="Ednotesection"/>
        <w:spacing w:before="180"/>
        <w:ind w:left="890" w:hanging="890"/>
        <w:rPr>
          <w:ins w:id="3070" w:author="svcMRProcess" w:date="2020-02-20T23:16:00Z"/>
        </w:rPr>
      </w:pPr>
      <w:ins w:id="3071" w:author="svcMRProcess" w:date="2020-02-20T23:16:00Z">
        <w:r>
          <w:t>[</w:t>
        </w:r>
        <w:r>
          <w:rPr>
            <w:b/>
          </w:rPr>
          <w:t>98, 99.</w:t>
        </w:r>
        <w:r>
          <w:tab/>
          <w:t>Repealed by No. 102 of 1970 s. 2.]</w:t>
        </w:r>
      </w:ins>
    </w:p>
    <w:p>
      <w:pPr>
        <w:pStyle w:val="Ednotesection"/>
        <w:spacing w:before="180"/>
        <w:rPr>
          <w:ins w:id="3072" w:author="svcMRProcess" w:date="2020-02-20T23:16:00Z"/>
        </w:rPr>
      </w:pPr>
      <w:ins w:id="3073" w:author="svcMRProcess" w:date="2020-02-20T23:16:00Z">
        <w:r>
          <w:t>[</w:t>
        </w:r>
        <w:r>
          <w:rPr>
            <w:b/>
          </w:rPr>
          <w:t>99A.</w:t>
        </w:r>
        <w:r>
          <w:tab/>
          <w:t>Repealed by No. 102 of 1970 s. 7.]</w:t>
        </w:r>
      </w:ins>
    </w:p>
    <w:p>
      <w:pPr>
        <w:pStyle w:val="Ednotesection"/>
        <w:spacing w:before="180"/>
        <w:rPr>
          <w:ins w:id="3074" w:author="svcMRProcess" w:date="2020-02-20T23:16:00Z"/>
        </w:rPr>
      </w:pPr>
      <w:ins w:id="3075" w:author="svcMRProcess" w:date="2020-02-20T23:16:00Z">
        <w:r>
          <w:t>[</w:t>
        </w:r>
        <w:r>
          <w:rPr>
            <w:b/>
          </w:rPr>
          <w:t>99B.</w:t>
        </w:r>
        <w:r>
          <w:tab/>
          <w:t>Repealed by No. 102 of 1970 s. 8.]</w:t>
        </w:r>
      </w:ins>
    </w:p>
    <w:p>
      <w:pPr>
        <w:pStyle w:val="Ednotesection"/>
        <w:spacing w:before="180"/>
        <w:rPr>
          <w:ins w:id="3076" w:author="svcMRProcess" w:date="2020-02-20T23:16:00Z"/>
        </w:rPr>
      </w:pPr>
      <w:ins w:id="3077" w:author="svcMRProcess" w:date="2020-02-20T23:16:00Z">
        <w:r>
          <w:t>[</w:t>
        </w:r>
        <w:r>
          <w:rPr>
            <w:b/>
          </w:rPr>
          <w:t>99C.</w:t>
        </w:r>
        <w:r>
          <w:tab/>
          <w:t>Repealed by No. 102 of 1970 s. 9.]</w:t>
        </w:r>
      </w:ins>
    </w:p>
    <w:p>
      <w:pPr>
        <w:pStyle w:val="Ednotesection"/>
        <w:spacing w:before="180"/>
        <w:rPr>
          <w:ins w:id="3078" w:author="svcMRProcess" w:date="2020-02-20T23:16:00Z"/>
        </w:rPr>
      </w:pPr>
      <w:ins w:id="3079" w:author="svcMRProcess" w:date="2020-02-20T23:16:00Z">
        <w:r>
          <w:t>[</w:t>
        </w:r>
        <w:r>
          <w:rPr>
            <w:b/>
          </w:rPr>
          <w:t>99D.</w:t>
        </w:r>
        <w:r>
          <w:tab/>
          <w:t>Repealed by No. 102 of 1970 s. 2.]</w:t>
        </w:r>
      </w:ins>
    </w:p>
    <w:p>
      <w:pPr>
        <w:pStyle w:val="Ednotepart"/>
      </w:pPr>
      <w:r>
        <w:t>[Part IV (s. 100</w:t>
      </w:r>
      <w:r>
        <w:noBreakHyphen/>
        <w:t>107) repealed by No. 66 of 2003 s. 84.]</w:t>
      </w:r>
    </w:p>
    <w:p>
      <w:pPr>
        <w:pStyle w:val="Ednotesection"/>
        <w:spacing w:before="180"/>
        <w:rPr>
          <w:ins w:id="3080" w:author="svcMRProcess" w:date="2020-02-20T23:16:00Z"/>
        </w:rPr>
      </w:pPr>
      <w:ins w:id="3081" w:author="svcMRProcess" w:date="2020-02-20T23:16:00Z">
        <w:r>
          <w:t>[</w:t>
        </w:r>
        <w:r>
          <w:rPr>
            <w:b/>
          </w:rPr>
          <w:t>101A.</w:t>
        </w:r>
        <w:r>
          <w:tab/>
          <w:t>Repealed by No. 102 of 1970 s. 11.]</w:t>
        </w:r>
      </w:ins>
    </w:p>
    <w:p>
      <w:pPr>
        <w:pStyle w:val="Ednotepart"/>
      </w:pPr>
      <w:r>
        <w:t>[Part IVAA (s. 108</w:t>
      </w:r>
      <w:r>
        <w:noBreakHyphen/>
        <w:t>112) repealed by No. 6 of 2000 s. 5.]</w:t>
      </w:r>
    </w:p>
    <w:p>
      <w:pPr>
        <w:pStyle w:val="Ednotepart"/>
      </w:pPr>
      <w:r>
        <w:t>[Part IVA: s. 112A, 112D</w:t>
      </w:r>
      <w:r>
        <w:noBreakHyphen/>
        <w:t xml:space="preserve">112F repealed by No. 53 of 1999 s. 31; </w:t>
      </w:r>
      <w:ins w:id="3082" w:author="svcMRProcess" w:date="2020-02-20T23:16:00Z">
        <w:r>
          <w:br/>
        </w:r>
      </w:ins>
      <w:r>
        <w:t>Div. 3, 4, 5 (s. 112FA</w:t>
      </w:r>
      <w:r>
        <w:noBreakHyphen/>
        <w:t xml:space="preserve">112FQ) repealed by No. 53 of 1999 s. 31; </w:t>
      </w:r>
      <w:ins w:id="3083" w:author="svcMRProcess" w:date="2020-02-20T23:16:00Z">
        <w:r>
          <w:br/>
        </w:r>
      </w:ins>
      <w:r>
        <w:t>balance repealed by No. 2 of 2003 s. 120.]</w:t>
      </w:r>
    </w:p>
    <w:p>
      <w:pPr>
        <w:pStyle w:val="Ednotepart"/>
      </w:pPr>
      <w:r>
        <w:t>[Part IVAB (s. 112GA</w:t>
      </w:r>
      <w:r>
        <w:noBreakHyphen/>
        <w:t>112GG) repealed by No. 53 of 1999 s. 31.]</w:t>
      </w:r>
    </w:p>
    <w:p>
      <w:pPr>
        <w:pStyle w:val="Ednotepart"/>
      </w:pPr>
      <w:r>
        <w:t>[Part IVAC</w:t>
      </w:r>
      <w:del w:id="3084" w:author="svcMRProcess" w:date="2020-02-20T23:16:00Z">
        <w:r>
          <w:delText xml:space="preserve"> (</w:delText>
        </w:r>
      </w:del>
      <w:ins w:id="3085" w:author="svcMRProcess" w:date="2020-02-20T23:16:00Z">
        <w:r>
          <w:t xml:space="preserve">: </w:t>
        </w:r>
      </w:ins>
      <w:r>
        <w:t>s. </w:t>
      </w:r>
      <w:ins w:id="3086" w:author="svcMRProcess" w:date="2020-02-20T23:16:00Z">
        <w:r>
          <w:t>112HB repealed by No. 10 of 2001 s. 185;</w:t>
        </w:r>
        <w:r>
          <w:br/>
          <w:t>s. </w:t>
        </w:r>
      </w:ins>
      <w:r>
        <w:t>112H</w:t>
      </w:r>
      <w:r>
        <w:noBreakHyphen/>
        <w:t>112HA</w:t>
      </w:r>
      <w:del w:id="3087" w:author="svcMRProcess" w:date="2020-02-20T23:16:00Z">
        <w:r>
          <w:delText>)</w:delText>
        </w:r>
      </w:del>
      <w:r>
        <w:t xml:space="preserve"> repealed by No. 66 of 2003 s. 84.]</w:t>
      </w:r>
    </w:p>
    <w:p>
      <w:pPr>
        <w:pStyle w:val="Ednotesection"/>
        <w:rPr>
          <w:del w:id="3088" w:author="svcMRProcess" w:date="2020-02-20T23:16:00Z"/>
        </w:rPr>
      </w:pPr>
      <w:del w:id="3089" w:author="svcMRProcess" w:date="2020-02-20T23:16:00Z">
        <w:r>
          <w:delText>[</w:delText>
        </w:r>
        <w:r>
          <w:rPr>
            <w:b/>
          </w:rPr>
          <w:delText>112HB.</w:delText>
        </w:r>
        <w:r>
          <w:rPr>
            <w:b/>
          </w:rPr>
          <w:tab/>
        </w:r>
        <w:r>
          <w:delText>Repealed by No. 10 of 2001 s. 185.]</w:delText>
        </w:r>
      </w:del>
    </w:p>
    <w:p>
      <w:pPr>
        <w:pStyle w:val="Ednotepart"/>
      </w:pPr>
      <w:r>
        <w:t>[Part IVBA repealed by No. 39 of 1994 s. 11.]</w:t>
      </w:r>
    </w:p>
    <w:p>
      <w:pPr>
        <w:pStyle w:val="Heading2"/>
      </w:pPr>
      <w:bookmarkStart w:id="3090" w:name="_Toc76899698"/>
      <w:bookmarkStart w:id="3091" w:name="_Toc78090600"/>
      <w:bookmarkStart w:id="3092" w:name="_Toc88886968"/>
      <w:bookmarkStart w:id="3093" w:name="_Toc90443584"/>
      <w:bookmarkStart w:id="3094" w:name="_Toc90452935"/>
      <w:bookmarkStart w:id="3095" w:name="_Toc100029526"/>
      <w:bookmarkStart w:id="3096" w:name="_Toc100031599"/>
      <w:bookmarkStart w:id="3097" w:name="_Toc100458658"/>
      <w:bookmarkStart w:id="3098" w:name="_Toc101672074"/>
      <w:bookmarkStart w:id="3099" w:name="_Toc101672331"/>
      <w:bookmarkStart w:id="3100" w:name="_Toc102799357"/>
      <w:bookmarkStart w:id="3101" w:name="_Toc102982031"/>
      <w:bookmarkStart w:id="3102" w:name="_Toc103403344"/>
      <w:bookmarkStart w:id="3103" w:name="_Toc103403601"/>
      <w:bookmarkStart w:id="3104" w:name="_Toc103747600"/>
      <w:bookmarkStart w:id="3105" w:name="_Toc107055029"/>
      <w:bookmarkStart w:id="3106" w:name="_Toc113874476"/>
      <w:bookmarkStart w:id="3107" w:name="_Toc113956892"/>
      <w:bookmarkStart w:id="3108" w:name="_Toc116717448"/>
      <w:bookmarkStart w:id="3109" w:name="_Toc116813475"/>
      <w:bookmarkStart w:id="3110" w:name="_Toc122333128"/>
      <w:bookmarkStart w:id="3111" w:name="_Toc122862098"/>
      <w:bookmarkStart w:id="3112" w:name="_Toc122862694"/>
      <w:bookmarkStart w:id="3113" w:name="_Toc122921301"/>
      <w:bookmarkStart w:id="3114" w:name="_Toc122921561"/>
      <w:bookmarkStart w:id="3115" w:name="_Toc122947507"/>
      <w:bookmarkStart w:id="3116" w:name="_Toc124046345"/>
      <w:bookmarkStart w:id="3117" w:name="_Toc130266680"/>
      <w:bookmarkStart w:id="3118" w:name="_Toc130266956"/>
      <w:bookmarkStart w:id="3119" w:name="_Toc131383059"/>
      <w:bookmarkStart w:id="3120" w:name="_Toc133812440"/>
      <w:bookmarkStart w:id="3121" w:name="_Toc133920387"/>
      <w:bookmarkStart w:id="3122" w:name="_Toc134854784"/>
      <w:bookmarkStart w:id="3123" w:name="_Toc134855060"/>
      <w:bookmarkStart w:id="3124" w:name="_Toc136841237"/>
      <w:bookmarkStart w:id="3125" w:name="_Toc131415944"/>
      <w:bookmarkStart w:id="3126" w:name="_Toc131416243"/>
      <w:bookmarkStart w:id="3127" w:name="_Toc170193426"/>
      <w:bookmarkStart w:id="3128" w:name="_Toc58902676"/>
      <w:r>
        <w:rPr>
          <w:rStyle w:val="CharPartNo"/>
        </w:rPr>
        <w:t>Part IVB</w:t>
      </w:r>
      <w:r>
        <w:rPr>
          <w:b w:val="0"/>
        </w:rPr>
        <w:t> </w:t>
      </w:r>
      <w:r>
        <w:t>—</w:t>
      </w:r>
      <w:r>
        <w:rPr>
          <w:b w:val="0"/>
        </w:rPr>
        <w:t> </w:t>
      </w:r>
      <w:r>
        <w:rPr>
          <w:rStyle w:val="CharPartText"/>
        </w:rPr>
        <w:t>Hire of goods</w:t>
      </w:r>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p>
    <w:p>
      <w:pPr>
        <w:pStyle w:val="Footnoteheading"/>
        <w:tabs>
          <w:tab w:val="left" w:pos="923"/>
        </w:tabs>
        <w:ind w:left="937" w:hanging="937"/>
        <w:rPr>
          <w:snapToGrid w:val="0"/>
        </w:rPr>
      </w:pPr>
      <w:r>
        <w:rPr>
          <w:snapToGrid w:val="0"/>
        </w:rPr>
        <w:tab/>
        <w:t>[Heading inserted by No. 66 of 2003 s. 85.]</w:t>
      </w:r>
      <w:del w:id="3129" w:author="svcMRProcess" w:date="2020-02-20T23:16:00Z">
        <w:r>
          <w:rPr>
            <w:snapToGrid w:val="0"/>
          </w:rPr>
          <w:delText xml:space="preserve"> </w:delText>
        </w:r>
      </w:del>
    </w:p>
    <w:p>
      <w:pPr>
        <w:pStyle w:val="Heading3"/>
      </w:pPr>
      <w:bookmarkStart w:id="3130" w:name="_Toc76899699"/>
      <w:bookmarkStart w:id="3131" w:name="_Toc78090601"/>
      <w:bookmarkStart w:id="3132" w:name="_Toc88886969"/>
      <w:bookmarkStart w:id="3133" w:name="_Toc90443585"/>
      <w:bookmarkStart w:id="3134" w:name="_Toc90452936"/>
      <w:bookmarkStart w:id="3135" w:name="_Toc100029527"/>
      <w:bookmarkStart w:id="3136" w:name="_Toc100031600"/>
      <w:bookmarkStart w:id="3137" w:name="_Toc100458659"/>
      <w:bookmarkStart w:id="3138" w:name="_Toc101672075"/>
      <w:bookmarkStart w:id="3139" w:name="_Toc101672332"/>
      <w:bookmarkStart w:id="3140" w:name="_Toc102799358"/>
      <w:bookmarkStart w:id="3141" w:name="_Toc102982032"/>
      <w:bookmarkStart w:id="3142" w:name="_Toc103403345"/>
      <w:bookmarkStart w:id="3143" w:name="_Toc103403602"/>
      <w:bookmarkStart w:id="3144" w:name="_Toc103747601"/>
      <w:bookmarkStart w:id="3145" w:name="_Toc107055030"/>
      <w:bookmarkStart w:id="3146" w:name="_Toc113874477"/>
      <w:bookmarkStart w:id="3147" w:name="_Toc113956893"/>
      <w:bookmarkStart w:id="3148" w:name="_Toc116717449"/>
      <w:bookmarkStart w:id="3149" w:name="_Toc116813476"/>
      <w:bookmarkStart w:id="3150" w:name="_Toc122333129"/>
      <w:bookmarkStart w:id="3151" w:name="_Toc122862099"/>
      <w:bookmarkStart w:id="3152" w:name="_Toc122862695"/>
      <w:bookmarkStart w:id="3153" w:name="_Toc122921302"/>
      <w:bookmarkStart w:id="3154" w:name="_Toc122921562"/>
      <w:bookmarkStart w:id="3155" w:name="_Toc122947508"/>
      <w:bookmarkStart w:id="3156" w:name="_Toc124046346"/>
      <w:bookmarkStart w:id="3157" w:name="_Toc130266681"/>
      <w:bookmarkStart w:id="3158" w:name="_Toc130266957"/>
      <w:bookmarkStart w:id="3159" w:name="_Toc131383060"/>
      <w:bookmarkStart w:id="3160" w:name="_Toc133812441"/>
      <w:bookmarkStart w:id="3161" w:name="_Toc133920388"/>
      <w:bookmarkStart w:id="3162" w:name="_Toc134854785"/>
      <w:bookmarkStart w:id="3163" w:name="_Toc134855061"/>
      <w:bookmarkStart w:id="3164" w:name="_Toc136841238"/>
      <w:bookmarkStart w:id="3165" w:name="_Toc131415945"/>
      <w:bookmarkStart w:id="3166" w:name="_Toc131416244"/>
      <w:bookmarkStart w:id="3167" w:name="_Toc170193427"/>
      <w:r>
        <w:rPr>
          <w:rStyle w:val="CharDivNo"/>
        </w:rPr>
        <w:t>Division 1</w:t>
      </w:r>
      <w:r>
        <w:t> — </w:t>
      </w:r>
      <w:r>
        <w:rPr>
          <w:rStyle w:val="CharDivText"/>
        </w:rPr>
        <w:t>Interpretation in Part IVB</w:t>
      </w:r>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p>
    <w:p>
      <w:pPr>
        <w:pStyle w:val="Footnoteheading"/>
        <w:tabs>
          <w:tab w:val="left" w:pos="923"/>
        </w:tabs>
        <w:ind w:left="937" w:hanging="937"/>
        <w:rPr>
          <w:snapToGrid w:val="0"/>
        </w:rPr>
      </w:pPr>
      <w:r>
        <w:rPr>
          <w:snapToGrid w:val="0"/>
        </w:rPr>
        <w:tab/>
        <w:t>[Heading inserted by No. 66 of 2003 s. 85.]</w:t>
      </w:r>
      <w:del w:id="3168" w:author="svcMRProcess" w:date="2020-02-20T23:16:00Z">
        <w:r>
          <w:rPr>
            <w:snapToGrid w:val="0"/>
          </w:rPr>
          <w:delText xml:space="preserve"> </w:delText>
        </w:r>
      </w:del>
    </w:p>
    <w:p>
      <w:pPr>
        <w:pStyle w:val="Heading5"/>
      </w:pPr>
      <w:bookmarkStart w:id="3169" w:name="_Toc107055031"/>
      <w:bookmarkStart w:id="3170" w:name="_Toc134854786"/>
      <w:bookmarkStart w:id="3171" w:name="_Toc136841239"/>
      <w:bookmarkStart w:id="3172" w:name="_Toc131416245"/>
      <w:bookmarkStart w:id="3173" w:name="_Toc170193428"/>
      <w:r>
        <w:rPr>
          <w:rStyle w:val="CharSectno"/>
        </w:rPr>
        <w:t>112I</w:t>
      </w:r>
      <w:r>
        <w:t>.</w:t>
      </w:r>
      <w:r>
        <w:tab/>
        <w:t>Commercial hire business</w:t>
      </w:r>
      <w:bookmarkEnd w:id="3169"/>
      <w:bookmarkEnd w:id="3170"/>
      <w:bookmarkEnd w:id="3171"/>
      <w:bookmarkEnd w:id="3172"/>
      <w:bookmarkEnd w:id="3173"/>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3174" w:name="_Toc107055032"/>
      <w:bookmarkStart w:id="3175" w:name="_Toc134854787"/>
      <w:bookmarkStart w:id="3176" w:name="_Toc136841240"/>
      <w:bookmarkStart w:id="3177" w:name="_Toc131416246"/>
      <w:bookmarkStart w:id="3178" w:name="_Toc170193429"/>
      <w:r>
        <w:rPr>
          <w:rStyle w:val="CharSectno"/>
        </w:rPr>
        <w:t>112IA</w:t>
      </w:r>
      <w:r>
        <w:t>.</w:t>
      </w:r>
      <w:r>
        <w:tab/>
        <w:t>Goods</w:t>
      </w:r>
      <w:bookmarkEnd w:id="3174"/>
      <w:bookmarkEnd w:id="3175"/>
      <w:bookmarkEnd w:id="3176"/>
      <w:bookmarkEnd w:id="3177"/>
      <w:bookmarkEnd w:id="3178"/>
    </w:p>
    <w:p>
      <w:pPr>
        <w:pStyle w:val="Subsection"/>
      </w:pPr>
      <w:r>
        <w:tab/>
      </w:r>
      <w:r>
        <w:tab/>
        <w:t xml:space="preserve">For the purposes of this Part, </w:t>
      </w:r>
      <w:r>
        <w:rPr>
          <w:b/>
        </w:rPr>
        <w:t>“</w:t>
      </w:r>
      <w:r>
        <w:rPr>
          <w:rStyle w:val="CharDefText"/>
        </w:rPr>
        <w:t>goods</w:t>
      </w:r>
      <w:r>
        <w:rPr>
          <w:b/>
        </w:rPr>
        <w:t>”</w:t>
      </w:r>
      <w:r>
        <w:t xml:space="preserve"> includes —</w:t>
      </w:r>
      <w:del w:id="3179" w:author="svcMRProcess" w:date="2020-02-20T23:16:00Z">
        <w:r>
          <w:delText xml:space="preserve"> </w:delText>
        </w:r>
      </w:del>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3180" w:name="_Toc107055033"/>
      <w:bookmarkStart w:id="3181" w:name="_Toc134854788"/>
      <w:bookmarkStart w:id="3182" w:name="_Toc136841241"/>
      <w:bookmarkStart w:id="3183" w:name="_Toc131416247"/>
      <w:bookmarkStart w:id="3184" w:name="_Toc170193430"/>
      <w:r>
        <w:rPr>
          <w:rStyle w:val="CharSectno"/>
        </w:rPr>
        <w:t>112IB</w:t>
      </w:r>
      <w:r>
        <w:t>.</w:t>
      </w:r>
      <w:r>
        <w:tab/>
        <w:t>Hire of goods</w:t>
      </w:r>
      <w:bookmarkEnd w:id="3180"/>
      <w:bookmarkEnd w:id="3181"/>
      <w:bookmarkEnd w:id="3182"/>
      <w:bookmarkEnd w:id="3183"/>
      <w:bookmarkEnd w:id="3184"/>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del w:id="3185" w:author="svcMRProcess" w:date="2020-02-20T23:16:00Z">
        <w:r>
          <w:delText xml:space="preserve"> </w:delText>
        </w:r>
      </w:del>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del w:id="3186" w:author="svcMRProcess" w:date="2020-02-20T23:16:00Z">
        <w:r>
          <w:delText xml:space="preserve"> </w:delText>
        </w:r>
      </w:del>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spacing w:before="120"/>
      </w:pPr>
      <w:r>
        <w:tab/>
        <w:t>(4)</w:t>
      </w:r>
      <w:r>
        <w:tab/>
        <w:t>A hire of goods need not be effected or evidenced by an instrument in writing for the purposes of this Part.</w:t>
      </w:r>
    </w:p>
    <w:p>
      <w:pPr>
        <w:pStyle w:val="Subsection"/>
        <w:spacing w:before="120"/>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3187" w:name="_Toc107055034"/>
      <w:bookmarkStart w:id="3188" w:name="_Toc134854789"/>
      <w:bookmarkStart w:id="3189" w:name="_Toc136841242"/>
      <w:bookmarkStart w:id="3190" w:name="_Toc131416248"/>
      <w:bookmarkStart w:id="3191" w:name="_Toc170193431"/>
      <w:r>
        <w:rPr>
          <w:rStyle w:val="CharSectno"/>
        </w:rPr>
        <w:t>112IC</w:t>
      </w:r>
      <w:r>
        <w:t>.</w:t>
      </w:r>
      <w:r>
        <w:tab/>
        <w:t>State hire of goods</w:t>
      </w:r>
      <w:bookmarkEnd w:id="3187"/>
      <w:bookmarkEnd w:id="3188"/>
      <w:bookmarkEnd w:id="3189"/>
      <w:bookmarkEnd w:id="3190"/>
      <w:bookmarkEnd w:id="3191"/>
    </w:p>
    <w:p>
      <w:pPr>
        <w:pStyle w:val="Subsection"/>
        <w:spacing w:before="120"/>
      </w:pPr>
      <w:r>
        <w:tab/>
        <w:t>(1)</w:t>
      </w:r>
      <w:r>
        <w:tab/>
        <w:t xml:space="preserve">A </w:t>
      </w:r>
      <w:r>
        <w:rPr>
          <w:b/>
        </w:rPr>
        <w:t>“</w:t>
      </w:r>
      <w:r>
        <w:rPr>
          <w:rStyle w:val="CharDefText"/>
        </w:rPr>
        <w:t>State hire of goods</w:t>
      </w:r>
      <w:r>
        <w:rPr>
          <w:b/>
        </w:rPr>
        <w:t>”</w:t>
      </w:r>
      <w:r>
        <w:t xml:space="preserve"> is a hire of goods to which at least one of the following is a party —</w:t>
      </w:r>
      <w:del w:id="3192" w:author="svcMRProcess" w:date="2020-02-20T23:16:00Z">
        <w:r>
          <w:delText xml:space="preserve"> </w:delText>
        </w:r>
      </w:del>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2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2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3193" w:name="_Toc107055035"/>
      <w:bookmarkStart w:id="3194" w:name="_Toc134854790"/>
      <w:bookmarkStart w:id="3195" w:name="_Toc136841243"/>
      <w:bookmarkStart w:id="3196" w:name="_Toc131416249"/>
      <w:bookmarkStart w:id="3197" w:name="_Toc170193432"/>
      <w:r>
        <w:rPr>
          <w:rStyle w:val="CharSectno"/>
        </w:rPr>
        <w:t>112ID</w:t>
      </w:r>
      <w:r>
        <w:t>.</w:t>
      </w:r>
      <w:r>
        <w:tab/>
        <w:t>Equipment financing arrangements</w:t>
      </w:r>
      <w:bookmarkEnd w:id="3193"/>
      <w:bookmarkEnd w:id="3194"/>
      <w:bookmarkEnd w:id="3195"/>
      <w:bookmarkEnd w:id="3196"/>
      <w:bookmarkEnd w:id="3197"/>
    </w:p>
    <w:p>
      <w:pPr>
        <w:pStyle w:val="Subsection"/>
        <w:spacing w:before="120"/>
      </w:pPr>
      <w:r>
        <w:tab/>
        <w:t>(1)</w:t>
      </w:r>
      <w:r>
        <w:tab/>
        <w:t xml:space="preserve">An </w:t>
      </w:r>
      <w:r>
        <w:rPr>
          <w:b/>
        </w:rPr>
        <w:t>“</w:t>
      </w:r>
      <w:r>
        <w:rPr>
          <w:rStyle w:val="CharDefText"/>
        </w:rPr>
        <w:t>equipment financing arrangement</w:t>
      </w:r>
      <w:r>
        <w:rPr>
          <w:b/>
        </w:rPr>
        <w:t>”</w:t>
      </w:r>
      <w:r>
        <w:t xml:space="preserve"> is a hire of goods that consists of —</w:t>
      </w:r>
      <w:del w:id="3198" w:author="svcMRProcess" w:date="2020-02-20T23:16:00Z">
        <w:r>
          <w:delText xml:space="preserve"> </w:delText>
        </w:r>
      </w:del>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w:t>
      </w:r>
      <w:del w:id="3199" w:author="svcMRProcess" w:date="2020-02-20T23:16:00Z">
        <w:r>
          <w:delText xml:space="preserve"> </w:delText>
        </w:r>
      </w:del>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3200" w:name="_Toc107055036"/>
      <w:bookmarkStart w:id="3201" w:name="_Toc134854791"/>
      <w:bookmarkStart w:id="3202" w:name="_Toc136841244"/>
      <w:bookmarkStart w:id="3203" w:name="_Toc131416250"/>
      <w:bookmarkStart w:id="3204" w:name="_Toc170193433"/>
      <w:r>
        <w:rPr>
          <w:rStyle w:val="CharSectno"/>
        </w:rPr>
        <w:t>112IE</w:t>
      </w:r>
      <w:r>
        <w:t>.</w:t>
      </w:r>
      <w:r>
        <w:tab/>
        <w:t>Hiring charges</w:t>
      </w:r>
      <w:bookmarkEnd w:id="3200"/>
      <w:bookmarkEnd w:id="3201"/>
      <w:bookmarkEnd w:id="3202"/>
      <w:bookmarkEnd w:id="3203"/>
      <w:bookmarkEnd w:id="3204"/>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w:t>
      </w:r>
      <w:del w:id="3205" w:author="svcMRProcess" w:date="2020-02-20T23:16:00Z">
        <w:r>
          <w:delText xml:space="preserve"> </w:delText>
        </w:r>
      </w:del>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del w:id="3206" w:author="svcMRProcess" w:date="2020-02-20T23:16:00Z">
        <w:r>
          <w:delText xml:space="preserve"> </w:delText>
        </w:r>
      </w:del>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The following charges are not included as hiring charges —</w:t>
      </w:r>
      <w:del w:id="3207" w:author="svcMRProcess" w:date="2020-02-20T23:16:00Z">
        <w:r>
          <w:delText xml:space="preserve"> </w:delText>
        </w:r>
      </w:del>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3208" w:name="_Toc107055037"/>
      <w:bookmarkStart w:id="3209" w:name="_Toc134854792"/>
      <w:bookmarkStart w:id="3210" w:name="_Toc136841245"/>
      <w:bookmarkStart w:id="3211" w:name="_Toc131416251"/>
      <w:bookmarkStart w:id="3212" w:name="_Toc170193434"/>
      <w:r>
        <w:rPr>
          <w:rStyle w:val="CharSectno"/>
        </w:rPr>
        <w:t>112IF</w:t>
      </w:r>
      <w:r>
        <w:t>.</w:t>
      </w:r>
      <w:r>
        <w:tab/>
        <w:t>Terms used in this Part</w:t>
      </w:r>
      <w:bookmarkEnd w:id="3208"/>
      <w:bookmarkEnd w:id="3209"/>
      <w:bookmarkEnd w:id="3210"/>
      <w:bookmarkEnd w:id="3211"/>
      <w:bookmarkEnd w:id="3212"/>
    </w:p>
    <w:p>
      <w:pPr>
        <w:pStyle w:val="Subsection"/>
      </w:pPr>
      <w:r>
        <w:tab/>
      </w:r>
      <w:r>
        <w:tab/>
        <w:t>In this Part —</w:t>
      </w:r>
      <w:del w:id="3213" w:author="svcMRProcess" w:date="2020-02-20T23:16:00Z">
        <w:r>
          <w:delText xml:space="preserve"> </w:delText>
        </w:r>
      </w:del>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3214" w:name="_Toc76899707"/>
      <w:bookmarkStart w:id="3215" w:name="_Toc78090609"/>
      <w:bookmarkStart w:id="3216" w:name="_Toc88886977"/>
      <w:bookmarkStart w:id="3217" w:name="_Toc90443593"/>
      <w:bookmarkStart w:id="3218" w:name="_Toc90452944"/>
      <w:bookmarkStart w:id="3219" w:name="_Toc100029535"/>
      <w:bookmarkStart w:id="3220" w:name="_Toc100031608"/>
      <w:bookmarkStart w:id="3221" w:name="_Toc100458667"/>
      <w:bookmarkStart w:id="3222" w:name="_Toc101672083"/>
      <w:bookmarkStart w:id="3223" w:name="_Toc101672340"/>
      <w:bookmarkStart w:id="3224" w:name="_Toc102799366"/>
      <w:bookmarkStart w:id="3225" w:name="_Toc102982040"/>
      <w:bookmarkStart w:id="3226" w:name="_Toc103403353"/>
      <w:bookmarkStart w:id="3227" w:name="_Toc103403610"/>
      <w:bookmarkStart w:id="3228" w:name="_Toc103747609"/>
      <w:bookmarkStart w:id="3229" w:name="_Toc107055038"/>
      <w:bookmarkStart w:id="3230" w:name="_Toc113874485"/>
      <w:bookmarkStart w:id="3231" w:name="_Toc113956901"/>
      <w:bookmarkStart w:id="3232" w:name="_Toc116717457"/>
      <w:bookmarkStart w:id="3233" w:name="_Toc116813484"/>
      <w:bookmarkStart w:id="3234" w:name="_Toc122333137"/>
      <w:bookmarkStart w:id="3235" w:name="_Toc122862107"/>
      <w:bookmarkStart w:id="3236" w:name="_Toc122862703"/>
      <w:bookmarkStart w:id="3237" w:name="_Toc122921310"/>
      <w:bookmarkStart w:id="3238" w:name="_Toc122921570"/>
      <w:bookmarkStart w:id="3239" w:name="_Toc122947516"/>
      <w:bookmarkStart w:id="3240" w:name="_Toc124046354"/>
      <w:bookmarkStart w:id="3241" w:name="_Toc130266689"/>
      <w:bookmarkStart w:id="3242" w:name="_Toc130266965"/>
      <w:bookmarkStart w:id="3243" w:name="_Toc131383068"/>
      <w:bookmarkStart w:id="3244" w:name="_Toc133812449"/>
      <w:bookmarkStart w:id="3245" w:name="_Toc133920396"/>
      <w:bookmarkStart w:id="3246" w:name="_Toc134854793"/>
      <w:bookmarkStart w:id="3247" w:name="_Toc134855069"/>
      <w:bookmarkStart w:id="3248" w:name="_Toc136841246"/>
      <w:bookmarkStart w:id="3249" w:name="_Toc131415953"/>
      <w:bookmarkStart w:id="3250" w:name="_Toc131416252"/>
      <w:bookmarkStart w:id="3251" w:name="_Toc170193435"/>
      <w:r>
        <w:rPr>
          <w:rStyle w:val="CharDivNo"/>
        </w:rPr>
        <w:t>Division 2</w:t>
      </w:r>
      <w:r>
        <w:t> — </w:t>
      </w:r>
      <w:r>
        <w:rPr>
          <w:rStyle w:val="CharDivText"/>
        </w:rPr>
        <w:t>Registration of commercial hire businesses</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p>
    <w:p>
      <w:pPr>
        <w:pStyle w:val="Footnoteheading"/>
        <w:tabs>
          <w:tab w:val="left" w:pos="923"/>
        </w:tabs>
        <w:ind w:left="937" w:hanging="937"/>
        <w:rPr>
          <w:snapToGrid w:val="0"/>
        </w:rPr>
      </w:pPr>
      <w:r>
        <w:rPr>
          <w:snapToGrid w:val="0"/>
        </w:rPr>
        <w:tab/>
        <w:t>[Heading inserted by No. 66 of 2003 s. 85.]</w:t>
      </w:r>
      <w:del w:id="3252" w:author="svcMRProcess" w:date="2020-02-20T23:16:00Z">
        <w:r>
          <w:rPr>
            <w:snapToGrid w:val="0"/>
          </w:rPr>
          <w:delText xml:space="preserve"> </w:delText>
        </w:r>
      </w:del>
    </w:p>
    <w:p>
      <w:pPr>
        <w:pStyle w:val="Heading5"/>
      </w:pPr>
      <w:bookmarkStart w:id="3253" w:name="_Toc107055039"/>
      <w:bookmarkStart w:id="3254" w:name="_Toc134854794"/>
      <w:bookmarkStart w:id="3255" w:name="_Toc136841247"/>
      <w:bookmarkStart w:id="3256" w:name="_Toc131416253"/>
      <w:bookmarkStart w:id="3257" w:name="_Toc170193436"/>
      <w:r>
        <w:rPr>
          <w:rStyle w:val="CharSectno"/>
        </w:rPr>
        <w:t>112J</w:t>
      </w:r>
      <w:r>
        <w:t>.</w:t>
      </w:r>
      <w:r>
        <w:tab/>
        <w:t>Commercial hire businesses to be registered</w:t>
      </w:r>
      <w:bookmarkEnd w:id="3253"/>
      <w:bookmarkEnd w:id="3254"/>
      <w:bookmarkEnd w:id="3255"/>
      <w:bookmarkEnd w:id="3256"/>
      <w:bookmarkEnd w:id="3257"/>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Footnotesection"/>
      </w:pPr>
      <w:r>
        <w:tab/>
        <w:t>[Section 112J inserted by No. 66 of 2003 s. 85.]</w:t>
      </w:r>
    </w:p>
    <w:p>
      <w:pPr>
        <w:pStyle w:val="Heading5"/>
      </w:pPr>
      <w:bookmarkStart w:id="3258" w:name="_Toc107055040"/>
      <w:bookmarkStart w:id="3259" w:name="_Toc134854795"/>
      <w:bookmarkStart w:id="3260" w:name="_Toc136841248"/>
      <w:bookmarkStart w:id="3261" w:name="_Toc131416254"/>
      <w:bookmarkStart w:id="3262" w:name="_Toc170193437"/>
      <w:r>
        <w:rPr>
          <w:rStyle w:val="CharSectno"/>
        </w:rPr>
        <w:t>112JA</w:t>
      </w:r>
      <w:r>
        <w:t>.</w:t>
      </w:r>
      <w:r>
        <w:tab/>
        <w:t>Registration of commercial hire businesses</w:t>
      </w:r>
      <w:bookmarkEnd w:id="3258"/>
      <w:bookmarkEnd w:id="3259"/>
      <w:bookmarkEnd w:id="3260"/>
      <w:bookmarkEnd w:id="3261"/>
      <w:bookmarkEnd w:id="3262"/>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3263" w:name="_Toc107055041"/>
      <w:bookmarkStart w:id="3264" w:name="_Toc134854796"/>
      <w:bookmarkStart w:id="3265" w:name="_Toc136841249"/>
      <w:bookmarkStart w:id="3266" w:name="_Toc131416255"/>
      <w:bookmarkStart w:id="3267" w:name="_Toc170193438"/>
      <w:r>
        <w:rPr>
          <w:rStyle w:val="CharSectno"/>
        </w:rPr>
        <w:t>112JB</w:t>
      </w:r>
      <w:r>
        <w:t>.</w:t>
      </w:r>
      <w:r>
        <w:tab/>
        <w:t>Cancelling registration of commercial hire businesses</w:t>
      </w:r>
      <w:bookmarkEnd w:id="3263"/>
      <w:bookmarkEnd w:id="3264"/>
      <w:bookmarkEnd w:id="3265"/>
      <w:bookmarkEnd w:id="3266"/>
      <w:bookmarkEnd w:id="3267"/>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3268" w:name="_Toc76899711"/>
      <w:bookmarkStart w:id="3269" w:name="_Toc78090613"/>
      <w:bookmarkStart w:id="3270" w:name="_Toc88886981"/>
      <w:bookmarkStart w:id="3271" w:name="_Toc90443597"/>
      <w:bookmarkStart w:id="3272" w:name="_Toc90452948"/>
      <w:bookmarkStart w:id="3273" w:name="_Toc100029539"/>
      <w:bookmarkStart w:id="3274" w:name="_Toc100031612"/>
      <w:bookmarkStart w:id="3275" w:name="_Toc100458671"/>
      <w:bookmarkStart w:id="3276" w:name="_Toc101672087"/>
      <w:bookmarkStart w:id="3277" w:name="_Toc101672344"/>
      <w:bookmarkStart w:id="3278" w:name="_Toc102799370"/>
      <w:bookmarkStart w:id="3279" w:name="_Toc102982044"/>
      <w:bookmarkStart w:id="3280" w:name="_Toc103403357"/>
      <w:bookmarkStart w:id="3281" w:name="_Toc103403614"/>
      <w:bookmarkStart w:id="3282" w:name="_Toc103747613"/>
      <w:bookmarkStart w:id="3283" w:name="_Toc107055042"/>
      <w:bookmarkStart w:id="3284" w:name="_Toc113874489"/>
      <w:bookmarkStart w:id="3285" w:name="_Toc113956905"/>
      <w:bookmarkStart w:id="3286" w:name="_Toc116717461"/>
      <w:bookmarkStart w:id="3287" w:name="_Toc116813488"/>
      <w:bookmarkStart w:id="3288" w:name="_Toc122333141"/>
      <w:bookmarkStart w:id="3289" w:name="_Toc122862111"/>
      <w:bookmarkStart w:id="3290" w:name="_Toc122862707"/>
      <w:bookmarkStart w:id="3291" w:name="_Toc122921314"/>
      <w:bookmarkStart w:id="3292" w:name="_Toc122921574"/>
      <w:bookmarkStart w:id="3293" w:name="_Toc122947520"/>
      <w:bookmarkStart w:id="3294" w:name="_Toc124046358"/>
      <w:bookmarkStart w:id="3295" w:name="_Toc130266693"/>
      <w:bookmarkStart w:id="3296" w:name="_Toc130266969"/>
      <w:bookmarkStart w:id="3297" w:name="_Toc131383072"/>
      <w:bookmarkStart w:id="3298" w:name="_Toc133812453"/>
      <w:bookmarkStart w:id="3299" w:name="_Toc133920400"/>
      <w:bookmarkStart w:id="3300" w:name="_Toc134854797"/>
      <w:bookmarkStart w:id="3301" w:name="_Toc134855073"/>
      <w:bookmarkStart w:id="3302" w:name="_Toc136841250"/>
      <w:bookmarkStart w:id="3303" w:name="_Toc131415957"/>
      <w:bookmarkStart w:id="3304" w:name="_Toc131416256"/>
      <w:bookmarkStart w:id="3305" w:name="_Toc170193439"/>
      <w:r>
        <w:rPr>
          <w:rStyle w:val="CharDivNo"/>
        </w:rPr>
        <w:t>Division 3</w:t>
      </w:r>
      <w:r>
        <w:t> — </w:t>
      </w:r>
      <w:r>
        <w:rPr>
          <w:rStyle w:val="CharDivText"/>
        </w:rPr>
        <w:t>Connection to the State</w:t>
      </w:r>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p>
    <w:p>
      <w:pPr>
        <w:pStyle w:val="Footnoteheading"/>
        <w:tabs>
          <w:tab w:val="left" w:pos="923"/>
        </w:tabs>
        <w:ind w:left="937" w:hanging="937"/>
        <w:rPr>
          <w:snapToGrid w:val="0"/>
        </w:rPr>
      </w:pPr>
      <w:r>
        <w:rPr>
          <w:snapToGrid w:val="0"/>
        </w:rPr>
        <w:tab/>
        <w:t>[Heading inserted by No. 66 of 2003 s. 85.]</w:t>
      </w:r>
      <w:del w:id="3306" w:author="svcMRProcess" w:date="2020-02-20T23:16:00Z">
        <w:r>
          <w:rPr>
            <w:snapToGrid w:val="0"/>
          </w:rPr>
          <w:delText xml:space="preserve"> </w:delText>
        </w:r>
      </w:del>
    </w:p>
    <w:p>
      <w:pPr>
        <w:pStyle w:val="Heading5"/>
      </w:pPr>
      <w:bookmarkStart w:id="3307" w:name="_Toc107055043"/>
      <w:bookmarkStart w:id="3308" w:name="_Toc134854798"/>
      <w:bookmarkStart w:id="3309" w:name="_Toc136841251"/>
      <w:bookmarkStart w:id="3310" w:name="_Toc131416257"/>
      <w:bookmarkStart w:id="3311" w:name="_Toc170193440"/>
      <w:r>
        <w:rPr>
          <w:rStyle w:val="CharSectno"/>
        </w:rPr>
        <w:t>112K</w:t>
      </w:r>
      <w:r>
        <w:t>.</w:t>
      </w:r>
      <w:r>
        <w:tab/>
        <w:t>Connection to the State — hire of goods and persons to which this Part applies</w:t>
      </w:r>
      <w:bookmarkEnd w:id="3307"/>
      <w:bookmarkEnd w:id="3308"/>
      <w:bookmarkEnd w:id="3309"/>
      <w:bookmarkEnd w:id="3310"/>
      <w:bookmarkEnd w:id="3311"/>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del w:id="3312" w:author="svcMRProcess" w:date="2020-02-20T23:16:00Z">
        <w:r>
          <w:delText xml:space="preserve"> </w:delText>
        </w:r>
      </w:del>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3313" w:name="_Toc76899713"/>
      <w:bookmarkStart w:id="3314" w:name="_Toc78090615"/>
      <w:bookmarkStart w:id="3315" w:name="_Toc88886983"/>
      <w:bookmarkStart w:id="3316" w:name="_Toc90443599"/>
      <w:bookmarkStart w:id="3317" w:name="_Toc90452950"/>
      <w:bookmarkStart w:id="3318" w:name="_Toc100029541"/>
      <w:bookmarkStart w:id="3319" w:name="_Toc100031614"/>
      <w:bookmarkStart w:id="3320" w:name="_Toc100458673"/>
      <w:bookmarkStart w:id="3321" w:name="_Toc101672089"/>
      <w:bookmarkStart w:id="3322" w:name="_Toc101672346"/>
      <w:bookmarkStart w:id="3323" w:name="_Toc102799372"/>
      <w:bookmarkStart w:id="3324" w:name="_Toc102982046"/>
      <w:bookmarkStart w:id="3325" w:name="_Toc103403359"/>
      <w:bookmarkStart w:id="3326" w:name="_Toc103403616"/>
      <w:bookmarkStart w:id="3327" w:name="_Toc103747615"/>
      <w:bookmarkStart w:id="3328" w:name="_Toc107055044"/>
      <w:bookmarkStart w:id="3329" w:name="_Toc113874491"/>
      <w:bookmarkStart w:id="3330" w:name="_Toc113956907"/>
      <w:bookmarkStart w:id="3331" w:name="_Toc116717463"/>
      <w:bookmarkStart w:id="3332" w:name="_Toc116813490"/>
      <w:bookmarkStart w:id="3333" w:name="_Toc122333143"/>
      <w:bookmarkStart w:id="3334" w:name="_Toc122862113"/>
      <w:bookmarkStart w:id="3335" w:name="_Toc122862709"/>
      <w:bookmarkStart w:id="3336" w:name="_Toc122921316"/>
      <w:bookmarkStart w:id="3337" w:name="_Toc122921576"/>
      <w:bookmarkStart w:id="3338" w:name="_Toc122947522"/>
      <w:bookmarkStart w:id="3339" w:name="_Toc124046360"/>
      <w:bookmarkStart w:id="3340" w:name="_Toc130266695"/>
      <w:bookmarkStart w:id="3341" w:name="_Toc130266971"/>
      <w:bookmarkStart w:id="3342" w:name="_Toc131383074"/>
      <w:bookmarkStart w:id="3343" w:name="_Toc133812455"/>
      <w:bookmarkStart w:id="3344" w:name="_Toc133920402"/>
      <w:bookmarkStart w:id="3345" w:name="_Toc134854799"/>
      <w:bookmarkStart w:id="3346" w:name="_Toc134855075"/>
      <w:bookmarkStart w:id="3347" w:name="_Toc136841252"/>
      <w:bookmarkStart w:id="3348" w:name="_Toc131415959"/>
      <w:bookmarkStart w:id="3349" w:name="_Toc131416258"/>
      <w:bookmarkStart w:id="3350" w:name="_Toc170193441"/>
      <w:r>
        <w:rPr>
          <w:rStyle w:val="CharDivNo"/>
        </w:rPr>
        <w:t>Division 4</w:t>
      </w:r>
      <w:r>
        <w:t> — </w:t>
      </w:r>
      <w:r>
        <w:rPr>
          <w:rStyle w:val="CharDivText"/>
        </w:rPr>
        <w:t>Commercial hire businesses</w:t>
      </w:r>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p>
    <w:p>
      <w:pPr>
        <w:pStyle w:val="Footnoteheading"/>
        <w:tabs>
          <w:tab w:val="left" w:pos="923"/>
        </w:tabs>
        <w:spacing w:before="80"/>
        <w:ind w:left="936" w:hanging="936"/>
        <w:rPr>
          <w:snapToGrid w:val="0"/>
        </w:rPr>
      </w:pPr>
      <w:r>
        <w:rPr>
          <w:snapToGrid w:val="0"/>
        </w:rPr>
        <w:tab/>
        <w:t>[Heading inserted by No. 66 of 2003 s. 85.]</w:t>
      </w:r>
      <w:del w:id="3351" w:author="svcMRProcess" w:date="2020-02-20T23:16:00Z">
        <w:r>
          <w:rPr>
            <w:snapToGrid w:val="0"/>
          </w:rPr>
          <w:delText xml:space="preserve"> </w:delText>
        </w:r>
      </w:del>
    </w:p>
    <w:p>
      <w:pPr>
        <w:pStyle w:val="Heading5"/>
        <w:spacing w:before="180"/>
      </w:pPr>
      <w:bookmarkStart w:id="3352" w:name="_Toc107055045"/>
      <w:bookmarkStart w:id="3353" w:name="_Toc134854800"/>
      <w:bookmarkStart w:id="3354" w:name="_Toc136841253"/>
      <w:bookmarkStart w:id="3355" w:name="_Toc131416259"/>
      <w:bookmarkStart w:id="3356" w:name="_Toc170193442"/>
      <w:r>
        <w:rPr>
          <w:rStyle w:val="CharSectno"/>
        </w:rPr>
        <w:t>112L</w:t>
      </w:r>
      <w:r>
        <w:t>.</w:t>
      </w:r>
      <w:r>
        <w:tab/>
        <w:t>Lodging returns and paying duty</w:t>
      </w:r>
      <w:bookmarkEnd w:id="3352"/>
      <w:bookmarkEnd w:id="3353"/>
      <w:bookmarkEnd w:id="3354"/>
      <w:bookmarkEnd w:id="3355"/>
      <w:bookmarkEnd w:id="3356"/>
    </w:p>
    <w:p>
      <w:pPr>
        <w:pStyle w:val="Subsection"/>
        <w:spacing w:before="140"/>
      </w:pPr>
      <w:r>
        <w:tab/>
        <w:t>(1)</w:t>
      </w:r>
      <w:r>
        <w:tab/>
        <w:t>A registered commercial hire business must —</w:t>
      </w:r>
      <w:del w:id="3357" w:author="svcMRProcess" w:date="2020-02-20T23:16:00Z">
        <w:r>
          <w:delText xml:space="preserve"> </w:delText>
        </w:r>
      </w:del>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del w:id="3358" w:author="svcMRProcess" w:date="2020-02-20T23:16:00Z">
        <w:r>
          <w:delText xml:space="preserve"> </w:delText>
        </w:r>
      </w:del>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112L inserted by No. 66 of 2003 s. 85.]</w:t>
      </w:r>
    </w:p>
    <w:p>
      <w:pPr>
        <w:pStyle w:val="Heading5"/>
      </w:pPr>
      <w:bookmarkStart w:id="3359" w:name="_Toc107055046"/>
      <w:bookmarkStart w:id="3360" w:name="_Toc134854801"/>
      <w:bookmarkStart w:id="3361" w:name="_Toc136841254"/>
      <w:bookmarkStart w:id="3362" w:name="_Toc131416260"/>
      <w:bookmarkStart w:id="3363" w:name="_Toc170193443"/>
      <w:r>
        <w:rPr>
          <w:rStyle w:val="CharSectno"/>
        </w:rPr>
        <w:t>112LA</w:t>
      </w:r>
      <w:r>
        <w:t>.</w:t>
      </w:r>
      <w:r>
        <w:tab/>
        <w:t>Calculating the assessable amount for a return period</w:t>
      </w:r>
      <w:bookmarkEnd w:id="3359"/>
      <w:bookmarkEnd w:id="3360"/>
      <w:bookmarkEnd w:id="3361"/>
      <w:bookmarkEnd w:id="3362"/>
      <w:bookmarkEnd w:id="3363"/>
    </w:p>
    <w:p>
      <w:pPr>
        <w:pStyle w:val="Subsection"/>
      </w:pPr>
      <w:r>
        <w:tab/>
        <w:t>(1)</w:t>
      </w:r>
      <w:r>
        <w:tab/>
        <w:t>The assessable amount for a return period of a commercial hire business is —</w:t>
      </w:r>
      <w:del w:id="3364" w:author="svcMRProcess" w:date="2020-02-20T23:16:00Z">
        <w:r>
          <w:delText xml:space="preserve"> </w:delText>
        </w:r>
      </w:del>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spacing w:before="120"/>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spacing w:before="120"/>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3365" w:name="_Toc107055047"/>
      <w:bookmarkStart w:id="3366" w:name="_Toc134854802"/>
      <w:bookmarkStart w:id="3367" w:name="_Toc136841255"/>
      <w:bookmarkStart w:id="3368" w:name="_Toc131416261"/>
      <w:bookmarkStart w:id="3369" w:name="_Toc170193444"/>
      <w:r>
        <w:rPr>
          <w:rStyle w:val="CharSectno"/>
        </w:rPr>
        <w:t>112LB</w:t>
      </w:r>
      <w:r>
        <w:t>.</w:t>
      </w:r>
      <w:r>
        <w:tab/>
        <w:t>Calculating the amount of duty payable on a return</w:t>
      </w:r>
      <w:bookmarkEnd w:id="3365"/>
      <w:bookmarkEnd w:id="3366"/>
      <w:bookmarkEnd w:id="3367"/>
      <w:bookmarkEnd w:id="3368"/>
      <w:bookmarkEnd w:id="3369"/>
    </w:p>
    <w:p>
      <w:pPr>
        <w:pStyle w:val="Subsection"/>
        <w:spacing w:before="120"/>
      </w:pPr>
      <w:r>
        <w:tab/>
        <w:t>(1)</w:t>
      </w:r>
      <w:r>
        <w:tab/>
        <w:t>The amount of duty payable on the return for a return period is the amount equal to the sum of —</w:t>
      </w:r>
      <w:del w:id="3370" w:author="svcMRProcess" w:date="2020-02-20T23:16:00Z">
        <w:r>
          <w:delText xml:space="preserve"> </w:delText>
        </w:r>
      </w:del>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before="120"/>
      </w:pPr>
      <w:r>
        <w:tab/>
        <w:t>(2)</w:t>
      </w:r>
      <w:r>
        <w:tab/>
        <w:t>The duty</w:t>
      </w:r>
      <w:r>
        <w:noBreakHyphen/>
        <w:t>free threshold for a return period is —</w:t>
      </w:r>
      <w:del w:id="3371" w:author="svcMRProcess" w:date="2020-02-20T23:16:00Z">
        <w:r>
          <w:delText xml:space="preserve"> </w:delText>
        </w:r>
      </w:del>
    </w:p>
    <w:p>
      <w:pPr>
        <w:pStyle w:val="Equation"/>
        <w:spacing w:before="100"/>
        <w:ind w:left="839"/>
      </w:pPr>
      <w:r>
        <w:rPr>
          <w:position w:val="-20"/>
          <w:sz w:val="20"/>
        </w:rPr>
        <w:pict>
          <v:shape id="_x0000_i1041" type="#_x0000_t75" style="width:303pt;height:26.25pt">
            <v:imagedata r:id="rId31" o:title=""/>
          </v:shape>
        </w:pict>
      </w:r>
    </w:p>
    <w:p>
      <w:pPr>
        <w:pStyle w:val="Subsection"/>
        <w:spacing w:after="60"/>
      </w:pPr>
      <w:r>
        <w:tab/>
      </w:r>
      <w:r>
        <w:tab/>
        <w:t>where —</w:t>
      </w:r>
      <w:del w:id="3372" w:author="svcMRProcess" w:date="2020-02-20T23:16:00Z">
        <w:r>
          <w:delText xml:space="preserve"> </w:delText>
        </w:r>
      </w:del>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3373" w:name="_Toc107055048"/>
      <w:bookmarkStart w:id="3374" w:name="_Toc134854803"/>
      <w:bookmarkStart w:id="3375" w:name="_Toc136841256"/>
      <w:bookmarkStart w:id="3376" w:name="_Toc131416262"/>
      <w:bookmarkStart w:id="3377" w:name="_Toc170193445"/>
      <w:r>
        <w:rPr>
          <w:rStyle w:val="CharSectno"/>
        </w:rPr>
        <w:t>112LC</w:t>
      </w:r>
      <w:r>
        <w:t>.</w:t>
      </w:r>
      <w:r>
        <w:tab/>
        <w:t>Return period for a commercial hire business</w:t>
      </w:r>
      <w:bookmarkEnd w:id="3373"/>
      <w:bookmarkEnd w:id="3374"/>
      <w:bookmarkEnd w:id="3375"/>
      <w:bookmarkEnd w:id="3376"/>
      <w:bookmarkEnd w:id="3377"/>
    </w:p>
    <w:p>
      <w:pPr>
        <w:pStyle w:val="Subsection"/>
        <w:spacing w:before="120"/>
      </w:pPr>
      <w:r>
        <w:tab/>
      </w:r>
      <w:r>
        <w:tab/>
        <w:t>The return period of a registered commercial hire business is —</w:t>
      </w:r>
      <w:del w:id="3378" w:author="svcMRProcess" w:date="2020-02-20T23:16:00Z">
        <w:r>
          <w:delText xml:space="preserve"> </w:delText>
        </w:r>
      </w:del>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3379" w:name="_Toc107055049"/>
      <w:bookmarkStart w:id="3380" w:name="_Toc134854804"/>
      <w:bookmarkStart w:id="3381" w:name="_Toc136841257"/>
      <w:bookmarkStart w:id="3382" w:name="_Toc131416263"/>
      <w:bookmarkStart w:id="3383" w:name="_Toc170193446"/>
      <w:r>
        <w:rPr>
          <w:rStyle w:val="CharSectno"/>
        </w:rPr>
        <w:t>112LD</w:t>
      </w:r>
      <w:r>
        <w:t>.</w:t>
      </w:r>
      <w:r>
        <w:tab/>
        <w:t>Annual reconciliation</w:t>
      </w:r>
      <w:bookmarkEnd w:id="3379"/>
      <w:bookmarkEnd w:id="3380"/>
      <w:bookmarkEnd w:id="3381"/>
      <w:bookmarkEnd w:id="3382"/>
      <w:bookmarkEnd w:id="3383"/>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del w:id="3384" w:author="svcMRProcess" w:date="2020-02-20T23:16:00Z">
        <w:r>
          <w:delText xml:space="preserve"> </w:delText>
        </w:r>
      </w:del>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del w:id="3385" w:author="svcMRProcess" w:date="2020-02-20T23:16:00Z">
        <w:r>
          <w:delText xml:space="preserve"> </w:delText>
        </w:r>
      </w:del>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In subsection (3)(d) —</w:t>
      </w:r>
      <w:del w:id="3386" w:author="svcMRProcess" w:date="2020-02-20T23:16:00Z">
        <w:r>
          <w:delText xml:space="preserve"> </w:delText>
        </w:r>
      </w:del>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free threshold for the commercial hire business is reduced as follows —</w:t>
      </w:r>
      <w:del w:id="3387" w:author="svcMRProcess" w:date="2020-02-20T23:16:00Z">
        <w:r>
          <w:delText xml:space="preserve"> </w:delText>
        </w:r>
      </w:del>
    </w:p>
    <w:p>
      <w:pPr>
        <w:pStyle w:val="Equation"/>
        <w:spacing w:before="120"/>
        <w:jc w:val="right"/>
      </w:pPr>
      <w:r>
        <w:rPr>
          <w:position w:val="-26"/>
        </w:rPr>
        <w:pict>
          <v:shape id="_x0000_i1042" type="#_x0000_t75" style="width:353.25pt;height:26.25pt">
            <v:imagedata r:id="rId32" o:title=""/>
          </v:shape>
        </w:pi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3388" w:name="_Toc76899719"/>
      <w:bookmarkStart w:id="3389" w:name="_Toc78090621"/>
      <w:bookmarkStart w:id="3390" w:name="_Toc88886989"/>
      <w:bookmarkStart w:id="3391" w:name="_Toc90443605"/>
      <w:bookmarkStart w:id="3392" w:name="_Toc90452956"/>
      <w:bookmarkStart w:id="3393" w:name="_Toc100029547"/>
      <w:bookmarkStart w:id="3394" w:name="_Toc100031620"/>
      <w:bookmarkStart w:id="3395" w:name="_Toc100458679"/>
      <w:bookmarkStart w:id="3396" w:name="_Toc101672095"/>
      <w:bookmarkStart w:id="3397" w:name="_Toc101672352"/>
      <w:bookmarkStart w:id="3398" w:name="_Toc102799378"/>
      <w:bookmarkStart w:id="3399" w:name="_Toc102982052"/>
      <w:bookmarkStart w:id="3400" w:name="_Toc103403365"/>
      <w:bookmarkStart w:id="3401" w:name="_Toc103403622"/>
      <w:bookmarkStart w:id="3402" w:name="_Toc103747621"/>
      <w:bookmarkStart w:id="3403" w:name="_Toc107055050"/>
      <w:bookmarkStart w:id="3404" w:name="_Toc113874497"/>
      <w:bookmarkStart w:id="3405" w:name="_Toc113956913"/>
      <w:bookmarkStart w:id="3406" w:name="_Toc116717469"/>
      <w:bookmarkStart w:id="3407" w:name="_Toc116813496"/>
      <w:bookmarkStart w:id="3408" w:name="_Toc122333149"/>
      <w:bookmarkStart w:id="3409" w:name="_Toc122862119"/>
      <w:bookmarkStart w:id="3410" w:name="_Toc122862715"/>
      <w:bookmarkStart w:id="3411" w:name="_Toc122921322"/>
      <w:bookmarkStart w:id="3412" w:name="_Toc122921582"/>
      <w:bookmarkStart w:id="3413" w:name="_Toc122947528"/>
      <w:bookmarkStart w:id="3414" w:name="_Toc124046366"/>
      <w:bookmarkStart w:id="3415" w:name="_Toc130266701"/>
      <w:bookmarkStart w:id="3416" w:name="_Toc130266977"/>
      <w:bookmarkStart w:id="3417" w:name="_Toc131383080"/>
      <w:bookmarkStart w:id="3418" w:name="_Toc133812461"/>
      <w:bookmarkStart w:id="3419" w:name="_Toc133920408"/>
      <w:bookmarkStart w:id="3420" w:name="_Toc134854805"/>
      <w:bookmarkStart w:id="3421" w:name="_Toc134855081"/>
      <w:bookmarkStart w:id="3422" w:name="_Toc136841258"/>
      <w:bookmarkStart w:id="3423" w:name="_Toc131415965"/>
      <w:bookmarkStart w:id="3424" w:name="_Toc131416264"/>
      <w:bookmarkStart w:id="3425" w:name="_Toc170193447"/>
      <w:r>
        <w:rPr>
          <w:rStyle w:val="CharDivNo"/>
        </w:rPr>
        <w:t>Division 5</w:t>
      </w:r>
      <w:r>
        <w:t> — </w:t>
      </w:r>
      <w:r>
        <w:rPr>
          <w:rStyle w:val="CharDivText"/>
        </w:rPr>
        <w:t>Persons other than commercial hire businesses</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p>
    <w:p>
      <w:pPr>
        <w:pStyle w:val="Footnoteheading"/>
        <w:keepNext/>
        <w:tabs>
          <w:tab w:val="left" w:pos="923"/>
        </w:tabs>
        <w:ind w:left="937" w:hanging="937"/>
        <w:rPr>
          <w:snapToGrid w:val="0"/>
        </w:rPr>
      </w:pPr>
      <w:r>
        <w:rPr>
          <w:snapToGrid w:val="0"/>
        </w:rPr>
        <w:tab/>
        <w:t>[Heading inserted by No. 66 of 2003 s. 85.]</w:t>
      </w:r>
      <w:del w:id="3426" w:author="svcMRProcess" w:date="2020-02-20T23:16:00Z">
        <w:r>
          <w:rPr>
            <w:snapToGrid w:val="0"/>
          </w:rPr>
          <w:delText xml:space="preserve"> </w:delText>
        </w:r>
      </w:del>
    </w:p>
    <w:p>
      <w:pPr>
        <w:pStyle w:val="Heading5"/>
      </w:pPr>
      <w:bookmarkStart w:id="3427" w:name="_Toc107055051"/>
      <w:bookmarkStart w:id="3428" w:name="_Toc134854806"/>
      <w:bookmarkStart w:id="3429" w:name="_Toc136841259"/>
      <w:bookmarkStart w:id="3430" w:name="_Toc131416265"/>
      <w:bookmarkStart w:id="3431" w:name="_Toc170193448"/>
      <w:r>
        <w:rPr>
          <w:rStyle w:val="CharSectno"/>
        </w:rPr>
        <w:t>112M</w:t>
      </w:r>
      <w:r>
        <w:t>.</w:t>
      </w:r>
      <w:r>
        <w:tab/>
        <w:t>Statement of transaction</w:t>
      </w:r>
      <w:bookmarkEnd w:id="3427"/>
      <w:bookmarkEnd w:id="3428"/>
      <w:bookmarkEnd w:id="3429"/>
      <w:bookmarkEnd w:id="3430"/>
      <w:bookmarkEnd w:id="3431"/>
    </w:p>
    <w:p>
      <w:pPr>
        <w:pStyle w:val="Subsection"/>
        <w:spacing w:before="14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del w:id="3432" w:author="svcMRProcess" w:date="2020-02-20T23:16:00Z">
        <w:r>
          <w:delText xml:space="preserve"> </w:delText>
        </w:r>
      </w:del>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del w:id="3433" w:author="svcMRProcess" w:date="2020-02-20T23:16:00Z">
        <w:r>
          <w:delText xml:space="preserve"> </w:delText>
        </w:r>
      </w:del>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spacing w:before="120"/>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spacing w:before="120"/>
      </w:pPr>
      <w:r>
        <w:tab/>
        <w:t>(4)</w:t>
      </w:r>
      <w:r>
        <w:tab/>
        <w:t>The hirer need not prepare a statement under subsection (1) if the hire of goods is wholly for private or domestic purposes.</w:t>
      </w:r>
    </w:p>
    <w:p>
      <w:pPr>
        <w:pStyle w:val="Footnotesection"/>
      </w:pPr>
      <w:r>
        <w:tab/>
        <w:t>[Section 112M inserted by No. 66 of 2003 s. 85.]</w:t>
      </w:r>
    </w:p>
    <w:p>
      <w:pPr>
        <w:pStyle w:val="Heading5"/>
      </w:pPr>
      <w:bookmarkStart w:id="3434" w:name="_Toc107055052"/>
      <w:bookmarkStart w:id="3435" w:name="_Toc134854807"/>
      <w:bookmarkStart w:id="3436" w:name="_Toc136841260"/>
      <w:bookmarkStart w:id="3437" w:name="_Toc131416266"/>
      <w:bookmarkStart w:id="3438" w:name="_Toc170193449"/>
      <w:r>
        <w:rPr>
          <w:rStyle w:val="CharSectno"/>
        </w:rPr>
        <w:t>112MA</w:t>
      </w:r>
      <w:r>
        <w:t>.</w:t>
      </w:r>
      <w:r>
        <w:tab/>
        <w:t>Lodging statements and paying duty</w:t>
      </w:r>
      <w:bookmarkEnd w:id="3434"/>
      <w:bookmarkEnd w:id="3435"/>
      <w:bookmarkEnd w:id="3436"/>
      <w:bookmarkEnd w:id="3437"/>
      <w:bookmarkEnd w:id="3438"/>
    </w:p>
    <w:p>
      <w:pPr>
        <w:pStyle w:val="Subsection"/>
        <w:spacing w:before="120"/>
      </w:pPr>
      <w:r>
        <w:tab/>
        <w:t>(1)</w:t>
      </w:r>
      <w:r>
        <w:tab/>
        <w:t>Within 3 months after the statement is required to be prepared, the hirer must —</w:t>
      </w:r>
      <w:del w:id="3439" w:author="svcMRProcess" w:date="2020-02-20T23:16:00Z">
        <w:r>
          <w:delText xml:space="preserve"> </w:delText>
        </w:r>
      </w:del>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spacing w:before="120"/>
      </w:pPr>
      <w:r>
        <w:tab/>
        <w:t>(2)</w:t>
      </w:r>
      <w:r>
        <w:tab/>
        <w:t>Duty payable on a statement is —</w:t>
      </w:r>
      <w:del w:id="3440" w:author="svcMRProcess" w:date="2020-02-20T23:16:00Z">
        <w:r>
          <w:delText xml:space="preserve"> </w:delText>
        </w:r>
      </w:del>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3441" w:name="_Toc107055053"/>
      <w:bookmarkStart w:id="3442" w:name="_Toc134854808"/>
      <w:bookmarkStart w:id="3443" w:name="_Toc136841261"/>
      <w:bookmarkStart w:id="3444" w:name="_Toc131416267"/>
      <w:bookmarkStart w:id="3445" w:name="_Toc170193450"/>
      <w:r>
        <w:rPr>
          <w:rStyle w:val="CharSectno"/>
        </w:rPr>
        <w:t>112MB</w:t>
      </w:r>
      <w:r>
        <w:t>.</w:t>
      </w:r>
      <w:r>
        <w:tab/>
        <w:t>Method of calculating total hiring charges if they are not readily ascertainable</w:t>
      </w:r>
      <w:bookmarkEnd w:id="3441"/>
      <w:bookmarkEnd w:id="3442"/>
      <w:bookmarkEnd w:id="3443"/>
      <w:bookmarkEnd w:id="3444"/>
      <w:bookmarkEnd w:id="3445"/>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del w:id="3446" w:author="svcMRProcess" w:date="2020-02-20T23:16:00Z">
        <w:r>
          <w:delText xml:space="preserve"> </w:delText>
        </w:r>
      </w:del>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3447" w:name="_Toc76899723"/>
      <w:bookmarkStart w:id="3448" w:name="_Toc78090625"/>
      <w:bookmarkStart w:id="3449" w:name="_Toc88886993"/>
      <w:bookmarkStart w:id="3450" w:name="_Toc90443609"/>
      <w:bookmarkStart w:id="3451" w:name="_Toc90452960"/>
      <w:bookmarkStart w:id="3452" w:name="_Toc100029551"/>
      <w:bookmarkStart w:id="3453" w:name="_Toc100031624"/>
      <w:bookmarkStart w:id="3454" w:name="_Toc100458683"/>
      <w:bookmarkStart w:id="3455" w:name="_Toc101672099"/>
      <w:bookmarkStart w:id="3456" w:name="_Toc101672356"/>
      <w:bookmarkStart w:id="3457" w:name="_Toc102799382"/>
      <w:bookmarkStart w:id="3458" w:name="_Toc102982056"/>
      <w:bookmarkStart w:id="3459" w:name="_Toc103403369"/>
      <w:bookmarkStart w:id="3460" w:name="_Toc103403626"/>
      <w:bookmarkStart w:id="3461" w:name="_Toc103747625"/>
      <w:bookmarkStart w:id="3462" w:name="_Toc107055054"/>
      <w:bookmarkStart w:id="3463" w:name="_Toc113874501"/>
      <w:bookmarkStart w:id="3464" w:name="_Toc113956917"/>
      <w:bookmarkStart w:id="3465" w:name="_Toc116717473"/>
      <w:bookmarkStart w:id="3466" w:name="_Toc116813500"/>
      <w:bookmarkStart w:id="3467" w:name="_Toc122333153"/>
      <w:bookmarkStart w:id="3468" w:name="_Toc122862123"/>
      <w:bookmarkStart w:id="3469" w:name="_Toc122862719"/>
      <w:bookmarkStart w:id="3470" w:name="_Toc122921326"/>
      <w:bookmarkStart w:id="3471" w:name="_Toc122921586"/>
      <w:bookmarkStart w:id="3472" w:name="_Toc122947532"/>
      <w:bookmarkStart w:id="3473" w:name="_Toc124046370"/>
      <w:bookmarkStart w:id="3474" w:name="_Toc130266705"/>
      <w:bookmarkStart w:id="3475" w:name="_Toc130266981"/>
      <w:bookmarkStart w:id="3476" w:name="_Toc131383084"/>
      <w:bookmarkStart w:id="3477" w:name="_Toc133812465"/>
      <w:bookmarkStart w:id="3478" w:name="_Toc133920412"/>
      <w:bookmarkStart w:id="3479" w:name="_Toc134854809"/>
      <w:bookmarkStart w:id="3480" w:name="_Toc134855085"/>
      <w:bookmarkStart w:id="3481" w:name="_Toc136841262"/>
      <w:bookmarkStart w:id="3482" w:name="_Toc131415969"/>
      <w:bookmarkStart w:id="3483" w:name="_Toc131416268"/>
      <w:bookmarkStart w:id="3484" w:name="_Toc170193451"/>
      <w:r>
        <w:rPr>
          <w:rStyle w:val="CharDivNo"/>
        </w:rPr>
        <w:t>Division 6</w:t>
      </w:r>
      <w:r>
        <w:t> — </w:t>
      </w:r>
      <w:r>
        <w:rPr>
          <w:rStyle w:val="CharDivText"/>
        </w:rPr>
        <w:t>General provisions</w:t>
      </w:r>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p>
    <w:p>
      <w:pPr>
        <w:pStyle w:val="Footnoteheading"/>
        <w:tabs>
          <w:tab w:val="left" w:pos="923"/>
        </w:tabs>
        <w:ind w:left="937" w:hanging="937"/>
        <w:rPr>
          <w:snapToGrid w:val="0"/>
        </w:rPr>
      </w:pPr>
      <w:r>
        <w:rPr>
          <w:snapToGrid w:val="0"/>
        </w:rPr>
        <w:tab/>
        <w:t>[Heading inserted by No. 66 of 2003 s. 85.]</w:t>
      </w:r>
      <w:del w:id="3485" w:author="svcMRProcess" w:date="2020-02-20T23:16:00Z">
        <w:r>
          <w:rPr>
            <w:snapToGrid w:val="0"/>
          </w:rPr>
          <w:delText xml:space="preserve"> </w:delText>
        </w:r>
      </w:del>
    </w:p>
    <w:p>
      <w:pPr>
        <w:pStyle w:val="Heading5"/>
      </w:pPr>
      <w:bookmarkStart w:id="3486" w:name="_Toc107055055"/>
      <w:bookmarkStart w:id="3487" w:name="_Toc134854810"/>
      <w:bookmarkStart w:id="3488" w:name="_Toc136841263"/>
      <w:bookmarkStart w:id="3489" w:name="_Toc131416269"/>
      <w:bookmarkStart w:id="3490" w:name="_Toc170193452"/>
      <w:r>
        <w:rPr>
          <w:rStyle w:val="CharSectno"/>
        </w:rPr>
        <w:t>112N</w:t>
      </w:r>
      <w:r>
        <w:t>.</w:t>
      </w:r>
      <w:r>
        <w:tab/>
        <w:t>Credit for duty paid in another Australian jurisdiction</w:t>
      </w:r>
      <w:bookmarkEnd w:id="3486"/>
      <w:bookmarkEnd w:id="3487"/>
      <w:bookmarkEnd w:id="3488"/>
      <w:bookmarkEnd w:id="3489"/>
      <w:bookmarkEnd w:id="3490"/>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spacing w:before="180"/>
      </w:pPr>
      <w:bookmarkStart w:id="3491" w:name="_Toc107055056"/>
      <w:bookmarkStart w:id="3492" w:name="_Toc134854811"/>
      <w:bookmarkStart w:id="3493" w:name="_Toc136841264"/>
      <w:bookmarkStart w:id="3494" w:name="_Toc131416270"/>
      <w:bookmarkStart w:id="3495" w:name="_Toc170193453"/>
      <w:r>
        <w:rPr>
          <w:rStyle w:val="CharSectno"/>
        </w:rPr>
        <w:t>112NA</w:t>
      </w:r>
      <w:r>
        <w:t>.</w:t>
      </w:r>
      <w:r>
        <w:tab/>
        <w:t>Splitting or redirecting hiring charges — anti</w:t>
      </w:r>
      <w:r>
        <w:noBreakHyphen/>
        <w:t>avoidance provision</w:t>
      </w:r>
      <w:bookmarkEnd w:id="3491"/>
      <w:bookmarkEnd w:id="3492"/>
      <w:bookmarkEnd w:id="3493"/>
      <w:bookmarkEnd w:id="3494"/>
      <w:bookmarkEnd w:id="3495"/>
    </w:p>
    <w:p>
      <w:pPr>
        <w:pStyle w:val="Subsection"/>
        <w:spacing w:before="100"/>
      </w:pPr>
      <w:r>
        <w:tab/>
        <w:t>(1)</w:t>
      </w:r>
      <w:r>
        <w:tab/>
        <w:t>The Commissioner may include in an assessment or reassessment, as part of an amount received as hiring charges, any of the following —</w:t>
      </w:r>
      <w:del w:id="3496" w:author="svcMRProcess" w:date="2020-02-20T23:16:00Z">
        <w:r>
          <w:delText xml:space="preserve"> </w:delText>
        </w:r>
      </w:del>
    </w:p>
    <w:p>
      <w:pPr>
        <w:pStyle w:val="Indenta"/>
        <w:spacing w:before="60"/>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spacing w:before="60"/>
      </w:pPr>
      <w:r>
        <w:tab/>
        <w:t>(b)</w:t>
      </w:r>
      <w:r>
        <w:tab/>
        <w:t>a payment that would be a hiring charge except for the fact that it is paid to a person other than the person who hires out the goods.</w:t>
      </w:r>
    </w:p>
    <w:p>
      <w:pPr>
        <w:pStyle w:val="Subsection"/>
        <w:spacing w:before="100"/>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spacing w:before="180"/>
      </w:pPr>
      <w:bookmarkStart w:id="3497" w:name="_Toc107055057"/>
      <w:bookmarkStart w:id="3498" w:name="_Toc134854812"/>
      <w:bookmarkStart w:id="3499" w:name="_Toc136841265"/>
      <w:bookmarkStart w:id="3500" w:name="_Toc131416271"/>
      <w:bookmarkStart w:id="3501" w:name="_Toc170193454"/>
      <w:r>
        <w:rPr>
          <w:rStyle w:val="CharSectno"/>
        </w:rPr>
        <w:t>112NB</w:t>
      </w:r>
      <w:r>
        <w:t>.</w:t>
      </w:r>
      <w:r>
        <w:tab/>
        <w:t>Ascertainment and disclosure of place of use of goods</w:t>
      </w:r>
      <w:bookmarkEnd w:id="3497"/>
      <w:bookmarkEnd w:id="3498"/>
      <w:bookmarkEnd w:id="3499"/>
      <w:bookmarkEnd w:id="3500"/>
      <w:bookmarkEnd w:id="3501"/>
    </w:p>
    <w:p>
      <w:pPr>
        <w:pStyle w:val="Subsection"/>
        <w:spacing w:before="100"/>
      </w:pPr>
      <w:r>
        <w:tab/>
        <w:t>(1)</w:t>
      </w:r>
      <w:r>
        <w:tab/>
        <w:t>A commercial hire business may, in determining the commercial hire business’s liability to duty, rely on a statement of the hirer as to —</w:t>
      </w:r>
      <w:del w:id="3502" w:author="svcMRProcess" w:date="2020-02-20T23:16:00Z">
        <w:r>
          <w:delText xml:space="preserve"> </w:delText>
        </w:r>
      </w:del>
    </w:p>
    <w:p>
      <w:pPr>
        <w:pStyle w:val="Indenta"/>
        <w:spacing w:before="60"/>
      </w:pPr>
      <w:r>
        <w:tab/>
        <w:t>(a)</w:t>
      </w:r>
      <w:r>
        <w:tab/>
        <w:t>where the goods will be solely or predominantly used in the course of the hire; or</w:t>
      </w:r>
    </w:p>
    <w:p>
      <w:pPr>
        <w:pStyle w:val="Indenta"/>
        <w:spacing w:before="60"/>
      </w:pPr>
      <w:r>
        <w:tab/>
        <w:t>(b)</w:t>
      </w:r>
      <w:r>
        <w:tab/>
        <w:t>in the case of an unregistered motor vehicle, where the motor vehicle will be registered during the course of the hire,</w:t>
      </w:r>
    </w:p>
    <w:p>
      <w:pPr>
        <w:pStyle w:val="Subsection"/>
        <w:spacing w:before="80"/>
      </w:pPr>
      <w:r>
        <w:tab/>
      </w:r>
      <w:r>
        <w:tab/>
        <w:t>unless the commercial hire business knows that the statement is false.</w:t>
      </w:r>
    </w:p>
    <w:p>
      <w:pPr>
        <w:pStyle w:val="Subsection"/>
        <w:spacing w:before="100"/>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spacing w:before="120"/>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spacing w:before="120"/>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spacing w:before="120"/>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spacing w:before="120"/>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spacing w:before="180"/>
      </w:pPr>
      <w:bookmarkStart w:id="3503" w:name="_Toc107055058"/>
      <w:bookmarkStart w:id="3504" w:name="_Toc134854813"/>
      <w:bookmarkStart w:id="3505" w:name="_Toc136841266"/>
      <w:bookmarkStart w:id="3506" w:name="_Toc131416272"/>
      <w:bookmarkStart w:id="3507" w:name="_Toc170193455"/>
      <w:r>
        <w:rPr>
          <w:rStyle w:val="CharSectno"/>
        </w:rPr>
        <w:t>112NC</w:t>
      </w:r>
      <w:r>
        <w:t>.</w:t>
      </w:r>
      <w:r>
        <w:tab/>
        <w:t>Records</w:t>
      </w:r>
      <w:bookmarkEnd w:id="3503"/>
      <w:bookmarkEnd w:id="3504"/>
      <w:bookmarkEnd w:id="3505"/>
      <w:bookmarkEnd w:id="3506"/>
      <w:bookmarkEnd w:id="3507"/>
    </w:p>
    <w:p>
      <w:pPr>
        <w:pStyle w:val="Subsection"/>
        <w:spacing w:before="120"/>
      </w:pPr>
      <w:r>
        <w:tab/>
      </w:r>
      <w:r>
        <w:tab/>
        <w:t>A commercial hire business and a hirer who must prepare a statement under Division 5 must keep —</w:t>
      </w:r>
      <w:del w:id="3508" w:author="svcMRProcess" w:date="2020-02-20T23:16:00Z">
        <w:r>
          <w:delText xml:space="preserve"> </w:delText>
        </w:r>
      </w:del>
    </w:p>
    <w:p>
      <w:pPr>
        <w:pStyle w:val="Indenta"/>
        <w:spacing w:before="60"/>
      </w:pPr>
      <w:r>
        <w:tab/>
        <w:t>(a)</w:t>
      </w:r>
      <w:r>
        <w:tab/>
        <w:t>the records that are prescribed in the regulations for the purposes of this section (if any); and</w:t>
      </w:r>
    </w:p>
    <w:p>
      <w:pPr>
        <w:pStyle w:val="Indenta"/>
        <w:spacing w:before="60"/>
      </w:pPr>
      <w:r>
        <w:tab/>
        <w:t>(b)</w:t>
      </w:r>
      <w:r>
        <w:tab/>
        <w:t>any other records necessary to enable the Commissioner to determine the person’s liability to duty under this Part.</w:t>
      </w:r>
    </w:p>
    <w:p>
      <w:pPr>
        <w:pStyle w:val="Penstart"/>
        <w:spacing w:before="60"/>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3509" w:name="_Toc76899728"/>
      <w:bookmarkStart w:id="3510" w:name="_Toc78090630"/>
      <w:bookmarkStart w:id="3511" w:name="_Toc88886998"/>
      <w:bookmarkStart w:id="3512" w:name="_Toc90443614"/>
      <w:bookmarkStart w:id="3513" w:name="_Toc90452965"/>
      <w:bookmarkStart w:id="3514" w:name="_Toc100029556"/>
      <w:bookmarkStart w:id="3515" w:name="_Toc100031629"/>
      <w:bookmarkStart w:id="3516" w:name="_Toc100458688"/>
      <w:bookmarkStart w:id="3517" w:name="_Toc101672104"/>
      <w:bookmarkStart w:id="3518" w:name="_Toc101672361"/>
      <w:bookmarkStart w:id="3519" w:name="_Toc102799387"/>
      <w:bookmarkStart w:id="3520" w:name="_Toc102982061"/>
      <w:bookmarkStart w:id="3521" w:name="_Toc103403374"/>
      <w:bookmarkStart w:id="3522" w:name="_Toc103403631"/>
      <w:bookmarkStart w:id="3523" w:name="_Toc103747630"/>
      <w:bookmarkStart w:id="3524" w:name="_Toc107055059"/>
      <w:bookmarkStart w:id="3525" w:name="_Toc113874506"/>
      <w:bookmarkStart w:id="3526" w:name="_Toc113956922"/>
      <w:bookmarkStart w:id="3527" w:name="_Toc116717478"/>
      <w:bookmarkStart w:id="3528" w:name="_Toc116813505"/>
      <w:bookmarkStart w:id="3529" w:name="_Toc122333158"/>
      <w:bookmarkStart w:id="3530" w:name="_Toc122862128"/>
      <w:bookmarkStart w:id="3531" w:name="_Toc122862724"/>
      <w:bookmarkStart w:id="3532" w:name="_Toc122921331"/>
      <w:bookmarkStart w:id="3533" w:name="_Toc122921591"/>
      <w:bookmarkStart w:id="3534" w:name="_Toc122947537"/>
      <w:bookmarkStart w:id="3535" w:name="_Toc124046375"/>
      <w:bookmarkStart w:id="3536" w:name="_Toc130266710"/>
      <w:bookmarkStart w:id="3537" w:name="_Toc130266986"/>
      <w:bookmarkStart w:id="3538" w:name="_Toc131383089"/>
      <w:bookmarkStart w:id="3539" w:name="_Toc133812470"/>
      <w:bookmarkStart w:id="3540" w:name="_Toc133920417"/>
      <w:bookmarkStart w:id="3541" w:name="_Toc134854814"/>
      <w:bookmarkStart w:id="3542" w:name="_Toc134855090"/>
      <w:bookmarkStart w:id="3543" w:name="_Toc136841267"/>
      <w:bookmarkStart w:id="3544" w:name="_Toc131415974"/>
      <w:bookmarkStart w:id="3545" w:name="_Toc131416273"/>
      <w:bookmarkStart w:id="3546" w:name="_Toc170193456"/>
      <w:r>
        <w:rPr>
          <w:rStyle w:val="CharPartNo"/>
        </w:rPr>
        <w:t>Part IVC</w:t>
      </w:r>
      <w:r>
        <w:rPr>
          <w:rStyle w:val="CharDivNo"/>
        </w:rPr>
        <w:t> </w:t>
      </w:r>
      <w:r>
        <w:t>—</w:t>
      </w:r>
      <w:r>
        <w:rPr>
          <w:rStyle w:val="CharDivText"/>
        </w:rPr>
        <w:t> </w:t>
      </w:r>
      <w:r>
        <w:rPr>
          <w:rStyle w:val="CharPartText"/>
        </w:rPr>
        <w:t>Exemptions in relation to aged or disabled persons</w:t>
      </w:r>
      <w:bookmarkEnd w:id="312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3547" w:name="_Toc500740069"/>
      <w:bookmarkStart w:id="3548" w:name="_Toc520101232"/>
      <w:bookmarkStart w:id="3549" w:name="_Toc520533131"/>
      <w:bookmarkStart w:id="3550" w:name="_Toc49224011"/>
      <w:bookmarkStart w:id="3551" w:name="_Toc107055060"/>
      <w:bookmarkStart w:id="3552" w:name="_Toc134854815"/>
      <w:bookmarkStart w:id="3553" w:name="_Toc136841268"/>
      <w:bookmarkStart w:id="3554" w:name="_Toc131416274"/>
      <w:bookmarkStart w:id="3555" w:name="_Toc170193457"/>
      <w:r>
        <w:rPr>
          <w:rStyle w:val="CharSectno"/>
        </w:rPr>
        <w:t>112Q</w:t>
      </w:r>
      <w:r>
        <w:rPr>
          <w:snapToGrid w:val="0"/>
        </w:rPr>
        <w:t>.</w:t>
      </w:r>
      <w:r>
        <w:rPr>
          <w:snapToGrid w:val="0"/>
        </w:rPr>
        <w:tab/>
        <w:t>Certain residential agreements with charitable bodies exempt</w:t>
      </w:r>
      <w:bookmarkEnd w:id="3547"/>
      <w:bookmarkEnd w:id="3548"/>
      <w:bookmarkEnd w:id="3549"/>
      <w:bookmarkEnd w:id="3550"/>
      <w:bookmarkEnd w:id="3551"/>
      <w:bookmarkEnd w:id="3552"/>
      <w:bookmarkEnd w:id="3553"/>
      <w:bookmarkEnd w:id="3554"/>
      <w:bookmarkEnd w:id="3555"/>
      <w:del w:id="3556" w:author="svcMRProcess" w:date="2020-02-20T23:16:00Z">
        <w:r>
          <w:rPr>
            <w:snapToGrid w:val="0"/>
          </w:rPr>
          <w:delText xml:space="preserve"> </w:delText>
        </w:r>
      </w:del>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del w:id="3557" w:author="svcMRProcess" w:date="2020-02-20T23:16:00Z">
        <w:r>
          <w:rPr>
            <w:snapToGrid w:val="0"/>
          </w:rPr>
          <w:delText> </w:delText>
        </w:r>
      </w:del>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del w:id="3558" w:author="svcMRProcess" w:date="2020-02-20T23:16:00Z">
        <w:r>
          <w:rPr>
            <w:snapToGrid w:val="0"/>
          </w:rPr>
          <w:delText> </w:delText>
        </w:r>
      </w:del>
    </w:p>
    <w:p>
      <w:pPr>
        <w:pStyle w:val="Defstart"/>
      </w:pPr>
      <w:r>
        <w:rPr>
          <w:b/>
        </w:rPr>
        <w:tab/>
        <w:t>“</w:t>
      </w:r>
      <w:r>
        <w:rPr>
          <w:rStyle w:val="CharDefText"/>
        </w:rPr>
        <w:t>qualified person</w:t>
      </w:r>
      <w:r>
        <w:rPr>
          <w:b/>
        </w:rPr>
        <w:t>”</w:t>
      </w:r>
      <w:r>
        <w:t xml:space="preserve"> means a person —</w:t>
      </w:r>
      <w:del w:id="3559" w:author="svcMRProcess" w:date="2020-02-20T23:16:00Z">
        <w:r>
          <w:delText> </w:delText>
        </w:r>
      </w:del>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del w:id="3560" w:author="svcMRProcess" w:date="2020-02-20T23:16:00Z">
        <w:r>
          <w:delText xml:space="preserve"> </w:delText>
        </w:r>
      </w:del>
    </w:p>
    <w:p>
      <w:pPr>
        <w:pStyle w:val="Heading5"/>
      </w:pPr>
      <w:bookmarkStart w:id="3561" w:name="_Toc500740070"/>
      <w:bookmarkStart w:id="3562" w:name="_Toc520101233"/>
      <w:bookmarkStart w:id="3563" w:name="_Toc520533132"/>
      <w:bookmarkStart w:id="3564" w:name="_Toc49224012"/>
      <w:bookmarkStart w:id="3565" w:name="_Toc107055061"/>
      <w:bookmarkStart w:id="3566" w:name="_Toc134854816"/>
      <w:bookmarkStart w:id="3567" w:name="_Toc136841269"/>
      <w:bookmarkStart w:id="3568" w:name="_Toc131416275"/>
      <w:bookmarkStart w:id="3569" w:name="_Toc170193458"/>
      <w:r>
        <w:rPr>
          <w:rStyle w:val="CharSectno"/>
        </w:rPr>
        <w:t>112R</w:t>
      </w:r>
      <w:r>
        <w:rPr>
          <w:snapToGrid w:val="0"/>
        </w:rPr>
        <w:t>.</w:t>
      </w:r>
      <w:r>
        <w:rPr>
          <w:snapToGrid w:val="0"/>
        </w:rPr>
        <w:tab/>
        <w:t>Certain aged care agreements exempt</w:t>
      </w:r>
      <w:bookmarkEnd w:id="3561"/>
      <w:bookmarkEnd w:id="3562"/>
      <w:bookmarkEnd w:id="3563"/>
      <w:bookmarkEnd w:id="3564"/>
      <w:bookmarkEnd w:id="3565"/>
      <w:bookmarkEnd w:id="3566"/>
      <w:bookmarkEnd w:id="3567"/>
      <w:bookmarkEnd w:id="3568"/>
      <w:bookmarkEnd w:id="3569"/>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del w:id="3570" w:author="svcMRProcess" w:date="2020-02-20T23:16:00Z">
        <w:r>
          <w:delText> </w:delText>
        </w:r>
      </w:del>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3571" w:name="_Toc500740071"/>
      <w:bookmarkStart w:id="3572" w:name="_Toc520101234"/>
      <w:bookmarkStart w:id="3573" w:name="_Toc520533133"/>
      <w:bookmarkStart w:id="3574" w:name="_Toc49224013"/>
      <w:bookmarkStart w:id="3575" w:name="_Toc107055062"/>
      <w:bookmarkStart w:id="3576" w:name="_Toc134854817"/>
      <w:bookmarkStart w:id="3577" w:name="_Toc136841270"/>
      <w:bookmarkStart w:id="3578" w:name="_Toc131416276"/>
      <w:bookmarkStart w:id="3579" w:name="_Toc170193459"/>
      <w:r>
        <w:rPr>
          <w:rStyle w:val="CharSectno"/>
        </w:rPr>
        <w:t>112S</w:t>
      </w:r>
      <w:r>
        <w:rPr>
          <w:snapToGrid w:val="0"/>
        </w:rPr>
        <w:t>.</w:t>
      </w:r>
      <w:r>
        <w:rPr>
          <w:snapToGrid w:val="0"/>
        </w:rPr>
        <w:tab/>
        <w:t>Instruments not required to be lodged</w:t>
      </w:r>
      <w:bookmarkEnd w:id="3571"/>
      <w:bookmarkEnd w:id="3572"/>
      <w:bookmarkEnd w:id="3573"/>
      <w:bookmarkEnd w:id="3574"/>
      <w:bookmarkEnd w:id="3575"/>
      <w:bookmarkEnd w:id="3576"/>
      <w:bookmarkEnd w:id="3577"/>
      <w:bookmarkEnd w:id="3578"/>
      <w:bookmarkEnd w:id="3579"/>
      <w:del w:id="3580" w:author="svcMRProcess" w:date="2020-02-20T23:16:00Z">
        <w:r>
          <w:rPr>
            <w:snapToGrid w:val="0"/>
          </w:rPr>
          <w:delText xml:space="preserve"> </w:delText>
        </w:r>
      </w:del>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3581" w:name="_Toc58902680"/>
      <w:bookmarkStart w:id="3582" w:name="_Toc76899732"/>
      <w:bookmarkStart w:id="3583" w:name="_Toc78090634"/>
      <w:bookmarkStart w:id="3584" w:name="_Toc88887002"/>
      <w:bookmarkStart w:id="3585" w:name="_Toc90443618"/>
      <w:bookmarkStart w:id="3586" w:name="_Toc90452969"/>
      <w:bookmarkStart w:id="3587" w:name="_Toc100029560"/>
      <w:bookmarkStart w:id="3588" w:name="_Toc100031633"/>
      <w:bookmarkStart w:id="3589" w:name="_Toc100458692"/>
      <w:bookmarkStart w:id="3590" w:name="_Toc101672108"/>
      <w:bookmarkStart w:id="3591" w:name="_Toc101672365"/>
      <w:bookmarkStart w:id="3592" w:name="_Toc102799391"/>
      <w:bookmarkStart w:id="3593" w:name="_Toc102982065"/>
      <w:bookmarkStart w:id="3594" w:name="_Toc103403378"/>
      <w:bookmarkStart w:id="3595" w:name="_Toc103403635"/>
      <w:bookmarkStart w:id="3596" w:name="_Toc103747634"/>
      <w:bookmarkStart w:id="3597" w:name="_Toc107055063"/>
      <w:bookmarkStart w:id="3598" w:name="_Toc113874510"/>
      <w:bookmarkStart w:id="3599" w:name="_Toc113956926"/>
      <w:bookmarkStart w:id="3600" w:name="_Toc116717482"/>
      <w:bookmarkStart w:id="3601" w:name="_Toc116813509"/>
      <w:bookmarkStart w:id="3602" w:name="_Toc122333162"/>
      <w:bookmarkStart w:id="3603" w:name="_Toc122862132"/>
      <w:bookmarkStart w:id="3604" w:name="_Toc122862728"/>
      <w:bookmarkStart w:id="3605" w:name="_Toc122921335"/>
      <w:bookmarkStart w:id="3606" w:name="_Toc122921595"/>
      <w:bookmarkStart w:id="3607" w:name="_Toc122947541"/>
      <w:bookmarkStart w:id="3608" w:name="_Toc124046379"/>
      <w:bookmarkStart w:id="3609" w:name="_Toc130266714"/>
      <w:bookmarkStart w:id="3610" w:name="_Toc130266990"/>
      <w:bookmarkStart w:id="3611" w:name="_Toc131383093"/>
      <w:bookmarkStart w:id="3612" w:name="_Toc133812474"/>
      <w:bookmarkStart w:id="3613" w:name="_Toc133920421"/>
      <w:bookmarkStart w:id="3614" w:name="_Toc134854818"/>
      <w:bookmarkStart w:id="3615" w:name="_Toc134855094"/>
      <w:bookmarkStart w:id="3616" w:name="_Toc136841271"/>
      <w:bookmarkStart w:id="3617" w:name="_Toc131415978"/>
      <w:bookmarkStart w:id="3618" w:name="_Toc131416277"/>
      <w:bookmarkStart w:id="3619" w:name="_Toc170193460"/>
      <w:r>
        <w:rPr>
          <w:rStyle w:val="CharPartNo"/>
        </w:rPr>
        <w:t>Part IVD</w:t>
      </w:r>
      <w:r>
        <w:rPr>
          <w:rStyle w:val="CharDivNo"/>
        </w:rPr>
        <w:t> </w:t>
      </w:r>
      <w:r>
        <w:t>—</w:t>
      </w:r>
      <w:r>
        <w:rPr>
          <w:rStyle w:val="CharDivText"/>
        </w:rPr>
        <w:t> </w:t>
      </w:r>
      <w:r>
        <w:rPr>
          <w:rStyle w:val="CharPartText"/>
        </w:rPr>
        <w:t>Maintenance agreements and orders</w:t>
      </w:r>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del w:id="3620" w:author="svcMRProcess" w:date="2020-02-20T23:16:00Z">
        <w:r>
          <w:rPr>
            <w:rStyle w:val="CharPartText"/>
          </w:rPr>
          <w:delText xml:space="preserve"> </w:delText>
        </w:r>
      </w:del>
    </w:p>
    <w:p>
      <w:pPr>
        <w:pStyle w:val="Footnoteheading"/>
        <w:tabs>
          <w:tab w:val="left" w:pos="923"/>
        </w:tabs>
        <w:ind w:left="937" w:hanging="937"/>
        <w:rPr>
          <w:snapToGrid w:val="0"/>
        </w:rPr>
      </w:pPr>
      <w:r>
        <w:rPr>
          <w:snapToGrid w:val="0"/>
        </w:rPr>
        <w:tab/>
        <w:t>[Heading inserted by No. 45 of 1982 s. 3.]</w:t>
      </w:r>
      <w:del w:id="3621" w:author="svcMRProcess" w:date="2020-02-20T23:16:00Z">
        <w:r>
          <w:rPr>
            <w:snapToGrid w:val="0"/>
          </w:rPr>
          <w:delText xml:space="preserve"> </w:delText>
        </w:r>
      </w:del>
    </w:p>
    <w:p>
      <w:pPr>
        <w:pStyle w:val="Heading5"/>
        <w:rPr>
          <w:snapToGrid w:val="0"/>
        </w:rPr>
      </w:pPr>
      <w:bookmarkStart w:id="3622" w:name="_Toc500740072"/>
      <w:bookmarkStart w:id="3623" w:name="_Toc520101235"/>
      <w:bookmarkStart w:id="3624" w:name="_Toc520533134"/>
      <w:bookmarkStart w:id="3625" w:name="_Toc49224014"/>
      <w:bookmarkStart w:id="3626" w:name="_Toc107055064"/>
      <w:bookmarkStart w:id="3627" w:name="_Toc134854819"/>
      <w:bookmarkStart w:id="3628" w:name="_Toc136841272"/>
      <w:bookmarkStart w:id="3629" w:name="_Toc131416278"/>
      <w:bookmarkStart w:id="3630" w:name="_Toc170193461"/>
      <w:r>
        <w:rPr>
          <w:rStyle w:val="CharSectno"/>
        </w:rPr>
        <w:t>112UA</w:t>
      </w:r>
      <w:r>
        <w:rPr>
          <w:snapToGrid w:val="0"/>
        </w:rPr>
        <w:t>.</w:t>
      </w:r>
      <w:r>
        <w:rPr>
          <w:snapToGrid w:val="0"/>
        </w:rPr>
        <w:tab/>
        <w:t>Interpretation in Part IVD</w:t>
      </w:r>
      <w:bookmarkEnd w:id="3622"/>
      <w:bookmarkEnd w:id="3623"/>
      <w:bookmarkEnd w:id="3624"/>
      <w:bookmarkEnd w:id="3625"/>
      <w:bookmarkEnd w:id="3626"/>
      <w:bookmarkEnd w:id="3627"/>
      <w:bookmarkEnd w:id="3628"/>
      <w:bookmarkEnd w:id="3629"/>
      <w:bookmarkEnd w:id="3630"/>
      <w:del w:id="3631" w:author="svcMRProcess" w:date="2020-02-20T23:16:00Z">
        <w:r>
          <w:rPr>
            <w:snapToGrid w:val="0"/>
          </w:rPr>
          <w:delText xml:space="preserve"> </w:delText>
        </w:r>
      </w:del>
    </w:p>
    <w:p>
      <w:pPr>
        <w:pStyle w:val="Subsection"/>
        <w:rPr>
          <w:snapToGrid w:val="0"/>
        </w:rPr>
      </w:pPr>
      <w:r>
        <w:rPr>
          <w:snapToGrid w:val="0"/>
        </w:rPr>
        <w:tab/>
        <w:t>(1)</w:t>
      </w:r>
      <w:r>
        <w:rPr>
          <w:snapToGrid w:val="0"/>
        </w:rPr>
        <w:tab/>
        <w:t>In this Part, unless the contrary intention appears —</w:t>
      </w:r>
      <w:del w:id="3632" w:author="svcMRProcess" w:date="2020-02-20T23:16:00Z">
        <w:r>
          <w:rPr>
            <w:snapToGrid w:val="0"/>
          </w:rPr>
          <w:delText> </w:delText>
        </w:r>
      </w:del>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del w:id="3633" w:author="svcMRProcess" w:date="2020-02-20T23:16:00Z">
        <w:r>
          <w:delText> </w:delText>
        </w:r>
      </w:del>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del w:id="3634" w:author="svcMRProcess" w:date="2020-02-20T23:16:00Z">
        <w:r>
          <w:delText xml:space="preserve"> </w:delText>
        </w:r>
      </w:del>
    </w:p>
    <w:p>
      <w:pPr>
        <w:pStyle w:val="Heading5"/>
        <w:rPr>
          <w:snapToGrid w:val="0"/>
        </w:rPr>
      </w:pPr>
      <w:bookmarkStart w:id="3635" w:name="_Toc500740073"/>
      <w:bookmarkStart w:id="3636" w:name="_Toc520101236"/>
      <w:bookmarkStart w:id="3637" w:name="_Toc520533135"/>
      <w:bookmarkStart w:id="3638" w:name="_Toc49224015"/>
      <w:bookmarkStart w:id="3639" w:name="_Toc107055065"/>
      <w:bookmarkStart w:id="3640" w:name="_Toc134854820"/>
      <w:bookmarkStart w:id="3641" w:name="_Toc136841273"/>
      <w:bookmarkStart w:id="3642" w:name="_Toc131416279"/>
      <w:bookmarkStart w:id="3643" w:name="_Toc170193462"/>
      <w:r>
        <w:rPr>
          <w:rStyle w:val="CharSectno"/>
        </w:rPr>
        <w:t>112UB</w:t>
      </w:r>
      <w:r>
        <w:rPr>
          <w:snapToGrid w:val="0"/>
        </w:rPr>
        <w:t>.</w:t>
      </w:r>
      <w:r>
        <w:rPr>
          <w:snapToGrid w:val="0"/>
        </w:rPr>
        <w:tab/>
        <w:t>Application of Part IVD</w:t>
      </w:r>
      <w:bookmarkEnd w:id="3635"/>
      <w:bookmarkEnd w:id="3636"/>
      <w:bookmarkEnd w:id="3637"/>
      <w:bookmarkEnd w:id="3638"/>
      <w:bookmarkEnd w:id="3639"/>
      <w:bookmarkEnd w:id="3640"/>
      <w:bookmarkEnd w:id="3641"/>
      <w:bookmarkEnd w:id="3642"/>
      <w:bookmarkEnd w:id="3643"/>
      <w:del w:id="3644" w:author="svcMRProcess" w:date="2020-02-20T23:16:00Z">
        <w:r>
          <w:rPr>
            <w:snapToGrid w:val="0"/>
          </w:rPr>
          <w:delText xml:space="preserve"> </w:delText>
        </w:r>
      </w:del>
    </w:p>
    <w:p>
      <w:pPr>
        <w:pStyle w:val="Subsection"/>
        <w:rPr>
          <w:snapToGrid w:val="0"/>
        </w:rPr>
      </w:pPr>
      <w:r>
        <w:rPr>
          <w:snapToGrid w:val="0"/>
        </w:rPr>
        <w:tab/>
        <w:t>(1)</w:t>
      </w:r>
      <w:r>
        <w:rPr>
          <w:snapToGrid w:val="0"/>
        </w:rPr>
        <w:tab/>
        <w:t>Sections 112UC and 112UD do not apply to or in relation to —</w:t>
      </w:r>
      <w:del w:id="3645" w:author="svcMRProcess" w:date="2020-02-20T23:16:00Z">
        <w:r>
          <w:rPr>
            <w:snapToGrid w:val="0"/>
          </w:rPr>
          <w:delText xml:space="preserve"> </w:delText>
        </w:r>
      </w:del>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del w:id="3646" w:author="svcMRProcess" w:date="2020-02-20T23:16:00Z">
        <w:r>
          <w:rPr>
            <w:snapToGrid w:val="0"/>
          </w:rPr>
          <w:delText xml:space="preserve"> </w:delText>
        </w:r>
      </w:del>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del w:id="3647" w:author="svcMRProcess" w:date="2020-02-20T23:16:00Z">
        <w:r>
          <w:rPr>
            <w:snapToGrid w:val="0"/>
          </w:rPr>
          <w:delText> </w:delText>
        </w:r>
      </w:del>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del w:id="3648" w:author="svcMRProcess" w:date="2020-02-20T23:16:00Z">
        <w:r>
          <w:delText xml:space="preserve"> </w:delText>
        </w:r>
      </w:del>
    </w:p>
    <w:p>
      <w:pPr>
        <w:pStyle w:val="Indenta"/>
        <w:spacing w:before="60"/>
      </w:pPr>
      <w:r>
        <w:tab/>
        <w:t>(a)</w:t>
      </w:r>
      <w:r>
        <w:tab/>
        <w:t xml:space="preserve">the </w:t>
      </w:r>
      <w:r>
        <w:rPr>
          <w:snapToGrid w:val="0"/>
        </w:rPr>
        <w:t>parties</w:t>
      </w:r>
      <w:r>
        <w:t xml:space="preserve"> to a marriage are separated or divorced from each other; or</w:t>
      </w:r>
      <w:del w:id="3649" w:author="svcMRProcess" w:date="2020-02-20T23:16:00Z">
        <w:r>
          <w:delText xml:space="preserve"> </w:delText>
        </w:r>
      </w:del>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del w:id="3650" w:author="svcMRProcess" w:date="2020-02-20T23:16:00Z">
        <w:r>
          <w:delText xml:space="preserve"> </w:delText>
        </w:r>
      </w:del>
    </w:p>
    <w:p>
      <w:pPr>
        <w:pStyle w:val="Heading5"/>
        <w:rPr>
          <w:snapToGrid w:val="0"/>
        </w:rPr>
      </w:pPr>
      <w:bookmarkStart w:id="3651" w:name="_Toc500740074"/>
      <w:bookmarkStart w:id="3652" w:name="_Toc520101237"/>
      <w:bookmarkStart w:id="3653" w:name="_Toc520533136"/>
      <w:bookmarkStart w:id="3654" w:name="_Toc49224016"/>
      <w:bookmarkStart w:id="3655" w:name="_Toc107055066"/>
      <w:bookmarkStart w:id="3656" w:name="_Toc134854821"/>
      <w:bookmarkStart w:id="3657" w:name="_Toc136841274"/>
      <w:bookmarkStart w:id="3658" w:name="_Toc131416280"/>
      <w:bookmarkStart w:id="3659" w:name="_Toc170193463"/>
      <w:r>
        <w:rPr>
          <w:rStyle w:val="CharSectno"/>
        </w:rPr>
        <w:t>112UC</w:t>
      </w:r>
      <w:r>
        <w:rPr>
          <w:snapToGrid w:val="0"/>
        </w:rPr>
        <w:t>.</w:t>
      </w:r>
      <w:r>
        <w:rPr>
          <w:snapToGrid w:val="0"/>
        </w:rPr>
        <w:tab/>
        <w:t>Duty on maintenance agreements and orders</w:t>
      </w:r>
      <w:bookmarkEnd w:id="3651"/>
      <w:bookmarkEnd w:id="3652"/>
      <w:bookmarkEnd w:id="3653"/>
      <w:bookmarkEnd w:id="3654"/>
      <w:bookmarkEnd w:id="3655"/>
      <w:bookmarkEnd w:id="3656"/>
      <w:bookmarkEnd w:id="3657"/>
      <w:bookmarkEnd w:id="3658"/>
      <w:bookmarkEnd w:id="3659"/>
      <w:del w:id="3660" w:author="svcMRProcess" w:date="2020-02-20T23:16:00Z">
        <w:r>
          <w:rPr>
            <w:snapToGrid w:val="0"/>
          </w:rPr>
          <w:delText xml:space="preserve"> </w:delText>
        </w:r>
      </w:del>
    </w:p>
    <w:p>
      <w:pPr>
        <w:pStyle w:val="Subsection"/>
        <w:rPr>
          <w:snapToGrid w:val="0"/>
        </w:rPr>
      </w:pPr>
      <w:r>
        <w:rPr>
          <w:snapToGrid w:val="0"/>
        </w:rPr>
        <w:tab/>
      </w:r>
      <w:r>
        <w:rPr>
          <w:snapToGrid w:val="0"/>
        </w:rPr>
        <w:tab/>
        <w:t>Notwithstanding anything in a stamp Act but subject to section 112UB —</w:t>
      </w:r>
      <w:del w:id="3661" w:author="svcMRProcess" w:date="2020-02-20T23:16:00Z">
        <w:r>
          <w:rPr>
            <w:snapToGrid w:val="0"/>
          </w:rPr>
          <w:delText> </w:delText>
        </w:r>
      </w:del>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[Section 112UC inserted by No. 45 of 1982 s. 3; amended by No. 2 of 2003 s. 134.]</w:t>
      </w:r>
      <w:del w:id="3662" w:author="svcMRProcess" w:date="2020-02-20T23:16:00Z">
        <w:r>
          <w:delText xml:space="preserve"> </w:delText>
        </w:r>
      </w:del>
    </w:p>
    <w:p>
      <w:pPr>
        <w:pStyle w:val="Heading5"/>
        <w:rPr>
          <w:snapToGrid w:val="0"/>
        </w:rPr>
      </w:pPr>
      <w:bookmarkStart w:id="3663" w:name="_Toc500740075"/>
      <w:bookmarkStart w:id="3664" w:name="_Toc520101238"/>
      <w:bookmarkStart w:id="3665" w:name="_Toc520533137"/>
      <w:bookmarkStart w:id="3666" w:name="_Toc49224017"/>
      <w:bookmarkStart w:id="3667" w:name="_Toc107055067"/>
      <w:bookmarkStart w:id="3668" w:name="_Toc134854822"/>
      <w:bookmarkStart w:id="3669" w:name="_Toc136841275"/>
      <w:bookmarkStart w:id="3670" w:name="_Toc131416281"/>
      <w:bookmarkStart w:id="3671" w:name="_Toc170193464"/>
      <w:r>
        <w:rPr>
          <w:rStyle w:val="CharSectno"/>
        </w:rPr>
        <w:t>112UD</w:t>
      </w:r>
      <w:r>
        <w:rPr>
          <w:snapToGrid w:val="0"/>
        </w:rPr>
        <w:t>.</w:t>
      </w:r>
      <w:r>
        <w:rPr>
          <w:snapToGrid w:val="0"/>
        </w:rPr>
        <w:tab/>
        <w:t>Duty on conveyance or transfer under maintenance agreement or order</w:t>
      </w:r>
      <w:bookmarkEnd w:id="3663"/>
      <w:bookmarkEnd w:id="3664"/>
      <w:bookmarkEnd w:id="3665"/>
      <w:bookmarkEnd w:id="3666"/>
      <w:bookmarkEnd w:id="3667"/>
      <w:bookmarkEnd w:id="3668"/>
      <w:bookmarkEnd w:id="3669"/>
      <w:bookmarkEnd w:id="3670"/>
      <w:bookmarkEnd w:id="3671"/>
      <w:del w:id="3672" w:author="svcMRProcess" w:date="2020-02-20T23:16:00Z">
        <w:r>
          <w:rPr>
            <w:snapToGrid w:val="0"/>
          </w:rPr>
          <w:delText xml:space="preserve"> </w:delText>
        </w:r>
      </w:del>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del w:id="3673" w:author="svcMRProcess" w:date="2020-02-20T23:16:00Z">
        <w:r>
          <w:delText xml:space="preserve"> </w:delText>
        </w:r>
      </w:del>
    </w:p>
    <w:p>
      <w:pPr>
        <w:pStyle w:val="Heading2"/>
      </w:pPr>
      <w:bookmarkStart w:id="3674" w:name="_Toc58902685"/>
      <w:bookmarkStart w:id="3675" w:name="_Toc76899737"/>
      <w:bookmarkStart w:id="3676" w:name="_Toc78090639"/>
      <w:bookmarkStart w:id="3677" w:name="_Toc88887007"/>
      <w:bookmarkStart w:id="3678" w:name="_Toc90443623"/>
      <w:bookmarkStart w:id="3679" w:name="_Toc90452974"/>
      <w:bookmarkStart w:id="3680" w:name="_Toc100029565"/>
      <w:bookmarkStart w:id="3681" w:name="_Toc100031638"/>
      <w:bookmarkStart w:id="3682" w:name="_Toc100458697"/>
      <w:bookmarkStart w:id="3683" w:name="_Toc101672113"/>
      <w:bookmarkStart w:id="3684" w:name="_Toc101672370"/>
      <w:bookmarkStart w:id="3685" w:name="_Toc102799396"/>
      <w:bookmarkStart w:id="3686" w:name="_Toc102982070"/>
      <w:bookmarkStart w:id="3687" w:name="_Toc103403383"/>
      <w:bookmarkStart w:id="3688" w:name="_Toc103403640"/>
      <w:bookmarkStart w:id="3689" w:name="_Toc103747639"/>
      <w:bookmarkStart w:id="3690" w:name="_Toc107055068"/>
      <w:bookmarkStart w:id="3691" w:name="_Toc113874515"/>
      <w:bookmarkStart w:id="3692" w:name="_Toc113956931"/>
      <w:bookmarkStart w:id="3693" w:name="_Toc116717487"/>
      <w:bookmarkStart w:id="3694" w:name="_Toc116813514"/>
      <w:bookmarkStart w:id="3695" w:name="_Toc122333167"/>
      <w:bookmarkStart w:id="3696" w:name="_Toc122862137"/>
      <w:bookmarkStart w:id="3697" w:name="_Toc122862733"/>
      <w:bookmarkStart w:id="3698" w:name="_Toc122921340"/>
      <w:bookmarkStart w:id="3699" w:name="_Toc122921600"/>
      <w:bookmarkStart w:id="3700" w:name="_Toc122947546"/>
      <w:bookmarkStart w:id="3701" w:name="_Toc124046384"/>
      <w:bookmarkStart w:id="3702" w:name="_Toc130266719"/>
      <w:bookmarkStart w:id="3703" w:name="_Toc130266995"/>
      <w:bookmarkStart w:id="3704" w:name="_Toc131383098"/>
      <w:bookmarkStart w:id="3705" w:name="_Toc133812479"/>
      <w:bookmarkStart w:id="3706" w:name="_Toc133920426"/>
      <w:bookmarkStart w:id="3707" w:name="_Toc134854823"/>
      <w:bookmarkStart w:id="3708" w:name="_Toc134855099"/>
      <w:bookmarkStart w:id="3709" w:name="_Toc136841276"/>
      <w:bookmarkStart w:id="3710" w:name="_Toc131415983"/>
      <w:bookmarkStart w:id="3711" w:name="_Toc131416282"/>
      <w:bookmarkStart w:id="3712" w:name="_Toc170193465"/>
      <w:r>
        <w:rPr>
          <w:rStyle w:val="CharPartNo"/>
        </w:rPr>
        <w:t>Part IVE</w:t>
      </w:r>
      <w:r>
        <w:rPr>
          <w:rStyle w:val="CharDivNo"/>
        </w:rPr>
        <w:t> </w:t>
      </w:r>
      <w:r>
        <w:t>—</w:t>
      </w:r>
      <w:r>
        <w:rPr>
          <w:rStyle w:val="CharDivText"/>
        </w:rPr>
        <w:t> </w:t>
      </w:r>
      <w:r>
        <w:rPr>
          <w:rStyle w:val="CharPartText"/>
        </w:rPr>
        <w:t>Managed investment schemes</w:t>
      </w:r>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p>
    <w:p>
      <w:pPr>
        <w:pStyle w:val="Footnoteheading"/>
        <w:tabs>
          <w:tab w:val="left" w:pos="923"/>
        </w:tabs>
        <w:ind w:left="937" w:hanging="937"/>
      </w:pPr>
      <w:r>
        <w:tab/>
        <w:t>[Heading inserted by No. 24 of 1999 s. 6.]</w:t>
      </w:r>
    </w:p>
    <w:p>
      <w:pPr>
        <w:pStyle w:val="Heading5"/>
      </w:pPr>
      <w:bookmarkStart w:id="3713" w:name="_Toc500740076"/>
      <w:bookmarkStart w:id="3714" w:name="_Toc520101239"/>
      <w:bookmarkStart w:id="3715" w:name="_Toc520533138"/>
      <w:bookmarkStart w:id="3716" w:name="_Toc49224018"/>
      <w:bookmarkStart w:id="3717" w:name="_Toc107055069"/>
      <w:bookmarkStart w:id="3718" w:name="_Toc134854824"/>
      <w:bookmarkStart w:id="3719" w:name="_Toc136841277"/>
      <w:bookmarkStart w:id="3720" w:name="_Toc131416283"/>
      <w:bookmarkStart w:id="3721" w:name="_Toc170193466"/>
      <w:r>
        <w:rPr>
          <w:rStyle w:val="CharSectno"/>
        </w:rPr>
        <w:t>112UE</w:t>
      </w:r>
      <w:r>
        <w:t>.</w:t>
      </w:r>
      <w:r>
        <w:tab/>
        <w:t>Duty on certain instruments for the purpose of managed investment schemes</w:t>
      </w:r>
      <w:bookmarkEnd w:id="3713"/>
      <w:bookmarkEnd w:id="3714"/>
      <w:bookmarkEnd w:id="3715"/>
      <w:bookmarkEnd w:id="3716"/>
      <w:bookmarkEnd w:id="3717"/>
      <w:bookmarkEnd w:id="3718"/>
      <w:bookmarkEnd w:id="3719"/>
      <w:bookmarkEnd w:id="3720"/>
      <w:bookmarkEnd w:id="3721"/>
    </w:p>
    <w:p>
      <w:pPr>
        <w:pStyle w:val="Subsection"/>
      </w:pPr>
      <w:r>
        <w:tab/>
        <w:t>(1)</w:t>
      </w:r>
      <w:r>
        <w:tab/>
        <w:t>In this</w:t>
      </w:r>
      <w:del w:id="3722" w:author="svcMRProcess" w:date="2020-02-20T23:16:00Z">
        <w:r>
          <w:delText> </w:delText>
        </w:r>
      </w:del>
      <w:ins w:id="3723" w:author="svcMRProcess" w:date="2020-02-20T23:16:00Z">
        <w:r>
          <w:t xml:space="preserve"> </w:t>
        </w:r>
      </w:ins>
      <w:r>
        <w:t>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3724" w:name="_Toc58902687"/>
      <w:bookmarkStart w:id="3725" w:name="_Toc76899739"/>
      <w:bookmarkStart w:id="3726" w:name="_Toc78090641"/>
      <w:bookmarkStart w:id="3727" w:name="_Toc88887009"/>
      <w:bookmarkStart w:id="3728" w:name="_Toc90443625"/>
      <w:bookmarkStart w:id="3729" w:name="_Toc90452976"/>
      <w:bookmarkStart w:id="3730" w:name="_Toc100029567"/>
      <w:bookmarkStart w:id="3731" w:name="_Toc100031640"/>
      <w:bookmarkStart w:id="3732" w:name="_Toc100458699"/>
      <w:bookmarkStart w:id="3733" w:name="_Toc101672115"/>
      <w:bookmarkStart w:id="3734" w:name="_Toc101672372"/>
      <w:bookmarkStart w:id="3735" w:name="_Toc102799398"/>
      <w:bookmarkStart w:id="3736" w:name="_Toc102982072"/>
      <w:bookmarkStart w:id="3737" w:name="_Toc103403385"/>
      <w:bookmarkStart w:id="3738" w:name="_Toc103403642"/>
      <w:bookmarkStart w:id="3739" w:name="_Toc103747641"/>
      <w:bookmarkStart w:id="3740" w:name="_Toc107055070"/>
      <w:bookmarkStart w:id="3741" w:name="_Toc113874517"/>
      <w:bookmarkStart w:id="3742" w:name="_Toc113956933"/>
      <w:bookmarkStart w:id="3743" w:name="_Toc116717489"/>
      <w:bookmarkStart w:id="3744" w:name="_Toc116813516"/>
      <w:bookmarkStart w:id="3745" w:name="_Toc122333169"/>
      <w:bookmarkStart w:id="3746" w:name="_Toc122862139"/>
      <w:bookmarkStart w:id="3747" w:name="_Toc122862735"/>
      <w:bookmarkStart w:id="3748" w:name="_Toc122921342"/>
      <w:bookmarkStart w:id="3749" w:name="_Toc122921602"/>
      <w:bookmarkStart w:id="3750" w:name="_Toc122947548"/>
      <w:bookmarkStart w:id="3751" w:name="_Toc124046386"/>
      <w:bookmarkStart w:id="3752" w:name="_Toc130266721"/>
      <w:bookmarkStart w:id="3753" w:name="_Toc130266997"/>
      <w:bookmarkStart w:id="3754" w:name="_Toc131383100"/>
      <w:bookmarkStart w:id="3755" w:name="_Toc133812481"/>
      <w:bookmarkStart w:id="3756" w:name="_Toc133920428"/>
      <w:bookmarkStart w:id="3757" w:name="_Toc134854825"/>
      <w:bookmarkStart w:id="3758" w:name="_Toc134855101"/>
      <w:bookmarkStart w:id="3759" w:name="_Toc136841278"/>
      <w:bookmarkStart w:id="3760" w:name="_Toc131415985"/>
      <w:bookmarkStart w:id="3761" w:name="_Toc131416284"/>
      <w:bookmarkStart w:id="3762" w:name="_Toc170193467"/>
      <w:r>
        <w:rPr>
          <w:rStyle w:val="CharPartNo"/>
        </w:rPr>
        <w:t>Part V</w:t>
      </w:r>
      <w:r>
        <w:rPr>
          <w:rStyle w:val="CharDivNo"/>
        </w:rPr>
        <w:t> </w:t>
      </w:r>
      <w:r>
        <w:t>—</w:t>
      </w:r>
      <w:r>
        <w:rPr>
          <w:rStyle w:val="CharDivText"/>
        </w:rPr>
        <w:t> </w:t>
      </w:r>
      <w:r>
        <w:rPr>
          <w:rStyle w:val="CharPartText"/>
        </w:rPr>
        <w:t>Miscellaneous</w:t>
      </w:r>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p>
    <w:p>
      <w:pPr>
        <w:pStyle w:val="Ednotesection"/>
      </w:pPr>
      <w:r>
        <w:t>[</w:t>
      </w:r>
      <w:r>
        <w:rPr>
          <w:b/>
        </w:rPr>
        <w:t>112V.</w:t>
      </w:r>
      <w:r>
        <w:tab/>
        <w:t>Repealed by No. 2 of 2003 s. 137.]</w:t>
      </w:r>
      <w:del w:id="3763" w:author="svcMRProcess" w:date="2020-02-20T23:16:00Z">
        <w:r>
          <w:delText xml:space="preserve"> </w:delText>
        </w:r>
      </w:del>
    </w:p>
    <w:p>
      <w:pPr>
        <w:pStyle w:val="Ednotesection"/>
      </w:pPr>
      <w:r>
        <w:t>[</w:t>
      </w:r>
      <w:r>
        <w:rPr>
          <w:b/>
        </w:rPr>
        <w:t>112W.</w:t>
      </w:r>
      <w:r>
        <w:tab/>
        <w:t>Repealed by No. 37 of 1979 s. 99.]</w:t>
      </w:r>
      <w:del w:id="3764" w:author="svcMRProcess" w:date="2020-02-20T23:16:00Z">
        <w:r>
          <w:delText xml:space="preserve"> </w:delText>
        </w:r>
      </w:del>
    </w:p>
    <w:p>
      <w:pPr>
        <w:pStyle w:val="Heading5"/>
      </w:pPr>
      <w:bookmarkStart w:id="3765" w:name="_Toc49224019"/>
      <w:bookmarkStart w:id="3766" w:name="_Toc107055071"/>
      <w:bookmarkStart w:id="3767" w:name="_Toc134854826"/>
      <w:bookmarkStart w:id="3768" w:name="_Toc136841279"/>
      <w:bookmarkStart w:id="3769" w:name="_Toc131416285"/>
      <w:bookmarkStart w:id="3770" w:name="_Toc170193468"/>
      <w:bookmarkStart w:id="3771" w:name="_Toc500740084"/>
      <w:bookmarkStart w:id="3772" w:name="_Toc520101247"/>
      <w:bookmarkStart w:id="3773" w:name="_Toc520533146"/>
      <w:r>
        <w:rPr>
          <w:rStyle w:val="CharSectno"/>
        </w:rPr>
        <w:t>113</w:t>
      </w:r>
      <w:r>
        <w:t>.</w:t>
      </w:r>
      <w:r>
        <w:tab/>
        <w:t>Commissioner may impound unstamped documents</w:t>
      </w:r>
      <w:bookmarkEnd w:id="3765"/>
      <w:bookmarkEnd w:id="3766"/>
      <w:bookmarkEnd w:id="3767"/>
      <w:bookmarkEnd w:id="3768"/>
      <w:bookmarkEnd w:id="3769"/>
      <w:bookmarkEnd w:id="3770"/>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3774" w:name="_Toc49224020"/>
      <w:bookmarkStart w:id="3775" w:name="_Toc107055072"/>
      <w:bookmarkStart w:id="3776" w:name="_Toc134854827"/>
      <w:bookmarkStart w:id="3777" w:name="_Toc136841280"/>
      <w:bookmarkStart w:id="3778" w:name="_Toc131416286"/>
      <w:bookmarkStart w:id="3779" w:name="_Toc170193469"/>
      <w:r>
        <w:rPr>
          <w:rStyle w:val="CharSectno"/>
        </w:rPr>
        <w:t>114</w:t>
      </w:r>
      <w:r>
        <w:t>.</w:t>
      </w:r>
      <w:r>
        <w:tab/>
        <w:t>Commissioner may destroy instruments</w:t>
      </w:r>
      <w:bookmarkEnd w:id="3774"/>
      <w:bookmarkEnd w:id="3775"/>
      <w:bookmarkEnd w:id="3776"/>
      <w:bookmarkEnd w:id="3777"/>
      <w:bookmarkEnd w:id="3778"/>
      <w:bookmarkEnd w:id="3779"/>
    </w:p>
    <w:p>
      <w:pPr>
        <w:pStyle w:val="Subsection"/>
      </w:pPr>
      <w:r>
        <w:tab/>
        <w:t>(1)</w:t>
      </w:r>
      <w:r>
        <w:tab/>
        <w:t>The Commissioner may destroy any instrument in the Commissioner’s possession or control if —</w:t>
      </w:r>
      <w:del w:id="3780" w:author="svcMRProcess" w:date="2020-02-20T23:16:00Z">
        <w:r>
          <w:delText xml:space="preserve"> </w:delText>
        </w:r>
      </w:del>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del w:id="3781" w:author="svcMRProcess" w:date="2020-02-20T23:16:00Z">
        <w:r>
          <w:delText xml:space="preserve"> </w:delText>
        </w:r>
      </w:del>
    </w:p>
    <w:p>
      <w:pPr>
        <w:pStyle w:val="Heading5"/>
        <w:rPr>
          <w:snapToGrid w:val="0"/>
        </w:rPr>
      </w:pPr>
      <w:bookmarkStart w:id="3782" w:name="_Toc49224021"/>
      <w:bookmarkStart w:id="3783" w:name="_Toc107055073"/>
      <w:bookmarkStart w:id="3784" w:name="_Toc134854828"/>
      <w:bookmarkStart w:id="3785" w:name="_Toc136841281"/>
      <w:bookmarkStart w:id="3786" w:name="_Toc131416287"/>
      <w:bookmarkStart w:id="3787" w:name="_Toc170193470"/>
      <w:r>
        <w:rPr>
          <w:rStyle w:val="CharSectno"/>
        </w:rPr>
        <w:t>119</w:t>
      </w:r>
      <w:r>
        <w:rPr>
          <w:snapToGrid w:val="0"/>
        </w:rPr>
        <w:t>.</w:t>
      </w:r>
      <w:r>
        <w:rPr>
          <w:snapToGrid w:val="0"/>
        </w:rPr>
        <w:tab/>
        <w:t>Certain exemptions where the State of Western Australia etc. is a party</w:t>
      </w:r>
      <w:bookmarkEnd w:id="3771"/>
      <w:bookmarkEnd w:id="3772"/>
      <w:bookmarkEnd w:id="3773"/>
      <w:bookmarkEnd w:id="3782"/>
      <w:bookmarkEnd w:id="3783"/>
      <w:bookmarkEnd w:id="3784"/>
      <w:bookmarkEnd w:id="3785"/>
      <w:bookmarkEnd w:id="3786"/>
      <w:bookmarkEnd w:id="3787"/>
      <w:del w:id="3788" w:author="svcMRProcess" w:date="2020-02-20T23:16:00Z">
        <w:r>
          <w:rPr>
            <w:snapToGrid w:val="0"/>
          </w:rPr>
          <w:delText xml:space="preserve"> </w:delText>
        </w:r>
      </w:del>
    </w:p>
    <w:p>
      <w:pPr>
        <w:pStyle w:val="Subsection"/>
        <w:keepNext/>
        <w:rPr>
          <w:snapToGrid w:val="0"/>
        </w:rPr>
      </w:pPr>
      <w:r>
        <w:rPr>
          <w:snapToGrid w:val="0"/>
        </w:rPr>
        <w:tab/>
        <w:t>(1)</w:t>
      </w:r>
      <w:r>
        <w:rPr>
          <w:snapToGrid w:val="0"/>
        </w:rPr>
        <w:tab/>
        <w:t>In this section —</w:t>
      </w:r>
      <w:del w:id="3789" w:author="svcMRProcess" w:date="2020-02-20T23:16:00Z">
        <w:r>
          <w:rPr>
            <w:snapToGrid w:val="0"/>
          </w:rPr>
          <w:delText> </w:delText>
        </w:r>
      </w:del>
    </w:p>
    <w:p>
      <w:pPr>
        <w:pStyle w:val="Defstart"/>
      </w:pPr>
      <w:r>
        <w:rPr>
          <w:b/>
        </w:rPr>
        <w:tab/>
        <w:t>“</w:t>
      </w:r>
      <w:r>
        <w:rPr>
          <w:rStyle w:val="CharDefText"/>
        </w:rPr>
        <w:t>exempt body</w:t>
      </w:r>
      <w:r>
        <w:rPr>
          <w:b/>
        </w:rPr>
        <w:t>”</w:t>
      </w:r>
      <w:r>
        <w:t xml:space="preserve"> means —</w:t>
      </w:r>
      <w:del w:id="3790" w:author="svcMRProcess" w:date="2020-02-20T23:16:00Z">
        <w:r>
          <w:delText> </w:delText>
        </w:r>
      </w:del>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del w:id="3791" w:author="svcMRProcess" w:date="2020-02-20T23:16:00Z">
        <w:r>
          <w:delText xml:space="preserve"> </w:delText>
        </w:r>
      </w:del>
    </w:p>
    <w:p>
      <w:pPr>
        <w:pStyle w:val="Heading5"/>
      </w:pPr>
      <w:bookmarkStart w:id="3792" w:name="_Toc49224022"/>
      <w:bookmarkStart w:id="3793" w:name="_Toc107055074"/>
      <w:bookmarkStart w:id="3794" w:name="_Toc134854829"/>
      <w:bookmarkStart w:id="3795" w:name="_Toc136841282"/>
      <w:bookmarkStart w:id="3796" w:name="_Toc131416288"/>
      <w:bookmarkStart w:id="3797" w:name="_Toc170193471"/>
      <w:r>
        <w:rPr>
          <w:rStyle w:val="CharSectno"/>
        </w:rPr>
        <w:t>120</w:t>
      </w:r>
      <w:r>
        <w:t>.</w:t>
      </w:r>
      <w:r>
        <w:tab/>
        <w:t>Regulations</w:t>
      </w:r>
      <w:bookmarkEnd w:id="3792"/>
      <w:bookmarkEnd w:id="3793"/>
      <w:bookmarkEnd w:id="3794"/>
      <w:bookmarkEnd w:id="3795"/>
      <w:bookmarkEnd w:id="3796"/>
      <w:bookmarkEnd w:id="3797"/>
    </w:p>
    <w:p>
      <w:pPr>
        <w:pStyle w:val="Subsection"/>
      </w:pPr>
      <w:r>
        <w:tab/>
        <w:t>(1)</w:t>
      </w:r>
      <w:r>
        <w:tab/>
        <w:t>The Governor may make regulations prescribing all matters that are required or permitted by a stamp Act to be prescribed or are necessary or convenient to be prescribed to give effect to a stamp Act.</w:t>
      </w:r>
      <w:del w:id="3798" w:author="svcMRProcess" w:date="2020-02-20T23:16:00Z">
        <w:r>
          <w:delText xml:space="preserve"> </w:delText>
        </w:r>
      </w:del>
    </w:p>
    <w:p>
      <w:pPr>
        <w:pStyle w:val="Subsection"/>
      </w:pPr>
      <w:r>
        <w:tab/>
        <w:t>(2)</w:t>
      </w:r>
      <w:r>
        <w:tab/>
        <w:t>Regulations may be made in relation to any or all of the following matters —</w:t>
      </w:r>
    </w:p>
    <w:p>
      <w:pPr>
        <w:pStyle w:val="Indenta"/>
      </w:pPr>
      <w:r>
        <w:tab/>
        <w:t>(a)</w:t>
      </w:r>
      <w:r>
        <w:tab/>
        <w:t>the fees payable under a stamp Act;</w:t>
      </w:r>
      <w:del w:id="3799" w:author="svcMRProcess" w:date="2020-02-20T23:16:00Z">
        <w:r>
          <w:delText xml:space="preserve"> </w:delText>
        </w:r>
      </w:del>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del w:id="3800" w:author="svcMRProcess" w:date="2020-02-20T23:16:00Z">
        <w:r>
          <w:delText xml:space="preserve"> </w:delText>
        </w:r>
      </w:del>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del w:id="3801" w:author="svcMRProcess" w:date="2020-02-20T23:16:00Z">
        <w:r>
          <w:delText xml:space="preserve"> </w:delText>
        </w:r>
      </w:del>
    </w:p>
    <w:p>
      <w:pPr>
        <w:pStyle w:val="Footnotesection"/>
      </w:pPr>
      <w:r>
        <w:tab/>
        <w:t>[Section 120 inserted by No. 2 of 2003 s. 139; amended by No. 12 of 2004 s. 34.]</w:t>
      </w:r>
    </w:p>
    <w:p>
      <w:pPr>
        <w:pStyle w:val="Heading5"/>
      </w:pPr>
      <w:bookmarkStart w:id="3802" w:name="_Toc49224023"/>
      <w:bookmarkStart w:id="3803" w:name="_Toc107055075"/>
      <w:bookmarkStart w:id="3804" w:name="_Toc134854830"/>
      <w:bookmarkStart w:id="3805" w:name="_Toc136841283"/>
      <w:bookmarkStart w:id="3806" w:name="_Toc131416289"/>
      <w:bookmarkStart w:id="3807" w:name="_Toc170193472"/>
      <w:r>
        <w:rPr>
          <w:rStyle w:val="CharSectno"/>
        </w:rPr>
        <w:t>121</w:t>
      </w:r>
      <w:r>
        <w:t>.</w:t>
      </w:r>
      <w:r>
        <w:tab/>
        <w:t>Application of section 1070A of the Corporations Act limited</w:t>
      </w:r>
      <w:bookmarkEnd w:id="3802"/>
      <w:bookmarkEnd w:id="3803"/>
      <w:bookmarkEnd w:id="3804"/>
      <w:bookmarkEnd w:id="3805"/>
      <w:bookmarkEnd w:id="3806"/>
      <w:bookmarkEnd w:id="3807"/>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yEdnoteschedule"/>
      </w:pPr>
      <w:r>
        <w:t>[First Schedule repealed by No. 2 of 2003 s. 140.]</w:t>
      </w:r>
    </w:p>
    <w:p>
      <w:pPr>
        <w:rPr>
          <w:rStyle w:val="CharDivText"/>
        </w:rPr>
        <w:sectPr>
          <w:headerReference w:type="even" r:id="rId33"/>
          <w:headerReference w:type="default" r:id="rId34"/>
          <w:footerReference w:type="even" r:id="rId35"/>
          <w:footerReference w:type="default" r:id="rId36"/>
          <w:headerReference w:type="first" r:id="rId37"/>
          <w:footerReference w:type="first" r:id="rId38"/>
          <w:pgSz w:w="11906" w:h="16838" w:code="9"/>
          <w:pgMar w:top="2381" w:right="2409" w:bottom="3543" w:left="2409" w:header="720" w:footer="3380" w:gutter="0"/>
          <w:pgNumType w:start="1"/>
          <w:cols w:space="720"/>
          <w:noEndnote/>
          <w:titlePg/>
          <w:docGrid w:linePitch="326"/>
        </w:sectPr>
      </w:pPr>
    </w:p>
    <w:p>
      <w:pPr>
        <w:pStyle w:val="yScheduleHeading"/>
      </w:pPr>
      <w:bookmarkStart w:id="3808" w:name="_Toc520101250"/>
      <w:bookmarkStart w:id="3809" w:name="_Toc49224024"/>
      <w:bookmarkStart w:id="3810" w:name="_Toc49332683"/>
      <w:bookmarkStart w:id="3811" w:name="_Toc51126861"/>
      <w:bookmarkStart w:id="3812" w:name="_Toc101672378"/>
      <w:bookmarkStart w:id="3813" w:name="_Toc103403648"/>
      <w:bookmarkStart w:id="3814" w:name="_Toc103747647"/>
      <w:bookmarkStart w:id="3815" w:name="_Toc107055076"/>
      <w:bookmarkStart w:id="3816" w:name="_Toc113874523"/>
      <w:bookmarkStart w:id="3817" w:name="_Toc113956939"/>
      <w:bookmarkStart w:id="3818" w:name="_Toc116717495"/>
      <w:bookmarkStart w:id="3819" w:name="_Toc116813522"/>
      <w:bookmarkStart w:id="3820" w:name="_Toc122333175"/>
      <w:bookmarkStart w:id="3821" w:name="_Toc122862145"/>
      <w:bookmarkStart w:id="3822" w:name="_Toc122862741"/>
      <w:bookmarkStart w:id="3823" w:name="_Toc122921348"/>
      <w:bookmarkStart w:id="3824" w:name="_Toc122921608"/>
      <w:bookmarkStart w:id="3825" w:name="_Toc122947554"/>
      <w:bookmarkStart w:id="3826" w:name="_Toc124046392"/>
      <w:bookmarkStart w:id="3827" w:name="_Toc130266727"/>
      <w:bookmarkStart w:id="3828" w:name="_Toc130267003"/>
      <w:bookmarkStart w:id="3829" w:name="_Toc131383106"/>
      <w:bookmarkStart w:id="3830" w:name="_Toc133812487"/>
      <w:bookmarkStart w:id="3831" w:name="_Toc133920434"/>
      <w:bookmarkStart w:id="3832" w:name="_Toc134854831"/>
      <w:bookmarkStart w:id="3833" w:name="_Toc134855107"/>
      <w:bookmarkStart w:id="3834" w:name="_Toc136841284"/>
      <w:bookmarkStart w:id="3835" w:name="_Toc131415991"/>
      <w:bookmarkStart w:id="3836" w:name="_Toc131416290"/>
      <w:bookmarkStart w:id="3837" w:name="_Toc170193473"/>
      <w:r>
        <w:rPr>
          <w:rStyle w:val="CharSchNo"/>
        </w:rPr>
        <w:t>Second Schedule</w:t>
      </w:r>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p>
    <w:p>
      <w:pPr>
        <w:pStyle w:val="yShoulderClause"/>
        <w:spacing w:before="0"/>
        <w:rPr>
          <w:snapToGrid w:val="0"/>
        </w:rPr>
      </w:pPr>
      <w:r>
        <w:rPr>
          <w:snapToGrid w:val="0"/>
        </w:rPr>
        <w:t>[Section 16(1)]</w:t>
      </w:r>
    </w:p>
    <w:p>
      <w:pPr>
        <w:pStyle w:val="yHeading2"/>
      </w:pPr>
      <w:bookmarkStart w:id="3838" w:name="_Toc49569867"/>
      <w:bookmarkStart w:id="3839" w:name="_Toc51491318"/>
      <w:bookmarkStart w:id="3840" w:name="_Toc51659581"/>
      <w:bookmarkStart w:id="3841" w:name="_Toc100458706"/>
      <w:bookmarkStart w:id="3842" w:name="_Toc101672379"/>
      <w:bookmarkStart w:id="3843" w:name="_Toc102982079"/>
      <w:bookmarkStart w:id="3844" w:name="_Toc103403649"/>
      <w:bookmarkStart w:id="3845" w:name="_Toc103747648"/>
      <w:bookmarkStart w:id="3846" w:name="_Toc107055077"/>
      <w:bookmarkStart w:id="3847" w:name="_Toc113874524"/>
      <w:bookmarkStart w:id="3848" w:name="_Toc113956940"/>
      <w:bookmarkStart w:id="3849" w:name="_Toc116717496"/>
      <w:bookmarkStart w:id="3850" w:name="_Toc116813523"/>
      <w:bookmarkStart w:id="3851" w:name="_Toc122333176"/>
      <w:bookmarkStart w:id="3852" w:name="_Toc122862146"/>
      <w:bookmarkStart w:id="3853" w:name="_Toc122862742"/>
      <w:bookmarkStart w:id="3854" w:name="_Toc122921349"/>
      <w:bookmarkStart w:id="3855" w:name="_Toc122921609"/>
      <w:bookmarkStart w:id="3856" w:name="_Toc122947555"/>
      <w:bookmarkStart w:id="3857" w:name="_Toc124046393"/>
      <w:bookmarkStart w:id="3858" w:name="_Toc130266728"/>
      <w:bookmarkStart w:id="3859" w:name="_Toc130267004"/>
      <w:bookmarkStart w:id="3860" w:name="_Toc131383107"/>
      <w:bookmarkStart w:id="3861" w:name="_Toc133812488"/>
      <w:bookmarkStart w:id="3862" w:name="_Toc133920435"/>
      <w:bookmarkStart w:id="3863" w:name="_Toc134854832"/>
      <w:bookmarkStart w:id="3864" w:name="_Toc134855108"/>
      <w:bookmarkStart w:id="3865" w:name="_Toc136841285"/>
      <w:bookmarkStart w:id="3866" w:name="_Toc131415992"/>
      <w:bookmarkStart w:id="3867" w:name="_Toc131416291"/>
      <w:bookmarkStart w:id="3868" w:name="_Toc170193474"/>
      <w:r>
        <w:rPr>
          <w:rStyle w:val="CharSchText"/>
        </w:rPr>
        <w:t>Duties payable on instruments</w:t>
      </w:r>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ins w:id="3869" w:author="svcMRProcess" w:date="2020-02-20T23:16:00Z">
        <w:r>
          <w:rPr>
            <w:rStyle w:val="CharSClsNo"/>
          </w:rPr>
          <w:t xml:space="preserve"> </w:t>
        </w:r>
      </w:ins>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pacing w:val="-2"/>
                <w:sz w:val="18"/>
              </w:rPr>
            </w:pPr>
            <w:r>
              <w:rPr>
                <w:spacing w:val="-2"/>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pacing w:val="-2"/>
                <w:sz w:val="18"/>
              </w:rPr>
            </w:pPr>
            <w:r>
              <w:rPr>
                <w:spacing w:val="-2"/>
                <w:sz w:val="18"/>
              </w:rPr>
              <w:t>CONVEYANCE OR TRANSFER ON SALE OF PROPERTY</w:t>
            </w:r>
          </w:p>
        </w:tc>
        <w:tc>
          <w:tcPr>
            <w:tcW w:w="1563" w:type="dxa"/>
          </w:tcPr>
          <w:p>
            <w:pPr>
              <w:pStyle w:val="yTable"/>
              <w:keepNext/>
              <w:spacing w:before="120"/>
              <w:rPr>
                <w:spacing w:val="-2"/>
                <w:sz w:val="18"/>
              </w:rPr>
            </w:pPr>
            <w:r>
              <w:rPr>
                <w:spacing w:val="-2"/>
                <w:sz w:val="18"/>
              </w:rPr>
              <w:t xml:space="preserve"> </w:t>
            </w:r>
          </w:p>
        </w:tc>
        <w:tc>
          <w:tcPr>
            <w:tcW w:w="1419" w:type="dxa"/>
            <w:gridSpan w:val="2"/>
          </w:tcPr>
          <w:p>
            <w:pPr>
              <w:pStyle w:val="yTable"/>
              <w:keepNext/>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iCs/>
                <w:sz w:val="18"/>
              </w:rPr>
              <w:t>Planning and Development Act</w:t>
            </w:r>
            <w:del w:id="3870" w:author="svcMRProcess" w:date="2020-02-20T23:16:00Z">
              <w:r>
                <w:rPr>
                  <w:i/>
                  <w:iCs/>
                  <w:sz w:val="18"/>
                </w:rPr>
                <w:delText xml:space="preserve"> </w:delText>
              </w:r>
            </w:del>
            <w:ins w:id="3871" w:author="svcMRProcess" w:date="2020-02-20T23:16:00Z">
              <w:r>
                <w:rPr>
                  <w:i/>
                  <w:iCs/>
                  <w:sz w:val="18"/>
                </w:rPr>
                <w:t> </w:t>
              </w:r>
            </w:ins>
            <w:r>
              <w:rPr>
                <w:i/>
                <w:iCs/>
                <w:sz w:val="18"/>
              </w:rPr>
              <w:t>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$5 000,</w:t>
            </w:r>
          </w:p>
          <w:p>
            <w:pPr>
              <w:pStyle w:val="yTable"/>
              <w:rPr>
                <w:spacing w:val="-2"/>
                <w:sz w:val="18"/>
              </w:rPr>
            </w:pPr>
            <w:r>
              <w:rPr>
                <w:spacing w:val="-2"/>
                <w:sz w:val="18"/>
              </w:rPr>
              <w:t>plus $0.40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$8 000</w:t>
            </w:r>
          </w:p>
          <w:p>
            <w:pPr>
              <w:pStyle w:val="yTable"/>
              <w:spacing w:before="0"/>
              <w:rPr>
                <w:spacing w:val="-2"/>
                <w:sz w:val="16"/>
              </w:rPr>
            </w:pPr>
            <w:r>
              <w:rPr>
                <w:spacing w:val="-2"/>
                <w:sz w:val="18"/>
              </w:rPr>
              <w:t>plus $0.25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del w:id="3872" w:author="svcMRProcess" w:date="2020-02-20T23:16:00Z"/>
                <w:spacing w:val="-2"/>
                <w:sz w:val="18"/>
              </w:rPr>
            </w:pPr>
            <w:r>
              <w:rPr>
                <w:spacing w:val="-2"/>
                <w:sz w:val="18"/>
              </w:rPr>
              <w:br/>
            </w:r>
            <w:r>
              <w:rPr>
                <w:spacing w:val="-2"/>
                <w:sz w:val="18"/>
              </w:rPr>
              <w:br/>
            </w:r>
            <w:r>
              <w:rPr>
                <w:spacing w:val="-2"/>
                <w:sz w:val="18"/>
              </w:rPr>
              <w:br/>
            </w:r>
            <w:r>
              <w:rPr>
                <w:spacing w:val="-2"/>
                <w:sz w:val="18"/>
              </w:rPr>
              <w:br/>
              <w:t xml:space="preserve">$20.00 for any amount up to and including $8 000 </w:t>
            </w:r>
          </w:p>
          <w:p>
            <w:pPr>
              <w:pStyle w:val="yTable"/>
              <w:keepNext/>
              <w:rPr>
                <w:del w:id="3873" w:author="svcMRProcess" w:date="2020-02-20T23:16:00Z"/>
                <w:spacing w:val="-2"/>
                <w:sz w:val="18"/>
              </w:rPr>
            </w:pPr>
            <w:r>
              <w:rPr>
                <w:spacing w:val="-2"/>
                <w:sz w:val="18"/>
              </w:rPr>
              <w:t xml:space="preserve">plus $0.25 for each additional $100 and every fractional part of $100 that is used for the mortgagor’s dwellinghouse, </w:t>
            </w:r>
          </w:p>
          <w:p>
            <w:pPr>
              <w:pStyle w:val="yTable"/>
              <w:keepNext/>
              <w:spacing w:before="40"/>
              <w:rPr>
                <w:spacing w:val="-2"/>
                <w:sz w:val="18"/>
              </w:rPr>
            </w:pPr>
            <w:r>
              <w:rPr>
                <w:spacing w:val="-2"/>
                <w:sz w:val="18"/>
              </w:rPr>
              <w:t>plus $0.40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120"/>
              <w:rPr>
                <w:caps/>
                <w:sz w:val="18"/>
              </w:rPr>
            </w:pPr>
            <w:r>
              <w:rPr>
                <w:caps/>
                <w:sz w:val="18"/>
              </w:rPr>
              <w:t>14.</w:t>
            </w:r>
          </w:p>
        </w:tc>
        <w:tc>
          <w:tcPr>
            <w:tcW w:w="3402" w:type="dxa"/>
            <w:gridSpan w:val="2"/>
          </w:tcPr>
          <w:p>
            <w:pPr>
              <w:pStyle w:val="yTable"/>
              <w:tabs>
                <w:tab w:val="right" w:leader="dot" w:pos="3205"/>
              </w:tabs>
              <w:spacing w:before="120"/>
              <w:ind w:right="448"/>
              <w:rPr>
                <w:caps/>
                <w:sz w:val="18"/>
              </w:rPr>
            </w:pPr>
            <w:r>
              <w:rPr>
                <w:caps/>
                <w:sz w:val="18"/>
              </w:rPr>
              <w:t>VEHICLE LICENCES, GRANT OR TRANSFER</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40"/>
              <w:ind w:right="1531"/>
              <w:rPr>
                <w:sz w:val="18"/>
              </w:rPr>
            </w:pPr>
          </w:p>
          <w:p>
            <w:pPr>
              <w:pStyle w:val="yTable"/>
              <w:spacing w:before="40"/>
              <w:ind w:right="465"/>
              <w:rPr>
                <w:sz w:val="18"/>
              </w:rPr>
            </w:pPr>
            <w:r>
              <w:rPr>
                <w:position w:val="-28"/>
                <w:sz w:val="18"/>
              </w:rPr>
              <w:pict>
                <v:shape id="_x0000_i1043" type="#_x0000_t75" style="width:113.25pt;height:33pt">
                  <v:imagedata r:id="rId39" o:title=""/>
                </v:shape>
              </w:pi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The lesser of —</w:t>
            </w:r>
            <w:del w:id="3874" w:author="svcMRProcess" w:date="2020-02-20T23:16:00Z">
              <w:r>
                <w:rPr>
                  <w:sz w:val="18"/>
                </w:rPr>
                <w:delText xml:space="preserve"> </w:delText>
              </w:r>
            </w:del>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yTable"/>
              <w:tabs>
                <w:tab w:val="left" w:pos="414"/>
                <w:tab w:val="left" w:pos="981"/>
              </w:tabs>
              <w:spacing w:before="0"/>
              <w:ind w:left="981" w:hanging="981"/>
              <w:rPr>
                <w:sz w:val="18"/>
              </w:rPr>
            </w:pPr>
          </w:p>
          <w:p>
            <w:pPr>
              <w:pStyle w:val="yTable"/>
              <w:spacing w:before="0"/>
              <w:rPr>
                <w:b/>
                <w:sz w:val="18"/>
              </w:rPr>
            </w:pPr>
            <w:bookmarkStart w:id="3875" w:name="_Toc113874525"/>
            <w:bookmarkStart w:id="3876" w:name="_Toc113956941"/>
            <w:bookmarkStart w:id="3877" w:name="_Toc116717497"/>
            <w:bookmarkStart w:id="3878" w:name="_Toc116813524"/>
            <w:bookmarkStart w:id="3879" w:name="_Toc122333177"/>
            <w:bookmarkStart w:id="3880" w:name="_Toc122862147"/>
            <w:bookmarkStart w:id="3881" w:name="_Toc122862743"/>
            <w:bookmarkStart w:id="3882" w:name="_Toc122921350"/>
            <w:bookmarkStart w:id="3883" w:name="_Toc122921610"/>
            <w:bookmarkStart w:id="3884" w:name="_Toc122947556"/>
            <w:bookmarkStart w:id="3885" w:name="_Toc124046394"/>
            <w:bookmarkStart w:id="3886" w:name="_Toc130266729"/>
            <w:bookmarkStart w:id="3887" w:name="_Toc130267005"/>
            <w:bookmarkStart w:id="3888" w:name="_Toc131383108"/>
            <w:bookmarkStart w:id="3889" w:name="_Toc133812489"/>
            <w:bookmarkStart w:id="3890" w:name="_Toc131415993"/>
            <w:r>
              <w:rPr>
                <w:sz w:val="18"/>
              </w:rPr>
              <w:t>2.5% of the market value</w:t>
            </w:r>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rPr>
                <w:sz w:val="18"/>
              </w:rPr>
            </w:pPr>
            <w:r>
              <w:rPr>
                <w:position w:val="-28"/>
                <w:sz w:val="18"/>
              </w:rPr>
              <w:pict>
                <v:shape id="_x0000_i1044" type="#_x0000_t75" style="width:108pt;height:33pt">
                  <v:imagedata r:id="rId40" o:title=""/>
                </v:shape>
              </w:pict>
            </w:r>
          </w:p>
          <w:p>
            <w:pPr>
              <w:pStyle w:val="yTable"/>
            </w:pPr>
            <w:bookmarkStart w:id="3891" w:name="_Toc113874526"/>
            <w:bookmarkStart w:id="3892" w:name="_Toc113956942"/>
            <w:bookmarkStart w:id="3893" w:name="_Toc116717498"/>
            <w:bookmarkStart w:id="3894" w:name="_Toc116813525"/>
            <w:r>
              <w:rPr>
                <w:sz w:val="18"/>
              </w:rPr>
              <w:t>(rounded to 2 decimal places) of the market value (MV)</w:t>
            </w:r>
            <w:bookmarkEnd w:id="3891"/>
            <w:bookmarkEnd w:id="3892"/>
            <w:bookmarkEnd w:id="3893"/>
            <w:bookmarkEnd w:id="3894"/>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The lesser of —</w:t>
            </w:r>
            <w:del w:id="3895" w:author="svcMRProcess" w:date="2020-02-20T23:16:00Z">
              <w:r>
                <w:rPr>
                  <w:sz w:val="18"/>
                </w:rPr>
                <w:delText xml:space="preserve"> </w:delText>
              </w:r>
            </w:del>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14A.</w:t>
            </w:r>
          </w:p>
        </w:tc>
        <w:tc>
          <w:tcPr>
            <w:tcW w:w="3402" w:type="dxa"/>
            <w:gridSpan w:val="2"/>
          </w:tcPr>
          <w:p>
            <w:pPr>
              <w:pStyle w:val="yTable"/>
              <w:keepNext/>
              <w:spacing w:before="120"/>
              <w:rPr>
                <w:spacing w:val="-2"/>
                <w:sz w:val="18"/>
              </w:rPr>
            </w:pPr>
            <w:r>
              <w:rPr>
                <w:spacing w:val="-2"/>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12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15.</w:t>
            </w:r>
          </w:p>
        </w:tc>
        <w:tc>
          <w:tcPr>
            <w:tcW w:w="3402" w:type="dxa"/>
            <w:gridSpan w:val="2"/>
          </w:tcPr>
          <w:p>
            <w:pPr>
              <w:pStyle w:val="yTable"/>
              <w:spacing w:before="120"/>
              <w:rPr>
                <w:spacing w:val="-2"/>
                <w:sz w:val="18"/>
              </w:rPr>
            </w:pPr>
            <w:r>
              <w:rPr>
                <w:spacing w:val="-2"/>
                <w:sz w:val="18"/>
              </w:rPr>
              <w:t>PARTITION</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z w:val="18"/>
              </w:rPr>
              <w:t>16.</w:t>
            </w:r>
          </w:p>
        </w:tc>
        <w:tc>
          <w:tcPr>
            <w:tcW w:w="3402" w:type="dxa"/>
            <w:gridSpan w:val="2"/>
          </w:tcPr>
          <w:p>
            <w:pPr>
              <w:pStyle w:val="yTable"/>
              <w:tabs>
                <w:tab w:val="left" w:pos="394"/>
              </w:tabs>
              <w:spacing w:before="120"/>
              <w:ind w:left="414" w:hanging="414"/>
              <w:rPr>
                <w:spacing w:val="-2"/>
                <w:sz w:val="18"/>
              </w:rPr>
            </w:pPr>
            <w:r>
              <w:rPr>
                <w:sz w:val="18"/>
              </w:rPr>
              <w:t>POLICY OF INSURANCE</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pacing w:val="-2"/>
                <w:sz w:val="18"/>
              </w:rPr>
              <w:t>(1)</w:t>
            </w:r>
            <w:r>
              <w:rPr>
                <w:spacing w:val="-2"/>
                <w:sz w:val="18"/>
              </w:rPr>
              <w:tab/>
              <w:t xml:space="preserve">A return under section 94 </w:t>
            </w:r>
            <w:del w:id="3896" w:author="svcMRProcess" w:date="2020-02-20T23:16:00Z">
              <w:r>
                <w:rPr>
                  <w:spacing w:val="-2"/>
                  <w:sz w:val="18"/>
                </w:rPr>
                <w:delText>…</w:delText>
              </w:r>
            </w:del>
            <w:ins w:id="3897" w:author="svcMRProcess" w:date="2020-02-20T23:16:00Z">
              <w:r>
                <w:rPr>
                  <w:spacing w:val="-2"/>
                  <w:sz w:val="18"/>
                </w:rPr>
                <w:t>......................</w:t>
              </w:r>
            </w:ins>
          </w:p>
        </w:tc>
        <w:tc>
          <w:tcPr>
            <w:tcW w:w="1563" w:type="dxa"/>
          </w:tcPr>
          <w:p>
            <w:pPr>
              <w:pStyle w:val="yTable"/>
              <w:spacing w:before="40"/>
              <w:rPr>
                <w:spacing w:val="-2"/>
                <w:sz w:val="18"/>
              </w:rPr>
            </w:pPr>
            <w:r>
              <w:rPr>
                <w:spacing w:val="-2"/>
                <w:sz w:val="18"/>
              </w:rPr>
              <w:t>See section 94A</w:t>
            </w:r>
          </w:p>
        </w:tc>
        <w:tc>
          <w:tcPr>
            <w:tcW w:w="1419" w:type="dxa"/>
            <w:gridSpan w:val="2"/>
          </w:tcPr>
          <w:p>
            <w:pPr>
              <w:pStyle w:val="yTable"/>
              <w:spacing w:before="40"/>
              <w:rPr>
                <w:spacing w:val="-2"/>
                <w:sz w:val="18"/>
              </w:rPr>
            </w:pPr>
            <w:r>
              <w:rPr>
                <w:spacing w:val="-2"/>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 xml:space="preserve">A statement under section 95A </w:t>
            </w:r>
            <w:del w:id="3898" w:author="svcMRProcess" w:date="2020-02-20T23:16:00Z">
              <w:r>
                <w:rPr>
                  <w:spacing w:val="-2"/>
                  <w:sz w:val="18"/>
                </w:rPr>
                <w:delText>………</w:delText>
              </w:r>
            </w:del>
            <w:ins w:id="3899" w:author="svcMRProcess" w:date="2020-02-20T23:16:00Z">
              <w:r>
                <w:rPr>
                  <w:spacing w:val="-2"/>
                  <w:sz w:val="18"/>
                </w:rPr>
                <w:t>.............</w:t>
              </w:r>
            </w:ins>
          </w:p>
        </w:tc>
        <w:tc>
          <w:tcPr>
            <w:tcW w:w="1563" w:type="dxa"/>
          </w:tcPr>
          <w:p>
            <w:pPr>
              <w:pStyle w:val="yTable"/>
              <w:spacing w:before="40"/>
              <w:rPr>
                <w:spacing w:val="-2"/>
                <w:sz w:val="18"/>
              </w:rPr>
            </w:pPr>
            <w:r>
              <w:rPr>
                <w:spacing w:val="-2"/>
                <w:sz w:val="18"/>
              </w:rPr>
              <w:t>See section 95A</w:t>
            </w:r>
          </w:p>
        </w:tc>
        <w:tc>
          <w:tcPr>
            <w:tcW w:w="1419" w:type="dxa"/>
            <w:gridSpan w:val="2"/>
          </w:tcPr>
          <w:p>
            <w:pPr>
              <w:pStyle w:val="yTable"/>
              <w:spacing w:before="40"/>
              <w:rPr>
                <w:spacing w:val="-2"/>
                <w:sz w:val="18"/>
              </w:rPr>
            </w:pPr>
            <w:r>
              <w:rPr>
                <w:spacing w:val="-2"/>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19.</w:t>
            </w:r>
          </w:p>
        </w:tc>
        <w:tc>
          <w:tcPr>
            <w:tcW w:w="3402" w:type="dxa"/>
            <w:gridSpan w:val="2"/>
          </w:tcPr>
          <w:p>
            <w:pPr>
              <w:pStyle w:val="yTable"/>
              <w:keepNext/>
              <w:spacing w:before="120"/>
              <w:rPr>
                <w:sz w:val="18"/>
              </w:rPr>
            </w:pPr>
            <w:r>
              <w:rPr>
                <w:sz w:val="18"/>
              </w:rPr>
              <w:t>SETTLEMENT, DEED OF, OR DEED OF GIFT</w:t>
            </w:r>
          </w:p>
        </w:tc>
        <w:tc>
          <w:tcPr>
            <w:tcW w:w="1563" w:type="dxa"/>
          </w:tcPr>
          <w:p>
            <w:pPr>
              <w:pStyle w:val="yTable"/>
              <w:keepNext/>
              <w:spacing w:before="120"/>
              <w:ind w:right="-113"/>
              <w:rPr>
                <w:sz w:val="18"/>
              </w:rPr>
            </w:pPr>
            <w:r>
              <w:rPr>
                <w:sz w:val="18"/>
              </w:rPr>
              <w:t xml:space="preserve">See item 4 </w:t>
            </w:r>
          </w:p>
        </w:tc>
        <w:tc>
          <w:tcPr>
            <w:tcW w:w="1419" w:type="dxa"/>
            <w:gridSpan w:val="2"/>
          </w:tcPr>
          <w:p>
            <w:pPr>
              <w:pStyle w:val="yTable"/>
              <w:keepNext/>
              <w:spacing w:before="120"/>
              <w:rPr>
                <w:sz w:val="18"/>
              </w:rPr>
            </w:pPr>
            <w:r>
              <w:rPr>
                <w:sz w:val="18"/>
              </w:rPr>
              <w:t>The settlor or 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del w:id="3900" w:author="svcMRProcess" w:date="2020-02-20T23:16:00Z">
        <w:r>
          <w:rPr>
            <w:i w:val="0"/>
            <w:vertAlign w:val="superscript"/>
          </w:rPr>
          <w:delText> 7</w:delText>
        </w:r>
      </w:del>
      <w:r>
        <w:t>;</w:t>
      </w:r>
      <w:r>
        <w:rPr>
          <w:rStyle w:val="CharDivText"/>
        </w:rPr>
        <w:t xml:space="preserve"> No. 83 of 2004 s. 8; No. 35 of 2005 s. 4; No.</w:t>
      </w:r>
      <w:del w:id="3901" w:author="svcMRProcess" w:date="2020-02-20T23:16:00Z">
        <w:r>
          <w:rPr>
            <w:rStyle w:val="CharDivText"/>
          </w:rPr>
          <w:delText> </w:delText>
        </w:r>
      </w:del>
      <w:ins w:id="3902" w:author="svcMRProcess" w:date="2020-02-20T23:16:00Z">
        <w:r>
          <w:rPr>
            <w:rStyle w:val="CharDivText"/>
          </w:rPr>
          <w:t xml:space="preserve"> </w:t>
        </w:r>
      </w:ins>
      <w:r>
        <w:rPr>
          <w:rStyle w:val="CharDivText"/>
        </w:rPr>
        <w:t>38 of 2005 s. 15</w:t>
      </w:r>
      <w:r>
        <w:t>.]</w:t>
      </w:r>
      <w:del w:id="3903" w:author="svcMRProcess" w:date="2020-02-20T23:16:00Z">
        <w:r>
          <w:delText xml:space="preserve"> </w:delText>
        </w:r>
      </w:del>
    </w:p>
    <w:p>
      <w:pPr>
        <w:pStyle w:val="yScheduleHeading"/>
      </w:pPr>
      <w:bookmarkStart w:id="3904" w:name="_Toc520101251"/>
      <w:bookmarkStart w:id="3905" w:name="_Toc49224025"/>
      <w:bookmarkStart w:id="3906" w:name="_Toc49332685"/>
      <w:bookmarkStart w:id="3907" w:name="_Toc51126863"/>
      <w:bookmarkStart w:id="3908" w:name="_Toc101672380"/>
      <w:bookmarkStart w:id="3909" w:name="_Toc103403650"/>
      <w:bookmarkStart w:id="3910" w:name="_Toc103747649"/>
      <w:bookmarkStart w:id="3911" w:name="_Toc107055078"/>
      <w:bookmarkStart w:id="3912" w:name="_Toc113874527"/>
      <w:bookmarkStart w:id="3913" w:name="_Toc113956943"/>
      <w:bookmarkStart w:id="3914" w:name="_Toc116717499"/>
      <w:bookmarkStart w:id="3915" w:name="_Toc116813526"/>
      <w:bookmarkStart w:id="3916" w:name="_Toc122333178"/>
      <w:bookmarkStart w:id="3917" w:name="_Toc122862148"/>
      <w:bookmarkStart w:id="3918" w:name="_Toc122862744"/>
      <w:bookmarkStart w:id="3919" w:name="_Toc122921351"/>
      <w:bookmarkStart w:id="3920" w:name="_Toc122921611"/>
      <w:bookmarkStart w:id="3921" w:name="_Toc122947557"/>
      <w:bookmarkStart w:id="3922" w:name="_Toc124046395"/>
      <w:bookmarkStart w:id="3923" w:name="_Toc130266730"/>
      <w:bookmarkStart w:id="3924" w:name="_Toc130267006"/>
      <w:bookmarkStart w:id="3925" w:name="_Toc131383109"/>
      <w:bookmarkStart w:id="3926" w:name="_Toc133812490"/>
      <w:bookmarkStart w:id="3927" w:name="_Toc133920436"/>
      <w:bookmarkStart w:id="3928" w:name="_Toc134854833"/>
      <w:bookmarkStart w:id="3929" w:name="_Toc134855109"/>
      <w:bookmarkStart w:id="3930" w:name="_Toc136841286"/>
      <w:bookmarkStart w:id="3931" w:name="_Toc131415994"/>
      <w:bookmarkStart w:id="3932" w:name="_Toc131416292"/>
      <w:bookmarkStart w:id="3933" w:name="_Toc170193475"/>
      <w:r>
        <w:rPr>
          <w:rStyle w:val="CharSchNo"/>
        </w:rPr>
        <w:t>Third Schedule</w:t>
      </w:r>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p>
    <w:p>
      <w:pPr>
        <w:pStyle w:val="yShoulderClause"/>
        <w:rPr>
          <w:snapToGrid w:val="0"/>
        </w:rPr>
      </w:pPr>
      <w:r>
        <w:rPr>
          <w:snapToGrid w:val="0"/>
        </w:rPr>
        <w:t>[Section 16(2)]</w:t>
      </w:r>
    </w:p>
    <w:p>
      <w:pPr>
        <w:pStyle w:val="yHeading2"/>
      </w:pPr>
      <w:bookmarkStart w:id="3934" w:name="_Toc49569869"/>
      <w:bookmarkStart w:id="3935" w:name="_Toc51491320"/>
      <w:bookmarkStart w:id="3936" w:name="_Toc51659583"/>
      <w:bookmarkStart w:id="3937" w:name="_Toc100458708"/>
      <w:bookmarkStart w:id="3938" w:name="_Toc101672381"/>
      <w:bookmarkStart w:id="3939" w:name="_Toc102982081"/>
      <w:bookmarkStart w:id="3940" w:name="_Toc103403651"/>
      <w:bookmarkStart w:id="3941" w:name="_Toc103747650"/>
      <w:bookmarkStart w:id="3942" w:name="_Toc107055079"/>
      <w:bookmarkStart w:id="3943" w:name="_Toc113874528"/>
      <w:bookmarkStart w:id="3944" w:name="_Toc113956944"/>
      <w:bookmarkStart w:id="3945" w:name="_Toc116717500"/>
      <w:bookmarkStart w:id="3946" w:name="_Toc116813527"/>
      <w:bookmarkStart w:id="3947" w:name="_Toc122333179"/>
      <w:bookmarkStart w:id="3948" w:name="_Toc122862149"/>
      <w:bookmarkStart w:id="3949" w:name="_Toc122862745"/>
      <w:bookmarkStart w:id="3950" w:name="_Toc122921352"/>
      <w:bookmarkStart w:id="3951" w:name="_Toc122921612"/>
      <w:bookmarkStart w:id="3952" w:name="_Toc122947558"/>
      <w:bookmarkStart w:id="3953" w:name="_Toc124046396"/>
      <w:bookmarkStart w:id="3954" w:name="_Toc130266731"/>
      <w:bookmarkStart w:id="3955" w:name="_Toc130267007"/>
      <w:bookmarkStart w:id="3956" w:name="_Toc131383110"/>
      <w:bookmarkStart w:id="3957" w:name="_Toc133812491"/>
      <w:bookmarkStart w:id="3958" w:name="_Toc133920437"/>
      <w:bookmarkStart w:id="3959" w:name="_Toc134854834"/>
      <w:bookmarkStart w:id="3960" w:name="_Toc134855110"/>
      <w:bookmarkStart w:id="3961" w:name="_Toc136841287"/>
      <w:bookmarkStart w:id="3962" w:name="_Toc131415995"/>
      <w:bookmarkStart w:id="3963" w:name="_Toc131416293"/>
      <w:bookmarkStart w:id="3964" w:name="_Toc170193476"/>
      <w:r>
        <w:rPr>
          <w:rStyle w:val="CharSchText"/>
        </w:rPr>
        <w:t>Exemptions from duty</w:t>
      </w:r>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w:t>
            </w:r>
            <w:del w:id="3965" w:author="svcMRProcess" w:date="2020-02-20T23:16:00Z">
              <w:r>
                <w:rPr>
                  <w:snapToGrid w:val="0"/>
                  <w:sz w:val="20"/>
                  <w:vertAlign w:val="superscript"/>
                </w:rPr>
                <w:delText>8</w:delText>
              </w:r>
            </w:del>
            <w:ins w:id="3966" w:author="svcMRProcess" w:date="2020-02-20T23:16:00Z">
              <w:r>
                <w:rPr>
                  <w:snapToGrid w:val="0"/>
                  <w:sz w:val="20"/>
                  <w:vertAlign w:val="superscript"/>
                </w:rPr>
                <w:t>4</w:t>
              </w:r>
            </w:ins>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w:t>
            </w:r>
            <w:del w:id="3967" w:author="svcMRProcess" w:date="2020-02-20T23:16:00Z">
              <w:r>
                <w:rPr>
                  <w:snapToGrid w:val="0"/>
                  <w:sz w:val="20"/>
                </w:rPr>
                <w:delText xml:space="preserve"> </w:delText>
              </w:r>
            </w:del>
            <w:ins w:id="3968" w:author="svcMRProcess" w:date="2020-02-20T23:16:00Z">
              <w:r>
                <w:rPr>
                  <w:snapToGrid w:val="0"/>
                  <w:sz w:val="20"/>
                </w:rPr>
                <w:t> </w:t>
              </w:r>
            </w:ins>
            <w:r>
              <w:rPr>
                <w:snapToGrid w:val="0"/>
                <w:sz w:val="20"/>
              </w:rPr>
              <w:t>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w:t>
            </w:r>
            <w:del w:id="3969" w:author="svcMRProcess" w:date="2020-02-20T23:16:00Z">
              <w:r>
                <w:rPr>
                  <w:snapToGrid w:val="0"/>
                  <w:sz w:val="20"/>
                </w:rPr>
                <w:delText xml:space="preserve"> </w:delText>
              </w:r>
            </w:del>
            <w:ins w:id="3970" w:author="svcMRProcess" w:date="2020-02-20T23:16:00Z">
              <w:r>
                <w:rPr>
                  <w:snapToGrid w:val="0"/>
                  <w:sz w:val="20"/>
                </w:rPr>
                <w:t> </w:t>
              </w:r>
            </w:ins>
            <w:r>
              <w:rPr>
                <w:snapToGrid w:val="0"/>
                <w:sz w:val="20"/>
              </w:rPr>
              <w:t>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del w:id="3971" w:author="svcMRProcess" w:date="2020-02-20T23:16:00Z">
              <w:r>
                <w:rPr>
                  <w:snapToGrid w:val="0"/>
                  <w:sz w:val="20"/>
                </w:rPr>
                <w:delText> </w:delText>
              </w:r>
            </w:del>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iCs/>
                <w:snapToGrid w:val="0"/>
              </w:rPr>
            </w:pPr>
            <w:r>
              <w:rPr>
                <w:i/>
                <w:iCs/>
                <w:snapToGrid w:val="0"/>
              </w:rPr>
              <w:t>[8.</w:t>
            </w:r>
          </w:p>
        </w:tc>
        <w:tc>
          <w:tcPr>
            <w:tcW w:w="6484" w:type="dxa"/>
          </w:tcPr>
          <w:p>
            <w:pPr>
              <w:pStyle w:val="yTable"/>
              <w:keepNext/>
              <w:tabs>
                <w:tab w:val="left" w:pos="600"/>
              </w:tabs>
              <w:ind w:left="608" w:hanging="608"/>
              <w:rPr>
                <w:i/>
                <w:iCs/>
                <w:snapToGrid w:val="0"/>
                <w:sz w:val="20"/>
              </w:rPr>
            </w:pPr>
            <w:r>
              <w:rPr>
                <w:i/>
                <w:iCs/>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w:t>
      </w:r>
    </w:p>
    <w:p>
      <w:pPr>
        <w:pStyle w:val="nHeading2"/>
        <w:sectPr>
          <w:headerReference w:type="even" r:id="rId41"/>
          <w:headerReference w:type="default" r:id="rId42"/>
          <w:headerReference w:type="first" r:id="rId43"/>
          <w:pgSz w:w="11906" w:h="16838" w:code="9"/>
          <w:pgMar w:top="2381" w:right="2409" w:bottom="3543" w:left="2410" w:header="720" w:footer="3380" w:gutter="0"/>
          <w:cols w:space="720"/>
          <w:noEndnote/>
          <w:docGrid w:linePitch="326"/>
        </w:sectPr>
      </w:pPr>
    </w:p>
    <w:p>
      <w:pPr>
        <w:pStyle w:val="nHeading2"/>
      </w:pPr>
      <w:bookmarkStart w:id="3972" w:name="_Toc58902697"/>
      <w:bookmarkStart w:id="3973" w:name="_Toc76899749"/>
      <w:bookmarkStart w:id="3974" w:name="_Toc78090651"/>
      <w:bookmarkStart w:id="3975" w:name="_Toc88887019"/>
      <w:bookmarkStart w:id="3976" w:name="_Toc90443635"/>
      <w:bookmarkStart w:id="3977" w:name="_Toc90452986"/>
      <w:bookmarkStart w:id="3978" w:name="_Toc100029577"/>
      <w:bookmarkStart w:id="3979" w:name="_Toc100031650"/>
      <w:bookmarkStart w:id="3980" w:name="_Toc100458709"/>
      <w:bookmarkStart w:id="3981" w:name="_Toc101672125"/>
      <w:bookmarkStart w:id="3982" w:name="_Toc101672382"/>
      <w:bookmarkStart w:id="3983" w:name="_Toc102799408"/>
      <w:bookmarkStart w:id="3984" w:name="_Toc102982082"/>
      <w:bookmarkStart w:id="3985" w:name="_Toc103403395"/>
      <w:bookmarkStart w:id="3986" w:name="_Toc103403652"/>
      <w:bookmarkStart w:id="3987" w:name="_Toc103747651"/>
      <w:bookmarkStart w:id="3988" w:name="_Toc107055080"/>
      <w:bookmarkStart w:id="3989" w:name="_Toc113874529"/>
      <w:bookmarkStart w:id="3990" w:name="_Toc113956945"/>
      <w:bookmarkStart w:id="3991" w:name="_Toc116717501"/>
      <w:bookmarkStart w:id="3992" w:name="_Toc116813528"/>
      <w:bookmarkStart w:id="3993" w:name="_Toc122333180"/>
      <w:bookmarkStart w:id="3994" w:name="_Toc122862150"/>
      <w:bookmarkStart w:id="3995" w:name="_Toc122862746"/>
      <w:bookmarkStart w:id="3996" w:name="_Toc122921353"/>
      <w:bookmarkStart w:id="3997" w:name="_Toc122921613"/>
      <w:bookmarkStart w:id="3998" w:name="_Toc122947559"/>
      <w:bookmarkStart w:id="3999" w:name="_Toc124046397"/>
      <w:bookmarkStart w:id="4000" w:name="_Toc130266732"/>
      <w:bookmarkStart w:id="4001" w:name="_Toc130267008"/>
      <w:bookmarkStart w:id="4002" w:name="_Toc131383111"/>
      <w:bookmarkStart w:id="4003" w:name="_Toc133812492"/>
      <w:bookmarkStart w:id="4004" w:name="_Toc133920438"/>
      <w:bookmarkStart w:id="4005" w:name="_Toc134854835"/>
      <w:bookmarkStart w:id="4006" w:name="_Toc134855111"/>
      <w:bookmarkStart w:id="4007" w:name="_Toc136841288"/>
      <w:bookmarkStart w:id="4008" w:name="_Toc131415996"/>
      <w:bookmarkStart w:id="4009" w:name="_Toc131416294"/>
      <w:bookmarkStart w:id="4010" w:name="_Toc170193477"/>
      <w:r>
        <w:t>Notes</w:t>
      </w:r>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p>
    <w:p>
      <w:pPr>
        <w:pStyle w:val="nSubsection"/>
        <w:rPr>
          <w:snapToGrid w:val="0"/>
        </w:rPr>
      </w:pPr>
      <w:r>
        <w:rPr>
          <w:snapToGrid w:val="0"/>
          <w:vertAlign w:val="superscript"/>
        </w:rPr>
        <w:t>1</w:t>
      </w:r>
      <w:r>
        <w:rPr>
          <w:snapToGrid w:val="0"/>
        </w:rPr>
        <w:tab/>
        <w:t xml:space="preserve">This </w:t>
      </w:r>
      <w:ins w:id="4011" w:author="svcMRProcess" w:date="2020-02-20T23:16:00Z">
        <w:r>
          <w:rPr>
            <w:snapToGrid w:val="0"/>
          </w:rPr>
          <w:t xml:space="preserve">reprint </w:t>
        </w:r>
      </w:ins>
      <w:r>
        <w:rPr>
          <w:snapToGrid w:val="0"/>
        </w:rPr>
        <w:t xml:space="preserve">is a compilation of the </w:t>
      </w:r>
      <w:r>
        <w:rPr>
          <w:i/>
          <w:noProof/>
          <w:snapToGrid w:val="0"/>
        </w:rPr>
        <w:t>Stamp Act</w:t>
      </w:r>
      <w:del w:id="4012" w:author="svcMRProcess" w:date="2020-02-20T23:16:00Z">
        <w:r>
          <w:rPr>
            <w:i/>
            <w:noProof/>
            <w:snapToGrid w:val="0"/>
          </w:rPr>
          <w:delText> </w:delText>
        </w:r>
      </w:del>
      <w:ins w:id="4013" w:author="svcMRProcess" w:date="2020-02-20T23:16:00Z">
        <w:r>
          <w:rPr>
            <w:i/>
            <w:noProof/>
            <w:snapToGrid w:val="0"/>
          </w:rPr>
          <w:t xml:space="preserve"> </w:t>
        </w:r>
      </w:ins>
      <w:r>
        <w:rPr>
          <w:i/>
          <w:noProof/>
          <w:snapToGrid w:val="0"/>
        </w:rPr>
        <w:t>1921</w:t>
      </w:r>
      <w:r>
        <w:rPr>
          <w:snapToGrid w:val="0"/>
        </w:rPr>
        <w:t xml:space="preserve"> and includes the amendments made by the other written laws referred to in the following table</w:t>
      </w:r>
      <w:r>
        <w:rPr>
          <w:snapToGrid w:val="0"/>
          <w:vertAlign w:val="superscript"/>
        </w:rPr>
        <w:t xml:space="preserve">  1a, </w:t>
      </w:r>
      <w:ins w:id="4014" w:author="svcMRProcess" w:date="2020-02-20T23:16:00Z">
        <w:r>
          <w:rPr>
            <w:snapToGrid w:val="0"/>
            <w:vertAlign w:val="superscript"/>
          </w:rPr>
          <w:t>5-</w:t>
        </w:r>
      </w:ins>
      <w:r>
        <w:rPr>
          <w:snapToGrid w:val="0"/>
          <w:vertAlign w:val="superscript"/>
        </w:rPr>
        <w:t>9</w:t>
      </w:r>
      <w:del w:id="4015" w:author="svcMRProcess" w:date="2020-02-20T23:16:00Z">
        <w:r>
          <w:rPr>
            <w:snapToGrid w:val="0"/>
            <w:vertAlign w:val="superscript"/>
          </w:rPr>
          <w:delText>, 10, 11, 12</w:delText>
        </w:r>
      </w:del>
      <w:r>
        <w:rPr>
          <w:snapToGrid w:val="0"/>
        </w:rPr>
        <w:t>.  The table also contains information about any reprint.</w:t>
      </w:r>
    </w:p>
    <w:p>
      <w:pPr>
        <w:pStyle w:val="nHeading3"/>
        <w:rPr>
          <w:snapToGrid w:val="0"/>
        </w:rPr>
      </w:pPr>
      <w:bookmarkStart w:id="4016" w:name="_Toc107055081"/>
      <w:bookmarkStart w:id="4017" w:name="_Toc134854836"/>
      <w:bookmarkStart w:id="4018" w:name="_Toc136841289"/>
      <w:bookmarkStart w:id="4019" w:name="_Toc131416295"/>
      <w:bookmarkStart w:id="4020" w:name="_Toc170193478"/>
      <w:r>
        <w:rPr>
          <w:snapToGrid w:val="0"/>
        </w:rPr>
        <w:t>Compilation table</w:t>
      </w:r>
      <w:bookmarkEnd w:id="4016"/>
      <w:bookmarkEnd w:id="4017"/>
      <w:bookmarkEnd w:id="4018"/>
      <w:bookmarkEnd w:id="4019"/>
      <w:bookmarkEnd w:id="4020"/>
    </w:p>
    <w:tbl>
      <w:tblPr>
        <w:tblW w:w="6985" w:type="dxa"/>
        <w:tblInd w:w="56" w:type="dxa"/>
        <w:tblLayout w:type="fixed"/>
        <w:tblCellMar>
          <w:left w:w="56" w:type="dxa"/>
          <w:right w:w="56" w:type="dxa"/>
        </w:tblCellMar>
        <w:tblLook w:val="0000" w:firstRow="0" w:lastRow="0" w:firstColumn="0" w:lastColumn="0" w:noHBand="0" w:noVBand="0"/>
      </w:tblPr>
      <w:tblGrid>
        <w:gridCol w:w="2184"/>
        <w:gridCol w:w="1043"/>
        <w:gridCol w:w="61"/>
        <w:gridCol w:w="1130"/>
        <w:gridCol w:w="21"/>
        <w:gridCol w:w="2546"/>
      </w:tblGrid>
      <w:tr>
        <w:trPr>
          <w:cantSplit/>
          <w:tblHeader/>
        </w:trPr>
        <w:tc>
          <w:tcPr>
            <w:tcW w:w="218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4" w:type="dxa"/>
          </w:tcPr>
          <w:p>
            <w:pPr>
              <w:pStyle w:val="nTable"/>
              <w:spacing w:after="40"/>
              <w:ind w:right="113"/>
              <w:rPr>
                <w:sz w:val="19"/>
              </w:rPr>
            </w:pPr>
            <w:r>
              <w:rPr>
                <w:i/>
                <w:sz w:val="19"/>
              </w:rPr>
              <w:t>Stamp Act 1921</w:t>
            </w:r>
          </w:p>
        </w:tc>
        <w:tc>
          <w:tcPr>
            <w:tcW w:w="1104" w:type="dxa"/>
            <w:gridSpan w:val="2"/>
          </w:tcPr>
          <w:p>
            <w:pPr>
              <w:pStyle w:val="nTable"/>
              <w:spacing w:after="40"/>
              <w:rPr>
                <w:sz w:val="19"/>
              </w:rPr>
            </w:pPr>
            <w:r>
              <w:rPr>
                <w:sz w:val="19"/>
              </w:rPr>
              <w:t>10 of 1922</w:t>
            </w:r>
          </w:p>
        </w:tc>
        <w:tc>
          <w:tcPr>
            <w:tcW w:w="1130" w:type="dxa"/>
          </w:tcPr>
          <w:p>
            <w:pPr>
              <w:pStyle w:val="nTable"/>
              <w:spacing w:after="40"/>
              <w:rPr>
                <w:sz w:val="19"/>
              </w:rPr>
            </w:pPr>
            <w:r>
              <w:rPr>
                <w:sz w:val="19"/>
              </w:rPr>
              <w:t>31 Jan 1922</w:t>
            </w:r>
          </w:p>
        </w:tc>
        <w:tc>
          <w:tcPr>
            <w:tcW w:w="2567" w:type="dxa"/>
            <w:gridSpan w:val="2"/>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184" w:type="dxa"/>
          </w:tcPr>
          <w:p>
            <w:pPr>
              <w:pStyle w:val="nTable"/>
              <w:spacing w:after="40"/>
              <w:ind w:right="113"/>
              <w:rPr>
                <w:sz w:val="19"/>
              </w:rPr>
            </w:pPr>
            <w:r>
              <w:rPr>
                <w:i/>
                <w:sz w:val="19"/>
              </w:rPr>
              <w:t>Stamp Act Amendment Act 1923</w:t>
            </w:r>
          </w:p>
        </w:tc>
        <w:tc>
          <w:tcPr>
            <w:tcW w:w="1104" w:type="dxa"/>
            <w:gridSpan w:val="2"/>
          </w:tcPr>
          <w:p>
            <w:pPr>
              <w:pStyle w:val="nTable"/>
              <w:spacing w:after="40"/>
              <w:rPr>
                <w:sz w:val="19"/>
              </w:rPr>
            </w:pPr>
            <w:r>
              <w:rPr>
                <w:sz w:val="19"/>
              </w:rPr>
              <w:t>53 of 1923</w:t>
            </w:r>
          </w:p>
        </w:tc>
        <w:tc>
          <w:tcPr>
            <w:tcW w:w="1130" w:type="dxa"/>
          </w:tcPr>
          <w:p>
            <w:pPr>
              <w:pStyle w:val="nTable"/>
              <w:spacing w:after="40"/>
              <w:rPr>
                <w:sz w:val="19"/>
              </w:rPr>
            </w:pPr>
            <w:r>
              <w:rPr>
                <w:sz w:val="19"/>
              </w:rPr>
              <w:t>22 Dec 1923</w:t>
            </w:r>
          </w:p>
        </w:tc>
        <w:tc>
          <w:tcPr>
            <w:tcW w:w="2567" w:type="dxa"/>
            <w:gridSpan w:val="2"/>
          </w:tcPr>
          <w:p>
            <w:pPr>
              <w:pStyle w:val="nTable"/>
              <w:spacing w:after="40"/>
              <w:rPr>
                <w:sz w:val="19"/>
              </w:rPr>
            </w:pPr>
            <w:r>
              <w:rPr>
                <w:sz w:val="19"/>
              </w:rPr>
              <w:t>22 Dec 1923</w:t>
            </w:r>
          </w:p>
        </w:tc>
      </w:tr>
      <w:tr>
        <w:trPr>
          <w:cantSplit/>
        </w:trPr>
        <w:tc>
          <w:tcPr>
            <w:tcW w:w="2184" w:type="dxa"/>
          </w:tcPr>
          <w:p>
            <w:pPr>
              <w:pStyle w:val="nTable"/>
              <w:spacing w:after="40"/>
              <w:ind w:right="113"/>
              <w:rPr>
                <w:sz w:val="19"/>
              </w:rPr>
            </w:pPr>
            <w:r>
              <w:rPr>
                <w:i/>
                <w:sz w:val="19"/>
              </w:rPr>
              <w:t>Stamp Act Amendment Act 1924</w:t>
            </w:r>
          </w:p>
        </w:tc>
        <w:tc>
          <w:tcPr>
            <w:tcW w:w="1104" w:type="dxa"/>
            <w:gridSpan w:val="2"/>
          </w:tcPr>
          <w:p>
            <w:pPr>
              <w:pStyle w:val="nTable"/>
              <w:spacing w:after="40"/>
              <w:rPr>
                <w:sz w:val="19"/>
              </w:rPr>
            </w:pPr>
            <w:r>
              <w:rPr>
                <w:sz w:val="19"/>
              </w:rPr>
              <w:t>23 of 1924</w:t>
            </w:r>
          </w:p>
        </w:tc>
        <w:tc>
          <w:tcPr>
            <w:tcW w:w="1130" w:type="dxa"/>
          </w:tcPr>
          <w:p>
            <w:pPr>
              <w:pStyle w:val="nTable"/>
              <w:spacing w:after="40"/>
              <w:rPr>
                <w:sz w:val="19"/>
              </w:rPr>
            </w:pPr>
            <w:r>
              <w:rPr>
                <w:sz w:val="19"/>
              </w:rPr>
              <w:t>31 Dec 1924</w:t>
            </w:r>
          </w:p>
        </w:tc>
        <w:tc>
          <w:tcPr>
            <w:tcW w:w="2567" w:type="dxa"/>
            <w:gridSpan w:val="2"/>
          </w:tcPr>
          <w:p>
            <w:pPr>
              <w:pStyle w:val="nTable"/>
              <w:spacing w:after="40"/>
              <w:rPr>
                <w:sz w:val="19"/>
              </w:rPr>
            </w:pPr>
            <w:r>
              <w:rPr>
                <w:sz w:val="19"/>
              </w:rPr>
              <w:t>31 Dec 1924</w:t>
            </w:r>
          </w:p>
        </w:tc>
      </w:tr>
      <w:tr>
        <w:trPr>
          <w:cantSplit/>
        </w:trPr>
        <w:tc>
          <w:tcPr>
            <w:tcW w:w="2184" w:type="dxa"/>
          </w:tcPr>
          <w:p>
            <w:pPr>
              <w:pStyle w:val="nTable"/>
              <w:spacing w:after="40"/>
              <w:ind w:right="113"/>
              <w:rPr>
                <w:sz w:val="19"/>
              </w:rPr>
            </w:pPr>
            <w:r>
              <w:rPr>
                <w:i/>
                <w:sz w:val="19"/>
              </w:rPr>
              <w:t xml:space="preserve">Ministers’ Titles Act 1925 </w:t>
            </w:r>
            <w:r>
              <w:rPr>
                <w:sz w:val="19"/>
              </w:rPr>
              <w:t>s. 2</w:t>
            </w:r>
          </w:p>
        </w:tc>
        <w:tc>
          <w:tcPr>
            <w:tcW w:w="1104" w:type="dxa"/>
            <w:gridSpan w:val="2"/>
          </w:tcPr>
          <w:p>
            <w:pPr>
              <w:pStyle w:val="nTable"/>
              <w:spacing w:after="40"/>
              <w:rPr>
                <w:sz w:val="19"/>
              </w:rPr>
            </w:pPr>
            <w:r>
              <w:rPr>
                <w:sz w:val="19"/>
              </w:rPr>
              <w:t>8 of 1925</w:t>
            </w:r>
          </w:p>
        </w:tc>
        <w:tc>
          <w:tcPr>
            <w:tcW w:w="1130" w:type="dxa"/>
          </w:tcPr>
          <w:p>
            <w:pPr>
              <w:pStyle w:val="nTable"/>
              <w:spacing w:after="40"/>
              <w:rPr>
                <w:sz w:val="19"/>
              </w:rPr>
            </w:pPr>
            <w:r>
              <w:rPr>
                <w:sz w:val="19"/>
              </w:rPr>
              <w:t>24 Sep 1925</w:t>
            </w:r>
          </w:p>
        </w:tc>
        <w:tc>
          <w:tcPr>
            <w:tcW w:w="2567" w:type="dxa"/>
            <w:gridSpan w:val="2"/>
          </w:tcPr>
          <w:p>
            <w:pPr>
              <w:pStyle w:val="nTable"/>
              <w:spacing w:after="40"/>
              <w:rPr>
                <w:sz w:val="19"/>
              </w:rPr>
            </w:pPr>
            <w:r>
              <w:rPr>
                <w:sz w:val="19"/>
              </w:rPr>
              <w:t>24 Sep 1925</w:t>
            </w:r>
          </w:p>
        </w:tc>
      </w:tr>
      <w:tr>
        <w:trPr>
          <w:cantSplit/>
        </w:trPr>
        <w:tc>
          <w:tcPr>
            <w:tcW w:w="2184" w:type="dxa"/>
          </w:tcPr>
          <w:p>
            <w:pPr>
              <w:pStyle w:val="nTable"/>
              <w:spacing w:after="40"/>
              <w:ind w:right="113"/>
              <w:rPr>
                <w:sz w:val="19"/>
              </w:rPr>
            </w:pPr>
            <w:r>
              <w:rPr>
                <w:i/>
                <w:sz w:val="19"/>
              </w:rPr>
              <w:t>Stamp Act Amendment Act 1925</w:t>
            </w:r>
          </w:p>
        </w:tc>
        <w:tc>
          <w:tcPr>
            <w:tcW w:w="1104" w:type="dxa"/>
            <w:gridSpan w:val="2"/>
          </w:tcPr>
          <w:p>
            <w:pPr>
              <w:pStyle w:val="nTable"/>
              <w:spacing w:after="40"/>
              <w:rPr>
                <w:sz w:val="19"/>
              </w:rPr>
            </w:pPr>
            <w:r>
              <w:rPr>
                <w:sz w:val="19"/>
              </w:rPr>
              <w:t>47 of 1925</w:t>
            </w:r>
          </w:p>
        </w:tc>
        <w:tc>
          <w:tcPr>
            <w:tcW w:w="1130" w:type="dxa"/>
          </w:tcPr>
          <w:p>
            <w:pPr>
              <w:pStyle w:val="nTable"/>
              <w:spacing w:after="40"/>
              <w:rPr>
                <w:sz w:val="19"/>
              </w:rPr>
            </w:pPr>
            <w:r>
              <w:rPr>
                <w:sz w:val="19"/>
              </w:rPr>
              <w:t>31 Dec 1925</w:t>
            </w:r>
          </w:p>
        </w:tc>
        <w:tc>
          <w:tcPr>
            <w:tcW w:w="2567" w:type="dxa"/>
            <w:gridSpan w:val="2"/>
          </w:tcPr>
          <w:p>
            <w:pPr>
              <w:pStyle w:val="nTable"/>
              <w:spacing w:after="40"/>
              <w:rPr>
                <w:sz w:val="19"/>
              </w:rPr>
            </w:pPr>
            <w:r>
              <w:rPr>
                <w:sz w:val="19"/>
              </w:rPr>
              <w:t>31 Dec 1925</w:t>
            </w:r>
          </w:p>
        </w:tc>
      </w:tr>
      <w:tr>
        <w:trPr>
          <w:cantSplit/>
        </w:trPr>
        <w:tc>
          <w:tcPr>
            <w:tcW w:w="2184" w:type="dxa"/>
          </w:tcPr>
          <w:p>
            <w:pPr>
              <w:pStyle w:val="nTable"/>
              <w:spacing w:after="40"/>
              <w:ind w:right="113"/>
              <w:rPr>
                <w:sz w:val="19"/>
              </w:rPr>
            </w:pPr>
            <w:r>
              <w:rPr>
                <w:i/>
                <w:sz w:val="19"/>
              </w:rPr>
              <w:t>Stamp Act Amendment Act 1926</w:t>
            </w:r>
          </w:p>
        </w:tc>
        <w:tc>
          <w:tcPr>
            <w:tcW w:w="1104" w:type="dxa"/>
            <w:gridSpan w:val="2"/>
          </w:tcPr>
          <w:p>
            <w:pPr>
              <w:pStyle w:val="nTable"/>
              <w:spacing w:after="40"/>
              <w:rPr>
                <w:sz w:val="19"/>
              </w:rPr>
            </w:pPr>
            <w:r>
              <w:rPr>
                <w:sz w:val="19"/>
              </w:rPr>
              <w:t>17 of 1926</w:t>
            </w:r>
          </w:p>
        </w:tc>
        <w:tc>
          <w:tcPr>
            <w:tcW w:w="1130" w:type="dxa"/>
          </w:tcPr>
          <w:p>
            <w:pPr>
              <w:pStyle w:val="nTable"/>
              <w:spacing w:after="40"/>
              <w:rPr>
                <w:sz w:val="19"/>
              </w:rPr>
            </w:pPr>
            <w:r>
              <w:rPr>
                <w:sz w:val="19"/>
              </w:rPr>
              <w:t>6 Nov 1926</w:t>
            </w:r>
          </w:p>
        </w:tc>
        <w:tc>
          <w:tcPr>
            <w:tcW w:w="2567" w:type="dxa"/>
            <w:gridSpan w:val="2"/>
          </w:tcPr>
          <w:p>
            <w:pPr>
              <w:pStyle w:val="nTable"/>
              <w:spacing w:after="40"/>
              <w:rPr>
                <w:sz w:val="19"/>
              </w:rPr>
            </w:pPr>
            <w:r>
              <w:rPr>
                <w:sz w:val="19"/>
              </w:rPr>
              <w:t>6 Nov 1926</w:t>
            </w:r>
          </w:p>
        </w:tc>
      </w:tr>
      <w:tr>
        <w:trPr>
          <w:cantSplit/>
        </w:trPr>
        <w:tc>
          <w:tcPr>
            <w:tcW w:w="2184" w:type="dxa"/>
          </w:tcPr>
          <w:p>
            <w:pPr>
              <w:pStyle w:val="nTable"/>
              <w:spacing w:after="40"/>
              <w:ind w:right="113"/>
              <w:rPr>
                <w:sz w:val="19"/>
              </w:rPr>
            </w:pPr>
            <w:r>
              <w:rPr>
                <w:i/>
                <w:sz w:val="19"/>
              </w:rPr>
              <w:t>Stamp Act Amendment Act 1927</w:t>
            </w:r>
          </w:p>
        </w:tc>
        <w:tc>
          <w:tcPr>
            <w:tcW w:w="1104" w:type="dxa"/>
            <w:gridSpan w:val="2"/>
          </w:tcPr>
          <w:p>
            <w:pPr>
              <w:pStyle w:val="nTable"/>
              <w:spacing w:after="40"/>
              <w:rPr>
                <w:sz w:val="19"/>
              </w:rPr>
            </w:pPr>
            <w:r>
              <w:rPr>
                <w:sz w:val="19"/>
              </w:rPr>
              <w:t>10 of 1927</w:t>
            </w:r>
          </w:p>
        </w:tc>
        <w:tc>
          <w:tcPr>
            <w:tcW w:w="1130" w:type="dxa"/>
          </w:tcPr>
          <w:p>
            <w:pPr>
              <w:pStyle w:val="nTable"/>
              <w:spacing w:after="40"/>
              <w:rPr>
                <w:sz w:val="19"/>
              </w:rPr>
            </w:pPr>
            <w:r>
              <w:rPr>
                <w:sz w:val="19"/>
              </w:rPr>
              <w:t>6 Dec 1927</w:t>
            </w:r>
          </w:p>
        </w:tc>
        <w:tc>
          <w:tcPr>
            <w:tcW w:w="2567" w:type="dxa"/>
            <w:gridSpan w:val="2"/>
          </w:tcPr>
          <w:p>
            <w:pPr>
              <w:pStyle w:val="nTable"/>
              <w:spacing w:after="40"/>
              <w:rPr>
                <w:sz w:val="19"/>
              </w:rPr>
            </w:pPr>
            <w:r>
              <w:rPr>
                <w:sz w:val="19"/>
              </w:rPr>
              <w:t>6 Dec 1927</w:t>
            </w:r>
          </w:p>
        </w:tc>
      </w:tr>
      <w:tr>
        <w:trPr>
          <w:cantSplit/>
        </w:trPr>
        <w:tc>
          <w:tcPr>
            <w:tcW w:w="2184" w:type="dxa"/>
          </w:tcPr>
          <w:p>
            <w:pPr>
              <w:pStyle w:val="nTable"/>
              <w:spacing w:after="40"/>
              <w:ind w:right="113"/>
              <w:rPr>
                <w:sz w:val="19"/>
              </w:rPr>
            </w:pPr>
            <w:r>
              <w:rPr>
                <w:i/>
                <w:sz w:val="19"/>
              </w:rPr>
              <w:t>Stamp Act Amendment Act 1928</w:t>
            </w:r>
          </w:p>
        </w:tc>
        <w:tc>
          <w:tcPr>
            <w:tcW w:w="1104" w:type="dxa"/>
            <w:gridSpan w:val="2"/>
          </w:tcPr>
          <w:p>
            <w:pPr>
              <w:pStyle w:val="nTable"/>
              <w:spacing w:after="40"/>
              <w:rPr>
                <w:sz w:val="19"/>
              </w:rPr>
            </w:pPr>
            <w:r>
              <w:rPr>
                <w:sz w:val="19"/>
              </w:rPr>
              <w:t>22 of 1928</w:t>
            </w:r>
          </w:p>
        </w:tc>
        <w:tc>
          <w:tcPr>
            <w:tcW w:w="1130" w:type="dxa"/>
          </w:tcPr>
          <w:p>
            <w:pPr>
              <w:pStyle w:val="nTable"/>
              <w:spacing w:after="40"/>
              <w:rPr>
                <w:sz w:val="19"/>
              </w:rPr>
            </w:pPr>
            <w:r>
              <w:rPr>
                <w:sz w:val="19"/>
              </w:rPr>
              <w:t>21 Dec 1928</w:t>
            </w:r>
          </w:p>
        </w:tc>
        <w:tc>
          <w:tcPr>
            <w:tcW w:w="2567" w:type="dxa"/>
            <w:gridSpan w:val="2"/>
          </w:tcPr>
          <w:p>
            <w:pPr>
              <w:pStyle w:val="nTable"/>
              <w:spacing w:after="40"/>
              <w:rPr>
                <w:sz w:val="19"/>
              </w:rPr>
            </w:pPr>
            <w:r>
              <w:rPr>
                <w:sz w:val="19"/>
              </w:rPr>
              <w:t>21 Dec 1928</w:t>
            </w:r>
          </w:p>
        </w:tc>
      </w:tr>
      <w:tr>
        <w:trPr>
          <w:cantSplit/>
        </w:trPr>
        <w:tc>
          <w:tcPr>
            <w:tcW w:w="2184" w:type="dxa"/>
          </w:tcPr>
          <w:p>
            <w:pPr>
              <w:pStyle w:val="nTable"/>
              <w:spacing w:after="40"/>
              <w:ind w:right="113"/>
              <w:rPr>
                <w:sz w:val="19"/>
                <w:vertAlign w:val="superscript"/>
              </w:rPr>
            </w:pPr>
            <w:r>
              <w:rPr>
                <w:i/>
                <w:sz w:val="19"/>
              </w:rPr>
              <w:t>Stamp Act Amendment Act 1929</w:t>
            </w:r>
          </w:p>
        </w:tc>
        <w:tc>
          <w:tcPr>
            <w:tcW w:w="1104" w:type="dxa"/>
            <w:gridSpan w:val="2"/>
          </w:tcPr>
          <w:p>
            <w:pPr>
              <w:pStyle w:val="nTable"/>
              <w:spacing w:after="40"/>
              <w:rPr>
                <w:sz w:val="19"/>
              </w:rPr>
            </w:pPr>
            <w:r>
              <w:rPr>
                <w:sz w:val="19"/>
              </w:rPr>
              <w:t>5 of 1929</w:t>
            </w:r>
          </w:p>
        </w:tc>
        <w:tc>
          <w:tcPr>
            <w:tcW w:w="1130" w:type="dxa"/>
          </w:tcPr>
          <w:p>
            <w:pPr>
              <w:pStyle w:val="nTable"/>
              <w:spacing w:after="40"/>
              <w:rPr>
                <w:sz w:val="19"/>
              </w:rPr>
            </w:pPr>
            <w:r>
              <w:rPr>
                <w:sz w:val="19"/>
              </w:rPr>
              <w:t>7 Oct 1929</w:t>
            </w:r>
          </w:p>
        </w:tc>
        <w:tc>
          <w:tcPr>
            <w:tcW w:w="2567" w:type="dxa"/>
            <w:gridSpan w:val="2"/>
          </w:tcPr>
          <w:p>
            <w:pPr>
              <w:pStyle w:val="nTable"/>
              <w:spacing w:after="40"/>
              <w:rPr>
                <w:sz w:val="19"/>
              </w:rPr>
            </w:pPr>
            <w:r>
              <w:rPr>
                <w:sz w:val="19"/>
              </w:rPr>
              <w:t>7 Oct 1929</w:t>
            </w:r>
          </w:p>
        </w:tc>
      </w:tr>
      <w:tr>
        <w:trPr>
          <w:cantSplit/>
        </w:trPr>
        <w:tc>
          <w:tcPr>
            <w:tcW w:w="2184" w:type="dxa"/>
          </w:tcPr>
          <w:p>
            <w:pPr>
              <w:pStyle w:val="nTable"/>
              <w:spacing w:after="40"/>
              <w:ind w:right="113"/>
              <w:rPr>
                <w:sz w:val="19"/>
              </w:rPr>
            </w:pPr>
            <w:r>
              <w:rPr>
                <w:i/>
                <w:sz w:val="19"/>
              </w:rPr>
              <w:t>Stamp Act Amendment Act (No. 3) 1930</w:t>
            </w:r>
          </w:p>
        </w:tc>
        <w:tc>
          <w:tcPr>
            <w:tcW w:w="1104" w:type="dxa"/>
            <w:gridSpan w:val="2"/>
          </w:tcPr>
          <w:p>
            <w:pPr>
              <w:pStyle w:val="nTable"/>
              <w:spacing w:after="40"/>
              <w:rPr>
                <w:sz w:val="19"/>
              </w:rPr>
            </w:pPr>
            <w:r>
              <w:rPr>
                <w:sz w:val="19"/>
              </w:rPr>
              <w:t>11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(No. 1) 1930</w:t>
            </w:r>
          </w:p>
        </w:tc>
        <w:tc>
          <w:tcPr>
            <w:tcW w:w="1104" w:type="dxa"/>
            <w:gridSpan w:val="2"/>
          </w:tcPr>
          <w:p>
            <w:pPr>
              <w:pStyle w:val="nTable"/>
              <w:spacing w:after="40"/>
              <w:rPr>
                <w:sz w:val="19"/>
              </w:rPr>
            </w:pPr>
            <w:r>
              <w:rPr>
                <w:sz w:val="19"/>
              </w:rPr>
              <w:t>12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1931</w:t>
            </w:r>
          </w:p>
        </w:tc>
        <w:tc>
          <w:tcPr>
            <w:tcW w:w="1104" w:type="dxa"/>
            <w:gridSpan w:val="2"/>
          </w:tcPr>
          <w:p>
            <w:pPr>
              <w:pStyle w:val="nTable"/>
              <w:spacing w:after="40"/>
              <w:rPr>
                <w:sz w:val="19"/>
              </w:rPr>
            </w:pPr>
            <w:r>
              <w:rPr>
                <w:sz w:val="19"/>
              </w:rPr>
              <w:t>39 of 1931</w:t>
            </w:r>
          </w:p>
        </w:tc>
        <w:tc>
          <w:tcPr>
            <w:tcW w:w="1130" w:type="dxa"/>
          </w:tcPr>
          <w:p>
            <w:pPr>
              <w:pStyle w:val="nTable"/>
              <w:spacing w:after="40"/>
              <w:rPr>
                <w:sz w:val="19"/>
              </w:rPr>
            </w:pPr>
            <w:r>
              <w:rPr>
                <w:sz w:val="19"/>
              </w:rPr>
              <w:t>26 Nov 1931</w:t>
            </w:r>
          </w:p>
        </w:tc>
        <w:tc>
          <w:tcPr>
            <w:tcW w:w="2567" w:type="dxa"/>
            <w:gridSpan w:val="2"/>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del w:id="4021" w:author="svcMRProcess" w:date="2020-02-20T23:16:00Z">
              <w:r>
                <w:rPr>
                  <w:sz w:val="19"/>
                  <w:vertAlign w:val="superscript"/>
                </w:rPr>
                <w:delText>13</w:delText>
              </w:r>
            </w:del>
            <w:ins w:id="4022" w:author="svcMRProcess" w:date="2020-02-20T23:16:00Z">
              <w:r>
                <w:rPr>
                  <w:sz w:val="19"/>
                  <w:vertAlign w:val="superscript"/>
                </w:rPr>
                <w:t>10</w:t>
              </w:r>
            </w:ins>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1941</w:t>
            </w:r>
          </w:p>
        </w:tc>
        <w:tc>
          <w:tcPr>
            <w:tcW w:w="1104" w:type="dxa"/>
            <w:gridSpan w:val="2"/>
          </w:tcPr>
          <w:p>
            <w:pPr>
              <w:pStyle w:val="nTable"/>
              <w:spacing w:after="40"/>
              <w:rPr>
                <w:sz w:val="19"/>
              </w:rPr>
            </w:pPr>
            <w:r>
              <w:rPr>
                <w:sz w:val="19"/>
              </w:rPr>
              <w:t>35 of 1941</w:t>
            </w:r>
          </w:p>
        </w:tc>
        <w:tc>
          <w:tcPr>
            <w:tcW w:w="1130" w:type="dxa"/>
          </w:tcPr>
          <w:p>
            <w:pPr>
              <w:pStyle w:val="nTable"/>
              <w:spacing w:after="40"/>
              <w:rPr>
                <w:sz w:val="19"/>
              </w:rPr>
            </w:pPr>
            <w:r>
              <w:rPr>
                <w:sz w:val="19"/>
              </w:rPr>
              <w:t>19 Dec 1941</w:t>
            </w:r>
          </w:p>
        </w:tc>
        <w:tc>
          <w:tcPr>
            <w:tcW w:w="2567" w:type="dxa"/>
            <w:gridSpan w:val="2"/>
          </w:tcPr>
          <w:p>
            <w:pPr>
              <w:pStyle w:val="nTable"/>
              <w:spacing w:after="40"/>
              <w:rPr>
                <w:sz w:val="19"/>
              </w:rPr>
            </w:pPr>
            <w:r>
              <w:rPr>
                <w:sz w:val="19"/>
              </w:rPr>
              <w:t>19 Dec 1941</w:t>
            </w:r>
          </w:p>
        </w:tc>
      </w:tr>
      <w:tr>
        <w:trPr>
          <w:cantSplit/>
        </w:trPr>
        <w:tc>
          <w:tcPr>
            <w:tcW w:w="2184" w:type="dxa"/>
          </w:tcPr>
          <w:p>
            <w:pPr>
              <w:pStyle w:val="nTable"/>
              <w:spacing w:after="40"/>
              <w:ind w:right="113"/>
              <w:rPr>
                <w:sz w:val="19"/>
              </w:rPr>
            </w:pPr>
            <w:r>
              <w:rPr>
                <w:i/>
                <w:sz w:val="19"/>
              </w:rPr>
              <w:t>Stamp Act Amendment Act 1942</w:t>
            </w:r>
          </w:p>
        </w:tc>
        <w:tc>
          <w:tcPr>
            <w:tcW w:w="1104" w:type="dxa"/>
            <w:gridSpan w:val="2"/>
          </w:tcPr>
          <w:p>
            <w:pPr>
              <w:pStyle w:val="nTable"/>
              <w:spacing w:after="40"/>
              <w:rPr>
                <w:sz w:val="19"/>
              </w:rPr>
            </w:pPr>
            <w:r>
              <w:rPr>
                <w:sz w:val="19"/>
              </w:rPr>
              <w:t>40 of 1942</w:t>
            </w:r>
          </w:p>
        </w:tc>
        <w:tc>
          <w:tcPr>
            <w:tcW w:w="1130" w:type="dxa"/>
          </w:tcPr>
          <w:p>
            <w:pPr>
              <w:pStyle w:val="nTable"/>
              <w:spacing w:after="40"/>
              <w:rPr>
                <w:sz w:val="19"/>
              </w:rPr>
            </w:pPr>
            <w:r>
              <w:rPr>
                <w:sz w:val="19"/>
              </w:rPr>
              <w:t>23 Dec 1942</w:t>
            </w:r>
          </w:p>
        </w:tc>
        <w:tc>
          <w:tcPr>
            <w:tcW w:w="2567" w:type="dxa"/>
            <w:gridSpan w:val="2"/>
          </w:tcPr>
          <w:p>
            <w:pPr>
              <w:pStyle w:val="nTable"/>
              <w:spacing w:after="40"/>
              <w:rPr>
                <w:sz w:val="19"/>
              </w:rPr>
            </w:pPr>
            <w:r>
              <w:rPr>
                <w:sz w:val="19"/>
              </w:rPr>
              <w:t>23 Dec 1942</w:t>
            </w:r>
          </w:p>
        </w:tc>
      </w:tr>
      <w:tr>
        <w:trPr>
          <w:cantSplit/>
        </w:trPr>
        <w:tc>
          <w:tcPr>
            <w:tcW w:w="2184" w:type="dxa"/>
          </w:tcPr>
          <w:p>
            <w:pPr>
              <w:pStyle w:val="nTable"/>
              <w:spacing w:after="40"/>
              <w:ind w:right="113"/>
              <w:rPr>
                <w:sz w:val="19"/>
              </w:rPr>
            </w:pPr>
            <w:r>
              <w:rPr>
                <w:i/>
                <w:sz w:val="19"/>
              </w:rPr>
              <w:t>Stamp Act Amendment Act 1944</w:t>
            </w:r>
          </w:p>
        </w:tc>
        <w:tc>
          <w:tcPr>
            <w:tcW w:w="1104" w:type="dxa"/>
            <w:gridSpan w:val="2"/>
          </w:tcPr>
          <w:p>
            <w:pPr>
              <w:pStyle w:val="nTable"/>
              <w:spacing w:after="40"/>
              <w:rPr>
                <w:sz w:val="19"/>
              </w:rPr>
            </w:pPr>
            <w:r>
              <w:rPr>
                <w:sz w:val="19"/>
              </w:rPr>
              <w:t>20 of 1944</w:t>
            </w:r>
          </w:p>
        </w:tc>
        <w:tc>
          <w:tcPr>
            <w:tcW w:w="1130" w:type="dxa"/>
          </w:tcPr>
          <w:p>
            <w:pPr>
              <w:pStyle w:val="nTable"/>
              <w:spacing w:after="40"/>
              <w:rPr>
                <w:sz w:val="19"/>
              </w:rPr>
            </w:pPr>
            <w:r>
              <w:rPr>
                <w:sz w:val="19"/>
              </w:rPr>
              <w:t>23 Dec 1944</w:t>
            </w:r>
          </w:p>
        </w:tc>
        <w:tc>
          <w:tcPr>
            <w:tcW w:w="2567" w:type="dxa"/>
            <w:gridSpan w:val="2"/>
          </w:tcPr>
          <w:p>
            <w:pPr>
              <w:pStyle w:val="nTable"/>
              <w:spacing w:after="40"/>
              <w:rPr>
                <w:sz w:val="19"/>
              </w:rPr>
            </w:pPr>
            <w:r>
              <w:rPr>
                <w:sz w:val="19"/>
              </w:rPr>
              <w:t>23 Dec 1944</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1950</w:t>
            </w:r>
          </w:p>
        </w:tc>
        <w:tc>
          <w:tcPr>
            <w:tcW w:w="1104" w:type="dxa"/>
            <w:gridSpan w:val="2"/>
          </w:tcPr>
          <w:p>
            <w:pPr>
              <w:pStyle w:val="nTable"/>
              <w:spacing w:after="40"/>
              <w:rPr>
                <w:sz w:val="19"/>
              </w:rPr>
            </w:pPr>
            <w:r>
              <w:rPr>
                <w:sz w:val="19"/>
              </w:rPr>
              <w:t>11 of 1950</w:t>
            </w:r>
          </w:p>
        </w:tc>
        <w:tc>
          <w:tcPr>
            <w:tcW w:w="1130" w:type="dxa"/>
          </w:tcPr>
          <w:p>
            <w:pPr>
              <w:pStyle w:val="nTable"/>
              <w:spacing w:after="40"/>
              <w:rPr>
                <w:sz w:val="19"/>
              </w:rPr>
            </w:pPr>
            <w:r>
              <w:rPr>
                <w:sz w:val="19"/>
              </w:rPr>
              <w:t>17 Nov 1950</w:t>
            </w:r>
          </w:p>
        </w:tc>
        <w:tc>
          <w:tcPr>
            <w:tcW w:w="2567" w:type="dxa"/>
            <w:gridSpan w:val="2"/>
          </w:tcPr>
          <w:p>
            <w:pPr>
              <w:pStyle w:val="nTable"/>
              <w:spacing w:after="40"/>
              <w:rPr>
                <w:sz w:val="19"/>
              </w:rPr>
            </w:pPr>
            <w:r>
              <w:rPr>
                <w:sz w:val="19"/>
              </w:rPr>
              <w:t>17 Nov 1950</w:t>
            </w:r>
          </w:p>
        </w:tc>
      </w:tr>
      <w:tr>
        <w:trPr>
          <w:cantSplit/>
        </w:trPr>
        <w:tc>
          <w:tcPr>
            <w:tcW w:w="2184" w:type="dxa"/>
          </w:tcPr>
          <w:p>
            <w:pPr>
              <w:pStyle w:val="nTable"/>
              <w:spacing w:after="40"/>
              <w:ind w:right="113"/>
              <w:rPr>
                <w:sz w:val="19"/>
              </w:rPr>
            </w:pPr>
            <w:r>
              <w:rPr>
                <w:i/>
                <w:sz w:val="19"/>
              </w:rPr>
              <w:t>Stamp Act Amendment Act 1954</w:t>
            </w:r>
          </w:p>
        </w:tc>
        <w:tc>
          <w:tcPr>
            <w:tcW w:w="1104" w:type="dxa"/>
            <w:gridSpan w:val="2"/>
          </w:tcPr>
          <w:p>
            <w:pPr>
              <w:pStyle w:val="nTable"/>
              <w:spacing w:after="40"/>
              <w:rPr>
                <w:sz w:val="19"/>
              </w:rPr>
            </w:pPr>
            <w:r>
              <w:rPr>
                <w:sz w:val="19"/>
              </w:rPr>
              <w:t>5 of 1954</w:t>
            </w:r>
          </w:p>
        </w:tc>
        <w:tc>
          <w:tcPr>
            <w:tcW w:w="1130" w:type="dxa"/>
          </w:tcPr>
          <w:p>
            <w:pPr>
              <w:pStyle w:val="nTable"/>
              <w:spacing w:after="40"/>
              <w:rPr>
                <w:sz w:val="19"/>
              </w:rPr>
            </w:pPr>
            <w:r>
              <w:rPr>
                <w:sz w:val="19"/>
              </w:rPr>
              <w:t>25 Aug 1954</w:t>
            </w:r>
          </w:p>
        </w:tc>
        <w:tc>
          <w:tcPr>
            <w:tcW w:w="2567" w:type="dxa"/>
            <w:gridSpan w:val="2"/>
          </w:tcPr>
          <w:p>
            <w:pPr>
              <w:pStyle w:val="nTable"/>
              <w:spacing w:after="40"/>
              <w:rPr>
                <w:sz w:val="19"/>
              </w:rPr>
            </w:pPr>
            <w:r>
              <w:rPr>
                <w:sz w:val="19"/>
              </w:rPr>
              <w:t>25 Aug 1954</w:t>
            </w:r>
          </w:p>
        </w:tc>
      </w:tr>
      <w:tr>
        <w:trPr>
          <w:cantSplit/>
        </w:trPr>
        <w:tc>
          <w:tcPr>
            <w:tcW w:w="2184" w:type="dxa"/>
          </w:tcPr>
          <w:p>
            <w:pPr>
              <w:pStyle w:val="nTable"/>
              <w:spacing w:after="40"/>
              <w:ind w:right="113"/>
              <w:rPr>
                <w:sz w:val="19"/>
                <w:vertAlign w:val="superscript"/>
              </w:rPr>
            </w:pPr>
            <w:r>
              <w:rPr>
                <w:i/>
                <w:sz w:val="19"/>
              </w:rPr>
              <w:t xml:space="preserve">Betting Control Act 1954 </w:t>
            </w:r>
            <w:r>
              <w:rPr>
                <w:sz w:val="19"/>
              </w:rPr>
              <w:t>s. 3(2)</w:t>
            </w:r>
          </w:p>
        </w:tc>
        <w:tc>
          <w:tcPr>
            <w:tcW w:w="1104" w:type="dxa"/>
            <w:gridSpan w:val="2"/>
          </w:tcPr>
          <w:p>
            <w:pPr>
              <w:pStyle w:val="nTable"/>
              <w:spacing w:after="40"/>
              <w:rPr>
                <w:sz w:val="19"/>
              </w:rPr>
            </w:pPr>
            <w:r>
              <w:rPr>
                <w:sz w:val="19"/>
              </w:rPr>
              <w:t>63 of 1954</w:t>
            </w:r>
          </w:p>
        </w:tc>
        <w:tc>
          <w:tcPr>
            <w:tcW w:w="1130" w:type="dxa"/>
          </w:tcPr>
          <w:p>
            <w:pPr>
              <w:pStyle w:val="nTable"/>
              <w:spacing w:after="40"/>
              <w:rPr>
                <w:sz w:val="19"/>
              </w:rPr>
            </w:pPr>
            <w:r>
              <w:rPr>
                <w:sz w:val="19"/>
              </w:rPr>
              <w:t>30 Dec 1954</w:t>
            </w:r>
          </w:p>
        </w:tc>
        <w:tc>
          <w:tcPr>
            <w:tcW w:w="2567" w:type="dxa"/>
            <w:gridSpan w:val="2"/>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184" w:type="dxa"/>
          </w:tcPr>
          <w:p>
            <w:pPr>
              <w:pStyle w:val="nTable"/>
              <w:spacing w:after="40"/>
              <w:ind w:right="113"/>
              <w:rPr>
                <w:sz w:val="19"/>
              </w:rPr>
            </w:pPr>
            <w:r>
              <w:rPr>
                <w:i/>
                <w:sz w:val="19"/>
              </w:rPr>
              <w:t>Stamp Act Amendment Act 1957</w:t>
            </w:r>
          </w:p>
        </w:tc>
        <w:tc>
          <w:tcPr>
            <w:tcW w:w="1104" w:type="dxa"/>
            <w:gridSpan w:val="2"/>
          </w:tcPr>
          <w:p>
            <w:pPr>
              <w:pStyle w:val="nTable"/>
              <w:spacing w:after="40"/>
              <w:rPr>
                <w:sz w:val="19"/>
              </w:rPr>
            </w:pPr>
            <w:r>
              <w:rPr>
                <w:sz w:val="19"/>
              </w:rPr>
              <w:t>70 of 1957</w:t>
            </w:r>
          </w:p>
        </w:tc>
        <w:tc>
          <w:tcPr>
            <w:tcW w:w="1130" w:type="dxa"/>
          </w:tcPr>
          <w:p>
            <w:pPr>
              <w:pStyle w:val="nTable"/>
              <w:spacing w:after="40"/>
              <w:rPr>
                <w:sz w:val="19"/>
              </w:rPr>
            </w:pPr>
            <w:r>
              <w:rPr>
                <w:sz w:val="19"/>
              </w:rPr>
              <w:t>6 Dec 1957</w:t>
            </w:r>
          </w:p>
        </w:tc>
        <w:tc>
          <w:tcPr>
            <w:tcW w:w="2567" w:type="dxa"/>
            <w:gridSpan w:val="2"/>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(No. 2) 1959</w:t>
            </w:r>
          </w:p>
        </w:tc>
        <w:tc>
          <w:tcPr>
            <w:tcW w:w="1104" w:type="dxa"/>
            <w:gridSpan w:val="2"/>
          </w:tcPr>
          <w:p>
            <w:pPr>
              <w:pStyle w:val="nTable"/>
              <w:spacing w:after="40"/>
              <w:rPr>
                <w:sz w:val="19"/>
              </w:rPr>
            </w:pPr>
            <w:r>
              <w:rPr>
                <w:sz w:val="19"/>
              </w:rPr>
              <w:t>64 of 1959</w:t>
            </w:r>
          </w:p>
        </w:tc>
        <w:tc>
          <w:tcPr>
            <w:tcW w:w="1130" w:type="dxa"/>
          </w:tcPr>
          <w:p>
            <w:pPr>
              <w:pStyle w:val="nTable"/>
              <w:spacing w:after="40"/>
              <w:rPr>
                <w:sz w:val="19"/>
              </w:rPr>
            </w:pPr>
            <w:r>
              <w:rPr>
                <w:sz w:val="19"/>
              </w:rPr>
              <w:t>10 Dec 1959</w:t>
            </w:r>
          </w:p>
        </w:tc>
        <w:tc>
          <w:tcPr>
            <w:tcW w:w="2567" w:type="dxa"/>
            <w:gridSpan w:val="2"/>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184" w:type="dxa"/>
          </w:tcPr>
          <w:p>
            <w:pPr>
              <w:pStyle w:val="nTable"/>
              <w:spacing w:after="40"/>
              <w:ind w:right="113"/>
              <w:rPr>
                <w:sz w:val="19"/>
              </w:rPr>
            </w:pPr>
            <w:r>
              <w:rPr>
                <w:i/>
                <w:sz w:val="19"/>
              </w:rPr>
              <w:t>Stamp Act Amendment Act 1959</w:t>
            </w:r>
          </w:p>
        </w:tc>
        <w:tc>
          <w:tcPr>
            <w:tcW w:w="1104" w:type="dxa"/>
            <w:gridSpan w:val="2"/>
          </w:tcPr>
          <w:p>
            <w:pPr>
              <w:pStyle w:val="nTable"/>
              <w:spacing w:after="40"/>
              <w:rPr>
                <w:sz w:val="19"/>
              </w:rPr>
            </w:pPr>
            <w:r>
              <w:rPr>
                <w:sz w:val="19"/>
              </w:rPr>
              <w:t>72 of 1959</w:t>
            </w:r>
          </w:p>
        </w:tc>
        <w:tc>
          <w:tcPr>
            <w:tcW w:w="1130" w:type="dxa"/>
          </w:tcPr>
          <w:p>
            <w:pPr>
              <w:pStyle w:val="nTable"/>
              <w:spacing w:after="40"/>
              <w:rPr>
                <w:sz w:val="19"/>
              </w:rPr>
            </w:pPr>
            <w:r>
              <w:rPr>
                <w:sz w:val="19"/>
              </w:rPr>
              <w:t>14 Dec 1959</w:t>
            </w:r>
          </w:p>
        </w:tc>
        <w:tc>
          <w:tcPr>
            <w:tcW w:w="2567" w:type="dxa"/>
            <w:gridSpan w:val="2"/>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184" w:type="dxa"/>
          </w:tcPr>
          <w:p>
            <w:pPr>
              <w:pStyle w:val="nTable"/>
              <w:spacing w:after="40"/>
              <w:ind w:right="113"/>
              <w:rPr>
                <w:sz w:val="19"/>
              </w:rPr>
            </w:pPr>
            <w:r>
              <w:rPr>
                <w:i/>
                <w:sz w:val="19"/>
              </w:rPr>
              <w:t>Stamp Act Amendment Act 1960</w:t>
            </w:r>
          </w:p>
        </w:tc>
        <w:tc>
          <w:tcPr>
            <w:tcW w:w="1104" w:type="dxa"/>
            <w:gridSpan w:val="2"/>
          </w:tcPr>
          <w:p>
            <w:pPr>
              <w:pStyle w:val="nTable"/>
              <w:spacing w:after="40"/>
              <w:rPr>
                <w:sz w:val="19"/>
              </w:rPr>
            </w:pPr>
            <w:r>
              <w:rPr>
                <w:sz w:val="19"/>
              </w:rPr>
              <w:t>22 of 1960</w:t>
            </w:r>
          </w:p>
        </w:tc>
        <w:tc>
          <w:tcPr>
            <w:tcW w:w="1130" w:type="dxa"/>
          </w:tcPr>
          <w:p>
            <w:pPr>
              <w:pStyle w:val="nTable"/>
              <w:spacing w:after="40"/>
              <w:rPr>
                <w:sz w:val="19"/>
              </w:rPr>
            </w:pPr>
            <w:r>
              <w:rPr>
                <w:sz w:val="19"/>
              </w:rPr>
              <w:t>11 Oct 1960</w:t>
            </w:r>
          </w:p>
        </w:tc>
        <w:tc>
          <w:tcPr>
            <w:tcW w:w="2567" w:type="dxa"/>
            <w:gridSpan w:val="2"/>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184" w:type="dxa"/>
          </w:tcPr>
          <w:p>
            <w:pPr>
              <w:pStyle w:val="nTable"/>
              <w:spacing w:after="40"/>
              <w:ind w:right="113"/>
              <w:rPr>
                <w:sz w:val="19"/>
              </w:rPr>
            </w:pPr>
            <w:r>
              <w:rPr>
                <w:i/>
                <w:sz w:val="19"/>
              </w:rPr>
              <w:t>Stamp Act Amendment Act (No. 2) 1960</w:t>
            </w:r>
          </w:p>
        </w:tc>
        <w:tc>
          <w:tcPr>
            <w:tcW w:w="1104" w:type="dxa"/>
            <w:gridSpan w:val="2"/>
          </w:tcPr>
          <w:p>
            <w:pPr>
              <w:pStyle w:val="nTable"/>
              <w:spacing w:after="40"/>
              <w:rPr>
                <w:sz w:val="19"/>
              </w:rPr>
            </w:pPr>
            <w:r>
              <w:rPr>
                <w:sz w:val="19"/>
              </w:rPr>
              <w:t>41 of 1960</w:t>
            </w:r>
          </w:p>
        </w:tc>
        <w:tc>
          <w:tcPr>
            <w:tcW w:w="1130" w:type="dxa"/>
          </w:tcPr>
          <w:p>
            <w:pPr>
              <w:pStyle w:val="nTable"/>
              <w:spacing w:after="40"/>
              <w:rPr>
                <w:sz w:val="19"/>
              </w:rPr>
            </w:pPr>
            <w:r>
              <w:rPr>
                <w:sz w:val="19"/>
              </w:rPr>
              <w:t>3 Nov 1960</w:t>
            </w:r>
          </w:p>
        </w:tc>
        <w:tc>
          <w:tcPr>
            <w:tcW w:w="2567" w:type="dxa"/>
            <w:gridSpan w:val="2"/>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184" w:type="dxa"/>
          </w:tcPr>
          <w:p>
            <w:pPr>
              <w:pStyle w:val="nTable"/>
              <w:spacing w:after="40"/>
              <w:ind w:right="113"/>
              <w:rPr>
                <w:sz w:val="19"/>
              </w:rPr>
            </w:pPr>
            <w:r>
              <w:rPr>
                <w:i/>
                <w:sz w:val="19"/>
              </w:rPr>
              <w:t>Stamp Act Amendment Act 1961</w:t>
            </w:r>
          </w:p>
        </w:tc>
        <w:tc>
          <w:tcPr>
            <w:tcW w:w="1104" w:type="dxa"/>
            <w:gridSpan w:val="2"/>
          </w:tcPr>
          <w:p>
            <w:pPr>
              <w:pStyle w:val="nTable"/>
              <w:spacing w:after="40"/>
              <w:rPr>
                <w:sz w:val="19"/>
              </w:rPr>
            </w:pPr>
            <w:r>
              <w:rPr>
                <w:sz w:val="19"/>
              </w:rPr>
              <w:t>21 of 1961</w:t>
            </w:r>
          </w:p>
        </w:tc>
        <w:tc>
          <w:tcPr>
            <w:tcW w:w="1130" w:type="dxa"/>
          </w:tcPr>
          <w:p>
            <w:pPr>
              <w:pStyle w:val="nTable"/>
              <w:spacing w:after="40"/>
              <w:rPr>
                <w:sz w:val="19"/>
              </w:rPr>
            </w:pPr>
            <w:r>
              <w:rPr>
                <w:sz w:val="19"/>
              </w:rPr>
              <w:t>30 Oct 1961</w:t>
            </w:r>
          </w:p>
        </w:tc>
        <w:tc>
          <w:tcPr>
            <w:tcW w:w="2567" w:type="dxa"/>
            <w:gridSpan w:val="2"/>
          </w:tcPr>
          <w:p>
            <w:pPr>
              <w:pStyle w:val="nTable"/>
              <w:spacing w:after="40"/>
              <w:rPr>
                <w:sz w:val="19"/>
              </w:rPr>
            </w:pPr>
            <w:r>
              <w:rPr>
                <w:sz w:val="19"/>
              </w:rPr>
              <w:t>30 Oct 1961</w:t>
            </w:r>
          </w:p>
        </w:tc>
      </w:tr>
      <w:tr>
        <w:trPr>
          <w:cantSplit/>
        </w:trPr>
        <w:tc>
          <w:tcPr>
            <w:tcW w:w="2184" w:type="dxa"/>
          </w:tcPr>
          <w:p>
            <w:pPr>
              <w:pStyle w:val="nTable"/>
              <w:spacing w:after="40"/>
              <w:ind w:right="113"/>
              <w:rPr>
                <w:sz w:val="19"/>
              </w:rPr>
            </w:pPr>
            <w:r>
              <w:rPr>
                <w:i/>
                <w:sz w:val="19"/>
              </w:rPr>
              <w:t>Stamp Act Amendment Act 1962</w:t>
            </w:r>
          </w:p>
        </w:tc>
        <w:tc>
          <w:tcPr>
            <w:tcW w:w="1104" w:type="dxa"/>
            <w:gridSpan w:val="2"/>
          </w:tcPr>
          <w:p>
            <w:pPr>
              <w:pStyle w:val="nTable"/>
              <w:spacing w:after="40"/>
              <w:rPr>
                <w:sz w:val="19"/>
              </w:rPr>
            </w:pPr>
            <w:r>
              <w:rPr>
                <w:sz w:val="19"/>
              </w:rPr>
              <w:t>20 of 1962</w:t>
            </w:r>
          </w:p>
        </w:tc>
        <w:tc>
          <w:tcPr>
            <w:tcW w:w="1130" w:type="dxa"/>
          </w:tcPr>
          <w:p>
            <w:pPr>
              <w:pStyle w:val="nTable"/>
              <w:spacing w:after="40"/>
              <w:rPr>
                <w:sz w:val="19"/>
              </w:rPr>
            </w:pPr>
            <w:r>
              <w:rPr>
                <w:sz w:val="19"/>
              </w:rPr>
              <w:t>1 Oct 1962</w:t>
            </w:r>
          </w:p>
        </w:tc>
        <w:tc>
          <w:tcPr>
            <w:tcW w:w="2567" w:type="dxa"/>
            <w:gridSpan w:val="2"/>
          </w:tcPr>
          <w:p>
            <w:pPr>
              <w:pStyle w:val="nTable"/>
              <w:spacing w:after="40"/>
              <w:rPr>
                <w:sz w:val="19"/>
              </w:rPr>
            </w:pPr>
            <w:r>
              <w:rPr>
                <w:sz w:val="19"/>
              </w:rPr>
              <w:t>1 Oct 1962</w:t>
            </w:r>
          </w:p>
        </w:tc>
      </w:tr>
      <w:tr>
        <w:trPr>
          <w:cantSplit/>
        </w:trPr>
        <w:tc>
          <w:tcPr>
            <w:tcW w:w="2184" w:type="dxa"/>
          </w:tcPr>
          <w:p>
            <w:pPr>
              <w:pStyle w:val="nTable"/>
              <w:spacing w:after="40"/>
              <w:ind w:right="113"/>
              <w:rPr>
                <w:sz w:val="19"/>
              </w:rPr>
            </w:pPr>
            <w:r>
              <w:rPr>
                <w:i/>
                <w:sz w:val="19"/>
              </w:rPr>
              <w:t>Stamp Act Amendment Act (No. 2) 1962</w:t>
            </w:r>
          </w:p>
        </w:tc>
        <w:tc>
          <w:tcPr>
            <w:tcW w:w="1104" w:type="dxa"/>
            <w:gridSpan w:val="2"/>
          </w:tcPr>
          <w:p>
            <w:pPr>
              <w:pStyle w:val="nTable"/>
              <w:spacing w:after="40"/>
              <w:rPr>
                <w:sz w:val="19"/>
              </w:rPr>
            </w:pPr>
            <w:r>
              <w:rPr>
                <w:sz w:val="19"/>
              </w:rPr>
              <w:t>60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1 Jan 1963 (see s. 2)</w:t>
            </w:r>
          </w:p>
        </w:tc>
      </w:tr>
      <w:tr>
        <w:trPr>
          <w:cantSplit/>
        </w:trPr>
        <w:tc>
          <w:tcPr>
            <w:tcW w:w="2184" w:type="dxa"/>
          </w:tcPr>
          <w:p>
            <w:pPr>
              <w:pStyle w:val="nTable"/>
              <w:spacing w:after="40"/>
              <w:ind w:right="113"/>
              <w:rPr>
                <w:sz w:val="19"/>
              </w:rPr>
            </w:pPr>
            <w:r>
              <w:rPr>
                <w:i/>
                <w:sz w:val="19"/>
              </w:rPr>
              <w:t>Stamp Act Amendment Act (No. 3) 1962</w:t>
            </w:r>
          </w:p>
        </w:tc>
        <w:tc>
          <w:tcPr>
            <w:tcW w:w="1104" w:type="dxa"/>
            <w:gridSpan w:val="2"/>
          </w:tcPr>
          <w:p>
            <w:pPr>
              <w:pStyle w:val="nTable"/>
              <w:spacing w:after="40"/>
              <w:rPr>
                <w:sz w:val="19"/>
              </w:rPr>
            </w:pPr>
            <w:r>
              <w:rPr>
                <w:sz w:val="19"/>
              </w:rPr>
              <w:t>69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30 Nov 1962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1963</w:t>
            </w:r>
          </w:p>
        </w:tc>
        <w:tc>
          <w:tcPr>
            <w:tcW w:w="1104" w:type="dxa"/>
            <w:gridSpan w:val="2"/>
          </w:tcPr>
          <w:p>
            <w:pPr>
              <w:pStyle w:val="nTable"/>
              <w:spacing w:after="40"/>
              <w:rPr>
                <w:sz w:val="19"/>
              </w:rPr>
            </w:pPr>
            <w:r>
              <w:rPr>
                <w:sz w:val="19"/>
              </w:rPr>
              <w:t>7 of 1963</w:t>
            </w:r>
          </w:p>
        </w:tc>
        <w:tc>
          <w:tcPr>
            <w:tcW w:w="1151" w:type="dxa"/>
            <w:gridSpan w:val="2"/>
          </w:tcPr>
          <w:p>
            <w:pPr>
              <w:pStyle w:val="nTable"/>
              <w:spacing w:after="40"/>
              <w:rPr>
                <w:sz w:val="19"/>
              </w:rPr>
            </w:pPr>
            <w:r>
              <w:rPr>
                <w:sz w:val="19"/>
              </w:rPr>
              <w:t>15 Oct 1963</w:t>
            </w:r>
          </w:p>
        </w:tc>
        <w:tc>
          <w:tcPr>
            <w:tcW w:w="2546" w:type="dxa"/>
          </w:tcPr>
          <w:p>
            <w:pPr>
              <w:pStyle w:val="nTable"/>
              <w:spacing w:after="40"/>
              <w:rPr>
                <w:sz w:val="19"/>
              </w:rPr>
            </w:pPr>
            <w:r>
              <w:rPr>
                <w:sz w:val="19"/>
              </w:rPr>
              <w:t>15 Oct 1963</w:t>
            </w:r>
          </w:p>
        </w:tc>
      </w:tr>
      <w:tr>
        <w:trPr>
          <w:cantSplit/>
        </w:trPr>
        <w:tc>
          <w:tcPr>
            <w:tcW w:w="2184" w:type="dxa"/>
          </w:tcPr>
          <w:p>
            <w:pPr>
              <w:pStyle w:val="nTable"/>
              <w:spacing w:after="40"/>
              <w:ind w:right="113"/>
              <w:rPr>
                <w:sz w:val="19"/>
              </w:rPr>
            </w:pPr>
            <w:r>
              <w:rPr>
                <w:i/>
                <w:sz w:val="19"/>
              </w:rPr>
              <w:t>Stamp Act Amendment Act (No. 2) 1963</w:t>
            </w:r>
          </w:p>
        </w:tc>
        <w:tc>
          <w:tcPr>
            <w:tcW w:w="1104" w:type="dxa"/>
            <w:gridSpan w:val="2"/>
          </w:tcPr>
          <w:p>
            <w:pPr>
              <w:pStyle w:val="nTable"/>
              <w:spacing w:after="40"/>
              <w:rPr>
                <w:sz w:val="19"/>
              </w:rPr>
            </w:pPr>
            <w:r>
              <w:rPr>
                <w:sz w:val="19"/>
              </w:rPr>
              <w:t>37 of 1963</w:t>
            </w:r>
          </w:p>
        </w:tc>
        <w:tc>
          <w:tcPr>
            <w:tcW w:w="1151" w:type="dxa"/>
            <w:gridSpan w:val="2"/>
          </w:tcPr>
          <w:p>
            <w:pPr>
              <w:pStyle w:val="nTable"/>
              <w:spacing w:after="40"/>
              <w:rPr>
                <w:sz w:val="19"/>
              </w:rPr>
            </w:pPr>
            <w:r>
              <w:rPr>
                <w:sz w:val="19"/>
              </w:rPr>
              <w:t>19 Nov 1963</w:t>
            </w:r>
          </w:p>
        </w:tc>
        <w:tc>
          <w:tcPr>
            <w:tcW w:w="2546"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184" w:type="dxa"/>
          </w:tcPr>
          <w:p>
            <w:pPr>
              <w:pStyle w:val="nTable"/>
              <w:spacing w:after="40"/>
              <w:ind w:right="113"/>
              <w:rPr>
                <w:sz w:val="19"/>
              </w:rPr>
            </w:pPr>
            <w:r>
              <w:rPr>
                <w:i/>
                <w:sz w:val="19"/>
              </w:rPr>
              <w:t>Stamp Act Amendment Act (No. 3) 1963</w:t>
            </w:r>
          </w:p>
        </w:tc>
        <w:tc>
          <w:tcPr>
            <w:tcW w:w="1104" w:type="dxa"/>
            <w:gridSpan w:val="2"/>
          </w:tcPr>
          <w:p>
            <w:pPr>
              <w:pStyle w:val="nTable"/>
              <w:spacing w:after="40"/>
              <w:rPr>
                <w:sz w:val="19"/>
              </w:rPr>
            </w:pPr>
            <w:r>
              <w:rPr>
                <w:sz w:val="19"/>
              </w:rPr>
              <w:t>57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17 Dec 1963</w:t>
            </w:r>
          </w:p>
        </w:tc>
      </w:tr>
      <w:tr>
        <w:trPr>
          <w:cantSplit/>
        </w:trPr>
        <w:tc>
          <w:tcPr>
            <w:tcW w:w="2184" w:type="dxa"/>
          </w:tcPr>
          <w:p>
            <w:pPr>
              <w:pStyle w:val="nTable"/>
              <w:spacing w:after="40"/>
              <w:ind w:right="113"/>
              <w:rPr>
                <w:sz w:val="19"/>
              </w:rPr>
            </w:pPr>
            <w:r>
              <w:rPr>
                <w:i/>
                <w:sz w:val="19"/>
              </w:rPr>
              <w:t>Stamp Act Amendment Act (No. 4) 1963</w:t>
            </w:r>
          </w:p>
        </w:tc>
        <w:tc>
          <w:tcPr>
            <w:tcW w:w="1104" w:type="dxa"/>
            <w:gridSpan w:val="2"/>
          </w:tcPr>
          <w:p>
            <w:pPr>
              <w:pStyle w:val="nTable"/>
              <w:spacing w:after="40"/>
              <w:rPr>
                <w:sz w:val="19"/>
              </w:rPr>
            </w:pPr>
            <w:r>
              <w:rPr>
                <w:sz w:val="19"/>
              </w:rPr>
              <w:t>58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184" w:type="dxa"/>
          </w:tcPr>
          <w:p>
            <w:pPr>
              <w:pStyle w:val="nTable"/>
              <w:spacing w:after="40"/>
              <w:ind w:right="113"/>
              <w:rPr>
                <w:sz w:val="19"/>
              </w:rPr>
            </w:pPr>
            <w:r>
              <w:rPr>
                <w:i/>
                <w:sz w:val="19"/>
              </w:rPr>
              <w:t>Stamp Act Amendment Act 1965</w:t>
            </w:r>
          </w:p>
        </w:tc>
        <w:tc>
          <w:tcPr>
            <w:tcW w:w="1104" w:type="dxa"/>
            <w:gridSpan w:val="2"/>
          </w:tcPr>
          <w:p>
            <w:pPr>
              <w:pStyle w:val="nTable"/>
              <w:spacing w:after="40"/>
              <w:rPr>
                <w:sz w:val="19"/>
              </w:rPr>
            </w:pPr>
            <w:r>
              <w:rPr>
                <w:sz w:val="19"/>
              </w:rPr>
              <w:t>72 of 1965</w:t>
            </w:r>
          </w:p>
        </w:tc>
        <w:tc>
          <w:tcPr>
            <w:tcW w:w="1151" w:type="dxa"/>
            <w:gridSpan w:val="2"/>
          </w:tcPr>
          <w:p>
            <w:pPr>
              <w:pStyle w:val="nTable"/>
              <w:spacing w:after="40"/>
              <w:rPr>
                <w:sz w:val="19"/>
              </w:rPr>
            </w:pPr>
            <w:r>
              <w:rPr>
                <w:sz w:val="19"/>
              </w:rPr>
              <w:t>25 Nov 1965</w:t>
            </w:r>
          </w:p>
        </w:tc>
        <w:tc>
          <w:tcPr>
            <w:tcW w:w="2546"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184" w:type="dxa"/>
          </w:tcPr>
          <w:p>
            <w:pPr>
              <w:pStyle w:val="nTable"/>
              <w:spacing w:after="40"/>
              <w:ind w:right="113"/>
              <w:rPr>
                <w:sz w:val="19"/>
              </w:rPr>
            </w:pPr>
            <w:r>
              <w:rPr>
                <w:i/>
                <w:sz w:val="19"/>
              </w:rPr>
              <w:t>Decimal Currency Act 1965</w:t>
            </w:r>
          </w:p>
        </w:tc>
        <w:tc>
          <w:tcPr>
            <w:tcW w:w="1104" w:type="dxa"/>
            <w:gridSpan w:val="2"/>
          </w:tcPr>
          <w:p>
            <w:pPr>
              <w:pStyle w:val="nTable"/>
              <w:spacing w:after="40"/>
              <w:rPr>
                <w:sz w:val="19"/>
              </w:rPr>
            </w:pPr>
            <w:r>
              <w:rPr>
                <w:sz w:val="19"/>
              </w:rPr>
              <w:t>113 of 1965</w:t>
            </w:r>
          </w:p>
        </w:tc>
        <w:tc>
          <w:tcPr>
            <w:tcW w:w="1151" w:type="dxa"/>
            <w:gridSpan w:val="2"/>
          </w:tcPr>
          <w:p>
            <w:pPr>
              <w:pStyle w:val="nTable"/>
              <w:spacing w:after="40"/>
              <w:rPr>
                <w:sz w:val="19"/>
              </w:rPr>
            </w:pPr>
            <w:r>
              <w:rPr>
                <w:sz w:val="19"/>
              </w:rPr>
              <w:t>21 Dec 1965</w:t>
            </w:r>
          </w:p>
        </w:tc>
        <w:tc>
          <w:tcPr>
            <w:tcW w:w="2546" w:type="dxa"/>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1966</w:t>
            </w:r>
          </w:p>
        </w:tc>
        <w:tc>
          <w:tcPr>
            <w:tcW w:w="1104" w:type="dxa"/>
            <w:gridSpan w:val="2"/>
          </w:tcPr>
          <w:p>
            <w:pPr>
              <w:pStyle w:val="nTable"/>
              <w:spacing w:after="40"/>
              <w:rPr>
                <w:sz w:val="19"/>
              </w:rPr>
            </w:pPr>
            <w:r>
              <w:rPr>
                <w:sz w:val="19"/>
              </w:rPr>
              <w:t>67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184" w:type="dxa"/>
          </w:tcPr>
          <w:p>
            <w:pPr>
              <w:pStyle w:val="nTable"/>
              <w:spacing w:after="40"/>
              <w:ind w:right="113"/>
              <w:rPr>
                <w:sz w:val="19"/>
              </w:rPr>
            </w:pPr>
            <w:r>
              <w:rPr>
                <w:i/>
                <w:sz w:val="19"/>
              </w:rPr>
              <w:t>Stamp Act Amendment Act (No. 2) 1966</w:t>
            </w:r>
          </w:p>
        </w:tc>
        <w:tc>
          <w:tcPr>
            <w:tcW w:w="1104" w:type="dxa"/>
            <w:gridSpan w:val="2"/>
          </w:tcPr>
          <w:p>
            <w:pPr>
              <w:pStyle w:val="nTable"/>
              <w:spacing w:after="40"/>
              <w:rPr>
                <w:sz w:val="19"/>
              </w:rPr>
            </w:pPr>
            <w:r>
              <w:rPr>
                <w:sz w:val="19"/>
              </w:rPr>
              <w:t>90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1 Jan 1967 (see s. 2)</w:t>
            </w:r>
          </w:p>
        </w:tc>
      </w:tr>
      <w:tr>
        <w:trPr>
          <w:cantSplit/>
        </w:trPr>
        <w:tc>
          <w:tcPr>
            <w:tcW w:w="2184" w:type="dxa"/>
          </w:tcPr>
          <w:p>
            <w:pPr>
              <w:pStyle w:val="nTable"/>
              <w:spacing w:after="40"/>
              <w:ind w:right="113"/>
              <w:rPr>
                <w:sz w:val="19"/>
              </w:rPr>
            </w:pPr>
            <w:r>
              <w:rPr>
                <w:i/>
                <w:sz w:val="19"/>
              </w:rPr>
              <w:t>Stamp Act Amendment Act (No. 3) 1966</w:t>
            </w:r>
          </w:p>
        </w:tc>
        <w:tc>
          <w:tcPr>
            <w:tcW w:w="1104" w:type="dxa"/>
            <w:gridSpan w:val="2"/>
          </w:tcPr>
          <w:p>
            <w:pPr>
              <w:pStyle w:val="nTable"/>
              <w:spacing w:after="40"/>
              <w:rPr>
                <w:sz w:val="19"/>
              </w:rPr>
            </w:pPr>
            <w:r>
              <w:rPr>
                <w:sz w:val="19"/>
              </w:rPr>
              <w:t>93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184" w:type="dxa"/>
          </w:tcPr>
          <w:p>
            <w:pPr>
              <w:pStyle w:val="nTable"/>
              <w:spacing w:after="40"/>
              <w:ind w:right="113"/>
              <w:rPr>
                <w:sz w:val="19"/>
              </w:rPr>
            </w:pPr>
            <w:r>
              <w:rPr>
                <w:i/>
                <w:sz w:val="19"/>
              </w:rPr>
              <w:t>Stamp Act Amendment Act 1967</w:t>
            </w:r>
          </w:p>
        </w:tc>
        <w:tc>
          <w:tcPr>
            <w:tcW w:w="1104" w:type="dxa"/>
            <w:gridSpan w:val="2"/>
          </w:tcPr>
          <w:p>
            <w:pPr>
              <w:pStyle w:val="nTable"/>
              <w:spacing w:after="40"/>
              <w:rPr>
                <w:sz w:val="19"/>
              </w:rPr>
            </w:pPr>
            <w:r>
              <w:rPr>
                <w:sz w:val="19"/>
              </w:rPr>
              <w:t>50 of 1967</w:t>
            </w:r>
          </w:p>
        </w:tc>
        <w:tc>
          <w:tcPr>
            <w:tcW w:w="1151" w:type="dxa"/>
            <w:gridSpan w:val="2"/>
          </w:tcPr>
          <w:p>
            <w:pPr>
              <w:pStyle w:val="nTable"/>
              <w:spacing w:after="40"/>
              <w:rPr>
                <w:sz w:val="19"/>
              </w:rPr>
            </w:pPr>
            <w:r>
              <w:rPr>
                <w:sz w:val="19"/>
              </w:rPr>
              <w:t>24 Nov 1967</w:t>
            </w:r>
          </w:p>
        </w:tc>
        <w:tc>
          <w:tcPr>
            <w:tcW w:w="2546" w:type="dxa"/>
          </w:tcPr>
          <w:p>
            <w:pPr>
              <w:pStyle w:val="nTable"/>
              <w:spacing w:after="40"/>
              <w:rPr>
                <w:sz w:val="19"/>
              </w:rPr>
            </w:pPr>
            <w:r>
              <w:rPr>
                <w:sz w:val="19"/>
              </w:rPr>
              <w:t>1 Dec 1967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1968</w:t>
            </w:r>
          </w:p>
        </w:tc>
        <w:tc>
          <w:tcPr>
            <w:tcW w:w="1104" w:type="dxa"/>
            <w:gridSpan w:val="2"/>
          </w:tcPr>
          <w:p>
            <w:pPr>
              <w:pStyle w:val="nTable"/>
              <w:spacing w:after="40"/>
              <w:rPr>
                <w:sz w:val="19"/>
              </w:rPr>
            </w:pPr>
            <w:r>
              <w:rPr>
                <w:sz w:val="19"/>
              </w:rPr>
              <w:t>54 of 1968</w:t>
            </w:r>
          </w:p>
        </w:tc>
        <w:tc>
          <w:tcPr>
            <w:tcW w:w="1151" w:type="dxa"/>
            <w:gridSpan w:val="2"/>
          </w:tcPr>
          <w:p>
            <w:pPr>
              <w:pStyle w:val="nTable"/>
              <w:spacing w:after="40"/>
              <w:rPr>
                <w:sz w:val="19"/>
              </w:rPr>
            </w:pPr>
            <w:r>
              <w:rPr>
                <w:sz w:val="19"/>
              </w:rPr>
              <w:t>13 Nov 1968</w:t>
            </w:r>
          </w:p>
        </w:tc>
        <w:tc>
          <w:tcPr>
            <w:tcW w:w="2546"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184" w:type="dxa"/>
          </w:tcPr>
          <w:p>
            <w:pPr>
              <w:pStyle w:val="nTable"/>
              <w:spacing w:after="40"/>
              <w:ind w:right="113"/>
              <w:rPr>
                <w:sz w:val="19"/>
              </w:rPr>
            </w:pPr>
            <w:r>
              <w:rPr>
                <w:i/>
                <w:sz w:val="19"/>
              </w:rPr>
              <w:t>Stamp Act Amendment Act 1969</w:t>
            </w:r>
          </w:p>
        </w:tc>
        <w:tc>
          <w:tcPr>
            <w:tcW w:w="1104" w:type="dxa"/>
            <w:gridSpan w:val="2"/>
          </w:tcPr>
          <w:p>
            <w:pPr>
              <w:pStyle w:val="nTable"/>
              <w:spacing w:after="40"/>
              <w:rPr>
                <w:sz w:val="19"/>
              </w:rPr>
            </w:pPr>
            <w:r>
              <w:rPr>
                <w:sz w:val="19"/>
              </w:rPr>
              <w:t>113 of 1969</w:t>
            </w:r>
          </w:p>
        </w:tc>
        <w:tc>
          <w:tcPr>
            <w:tcW w:w="1151" w:type="dxa"/>
            <w:gridSpan w:val="2"/>
          </w:tcPr>
          <w:p>
            <w:pPr>
              <w:pStyle w:val="nTable"/>
              <w:spacing w:after="40"/>
              <w:rPr>
                <w:sz w:val="19"/>
              </w:rPr>
            </w:pPr>
            <w:r>
              <w:rPr>
                <w:sz w:val="19"/>
              </w:rPr>
              <w:t>28 Nov 1969</w:t>
            </w:r>
          </w:p>
        </w:tc>
        <w:tc>
          <w:tcPr>
            <w:tcW w:w="2546"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184" w:type="dxa"/>
          </w:tcPr>
          <w:p>
            <w:pPr>
              <w:pStyle w:val="nTable"/>
              <w:spacing w:after="40"/>
              <w:ind w:right="113"/>
              <w:rPr>
                <w:sz w:val="19"/>
              </w:rPr>
            </w:pPr>
            <w:r>
              <w:rPr>
                <w:i/>
                <w:sz w:val="19"/>
              </w:rPr>
              <w:t xml:space="preserve">Acts Amendment (Commissioner of State Taxation) Act 1970 </w:t>
            </w:r>
            <w:r>
              <w:rPr>
                <w:sz w:val="19"/>
              </w:rPr>
              <w:t>Pt. VI</w:t>
            </w:r>
          </w:p>
        </w:tc>
        <w:tc>
          <w:tcPr>
            <w:tcW w:w="1104" w:type="dxa"/>
            <w:gridSpan w:val="2"/>
          </w:tcPr>
          <w:p>
            <w:pPr>
              <w:pStyle w:val="nTable"/>
              <w:spacing w:after="40"/>
              <w:rPr>
                <w:sz w:val="19"/>
              </w:rPr>
            </w:pPr>
            <w:r>
              <w:rPr>
                <w:sz w:val="19"/>
              </w:rPr>
              <w:t>21 of 1970</w:t>
            </w:r>
          </w:p>
        </w:tc>
        <w:tc>
          <w:tcPr>
            <w:tcW w:w="1151" w:type="dxa"/>
            <w:gridSpan w:val="2"/>
          </w:tcPr>
          <w:p>
            <w:pPr>
              <w:pStyle w:val="nTable"/>
              <w:spacing w:after="40"/>
              <w:rPr>
                <w:sz w:val="19"/>
              </w:rPr>
            </w:pPr>
            <w:r>
              <w:rPr>
                <w:sz w:val="19"/>
              </w:rPr>
              <w:t>8 May 1970</w:t>
            </w:r>
          </w:p>
        </w:tc>
        <w:tc>
          <w:tcPr>
            <w:tcW w:w="2546"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184" w:type="dxa"/>
          </w:tcPr>
          <w:p>
            <w:pPr>
              <w:pStyle w:val="nTable"/>
              <w:spacing w:after="40"/>
              <w:ind w:right="113"/>
              <w:rPr>
                <w:sz w:val="19"/>
              </w:rPr>
            </w:pPr>
            <w:r>
              <w:rPr>
                <w:i/>
                <w:sz w:val="19"/>
              </w:rPr>
              <w:t>Stamp Act Amendment Act 1970</w:t>
            </w:r>
          </w:p>
        </w:tc>
        <w:tc>
          <w:tcPr>
            <w:tcW w:w="1104" w:type="dxa"/>
            <w:gridSpan w:val="2"/>
          </w:tcPr>
          <w:p>
            <w:pPr>
              <w:pStyle w:val="nTable"/>
              <w:spacing w:after="40"/>
              <w:rPr>
                <w:sz w:val="19"/>
              </w:rPr>
            </w:pPr>
            <w:r>
              <w:rPr>
                <w:sz w:val="19"/>
              </w:rPr>
              <w:t>102 of 1970</w:t>
            </w:r>
          </w:p>
        </w:tc>
        <w:tc>
          <w:tcPr>
            <w:tcW w:w="1151" w:type="dxa"/>
            <w:gridSpan w:val="2"/>
          </w:tcPr>
          <w:p>
            <w:pPr>
              <w:pStyle w:val="nTable"/>
              <w:spacing w:after="40"/>
              <w:rPr>
                <w:sz w:val="19"/>
              </w:rPr>
            </w:pPr>
            <w:r>
              <w:rPr>
                <w:sz w:val="19"/>
              </w:rPr>
              <w:t>8 Dec 1970</w:t>
            </w:r>
          </w:p>
        </w:tc>
        <w:tc>
          <w:tcPr>
            <w:tcW w:w="2546"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184" w:type="dxa"/>
          </w:tcPr>
          <w:p>
            <w:pPr>
              <w:pStyle w:val="nTable"/>
              <w:spacing w:after="40"/>
              <w:ind w:right="113"/>
              <w:rPr>
                <w:sz w:val="19"/>
              </w:rPr>
            </w:pPr>
            <w:r>
              <w:rPr>
                <w:i/>
                <w:sz w:val="19"/>
              </w:rPr>
              <w:t>Stamp Act Amendment Act 1971</w:t>
            </w:r>
          </w:p>
        </w:tc>
        <w:tc>
          <w:tcPr>
            <w:tcW w:w="1104" w:type="dxa"/>
            <w:gridSpan w:val="2"/>
          </w:tcPr>
          <w:p>
            <w:pPr>
              <w:pStyle w:val="nTable"/>
              <w:spacing w:after="40"/>
              <w:rPr>
                <w:sz w:val="19"/>
              </w:rPr>
            </w:pPr>
            <w:r>
              <w:rPr>
                <w:sz w:val="19"/>
              </w:rPr>
              <w:t>3 of 1971</w:t>
            </w:r>
          </w:p>
        </w:tc>
        <w:tc>
          <w:tcPr>
            <w:tcW w:w="1151" w:type="dxa"/>
            <w:gridSpan w:val="2"/>
          </w:tcPr>
          <w:p>
            <w:pPr>
              <w:pStyle w:val="nTable"/>
              <w:spacing w:after="40"/>
              <w:rPr>
                <w:sz w:val="19"/>
              </w:rPr>
            </w:pPr>
            <w:r>
              <w:rPr>
                <w:sz w:val="19"/>
              </w:rPr>
              <w:t>13 Sep 1971</w:t>
            </w:r>
          </w:p>
        </w:tc>
        <w:tc>
          <w:tcPr>
            <w:tcW w:w="2546" w:type="dxa"/>
          </w:tcPr>
          <w:p>
            <w:pPr>
              <w:pStyle w:val="nTable"/>
              <w:spacing w:after="40"/>
              <w:rPr>
                <w:sz w:val="19"/>
              </w:rPr>
            </w:pPr>
            <w:r>
              <w:rPr>
                <w:sz w:val="19"/>
              </w:rPr>
              <w:t>13 Sep 1971</w:t>
            </w:r>
          </w:p>
        </w:tc>
      </w:tr>
      <w:tr>
        <w:trPr>
          <w:cantSplit/>
        </w:trPr>
        <w:tc>
          <w:tcPr>
            <w:tcW w:w="2184" w:type="dxa"/>
          </w:tcPr>
          <w:p>
            <w:pPr>
              <w:pStyle w:val="nTable"/>
              <w:spacing w:after="40"/>
              <w:ind w:right="113"/>
              <w:rPr>
                <w:sz w:val="19"/>
              </w:rPr>
            </w:pPr>
            <w:r>
              <w:rPr>
                <w:i/>
                <w:sz w:val="19"/>
              </w:rPr>
              <w:t>Stamp Act Amendment Act (No. 2) 1971</w:t>
            </w:r>
          </w:p>
        </w:tc>
        <w:tc>
          <w:tcPr>
            <w:tcW w:w="1104" w:type="dxa"/>
            <w:gridSpan w:val="2"/>
          </w:tcPr>
          <w:p>
            <w:pPr>
              <w:pStyle w:val="nTable"/>
              <w:spacing w:after="40"/>
              <w:rPr>
                <w:sz w:val="19"/>
              </w:rPr>
            </w:pPr>
            <w:r>
              <w:rPr>
                <w:sz w:val="19"/>
              </w:rPr>
              <w:t>29 of 1971</w:t>
            </w:r>
          </w:p>
        </w:tc>
        <w:tc>
          <w:tcPr>
            <w:tcW w:w="1151" w:type="dxa"/>
            <w:gridSpan w:val="2"/>
          </w:tcPr>
          <w:p>
            <w:pPr>
              <w:pStyle w:val="nTable"/>
              <w:spacing w:after="40"/>
              <w:rPr>
                <w:sz w:val="19"/>
              </w:rPr>
            </w:pPr>
            <w:r>
              <w:rPr>
                <w:sz w:val="19"/>
              </w:rPr>
              <w:t>1 Dec 1971</w:t>
            </w:r>
          </w:p>
        </w:tc>
        <w:tc>
          <w:tcPr>
            <w:tcW w:w="2546"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184" w:type="dxa"/>
          </w:tcPr>
          <w:p>
            <w:pPr>
              <w:pStyle w:val="nTable"/>
              <w:spacing w:after="40"/>
              <w:ind w:right="113"/>
              <w:rPr>
                <w:sz w:val="19"/>
              </w:rPr>
            </w:pPr>
            <w:r>
              <w:rPr>
                <w:i/>
                <w:sz w:val="19"/>
              </w:rPr>
              <w:t>Stamp Act Amendment Act 1972</w:t>
            </w:r>
          </w:p>
        </w:tc>
        <w:tc>
          <w:tcPr>
            <w:tcW w:w="1104" w:type="dxa"/>
            <w:gridSpan w:val="2"/>
          </w:tcPr>
          <w:p>
            <w:pPr>
              <w:pStyle w:val="nTable"/>
              <w:spacing w:after="40"/>
              <w:rPr>
                <w:sz w:val="19"/>
              </w:rPr>
            </w:pPr>
            <w:r>
              <w:rPr>
                <w:sz w:val="19"/>
              </w:rPr>
              <w:t>32 of 1972</w:t>
            </w:r>
          </w:p>
        </w:tc>
        <w:tc>
          <w:tcPr>
            <w:tcW w:w="1151" w:type="dxa"/>
            <w:gridSpan w:val="2"/>
          </w:tcPr>
          <w:p>
            <w:pPr>
              <w:pStyle w:val="nTable"/>
              <w:spacing w:after="40"/>
              <w:rPr>
                <w:sz w:val="19"/>
              </w:rPr>
            </w:pPr>
            <w:r>
              <w:rPr>
                <w:sz w:val="19"/>
              </w:rPr>
              <w:t>16 Jun 1972</w:t>
            </w:r>
          </w:p>
        </w:tc>
        <w:tc>
          <w:tcPr>
            <w:tcW w:w="2546"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184" w:type="dxa"/>
          </w:tcPr>
          <w:p>
            <w:pPr>
              <w:pStyle w:val="nTable"/>
              <w:spacing w:after="40"/>
              <w:ind w:right="113"/>
              <w:rPr>
                <w:sz w:val="19"/>
              </w:rPr>
            </w:pPr>
            <w:r>
              <w:rPr>
                <w:i/>
                <w:sz w:val="19"/>
              </w:rPr>
              <w:t>Metric Conversion Act 1972</w:t>
            </w:r>
          </w:p>
        </w:tc>
        <w:tc>
          <w:tcPr>
            <w:tcW w:w="1104" w:type="dxa"/>
            <w:gridSpan w:val="2"/>
          </w:tcPr>
          <w:p>
            <w:pPr>
              <w:pStyle w:val="nTable"/>
              <w:spacing w:after="40"/>
              <w:rPr>
                <w:sz w:val="19"/>
              </w:rPr>
            </w:pPr>
            <w:r>
              <w:rPr>
                <w:sz w:val="19"/>
              </w:rPr>
              <w:t>94 of 1972 (as amended by No. 19 of 1973 s. 4)</w:t>
            </w:r>
          </w:p>
        </w:tc>
        <w:tc>
          <w:tcPr>
            <w:tcW w:w="1151" w:type="dxa"/>
            <w:gridSpan w:val="2"/>
          </w:tcPr>
          <w:p>
            <w:pPr>
              <w:pStyle w:val="nTable"/>
              <w:spacing w:after="40"/>
              <w:rPr>
                <w:sz w:val="19"/>
              </w:rPr>
            </w:pPr>
            <w:r>
              <w:rPr>
                <w:sz w:val="19"/>
              </w:rPr>
              <w:t>4 Dec 1972</w:t>
            </w:r>
          </w:p>
        </w:tc>
        <w:tc>
          <w:tcPr>
            <w:tcW w:w="2546" w:type="dxa"/>
          </w:tcPr>
          <w:p>
            <w:pPr>
              <w:pStyle w:val="nTable"/>
              <w:spacing w:after="40"/>
              <w:rPr>
                <w:sz w:val="19"/>
              </w:rPr>
            </w:pPr>
            <w:r>
              <w:rPr>
                <w:sz w:val="19"/>
              </w:rPr>
              <w:t xml:space="preserve">Relevant amendments (see Second Sch. </w:t>
            </w:r>
            <w:del w:id="4023" w:author="svcMRProcess" w:date="2020-02-20T23:16:00Z">
              <w:r>
                <w:rPr>
                  <w:sz w:val="19"/>
                  <w:vertAlign w:val="superscript"/>
                </w:rPr>
                <w:delText>14</w:delText>
              </w:r>
            </w:del>
            <w:ins w:id="4024" w:author="svcMRProcess" w:date="2020-02-20T23:16:00Z">
              <w:r>
                <w:rPr>
                  <w:sz w:val="19"/>
                  <w:vertAlign w:val="superscript"/>
                </w:rPr>
                <w:t>11</w:t>
              </w:r>
            </w:ins>
            <w:r>
              <w:rPr>
                <w:sz w:val="19"/>
              </w:rPr>
              <w:t xml:space="preserve">) took effect on 1 Jul 1973 (see s. 4(2) and </w:t>
            </w:r>
            <w:r>
              <w:rPr>
                <w:i/>
                <w:sz w:val="19"/>
              </w:rPr>
              <w:t>Gazette</w:t>
            </w:r>
            <w:r>
              <w:rPr>
                <w:sz w:val="19"/>
              </w:rPr>
              <w:t xml:space="preserve"> 22 Jun 1973 p. 2379)</w:t>
            </w:r>
          </w:p>
        </w:tc>
      </w:tr>
      <w:tr>
        <w:trPr>
          <w:cantSplit/>
        </w:trPr>
        <w:tc>
          <w:tcPr>
            <w:tcW w:w="2184" w:type="dxa"/>
          </w:tcPr>
          <w:p>
            <w:pPr>
              <w:pStyle w:val="nTable"/>
              <w:spacing w:after="40"/>
              <w:ind w:right="113"/>
              <w:rPr>
                <w:sz w:val="19"/>
              </w:rPr>
            </w:pPr>
            <w:r>
              <w:rPr>
                <w:i/>
                <w:sz w:val="19"/>
              </w:rPr>
              <w:t>Stamp Act Amendment Act 1974</w:t>
            </w:r>
          </w:p>
        </w:tc>
        <w:tc>
          <w:tcPr>
            <w:tcW w:w="1104" w:type="dxa"/>
            <w:gridSpan w:val="2"/>
          </w:tcPr>
          <w:p>
            <w:pPr>
              <w:pStyle w:val="nTable"/>
              <w:spacing w:after="40"/>
              <w:rPr>
                <w:sz w:val="19"/>
              </w:rPr>
            </w:pPr>
            <w:r>
              <w:rPr>
                <w:sz w:val="19"/>
              </w:rPr>
              <w:t>9 of 1974</w:t>
            </w:r>
          </w:p>
        </w:tc>
        <w:tc>
          <w:tcPr>
            <w:tcW w:w="1151" w:type="dxa"/>
            <w:gridSpan w:val="2"/>
          </w:tcPr>
          <w:p>
            <w:pPr>
              <w:pStyle w:val="nTable"/>
              <w:spacing w:after="40"/>
              <w:rPr>
                <w:sz w:val="19"/>
              </w:rPr>
            </w:pPr>
            <w:r>
              <w:rPr>
                <w:sz w:val="19"/>
              </w:rPr>
              <w:t xml:space="preserve">27 Sep 1974 </w:t>
            </w:r>
          </w:p>
        </w:tc>
        <w:tc>
          <w:tcPr>
            <w:tcW w:w="2546"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184" w:type="dxa"/>
          </w:tcPr>
          <w:p>
            <w:pPr>
              <w:pStyle w:val="nTable"/>
              <w:spacing w:after="40"/>
              <w:ind w:right="113"/>
              <w:rPr>
                <w:sz w:val="19"/>
              </w:rPr>
            </w:pPr>
            <w:r>
              <w:rPr>
                <w:i/>
                <w:sz w:val="19"/>
              </w:rPr>
              <w:t>Stamp Act Amendment Act (No. 2) 1974</w:t>
            </w:r>
          </w:p>
        </w:tc>
        <w:tc>
          <w:tcPr>
            <w:tcW w:w="1104" w:type="dxa"/>
            <w:gridSpan w:val="2"/>
          </w:tcPr>
          <w:p>
            <w:pPr>
              <w:pStyle w:val="nTable"/>
              <w:spacing w:after="40"/>
              <w:rPr>
                <w:sz w:val="19"/>
              </w:rPr>
            </w:pPr>
            <w:r>
              <w:rPr>
                <w:sz w:val="19"/>
              </w:rPr>
              <w:t>46 of 1974</w:t>
            </w:r>
          </w:p>
        </w:tc>
        <w:tc>
          <w:tcPr>
            <w:tcW w:w="1151" w:type="dxa"/>
            <w:gridSpan w:val="2"/>
          </w:tcPr>
          <w:p>
            <w:pPr>
              <w:pStyle w:val="nTable"/>
              <w:spacing w:after="40"/>
              <w:rPr>
                <w:sz w:val="19"/>
              </w:rPr>
            </w:pPr>
            <w:r>
              <w:rPr>
                <w:sz w:val="19"/>
              </w:rPr>
              <w:t>18 Nov 1974</w:t>
            </w:r>
          </w:p>
        </w:tc>
        <w:tc>
          <w:tcPr>
            <w:tcW w:w="2546"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184" w:type="dxa"/>
          </w:tcPr>
          <w:p>
            <w:pPr>
              <w:pStyle w:val="nTable"/>
              <w:spacing w:after="40"/>
              <w:ind w:right="113"/>
              <w:rPr>
                <w:sz w:val="19"/>
              </w:rPr>
            </w:pPr>
            <w:r>
              <w:rPr>
                <w:i/>
                <w:sz w:val="19"/>
              </w:rPr>
              <w:t>Stamp Act Amendment Act 1976</w:t>
            </w:r>
          </w:p>
        </w:tc>
        <w:tc>
          <w:tcPr>
            <w:tcW w:w="1104" w:type="dxa"/>
            <w:gridSpan w:val="2"/>
          </w:tcPr>
          <w:p>
            <w:pPr>
              <w:pStyle w:val="nTable"/>
              <w:spacing w:after="40"/>
              <w:rPr>
                <w:sz w:val="19"/>
              </w:rPr>
            </w:pPr>
            <w:r>
              <w:rPr>
                <w:sz w:val="19"/>
              </w:rPr>
              <w:t>96 of 1976</w:t>
            </w:r>
          </w:p>
        </w:tc>
        <w:tc>
          <w:tcPr>
            <w:tcW w:w="1151" w:type="dxa"/>
            <w:gridSpan w:val="2"/>
          </w:tcPr>
          <w:p>
            <w:pPr>
              <w:pStyle w:val="nTable"/>
              <w:spacing w:after="40"/>
              <w:rPr>
                <w:sz w:val="19"/>
              </w:rPr>
            </w:pPr>
            <w:r>
              <w:rPr>
                <w:sz w:val="19"/>
              </w:rPr>
              <w:t>12 Nov 1976</w:t>
            </w:r>
          </w:p>
        </w:tc>
        <w:tc>
          <w:tcPr>
            <w:tcW w:w="2546" w:type="dxa"/>
          </w:tcPr>
          <w:p>
            <w:pPr>
              <w:pStyle w:val="nTable"/>
              <w:spacing w:after="40"/>
              <w:rPr>
                <w:sz w:val="19"/>
              </w:rPr>
            </w:pPr>
            <w:r>
              <w:rPr>
                <w:sz w:val="19"/>
              </w:rPr>
              <w:t>1 Jan 1977 (see s. 2)</w:t>
            </w:r>
          </w:p>
        </w:tc>
      </w:tr>
      <w:tr>
        <w:trPr>
          <w:cantSplit/>
        </w:trPr>
        <w:tc>
          <w:tcPr>
            <w:tcW w:w="2184" w:type="dxa"/>
          </w:tcPr>
          <w:p>
            <w:pPr>
              <w:pStyle w:val="nTable"/>
              <w:spacing w:after="40"/>
              <w:ind w:right="113"/>
              <w:rPr>
                <w:sz w:val="19"/>
              </w:rPr>
            </w:pPr>
            <w:r>
              <w:rPr>
                <w:i/>
                <w:sz w:val="19"/>
              </w:rPr>
              <w:t>Stamp Act Amendment Act 1977</w:t>
            </w:r>
          </w:p>
        </w:tc>
        <w:tc>
          <w:tcPr>
            <w:tcW w:w="1104" w:type="dxa"/>
            <w:gridSpan w:val="2"/>
          </w:tcPr>
          <w:p>
            <w:pPr>
              <w:pStyle w:val="nTable"/>
              <w:spacing w:after="40"/>
              <w:rPr>
                <w:sz w:val="19"/>
              </w:rPr>
            </w:pPr>
            <w:r>
              <w:rPr>
                <w:sz w:val="19"/>
              </w:rPr>
              <w:t>63 of 1977</w:t>
            </w:r>
          </w:p>
        </w:tc>
        <w:tc>
          <w:tcPr>
            <w:tcW w:w="1151" w:type="dxa"/>
            <w:gridSpan w:val="2"/>
          </w:tcPr>
          <w:p>
            <w:pPr>
              <w:pStyle w:val="nTable"/>
              <w:spacing w:after="40"/>
              <w:rPr>
                <w:sz w:val="19"/>
              </w:rPr>
            </w:pPr>
            <w:r>
              <w:rPr>
                <w:sz w:val="19"/>
              </w:rPr>
              <w:t>23 Nov 1977</w:t>
            </w:r>
          </w:p>
        </w:tc>
        <w:tc>
          <w:tcPr>
            <w:tcW w:w="2546" w:type="dxa"/>
          </w:tcPr>
          <w:p>
            <w:pPr>
              <w:pStyle w:val="nTable"/>
              <w:spacing w:after="40"/>
              <w:rPr>
                <w:sz w:val="19"/>
              </w:rPr>
            </w:pPr>
            <w:r>
              <w:rPr>
                <w:sz w:val="19"/>
              </w:rPr>
              <w:t>23 Nov 1977</w:t>
            </w:r>
          </w:p>
        </w:tc>
      </w:tr>
      <w:tr>
        <w:trPr>
          <w:cantSplit/>
        </w:trPr>
        <w:tc>
          <w:tcPr>
            <w:tcW w:w="2184" w:type="dxa"/>
          </w:tcPr>
          <w:p>
            <w:pPr>
              <w:pStyle w:val="nTable"/>
              <w:spacing w:after="40"/>
              <w:ind w:right="113"/>
              <w:rPr>
                <w:sz w:val="19"/>
              </w:rPr>
            </w:pPr>
            <w:r>
              <w:rPr>
                <w:i/>
                <w:sz w:val="19"/>
              </w:rPr>
              <w:t>Stamp Act Amendment Act 1979</w:t>
            </w:r>
          </w:p>
        </w:tc>
        <w:tc>
          <w:tcPr>
            <w:tcW w:w="1104" w:type="dxa"/>
            <w:gridSpan w:val="2"/>
          </w:tcPr>
          <w:p>
            <w:pPr>
              <w:pStyle w:val="nTable"/>
              <w:spacing w:after="40"/>
              <w:rPr>
                <w:sz w:val="19"/>
              </w:rPr>
            </w:pPr>
            <w:r>
              <w:rPr>
                <w:sz w:val="19"/>
              </w:rPr>
              <w:t>37 of 1979</w:t>
            </w:r>
          </w:p>
        </w:tc>
        <w:tc>
          <w:tcPr>
            <w:tcW w:w="1151" w:type="dxa"/>
            <w:gridSpan w:val="2"/>
          </w:tcPr>
          <w:p>
            <w:pPr>
              <w:pStyle w:val="nTable"/>
              <w:spacing w:after="40"/>
              <w:rPr>
                <w:sz w:val="19"/>
              </w:rPr>
            </w:pPr>
            <w:r>
              <w:rPr>
                <w:sz w:val="19"/>
              </w:rPr>
              <w:t>18 Oct 1979</w:t>
            </w:r>
          </w:p>
        </w:tc>
        <w:tc>
          <w:tcPr>
            <w:tcW w:w="2546"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cantSplit/>
        </w:trPr>
        <w:tc>
          <w:tcPr>
            <w:tcW w:w="2184" w:type="dxa"/>
          </w:tcPr>
          <w:p>
            <w:pPr>
              <w:pStyle w:val="nTable"/>
              <w:spacing w:after="40"/>
              <w:ind w:right="113"/>
              <w:rPr>
                <w:sz w:val="19"/>
              </w:rPr>
            </w:pPr>
            <w:r>
              <w:rPr>
                <w:i/>
                <w:sz w:val="19"/>
              </w:rPr>
              <w:t xml:space="preserve">Credit Unions (Consequential Provisions) Act 1979 </w:t>
            </w:r>
            <w:r>
              <w:rPr>
                <w:sz w:val="19"/>
              </w:rPr>
              <w:t>Pt.</w:t>
            </w:r>
            <w:del w:id="4025" w:author="svcMRProcess" w:date="2020-02-20T23:16:00Z">
              <w:r>
                <w:rPr>
                  <w:sz w:val="19"/>
                </w:rPr>
                <w:delText xml:space="preserve"> </w:delText>
              </w:r>
            </w:del>
            <w:ins w:id="4026" w:author="svcMRProcess" w:date="2020-02-20T23:16:00Z">
              <w:r>
                <w:rPr>
                  <w:sz w:val="19"/>
                </w:rPr>
                <w:t> </w:t>
              </w:r>
            </w:ins>
            <w:r>
              <w:rPr>
                <w:sz w:val="19"/>
              </w:rPr>
              <w:t>1</w:t>
            </w:r>
          </w:p>
        </w:tc>
        <w:tc>
          <w:tcPr>
            <w:tcW w:w="1104" w:type="dxa"/>
            <w:gridSpan w:val="2"/>
          </w:tcPr>
          <w:p>
            <w:pPr>
              <w:pStyle w:val="nTable"/>
              <w:spacing w:after="40"/>
              <w:rPr>
                <w:sz w:val="19"/>
              </w:rPr>
            </w:pPr>
            <w:r>
              <w:rPr>
                <w:sz w:val="19"/>
              </w:rPr>
              <w:t>47 of 1979</w:t>
            </w:r>
          </w:p>
        </w:tc>
        <w:tc>
          <w:tcPr>
            <w:tcW w:w="1151" w:type="dxa"/>
            <w:gridSpan w:val="2"/>
          </w:tcPr>
          <w:p>
            <w:pPr>
              <w:pStyle w:val="nTable"/>
              <w:spacing w:after="40"/>
              <w:rPr>
                <w:sz w:val="19"/>
              </w:rPr>
            </w:pPr>
            <w:r>
              <w:rPr>
                <w:sz w:val="19"/>
              </w:rPr>
              <w:t>7 Nov 1979</w:t>
            </w:r>
          </w:p>
        </w:tc>
        <w:tc>
          <w:tcPr>
            <w:tcW w:w="2546" w:type="dxa"/>
          </w:tcPr>
          <w:p>
            <w:pPr>
              <w:pStyle w:val="nTable"/>
              <w:spacing w:after="40"/>
              <w:rPr>
                <w:sz w:val="19"/>
              </w:rPr>
            </w:pPr>
            <w:r>
              <w:rPr>
                <w:sz w:val="19"/>
              </w:rPr>
              <w:t>1 Jul 1980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184" w:type="dxa"/>
          </w:tcPr>
          <w:p>
            <w:pPr>
              <w:pStyle w:val="nTable"/>
              <w:spacing w:after="40"/>
              <w:ind w:right="113"/>
              <w:rPr>
                <w:sz w:val="19"/>
              </w:rPr>
            </w:pPr>
            <w:r>
              <w:rPr>
                <w:i/>
                <w:sz w:val="19"/>
              </w:rPr>
              <w:t>Stamp Amendment Act 1980</w:t>
            </w:r>
          </w:p>
        </w:tc>
        <w:tc>
          <w:tcPr>
            <w:tcW w:w="1104" w:type="dxa"/>
            <w:gridSpan w:val="2"/>
          </w:tcPr>
          <w:p>
            <w:pPr>
              <w:pStyle w:val="nTable"/>
              <w:spacing w:after="40"/>
              <w:rPr>
                <w:sz w:val="19"/>
              </w:rPr>
            </w:pPr>
            <w:r>
              <w:rPr>
                <w:sz w:val="19"/>
              </w:rPr>
              <w:t>63 of 1980</w:t>
            </w:r>
          </w:p>
        </w:tc>
        <w:tc>
          <w:tcPr>
            <w:tcW w:w="1151" w:type="dxa"/>
            <w:gridSpan w:val="2"/>
          </w:tcPr>
          <w:p>
            <w:pPr>
              <w:pStyle w:val="nTable"/>
              <w:spacing w:after="40"/>
              <w:rPr>
                <w:sz w:val="19"/>
              </w:rPr>
            </w:pPr>
            <w:r>
              <w:rPr>
                <w:sz w:val="19"/>
              </w:rPr>
              <w:t>26 Nov 1980</w:t>
            </w:r>
          </w:p>
        </w:tc>
        <w:tc>
          <w:tcPr>
            <w:tcW w:w="2546" w:type="dxa"/>
          </w:tcPr>
          <w:p>
            <w:pPr>
              <w:pStyle w:val="nTable"/>
              <w:spacing w:after="40"/>
              <w:rPr>
                <w:sz w:val="19"/>
              </w:rPr>
            </w:pPr>
            <w:r>
              <w:rPr>
                <w:sz w:val="19"/>
              </w:rPr>
              <w:t>4 Nov 1980 (see s. 1(4))</w:t>
            </w:r>
          </w:p>
        </w:tc>
      </w:tr>
      <w:tr>
        <w:trPr>
          <w:cantSplit/>
        </w:trPr>
        <w:tc>
          <w:tcPr>
            <w:tcW w:w="2184" w:type="dxa"/>
          </w:tcPr>
          <w:p>
            <w:pPr>
              <w:pStyle w:val="nTable"/>
              <w:spacing w:after="40"/>
              <w:ind w:right="113"/>
              <w:rPr>
                <w:sz w:val="19"/>
              </w:rPr>
            </w:pPr>
            <w:r>
              <w:rPr>
                <w:i/>
                <w:sz w:val="19"/>
              </w:rPr>
              <w:t>Stamp Amendment Act 1981 </w:t>
            </w:r>
            <w:del w:id="4027" w:author="svcMRProcess" w:date="2020-02-20T23:16:00Z">
              <w:r>
                <w:rPr>
                  <w:sz w:val="19"/>
                  <w:vertAlign w:val="superscript"/>
                </w:rPr>
                <w:delText>15</w:delText>
              </w:r>
            </w:del>
            <w:ins w:id="4028" w:author="svcMRProcess" w:date="2020-02-20T23:16:00Z">
              <w:r>
                <w:rPr>
                  <w:sz w:val="19"/>
                  <w:vertAlign w:val="superscript"/>
                </w:rPr>
                <w:t>12</w:t>
              </w:r>
            </w:ins>
          </w:p>
        </w:tc>
        <w:tc>
          <w:tcPr>
            <w:tcW w:w="1104" w:type="dxa"/>
            <w:gridSpan w:val="2"/>
          </w:tcPr>
          <w:p>
            <w:pPr>
              <w:pStyle w:val="nTable"/>
              <w:spacing w:after="40"/>
              <w:rPr>
                <w:sz w:val="19"/>
              </w:rPr>
            </w:pPr>
            <w:r>
              <w:rPr>
                <w:sz w:val="19"/>
              </w:rPr>
              <w:t>81 of 1981</w:t>
            </w:r>
          </w:p>
        </w:tc>
        <w:tc>
          <w:tcPr>
            <w:tcW w:w="1151" w:type="dxa"/>
            <w:gridSpan w:val="2"/>
          </w:tcPr>
          <w:p>
            <w:pPr>
              <w:pStyle w:val="nTable"/>
              <w:spacing w:after="40"/>
              <w:rPr>
                <w:sz w:val="19"/>
              </w:rPr>
            </w:pPr>
            <w:r>
              <w:rPr>
                <w:sz w:val="19"/>
              </w:rPr>
              <w:t>9 Nov 1981</w:t>
            </w:r>
          </w:p>
        </w:tc>
        <w:tc>
          <w:tcPr>
            <w:tcW w:w="2546"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184" w:type="dxa"/>
          </w:tcPr>
          <w:p>
            <w:pPr>
              <w:pStyle w:val="nTable"/>
              <w:spacing w:after="40"/>
              <w:ind w:right="113"/>
              <w:rPr>
                <w:sz w:val="19"/>
              </w:rPr>
            </w:pPr>
            <w:r>
              <w:rPr>
                <w:i/>
                <w:sz w:val="19"/>
              </w:rPr>
              <w:t xml:space="preserve">Acts Amendment (Traffic Board) Act 1981 </w:t>
            </w:r>
            <w:r>
              <w:rPr>
                <w:sz w:val="19"/>
              </w:rPr>
              <w:t>Pt. VIII</w:t>
            </w:r>
          </w:p>
        </w:tc>
        <w:tc>
          <w:tcPr>
            <w:tcW w:w="1104" w:type="dxa"/>
            <w:gridSpan w:val="2"/>
          </w:tcPr>
          <w:p>
            <w:pPr>
              <w:pStyle w:val="nTable"/>
              <w:spacing w:after="40"/>
              <w:rPr>
                <w:sz w:val="19"/>
              </w:rPr>
            </w:pPr>
            <w:r>
              <w:rPr>
                <w:sz w:val="19"/>
              </w:rPr>
              <w:t>106 of 1981</w:t>
            </w:r>
          </w:p>
        </w:tc>
        <w:tc>
          <w:tcPr>
            <w:tcW w:w="1151" w:type="dxa"/>
            <w:gridSpan w:val="2"/>
          </w:tcPr>
          <w:p>
            <w:pPr>
              <w:pStyle w:val="nTable"/>
              <w:spacing w:after="40"/>
              <w:rPr>
                <w:sz w:val="19"/>
              </w:rPr>
            </w:pPr>
            <w:r>
              <w:rPr>
                <w:sz w:val="19"/>
              </w:rPr>
              <w:t>4 Dec 1981</w:t>
            </w:r>
          </w:p>
        </w:tc>
        <w:tc>
          <w:tcPr>
            <w:tcW w:w="2546" w:type="dxa"/>
          </w:tcPr>
          <w:p>
            <w:pPr>
              <w:pStyle w:val="nTable"/>
              <w:spacing w:after="40"/>
              <w:rPr>
                <w:sz w:val="19"/>
              </w:rPr>
            </w:pPr>
            <w:r>
              <w:rPr>
                <w:sz w:val="19"/>
              </w:rPr>
              <w:t>2 Feb 1982 (see s. 2)</w:t>
            </w:r>
          </w:p>
        </w:tc>
      </w:tr>
      <w:tr>
        <w:trPr>
          <w:cantSplit/>
        </w:trPr>
        <w:tc>
          <w:tcPr>
            <w:tcW w:w="2184" w:type="dxa"/>
          </w:tcPr>
          <w:p>
            <w:pPr>
              <w:pStyle w:val="nTable"/>
              <w:spacing w:after="40"/>
              <w:ind w:right="113"/>
              <w:rPr>
                <w:sz w:val="19"/>
              </w:rPr>
            </w:pPr>
            <w:r>
              <w:rPr>
                <w:i/>
                <w:sz w:val="19"/>
              </w:rPr>
              <w:t>Stamp Amendment Act 1982</w:t>
            </w:r>
          </w:p>
        </w:tc>
        <w:tc>
          <w:tcPr>
            <w:tcW w:w="1104" w:type="dxa"/>
            <w:gridSpan w:val="2"/>
          </w:tcPr>
          <w:p>
            <w:pPr>
              <w:pStyle w:val="nTable"/>
              <w:spacing w:after="40"/>
              <w:rPr>
                <w:sz w:val="19"/>
              </w:rPr>
            </w:pPr>
            <w:r>
              <w:rPr>
                <w:sz w:val="19"/>
              </w:rPr>
              <w:t>1 of 1982</w:t>
            </w:r>
          </w:p>
        </w:tc>
        <w:tc>
          <w:tcPr>
            <w:tcW w:w="1151" w:type="dxa"/>
            <w:gridSpan w:val="2"/>
          </w:tcPr>
          <w:p>
            <w:pPr>
              <w:pStyle w:val="nTable"/>
              <w:spacing w:after="40"/>
              <w:rPr>
                <w:sz w:val="19"/>
              </w:rPr>
            </w:pPr>
            <w:r>
              <w:rPr>
                <w:sz w:val="19"/>
              </w:rPr>
              <w:t>8 Apr 1982</w:t>
            </w:r>
          </w:p>
        </w:tc>
        <w:tc>
          <w:tcPr>
            <w:tcW w:w="2546" w:type="dxa"/>
          </w:tcPr>
          <w:p>
            <w:pPr>
              <w:pStyle w:val="nTable"/>
              <w:spacing w:after="40"/>
              <w:rPr>
                <w:sz w:val="19"/>
              </w:rPr>
            </w:pPr>
            <w:r>
              <w:rPr>
                <w:sz w:val="19"/>
              </w:rPr>
              <w:t>8 Apr 1982</w:t>
            </w:r>
          </w:p>
        </w:tc>
      </w:tr>
      <w:tr>
        <w:trPr>
          <w:cantSplit/>
        </w:trPr>
        <w:tc>
          <w:tcPr>
            <w:tcW w:w="2184" w:type="dxa"/>
          </w:tcPr>
          <w:p>
            <w:pPr>
              <w:pStyle w:val="nTable"/>
              <w:spacing w:after="40"/>
              <w:ind w:right="113"/>
              <w:rPr>
                <w:sz w:val="19"/>
              </w:rPr>
            </w:pPr>
            <w:r>
              <w:rPr>
                <w:i/>
                <w:sz w:val="19"/>
              </w:rPr>
              <w:t xml:space="preserve">Companies (Consequential Amendments) Act 1982 </w:t>
            </w:r>
            <w:r>
              <w:rPr>
                <w:sz w:val="19"/>
              </w:rPr>
              <w:t xml:space="preserve">s. 28 </w:t>
            </w:r>
          </w:p>
        </w:tc>
        <w:tc>
          <w:tcPr>
            <w:tcW w:w="1104" w:type="dxa"/>
            <w:gridSpan w:val="2"/>
          </w:tcPr>
          <w:p>
            <w:pPr>
              <w:pStyle w:val="nTable"/>
              <w:spacing w:after="40"/>
              <w:rPr>
                <w:sz w:val="19"/>
              </w:rPr>
            </w:pPr>
            <w:r>
              <w:rPr>
                <w:sz w:val="19"/>
              </w:rPr>
              <w:t>10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184" w:type="dxa"/>
          </w:tcPr>
          <w:p>
            <w:pPr>
              <w:pStyle w:val="nTable"/>
              <w:spacing w:after="40"/>
              <w:ind w:right="113"/>
              <w:rPr>
                <w:sz w:val="19"/>
              </w:rPr>
            </w:pPr>
            <w:r>
              <w:rPr>
                <w:i/>
                <w:sz w:val="19"/>
              </w:rPr>
              <w:t>Stamp Amendment Act (No. 2) 1982</w:t>
            </w:r>
          </w:p>
        </w:tc>
        <w:tc>
          <w:tcPr>
            <w:tcW w:w="1104" w:type="dxa"/>
            <w:gridSpan w:val="2"/>
          </w:tcPr>
          <w:p>
            <w:pPr>
              <w:pStyle w:val="nTable"/>
              <w:spacing w:after="40"/>
              <w:rPr>
                <w:sz w:val="19"/>
              </w:rPr>
            </w:pPr>
            <w:r>
              <w:rPr>
                <w:sz w:val="19"/>
              </w:rPr>
              <w:t>15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Act other than s. 4: 8 Apr 1982 (see s. 2(1));</w:t>
            </w:r>
            <w:r>
              <w:rPr>
                <w:sz w:val="19"/>
              </w:rPr>
              <w:br/>
              <w:t>s. 4: 14 May 1982 (see s. 2(2))</w:t>
            </w:r>
          </w:p>
        </w:tc>
      </w:tr>
      <w:tr>
        <w:trPr>
          <w:cantSplit/>
        </w:trPr>
        <w:tc>
          <w:tcPr>
            <w:tcW w:w="2184" w:type="dxa"/>
          </w:tcPr>
          <w:p>
            <w:pPr>
              <w:pStyle w:val="nTable"/>
              <w:spacing w:after="40"/>
              <w:ind w:right="113"/>
              <w:rPr>
                <w:sz w:val="19"/>
              </w:rPr>
            </w:pPr>
            <w:r>
              <w:rPr>
                <w:i/>
                <w:sz w:val="19"/>
              </w:rPr>
              <w:t>Stamp Amendment Act (No. 3) 1982</w:t>
            </w:r>
          </w:p>
        </w:tc>
        <w:tc>
          <w:tcPr>
            <w:tcW w:w="1104" w:type="dxa"/>
            <w:gridSpan w:val="2"/>
          </w:tcPr>
          <w:p>
            <w:pPr>
              <w:pStyle w:val="nTable"/>
              <w:spacing w:after="40"/>
              <w:rPr>
                <w:sz w:val="19"/>
              </w:rPr>
            </w:pPr>
            <w:r>
              <w:rPr>
                <w:sz w:val="19"/>
              </w:rPr>
              <w:t>45 of 1982</w:t>
            </w:r>
          </w:p>
        </w:tc>
        <w:tc>
          <w:tcPr>
            <w:tcW w:w="1151" w:type="dxa"/>
            <w:gridSpan w:val="2"/>
          </w:tcPr>
          <w:p>
            <w:pPr>
              <w:pStyle w:val="nTable"/>
              <w:spacing w:after="40"/>
              <w:rPr>
                <w:sz w:val="19"/>
              </w:rPr>
            </w:pPr>
            <w:r>
              <w:rPr>
                <w:sz w:val="19"/>
              </w:rPr>
              <w:t>26 Aug 1982</w:t>
            </w:r>
          </w:p>
        </w:tc>
        <w:tc>
          <w:tcPr>
            <w:tcW w:w="2546" w:type="dxa"/>
          </w:tcPr>
          <w:p>
            <w:pPr>
              <w:pStyle w:val="nTable"/>
              <w:spacing w:after="40"/>
              <w:rPr>
                <w:sz w:val="19"/>
              </w:rPr>
            </w:pPr>
            <w:r>
              <w:rPr>
                <w:sz w:val="19"/>
              </w:rPr>
              <w:t>24 Dec 1981 (see s. 2)</w:t>
            </w:r>
          </w:p>
        </w:tc>
      </w:tr>
      <w:tr>
        <w:trPr>
          <w:cantSplit/>
        </w:trPr>
        <w:tc>
          <w:tcPr>
            <w:tcW w:w="2184" w:type="dxa"/>
          </w:tcPr>
          <w:p>
            <w:pPr>
              <w:pStyle w:val="nTable"/>
              <w:spacing w:after="40"/>
              <w:ind w:right="113"/>
              <w:rPr>
                <w:sz w:val="19"/>
              </w:rPr>
            </w:pPr>
            <w:r>
              <w:rPr>
                <w:i/>
                <w:sz w:val="19"/>
              </w:rPr>
              <w:t>Stamp Amendment Act (No. 4) 1982</w:t>
            </w:r>
          </w:p>
        </w:tc>
        <w:tc>
          <w:tcPr>
            <w:tcW w:w="1104" w:type="dxa"/>
            <w:gridSpan w:val="2"/>
          </w:tcPr>
          <w:p>
            <w:pPr>
              <w:pStyle w:val="nTable"/>
              <w:spacing w:after="40"/>
              <w:rPr>
                <w:sz w:val="19"/>
              </w:rPr>
            </w:pPr>
            <w:r>
              <w:rPr>
                <w:sz w:val="19"/>
              </w:rPr>
              <w:t>93 of 1982</w:t>
            </w:r>
          </w:p>
        </w:tc>
        <w:tc>
          <w:tcPr>
            <w:tcW w:w="1151" w:type="dxa"/>
            <w:gridSpan w:val="2"/>
          </w:tcPr>
          <w:p>
            <w:pPr>
              <w:pStyle w:val="nTable"/>
              <w:spacing w:after="40"/>
              <w:rPr>
                <w:sz w:val="19"/>
              </w:rPr>
            </w:pPr>
            <w:r>
              <w:rPr>
                <w:sz w:val="19"/>
              </w:rPr>
              <w:t>22 Nov 1982</w:t>
            </w:r>
          </w:p>
        </w:tc>
        <w:tc>
          <w:tcPr>
            <w:tcW w:w="2546"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184" w:type="dxa"/>
          </w:tcPr>
          <w:p>
            <w:pPr>
              <w:pStyle w:val="nTable"/>
              <w:spacing w:after="40"/>
              <w:ind w:right="113"/>
              <w:rPr>
                <w:sz w:val="19"/>
              </w:rPr>
            </w:pPr>
            <w:r>
              <w:rPr>
                <w:i/>
                <w:sz w:val="19"/>
              </w:rPr>
              <w:t>Stamp Amendment Act (No. 5) 1982</w:t>
            </w:r>
          </w:p>
        </w:tc>
        <w:tc>
          <w:tcPr>
            <w:tcW w:w="1104" w:type="dxa"/>
            <w:gridSpan w:val="2"/>
          </w:tcPr>
          <w:p>
            <w:pPr>
              <w:pStyle w:val="nTable"/>
              <w:spacing w:after="40"/>
              <w:rPr>
                <w:sz w:val="19"/>
              </w:rPr>
            </w:pPr>
            <w:r>
              <w:rPr>
                <w:sz w:val="19"/>
              </w:rPr>
              <w:t>99 of 1982</w:t>
            </w:r>
          </w:p>
        </w:tc>
        <w:tc>
          <w:tcPr>
            <w:tcW w:w="1151" w:type="dxa"/>
            <w:gridSpan w:val="2"/>
          </w:tcPr>
          <w:p>
            <w:pPr>
              <w:pStyle w:val="nTable"/>
              <w:spacing w:after="40"/>
              <w:rPr>
                <w:sz w:val="19"/>
              </w:rPr>
            </w:pPr>
            <w:r>
              <w:rPr>
                <w:sz w:val="19"/>
              </w:rPr>
              <w:t>24 Nov 1982</w:t>
            </w:r>
          </w:p>
        </w:tc>
        <w:tc>
          <w:tcPr>
            <w:tcW w:w="2546" w:type="dxa"/>
          </w:tcPr>
          <w:p>
            <w:pPr>
              <w:pStyle w:val="nTable"/>
              <w:spacing w:after="40"/>
              <w:rPr>
                <w:sz w:val="19"/>
              </w:rPr>
            </w:pPr>
            <w:r>
              <w:rPr>
                <w:sz w:val="19"/>
              </w:rPr>
              <w:t>1 Jan 1983 (see s. 2)</w:t>
            </w:r>
          </w:p>
        </w:tc>
      </w:tr>
      <w:tr>
        <w:trPr>
          <w:cantSplit/>
        </w:trPr>
        <w:tc>
          <w:tcPr>
            <w:tcW w:w="2184" w:type="dxa"/>
          </w:tcPr>
          <w:p>
            <w:pPr>
              <w:pStyle w:val="nTable"/>
              <w:spacing w:after="40"/>
              <w:ind w:right="113"/>
              <w:rPr>
                <w:sz w:val="19"/>
              </w:rPr>
            </w:pPr>
            <w:r>
              <w:rPr>
                <w:i/>
                <w:sz w:val="19"/>
              </w:rPr>
              <w:t>Stamp Amendment Act (No. 6) 1982</w:t>
            </w:r>
          </w:p>
        </w:tc>
        <w:tc>
          <w:tcPr>
            <w:tcW w:w="1104" w:type="dxa"/>
            <w:gridSpan w:val="2"/>
          </w:tcPr>
          <w:p>
            <w:pPr>
              <w:pStyle w:val="nTable"/>
              <w:spacing w:after="40"/>
              <w:rPr>
                <w:sz w:val="19"/>
              </w:rPr>
            </w:pPr>
            <w:r>
              <w:rPr>
                <w:sz w:val="19"/>
              </w:rPr>
              <w:t>112 of 1982</w:t>
            </w:r>
          </w:p>
        </w:tc>
        <w:tc>
          <w:tcPr>
            <w:tcW w:w="1151" w:type="dxa"/>
            <w:gridSpan w:val="2"/>
          </w:tcPr>
          <w:p>
            <w:pPr>
              <w:pStyle w:val="nTable"/>
              <w:spacing w:after="40"/>
              <w:rPr>
                <w:sz w:val="19"/>
              </w:rPr>
            </w:pPr>
            <w:r>
              <w:rPr>
                <w:sz w:val="19"/>
              </w:rPr>
              <w:t>8 Dec 1982</w:t>
            </w:r>
          </w:p>
        </w:tc>
        <w:tc>
          <w:tcPr>
            <w:tcW w:w="2546" w:type="dxa"/>
          </w:tcPr>
          <w:p>
            <w:pPr>
              <w:pStyle w:val="nTable"/>
              <w:spacing w:after="40"/>
              <w:rPr>
                <w:sz w:val="19"/>
              </w:rPr>
            </w:pPr>
            <w:r>
              <w:rPr>
                <w:sz w:val="19"/>
              </w:rPr>
              <w:t>26 Oct 1982 (see s. 2)</w:t>
            </w:r>
          </w:p>
        </w:tc>
      </w:tr>
      <w:tr>
        <w:trPr>
          <w:cantSplit/>
        </w:trPr>
        <w:tc>
          <w:tcPr>
            <w:tcW w:w="2184" w:type="dxa"/>
          </w:tcPr>
          <w:p>
            <w:pPr>
              <w:pStyle w:val="nTable"/>
              <w:spacing w:after="40"/>
              <w:ind w:right="113"/>
              <w:rPr>
                <w:sz w:val="19"/>
              </w:rPr>
            </w:pPr>
            <w:r>
              <w:rPr>
                <w:i/>
                <w:sz w:val="19"/>
              </w:rPr>
              <w:t>Stamp Amendment Act 1983</w:t>
            </w:r>
          </w:p>
        </w:tc>
        <w:tc>
          <w:tcPr>
            <w:tcW w:w="1104" w:type="dxa"/>
            <w:gridSpan w:val="2"/>
          </w:tcPr>
          <w:p>
            <w:pPr>
              <w:pStyle w:val="nTable"/>
              <w:spacing w:after="40"/>
              <w:rPr>
                <w:sz w:val="19"/>
              </w:rPr>
            </w:pPr>
            <w:r>
              <w:rPr>
                <w:sz w:val="19"/>
              </w:rPr>
              <w:t>14 of 1983</w:t>
            </w:r>
          </w:p>
        </w:tc>
        <w:tc>
          <w:tcPr>
            <w:tcW w:w="1151" w:type="dxa"/>
            <w:gridSpan w:val="2"/>
          </w:tcPr>
          <w:p>
            <w:pPr>
              <w:pStyle w:val="nTable"/>
              <w:spacing w:after="40"/>
              <w:rPr>
                <w:sz w:val="19"/>
              </w:rPr>
            </w:pPr>
            <w:r>
              <w:rPr>
                <w:sz w:val="19"/>
              </w:rPr>
              <w:t>31 Oct 1983</w:t>
            </w:r>
          </w:p>
        </w:tc>
        <w:tc>
          <w:tcPr>
            <w:tcW w:w="2546"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184" w:type="dxa"/>
          </w:tcPr>
          <w:p>
            <w:pPr>
              <w:pStyle w:val="nTable"/>
              <w:spacing w:after="40"/>
              <w:ind w:right="113"/>
              <w:rPr>
                <w:sz w:val="19"/>
              </w:rPr>
            </w:pPr>
            <w:r>
              <w:rPr>
                <w:i/>
                <w:sz w:val="19"/>
              </w:rPr>
              <w:t>Stamp Amendment Act (No. 2) 1983</w:t>
            </w:r>
          </w:p>
        </w:tc>
        <w:tc>
          <w:tcPr>
            <w:tcW w:w="1104" w:type="dxa"/>
            <w:gridSpan w:val="2"/>
          </w:tcPr>
          <w:p>
            <w:pPr>
              <w:pStyle w:val="nTable"/>
              <w:spacing w:after="40"/>
              <w:rPr>
                <w:sz w:val="19"/>
              </w:rPr>
            </w:pPr>
            <w:r>
              <w:rPr>
                <w:sz w:val="19"/>
              </w:rPr>
              <w:t>61 of 1983</w:t>
            </w:r>
          </w:p>
        </w:tc>
        <w:tc>
          <w:tcPr>
            <w:tcW w:w="1151" w:type="dxa"/>
            <w:gridSpan w:val="2"/>
          </w:tcPr>
          <w:p>
            <w:pPr>
              <w:pStyle w:val="nTable"/>
              <w:spacing w:after="40"/>
              <w:rPr>
                <w:sz w:val="19"/>
              </w:rPr>
            </w:pPr>
            <w:r>
              <w:rPr>
                <w:sz w:val="19"/>
              </w:rPr>
              <w:t>13 Dec 1983</w:t>
            </w:r>
          </w:p>
        </w:tc>
        <w:tc>
          <w:tcPr>
            <w:tcW w:w="2546" w:type="dxa"/>
          </w:tcPr>
          <w:p>
            <w:pPr>
              <w:pStyle w:val="nTable"/>
              <w:spacing w:after="40"/>
              <w:rPr>
                <w:sz w:val="19"/>
              </w:rPr>
            </w:pPr>
            <w:r>
              <w:rPr>
                <w:sz w:val="19"/>
              </w:rPr>
              <w:t>s. 1</w:t>
            </w:r>
            <w:r>
              <w:rPr>
                <w:sz w:val="19"/>
              </w:rPr>
              <w:noBreakHyphen/>
              <w:t>4: 13 Dec 1983 (see s. 2(1));</w:t>
            </w:r>
            <w:r>
              <w:rPr>
                <w:sz w:val="19"/>
              </w:rPr>
              <w:br/>
              <w:t>balance: 1 Jan 1984 (see s. 2(2))</w:t>
            </w:r>
          </w:p>
        </w:tc>
      </w:tr>
      <w:tr>
        <w:trPr>
          <w:cantSplit/>
        </w:trPr>
        <w:tc>
          <w:tcPr>
            <w:tcW w:w="2184" w:type="dxa"/>
          </w:tcPr>
          <w:p>
            <w:pPr>
              <w:pStyle w:val="nTable"/>
              <w:spacing w:after="40"/>
              <w:ind w:right="113"/>
              <w:rPr>
                <w:sz w:val="19"/>
              </w:rPr>
            </w:pPr>
            <w:r>
              <w:rPr>
                <w:i/>
                <w:sz w:val="19"/>
              </w:rPr>
              <w:t>Stamp Amendment Act 1984</w:t>
            </w:r>
          </w:p>
        </w:tc>
        <w:tc>
          <w:tcPr>
            <w:tcW w:w="1104" w:type="dxa"/>
            <w:gridSpan w:val="2"/>
          </w:tcPr>
          <w:p>
            <w:pPr>
              <w:pStyle w:val="nTable"/>
              <w:spacing w:after="40"/>
              <w:rPr>
                <w:sz w:val="19"/>
              </w:rPr>
            </w:pPr>
            <w:r>
              <w:rPr>
                <w:sz w:val="19"/>
              </w:rPr>
              <w:t>81 of 1984</w:t>
            </w:r>
          </w:p>
        </w:tc>
        <w:tc>
          <w:tcPr>
            <w:tcW w:w="1151" w:type="dxa"/>
            <w:gridSpan w:val="2"/>
          </w:tcPr>
          <w:p>
            <w:pPr>
              <w:pStyle w:val="nTable"/>
              <w:spacing w:after="40"/>
              <w:rPr>
                <w:sz w:val="19"/>
              </w:rPr>
            </w:pPr>
            <w:r>
              <w:rPr>
                <w:sz w:val="19"/>
              </w:rPr>
              <w:t>7 Dec 1984</w:t>
            </w:r>
          </w:p>
        </w:tc>
        <w:tc>
          <w:tcPr>
            <w:tcW w:w="2546" w:type="dxa"/>
          </w:tcPr>
          <w:p>
            <w:pPr>
              <w:pStyle w:val="nTable"/>
              <w:spacing w:after="40"/>
              <w:rPr>
                <w:sz w:val="19"/>
              </w:rPr>
            </w:pPr>
            <w:r>
              <w:rPr>
                <w:sz w:val="19"/>
              </w:rPr>
              <w:t xml:space="preserve">1 Jan 1985 (see s. 2 and </w:t>
            </w:r>
            <w:r>
              <w:rPr>
                <w:i/>
                <w:sz w:val="19"/>
              </w:rPr>
              <w:t>Gazette</w:t>
            </w:r>
            <w:r>
              <w:rPr>
                <w:sz w:val="19"/>
              </w:rPr>
              <w:t xml:space="preserve"> </w:t>
            </w:r>
            <w:del w:id="4029" w:author="svcMRProcess" w:date="2020-02-20T23:16:00Z">
              <w:r>
                <w:rPr>
                  <w:sz w:val="19"/>
                </w:rPr>
                <w:br/>
              </w:r>
            </w:del>
            <w:r>
              <w:rPr>
                <w:sz w:val="19"/>
              </w:rPr>
              <w:t>28 Dec 1984 p. 4197)</w:t>
            </w:r>
          </w:p>
        </w:tc>
      </w:tr>
      <w:tr>
        <w:trPr>
          <w:cantSplit/>
        </w:trPr>
        <w:tc>
          <w:tcPr>
            <w:tcW w:w="2184" w:type="dxa"/>
          </w:tcPr>
          <w:p>
            <w:pPr>
              <w:pStyle w:val="nTable"/>
              <w:spacing w:after="40"/>
              <w:ind w:right="113"/>
              <w:rPr>
                <w:sz w:val="19"/>
              </w:rPr>
            </w:pPr>
            <w:r>
              <w:rPr>
                <w:i/>
                <w:sz w:val="19"/>
              </w:rPr>
              <w:t>Stamp Amendment Act (No. 2) 1984</w:t>
            </w:r>
          </w:p>
        </w:tc>
        <w:tc>
          <w:tcPr>
            <w:tcW w:w="1104" w:type="dxa"/>
            <w:gridSpan w:val="2"/>
          </w:tcPr>
          <w:p>
            <w:pPr>
              <w:pStyle w:val="nTable"/>
              <w:spacing w:after="40"/>
              <w:rPr>
                <w:sz w:val="19"/>
              </w:rPr>
            </w:pPr>
            <w:r>
              <w:rPr>
                <w:sz w:val="19"/>
              </w:rPr>
              <w:t>109 of 1984</w:t>
            </w:r>
          </w:p>
        </w:tc>
        <w:tc>
          <w:tcPr>
            <w:tcW w:w="1151" w:type="dxa"/>
            <w:gridSpan w:val="2"/>
          </w:tcPr>
          <w:p>
            <w:pPr>
              <w:pStyle w:val="nTable"/>
              <w:spacing w:after="40"/>
              <w:rPr>
                <w:sz w:val="19"/>
              </w:rPr>
            </w:pPr>
            <w:r>
              <w:rPr>
                <w:sz w:val="19"/>
              </w:rPr>
              <w:t>19 Dec 1984</w:t>
            </w:r>
          </w:p>
        </w:tc>
        <w:tc>
          <w:tcPr>
            <w:tcW w:w="2546" w:type="dxa"/>
          </w:tcPr>
          <w:p>
            <w:pPr>
              <w:pStyle w:val="nTable"/>
              <w:spacing w:after="40"/>
              <w:rPr>
                <w:sz w:val="19"/>
              </w:rPr>
            </w:pPr>
            <w:r>
              <w:rPr>
                <w:sz w:val="19"/>
              </w:rPr>
              <w:t>1 Jan 1985 (see s. 2)</w:t>
            </w:r>
          </w:p>
        </w:tc>
      </w:tr>
      <w:tr>
        <w:trPr>
          <w:cantSplit/>
        </w:trPr>
        <w:tc>
          <w:tcPr>
            <w:tcW w:w="2184" w:type="dxa"/>
          </w:tcPr>
          <w:p>
            <w:pPr>
              <w:pStyle w:val="nTable"/>
              <w:spacing w:after="40"/>
              <w:ind w:right="113"/>
              <w:rPr>
                <w:sz w:val="19"/>
              </w:rPr>
            </w:pPr>
            <w:r>
              <w:rPr>
                <w:i/>
                <w:sz w:val="19"/>
              </w:rPr>
              <w:t>Acts Amendment (Lotteries) Act 1985</w:t>
            </w:r>
            <w:r>
              <w:rPr>
                <w:sz w:val="19"/>
              </w:rPr>
              <w:t xml:space="preserve"> Pt. V</w:t>
            </w:r>
          </w:p>
        </w:tc>
        <w:tc>
          <w:tcPr>
            <w:tcW w:w="1104" w:type="dxa"/>
            <w:gridSpan w:val="2"/>
          </w:tcPr>
          <w:p>
            <w:pPr>
              <w:pStyle w:val="nTable"/>
              <w:spacing w:after="40"/>
              <w:rPr>
                <w:sz w:val="19"/>
              </w:rPr>
            </w:pPr>
            <w:r>
              <w:rPr>
                <w:sz w:val="19"/>
              </w:rPr>
              <w:t>19 of 1985</w:t>
            </w:r>
          </w:p>
        </w:tc>
        <w:tc>
          <w:tcPr>
            <w:tcW w:w="1151" w:type="dxa"/>
            <w:gridSpan w:val="2"/>
          </w:tcPr>
          <w:p>
            <w:pPr>
              <w:pStyle w:val="nTable"/>
              <w:spacing w:after="40"/>
              <w:rPr>
                <w:sz w:val="19"/>
              </w:rPr>
            </w:pPr>
            <w:r>
              <w:rPr>
                <w:sz w:val="19"/>
              </w:rPr>
              <w:t>19 Apr 1985</w:t>
            </w:r>
          </w:p>
        </w:tc>
        <w:tc>
          <w:tcPr>
            <w:tcW w:w="2546" w:type="dxa"/>
          </w:tcPr>
          <w:p>
            <w:pPr>
              <w:pStyle w:val="nTable"/>
              <w:spacing w:after="40"/>
              <w:rPr>
                <w:sz w:val="19"/>
              </w:rPr>
            </w:pPr>
            <w:r>
              <w:rPr>
                <w:sz w:val="19"/>
              </w:rPr>
              <w:t>19 Apr 1985 (see s. 2(1))</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184" w:type="dxa"/>
          </w:tcPr>
          <w:p>
            <w:pPr>
              <w:pStyle w:val="nTable"/>
              <w:spacing w:after="40"/>
              <w:ind w:right="113"/>
              <w:rPr>
                <w:sz w:val="19"/>
              </w:rPr>
            </w:pPr>
            <w:r>
              <w:rPr>
                <w:i/>
                <w:sz w:val="19"/>
              </w:rPr>
              <w:t>Stamp Amendment Act 1985</w:t>
            </w:r>
          </w:p>
        </w:tc>
        <w:tc>
          <w:tcPr>
            <w:tcW w:w="1104" w:type="dxa"/>
            <w:gridSpan w:val="2"/>
          </w:tcPr>
          <w:p>
            <w:pPr>
              <w:pStyle w:val="nTable"/>
              <w:spacing w:after="40"/>
              <w:rPr>
                <w:sz w:val="19"/>
              </w:rPr>
            </w:pPr>
            <w:r>
              <w:rPr>
                <w:sz w:val="19"/>
              </w:rPr>
              <w:t>84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rPr>
            </w:pPr>
            <w:r>
              <w:rPr>
                <w:i/>
                <w:sz w:val="19"/>
              </w:rPr>
              <w:t>Stamp Amendment Act (No. 2) 1985</w:t>
            </w:r>
          </w:p>
        </w:tc>
        <w:tc>
          <w:tcPr>
            <w:tcW w:w="1104" w:type="dxa"/>
            <w:gridSpan w:val="2"/>
          </w:tcPr>
          <w:p>
            <w:pPr>
              <w:pStyle w:val="nTable"/>
              <w:spacing w:after="40"/>
              <w:rPr>
                <w:sz w:val="19"/>
              </w:rPr>
            </w:pPr>
            <w:r>
              <w:rPr>
                <w:sz w:val="19"/>
              </w:rPr>
              <w:t>85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vertAlign w:val="superscript"/>
              </w:rPr>
            </w:pPr>
            <w:r>
              <w:rPr>
                <w:i/>
                <w:sz w:val="19"/>
              </w:rPr>
              <w:t>Stamp Amendment Act 1986</w:t>
            </w:r>
            <w:r>
              <w:rPr>
                <w:sz w:val="19"/>
                <w:vertAlign w:val="superscript"/>
              </w:rPr>
              <w:t> </w:t>
            </w:r>
            <w:del w:id="4030" w:author="svcMRProcess" w:date="2020-02-20T23:16:00Z">
              <w:r>
                <w:rPr>
                  <w:sz w:val="19"/>
                  <w:vertAlign w:val="superscript"/>
                </w:rPr>
                <w:delText>16</w:delText>
              </w:r>
            </w:del>
            <w:ins w:id="4031" w:author="svcMRProcess" w:date="2020-02-20T23:16:00Z">
              <w:r>
                <w:rPr>
                  <w:sz w:val="19"/>
                  <w:vertAlign w:val="superscript"/>
                </w:rPr>
                <w:t>13</w:t>
              </w:r>
            </w:ins>
          </w:p>
        </w:tc>
        <w:tc>
          <w:tcPr>
            <w:tcW w:w="1104" w:type="dxa"/>
            <w:gridSpan w:val="2"/>
          </w:tcPr>
          <w:p>
            <w:pPr>
              <w:pStyle w:val="nTable"/>
              <w:spacing w:after="40"/>
              <w:rPr>
                <w:sz w:val="19"/>
              </w:rPr>
            </w:pPr>
            <w:r>
              <w:rPr>
                <w:sz w:val="19"/>
              </w:rPr>
              <w:t>98 of 1986</w:t>
            </w:r>
          </w:p>
        </w:tc>
        <w:tc>
          <w:tcPr>
            <w:tcW w:w="1151" w:type="dxa"/>
            <w:gridSpan w:val="2"/>
          </w:tcPr>
          <w:p>
            <w:pPr>
              <w:pStyle w:val="nTable"/>
              <w:spacing w:after="40"/>
              <w:rPr>
                <w:sz w:val="19"/>
              </w:rPr>
            </w:pPr>
            <w:r>
              <w:rPr>
                <w:sz w:val="19"/>
              </w:rPr>
              <w:t>11 Dec 1986</w:t>
            </w:r>
          </w:p>
        </w:tc>
        <w:tc>
          <w:tcPr>
            <w:tcW w:w="2546" w:type="dxa"/>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184" w:type="dxa"/>
          </w:tcPr>
          <w:p>
            <w:pPr>
              <w:pStyle w:val="nTable"/>
              <w:spacing w:after="40"/>
              <w:ind w:right="113"/>
              <w:rPr>
                <w:sz w:val="19"/>
              </w:rPr>
            </w:pPr>
            <w:r>
              <w:rPr>
                <w:i/>
                <w:sz w:val="19"/>
              </w:rPr>
              <w:t>Stamp Amendment Act 1987 </w:t>
            </w:r>
            <w:del w:id="4032" w:author="svcMRProcess" w:date="2020-02-20T23:16:00Z">
              <w:r>
                <w:rPr>
                  <w:sz w:val="19"/>
                  <w:vertAlign w:val="superscript"/>
                </w:rPr>
                <w:delText>17</w:delText>
              </w:r>
            </w:del>
            <w:ins w:id="4033" w:author="svcMRProcess" w:date="2020-02-20T23:16:00Z">
              <w:r>
                <w:rPr>
                  <w:sz w:val="19"/>
                  <w:vertAlign w:val="superscript"/>
                </w:rPr>
                <w:t>14</w:t>
              </w:r>
            </w:ins>
          </w:p>
        </w:tc>
        <w:tc>
          <w:tcPr>
            <w:tcW w:w="1104" w:type="dxa"/>
            <w:gridSpan w:val="2"/>
          </w:tcPr>
          <w:p>
            <w:pPr>
              <w:pStyle w:val="nTable"/>
              <w:spacing w:after="40"/>
              <w:rPr>
                <w:sz w:val="19"/>
              </w:rPr>
            </w:pPr>
            <w:r>
              <w:rPr>
                <w:sz w:val="19"/>
              </w:rPr>
              <w:t>33 of 1987</w:t>
            </w:r>
          </w:p>
        </w:tc>
        <w:tc>
          <w:tcPr>
            <w:tcW w:w="1151" w:type="dxa"/>
            <w:gridSpan w:val="2"/>
          </w:tcPr>
          <w:p>
            <w:pPr>
              <w:pStyle w:val="nTable"/>
              <w:spacing w:after="40"/>
              <w:rPr>
                <w:sz w:val="19"/>
              </w:rPr>
            </w:pPr>
            <w:r>
              <w:rPr>
                <w:sz w:val="19"/>
              </w:rPr>
              <w:t>30 Jun 1987</w:t>
            </w:r>
          </w:p>
        </w:tc>
        <w:tc>
          <w:tcPr>
            <w:tcW w:w="2546"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184" w:type="dxa"/>
          </w:tcPr>
          <w:p>
            <w:pPr>
              <w:pStyle w:val="nTable"/>
              <w:keepNext/>
              <w:spacing w:after="40"/>
              <w:ind w:right="113"/>
              <w:rPr>
                <w:sz w:val="19"/>
              </w:rPr>
            </w:pPr>
            <w:r>
              <w:rPr>
                <w:i/>
                <w:sz w:val="19"/>
              </w:rPr>
              <w:t>Stamp Amendment Act (No. 2) 1987</w:t>
            </w:r>
            <w:r>
              <w:rPr>
                <w:sz w:val="19"/>
                <w:vertAlign w:val="superscript"/>
              </w:rPr>
              <w:t xml:space="preserve"> </w:t>
            </w:r>
            <w:del w:id="4034" w:author="svcMRProcess" w:date="2020-02-20T23:16:00Z">
              <w:r>
                <w:rPr>
                  <w:sz w:val="19"/>
                  <w:vertAlign w:val="superscript"/>
                </w:rPr>
                <w:delText>18</w:delText>
              </w:r>
            </w:del>
            <w:ins w:id="4035" w:author="svcMRProcess" w:date="2020-02-20T23:16:00Z">
              <w:r>
                <w:rPr>
                  <w:sz w:val="19"/>
                  <w:vertAlign w:val="superscript"/>
                </w:rPr>
                <w:t>15</w:t>
              </w:r>
            </w:ins>
          </w:p>
        </w:tc>
        <w:tc>
          <w:tcPr>
            <w:tcW w:w="1104" w:type="dxa"/>
            <w:gridSpan w:val="2"/>
          </w:tcPr>
          <w:p>
            <w:pPr>
              <w:pStyle w:val="nTable"/>
              <w:keepNext/>
              <w:spacing w:after="40"/>
              <w:rPr>
                <w:sz w:val="19"/>
              </w:rPr>
            </w:pPr>
            <w:r>
              <w:rPr>
                <w:sz w:val="19"/>
              </w:rPr>
              <w:t>100 of 1987</w:t>
            </w:r>
          </w:p>
        </w:tc>
        <w:tc>
          <w:tcPr>
            <w:tcW w:w="1151" w:type="dxa"/>
            <w:gridSpan w:val="2"/>
          </w:tcPr>
          <w:p>
            <w:pPr>
              <w:pStyle w:val="nTable"/>
              <w:keepNext/>
              <w:spacing w:after="40"/>
              <w:rPr>
                <w:sz w:val="19"/>
              </w:rPr>
            </w:pPr>
            <w:r>
              <w:rPr>
                <w:sz w:val="19"/>
              </w:rPr>
              <w:t>18 Dec 1987</w:t>
            </w:r>
          </w:p>
        </w:tc>
        <w:tc>
          <w:tcPr>
            <w:tcW w:w="2546" w:type="dxa"/>
          </w:tcPr>
          <w:p>
            <w:pPr>
              <w:pStyle w:val="nTable"/>
              <w:keepNext/>
              <w:spacing w:after="40"/>
              <w:rPr>
                <w:sz w:val="19"/>
              </w:rPr>
            </w:pPr>
            <w:r>
              <w:rPr>
                <w:sz w:val="19"/>
              </w:rPr>
              <w:t>1 Jan 1988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184" w:type="dxa"/>
          </w:tcPr>
          <w:p>
            <w:pPr>
              <w:pStyle w:val="nTable"/>
              <w:spacing w:after="40"/>
              <w:ind w:right="113"/>
              <w:rPr>
                <w:sz w:val="19"/>
              </w:rPr>
            </w:pPr>
            <w:r>
              <w:rPr>
                <w:i/>
                <w:sz w:val="19"/>
              </w:rPr>
              <w:t>Stamp Amendment Act (No. 2) 1989</w:t>
            </w:r>
          </w:p>
        </w:tc>
        <w:tc>
          <w:tcPr>
            <w:tcW w:w="1104" w:type="dxa"/>
            <w:gridSpan w:val="2"/>
          </w:tcPr>
          <w:p>
            <w:pPr>
              <w:pStyle w:val="nTable"/>
              <w:spacing w:after="40"/>
              <w:rPr>
                <w:sz w:val="19"/>
              </w:rPr>
            </w:pPr>
            <w:r>
              <w:rPr>
                <w:sz w:val="19"/>
              </w:rPr>
              <w:t>3 of 1989</w:t>
            </w:r>
          </w:p>
        </w:tc>
        <w:tc>
          <w:tcPr>
            <w:tcW w:w="1151" w:type="dxa"/>
            <w:gridSpan w:val="2"/>
          </w:tcPr>
          <w:p>
            <w:pPr>
              <w:pStyle w:val="nTable"/>
              <w:spacing w:after="40"/>
              <w:rPr>
                <w:sz w:val="19"/>
              </w:rPr>
            </w:pPr>
            <w:r>
              <w:rPr>
                <w:sz w:val="19"/>
              </w:rPr>
              <w:t>20 Apr 1989</w:t>
            </w:r>
          </w:p>
        </w:tc>
        <w:tc>
          <w:tcPr>
            <w:tcW w:w="2546" w:type="dxa"/>
          </w:tcPr>
          <w:p>
            <w:pPr>
              <w:pStyle w:val="nTable"/>
              <w:spacing w:after="40"/>
              <w:rPr>
                <w:sz w:val="19"/>
              </w:rPr>
            </w:pPr>
            <w:r>
              <w:rPr>
                <w:sz w:val="19"/>
              </w:rPr>
              <w:t>20 Apr 1989 (see s. 2)</w:t>
            </w:r>
          </w:p>
        </w:tc>
      </w:tr>
      <w:tr>
        <w:trPr>
          <w:cantSplit/>
        </w:trPr>
        <w:tc>
          <w:tcPr>
            <w:tcW w:w="2184" w:type="dxa"/>
          </w:tcPr>
          <w:p>
            <w:pPr>
              <w:pStyle w:val="nTable"/>
              <w:spacing w:after="40"/>
              <w:ind w:right="113"/>
              <w:rPr>
                <w:sz w:val="19"/>
              </w:rPr>
            </w:pPr>
            <w:r>
              <w:rPr>
                <w:i/>
                <w:sz w:val="19"/>
              </w:rPr>
              <w:t>Stamp Amendment Act (No. 4) 1989</w:t>
            </w:r>
          </w:p>
        </w:tc>
        <w:tc>
          <w:tcPr>
            <w:tcW w:w="1104" w:type="dxa"/>
            <w:gridSpan w:val="2"/>
          </w:tcPr>
          <w:p>
            <w:pPr>
              <w:pStyle w:val="nTable"/>
              <w:spacing w:after="40"/>
              <w:rPr>
                <w:sz w:val="19"/>
              </w:rPr>
            </w:pPr>
            <w:r>
              <w:rPr>
                <w:sz w:val="19"/>
              </w:rPr>
              <w:t>16 of 1989</w:t>
            </w:r>
            <w:r>
              <w:rPr>
                <w:sz w:val="19"/>
              </w:rPr>
              <w:br/>
              <w:t>(as amended by No. 41 of 1989 s. 28)</w:t>
            </w:r>
          </w:p>
        </w:tc>
        <w:tc>
          <w:tcPr>
            <w:tcW w:w="1151" w:type="dxa"/>
            <w:gridSpan w:val="2"/>
          </w:tcPr>
          <w:p>
            <w:pPr>
              <w:pStyle w:val="nTable"/>
              <w:spacing w:after="40"/>
              <w:rPr>
                <w:sz w:val="19"/>
              </w:rPr>
            </w:pPr>
            <w:r>
              <w:rPr>
                <w:sz w:val="19"/>
              </w:rPr>
              <w:t>16 Nov 1989</w:t>
            </w:r>
          </w:p>
        </w:tc>
        <w:tc>
          <w:tcPr>
            <w:tcW w:w="2546"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 xml:space="preserve">Taxation (Reciprocal Powers) Act 1989 </w:t>
            </w:r>
            <w:r>
              <w:rPr>
                <w:sz w:val="19"/>
              </w:rPr>
              <w:t>s. 16</w:t>
            </w:r>
          </w:p>
        </w:tc>
        <w:tc>
          <w:tcPr>
            <w:tcW w:w="1104" w:type="dxa"/>
            <w:gridSpan w:val="2"/>
          </w:tcPr>
          <w:p>
            <w:pPr>
              <w:pStyle w:val="nTable"/>
              <w:spacing w:after="40"/>
              <w:rPr>
                <w:sz w:val="19"/>
              </w:rPr>
            </w:pPr>
            <w:r>
              <w:rPr>
                <w:sz w:val="19"/>
              </w:rPr>
              <w:t>18 of 1989</w:t>
            </w:r>
          </w:p>
        </w:tc>
        <w:tc>
          <w:tcPr>
            <w:tcW w:w="1151" w:type="dxa"/>
            <w:gridSpan w:val="2"/>
          </w:tcPr>
          <w:p>
            <w:pPr>
              <w:pStyle w:val="nTable"/>
              <w:spacing w:after="40"/>
              <w:rPr>
                <w:sz w:val="19"/>
              </w:rPr>
            </w:pPr>
            <w:r>
              <w:rPr>
                <w:sz w:val="19"/>
              </w:rPr>
              <w:t>1 Dec 1989</w:t>
            </w:r>
          </w:p>
        </w:tc>
        <w:tc>
          <w:tcPr>
            <w:tcW w:w="2546"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184" w:type="dxa"/>
          </w:tcPr>
          <w:p>
            <w:pPr>
              <w:pStyle w:val="nTable"/>
              <w:spacing w:after="40"/>
              <w:ind w:right="113"/>
              <w:rPr>
                <w:sz w:val="19"/>
              </w:rPr>
            </w:pPr>
            <w:r>
              <w:rPr>
                <w:i/>
                <w:sz w:val="19"/>
              </w:rPr>
              <w:t>Stamp Amendment Act (No. 3) 1989</w:t>
            </w:r>
          </w:p>
        </w:tc>
        <w:tc>
          <w:tcPr>
            <w:tcW w:w="1104" w:type="dxa"/>
            <w:gridSpan w:val="2"/>
          </w:tcPr>
          <w:p>
            <w:pPr>
              <w:pStyle w:val="nTable"/>
              <w:spacing w:after="40"/>
              <w:rPr>
                <w:sz w:val="19"/>
              </w:rPr>
            </w:pPr>
            <w:r>
              <w:rPr>
                <w:sz w:val="19"/>
              </w:rPr>
              <w:t>41 of 1989</w:t>
            </w:r>
          </w:p>
        </w:tc>
        <w:tc>
          <w:tcPr>
            <w:tcW w:w="1151" w:type="dxa"/>
            <w:gridSpan w:val="2"/>
          </w:tcPr>
          <w:p>
            <w:pPr>
              <w:pStyle w:val="nTable"/>
              <w:spacing w:after="40"/>
              <w:rPr>
                <w:sz w:val="19"/>
              </w:rPr>
            </w:pPr>
            <w:r>
              <w:rPr>
                <w:sz w:val="19"/>
              </w:rPr>
              <w:t>21 Dec 1989</w:t>
            </w:r>
          </w:p>
        </w:tc>
        <w:tc>
          <w:tcPr>
            <w:tcW w:w="2546" w:type="dxa"/>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Stamp Amendment Act 1990</w:t>
            </w:r>
          </w:p>
        </w:tc>
        <w:tc>
          <w:tcPr>
            <w:tcW w:w="1104" w:type="dxa"/>
            <w:gridSpan w:val="2"/>
          </w:tcPr>
          <w:p>
            <w:pPr>
              <w:pStyle w:val="nTable"/>
              <w:spacing w:after="40"/>
              <w:rPr>
                <w:sz w:val="19"/>
              </w:rPr>
            </w:pPr>
            <w:r>
              <w:rPr>
                <w:sz w:val="19"/>
              </w:rPr>
              <w:t>20 of 1990</w:t>
            </w:r>
          </w:p>
        </w:tc>
        <w:tc>
          <w:tcPr>
            <w:tcW w:w="1151" w:type="dxa"/>
            <w:gridSpan w:val="2"/>
          </w:tcPr>
          <w:p>
            <w:pPr>
              <w:pStyle w:val="nTable"/>
              <w:spacing w:after="40"/>
              <w:rPr>
                <w:sz w:val="19"/>
              </w:rPr>
            </w:pPr>
            <w:r>
              <w:rPr>
                <w:sz w:val="19"/>
              </w:rPr>
              <w:t>24 Jul 1990</w:t>
            </w:r>
          </w:p>
        </w:tc>
        <w:tc>
          <w:tcPr>
            <w:tcW w:w="2546" w:type="dxa"/>
          </w:tcPr>
          <w:p>
            <w:pPr>
              <w:pStyle w:val="nTable"/>
              <w:spacing w:after="40"/>
              <w:rPr>
                <w:sz w:val="19"/>
              </w:rPr>
            </w:pPr>
            <w:r>
              <w:rPr>
                <w:sz w:val="19"/>
              </w:rPr>
              <w:t>24 Jul 1990 (see s. 2)</w:t>
            </w:r>
          </w:p>
        </w:tc>
      </w:tr>
      <w:tr>
        <w:trPr>
          <w:cantSplit/>
        </w:trPr>
        <w:tc>
          <w:tcPr>
            <w:tcW w:w="2184" w:type="dxa"/>
          </w:tcPr>
          <w:p>
            <w:pPr>
              <w:pStyle w:val="nTable"/>
              <w:spacing w:after="40"/>
              <w:ind w:right="113"/>
              <w:rPr>
                <w:sz w:val="19"/>
              </w:rPr>
            </w:pPr>
            <w:r>
              <w:rPr>
                <w:i/>
                <w:sz w:val="19"/>
              </w:rPr>
              <w:t xml:space="preserve">Acts Amendment (Betting Tax and Stamp Duty) Act (No. 2) 1990 </w:t>
            </w:r>
            <w:r>
              <w:rPr>
                <w:sz w:val="19"/>
              </w:rPr>
              <w:t>Pt. 2</w:t>
            </w:r>
          </w:p>
        </w:tc>
        <w:tc>
          <w:tcPr>
            <w:tcW w:w="1104" w:type="dxa"/>
            <w:gridSpan w:val="2"/>
          </w:tcPr>
          <w:p>
            <w:pPr>
              <w:pStyle w:val="nTable"/>
              <w:spacing w:after="40"/>
              <w:rPr>
                <w:sz w:val="19"/>
              </w:rPr>
            </w:pPr>
            <w:r>
              <w:rPr>
                <w:sz w:val="19"/>
              </w:rPr>
              <w:t>58 of 1990</w:t>
            </w:r>
          </w:p>
        </w:tc>
        <w:tc>
          <w:tcPr>
            <w:tcW w:w="1151" w:type="dxa"/>
            <w:gridSpan w:val="2"/>
          </w:tcPr>
          <w:p>
            <w:pPr>
              <w:pStyle w:val="nTable"/>
              <w:spacing w:after="40"/>
              <w:rPr>
                <w:sz w:val="19"/>
              </w:rPr>
            </w:pPr>
            <w:r>
              <w:rPr>
                <w:sz w:val="19"/>
              </w:rPr>
              <w:t>17 Dec 1990</w:t>
            </w:r>
          </w:p>
        </w:tc>
        <w:tc>
          <w:tcPr>
            <w:tcW w:w="2546" w:type="dxa"/>
          </w:tcPr>
          <w:p>
            <w:pPr>
              <w:pStyle w:val="nTable"/>
              <w:spacing w:after="40"/>
              <w:rPr>
                <w:sz w:val="19"/>
              </w:rPr>
            </w:pPr>
            <w:r>
              <w:rPr>
                <w:sz w:val="19"/>
              </w:rPr>
              <w:t>1 Aug 1989 (see s. 2)</w:t>
            </w:r>
          </w:p>
        </w:tc>
      </w:tr>
      <w:tr>
        <w:trPr>
          <w:cantSplit/>
        </w:trPr>
        <w:tc>
          <w:tcPr>
            <w:tcW w:w="2184" w:type="dxa"/>
          </w:tcPr>
          <w:p>
            <w:pPr>
              <w:pStyle w:val="nTable"/>
              <w:spacing w:after="40"/>
              <w:ind w:right="113"/>
              <w:rPr>
                <w:sz w:val="19"/>
              </w:rPr>
            </w:pPr>
            <w:r>
              <w:rPr>
                <w:i/>
                <w:sz w:val="19"/>
              </w:rPr>
              <w:t xml:space="preserve">R &amp; I Bank Act 1990 </w:t>
            </w:r>
            <w:r>
              <w:rPr>
                <w:sz w:val="19"/>
              </w:rPr>
              <w:t>s. 45(1)</w:t>
            </w:r>
          </w:p>
        </w:tc>
        <w:tc>
          <w:tcPr>
            <w:tcW w:w="1104" w:type="dxa"/>
            <w:gridSpan w:val="2"/>
          </w:tcPr>
          <w:p>
            <w:pPr>
              <w:pStyle w:val="nTable"/>
              <w:spacing w:after="40"/>
              <w:rPr>
                <w:sz w:val="19"/>
              </w:rPr>
            </w:pPr>
            <w:r>
              <w:rPr>
                <w:sz w:val="19"/>
              </w:rPr>
              <w:t>73 of 1990</w:t>
            </w:r>
          </w:p>
        </w:tc>
        <w:tc>
          <w:tcPr>
            <w:tcW w:w="1151" w:type="dxa"/>
            <w:gridSpan w:val="2"/>
          </w:tcPr>
          <w:p>
            <w:pPr>
              <w:pStyle w:val="nTable"/>
              <w:spacing w:after="40"/>
              <w:rPr>
                <w:sz w:val="19"/>
              </w:rPr>
            </w:pPr>
            <w:r>
              <w:rPr>
                <w:sz w:val="19"/>
              </w:rPr>
              <w:t>20 Dec 1990</w:t>
            </w:r>
          </w:p>
        </w:tc>
        <w:tc>
          <w:tcPr>
            <w:tcW w:w="2546"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184" w:type="dxa"/>
          </w:tcPr>
          <w:p>
            <w:pPr>
              <w:pStyle w:val="nTable"/>
              <w:spacing w:after="40"/>
              <w:ind w:right="113"/>
              <w:rPr>
                <w:sz w:val="19"/>
              </w:rPr>
            </w:pPr>
            <w:r>
              <w:rPr>
                <w:i/>
                <w:sz w:val="19"/>
              </w:rPr>
              <w:t>Stamp Amendment Act 1991 </w:t>
            </w:r>
            <w:del w:id="4036" w:author="svcMRProcess" w:date="2020-02-20T23:16:00Z">
              <w:r>
                <w:rPr>
                  <w:sz w:val="19"/>
                  <w:vertAlign w:val="superscript"/>
                </w:rPr>
                <w:delText>19</w:delText>
              </w:r>
            </w:del>
            <w:ins w:id="4037" w:author="svcMRProcess" w:date="2020-02-20T23:16:00Z">
              <w:r>
                <w:rPr>
                  <w:sz w:val="19"/>
                  <w:vertAlign w:val="superscript"/>
                </w:rPr>
                <w:t>16</w:t>
              </w:r>
            </w:ins>
          </w:p>
        </w:tc>
        <w:tc>
          <w:tcPr>
            <w:tcW w:w="1104" w:type="dxa"/>
            <w:gridSpan w:val="2"/>
          </w:tcPr>
          <w:p>
            <w:pPr>
              <w:pStyle w:val="nTable"/>
              <w:spacing w:after="40"/>
              <w:rPr>
                <w:sz w:val="19"/>
              </w:rPr>
            </w:pPr>
            <w:r>
              <w:rPr>
                <w:sz w:val="19"/>
              </w:rPr>
              <w:t>52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 xml:space="preserve">s. 4 and 6: 29 Aug 1991 (see s. 2(2)); </w:t>
            </w:r>
            <w:r>
              <w:rPr>
                <w:sz w:val="19"/>
              </w:rPr>
              <w:br/>
              <w:t>balance: 17 Dec 1991 (see s. 2(1))</w:t>
            </w:r>
          </w:p>
        </w:tc>
      </w:tr>
      <w:tr>
        <w:trPr>
          <w:cantSplit/>
        </w:trPr>
        <w:tc>
          <w:tcPr>
            <w:tcW w:w="2184" w:type="dxa"/>
          </w:tcPr>
          <w:p>
            <w:pPr>
              <w:pStyle w:val="nTable"/>
              <w:spacing w:after="40"/>
              <w:ind w:right="113"/>
              <w:rPr>
                <w:sz w:val="19"/>
              </w:rPr>
            </w:pPr>
            <w:r>
              <w:rPr>
                <w:i/>
                <w:sz w:val="19"/>
              </w:rPr>
              <w:t>Stamp Amendment Act (No. 2) 1991</w:t>
            </w:r>
          </w:p>
        </w:tc>
        <w:tc>
          <w:tcPr>
            <w:tcW w:w="1104" w:type="dxa"/>
            <w:gridSpan w:val="2"/>
          </w:tcPr>
          <w:p>
            <w:pPr>
              <w:pStyle w:val="nTable"/>
              <w:spacing w:after="40"/>
              <w:rPr>
                <w:sz w:val="19"/>
              </w:rPr>
            </w:pPr>
            <w:r>
              <w:rPr>
                <w:sz w:val="19"/>
              </w:rPr>
              <w:t>53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17 Dec 1991 (see s. 2)</w:t>
            </w:r>
          </w:p>
        </w:tc>
      </w:tr>
      <w:tr>
        <w:trPr>
          <w:cantSplit/>
        </w:trPr>
        <w:tc>
          <w:tcPr>
            <w:tcW w:w="2184" w:type="dxa"/>
          </w:tcPr>
          <w:p>
            <w:pPr>
              <w:pStyle w:val="nTable"/>
              <w:keepNext/>
              <w:keepLines/>
              <w:spacing w:after="40"/>
              <w:ind w:right="113"/>
              <w:rPr>
                <w:sz w:val="19"/>
              </w:rPr>
            </w:pPr>
            <w:r>
              <w:rPr>
                <w:i/>
                <w:sz w:val="19"/>
              </w:rPr>
              <w:t xml:space="preserve">SGIO Privatisation Act 1992 </w:t>
            </w:r>
            <w:r>
              <w:rPr>
                <w:sz w:val="19"/>
              </w:rPr>
              <w:t>s. 29</w:t>
            </w:r>
          </w:p>
        </w:tc>
        <w:tc>
          <w:tcPr>
            <w:tcW w:w="1104" w:type="dxa"/>
            <w:gridSpan w:val="2"/>
          </w:tcPr>
          <w:p>
            <w:pPr>
              <w:pStyle w:val="nTable"/>
              <w:keepNext/>
              <w:keepLines/>
              <w:spacing w:after="40"/>
              <w:rPr>
                <w:sz w:val="19"/>
              </w:rPr>
            </w:pPr>
            <w:r>
              <w:rPr>
                <w:sz w:val="19"/>
              </w:rPr>
              <w:t>49 of 1992</w:t>
            </w:r>
          </w:p>
        </w:tc>
        <w:tc>
          <w:tcPr>
            <w:tcW w:w="1151" w:type="dxa"/>
            <w:gridSpan w:val="2"/>
          </w:tcPr>
          <w:p>
            <w:pPr>
              <w:pStyle w:val="nTable"/>
              <w:keepNext/>
              <w:keepLines/>
              <w:spacing w:after="40"/>
              <w:rPr>
                <w:sz w:val="19"/>
              </w:rPr>
            </w:pPr>
            <w:r>
              <w:rPr>
                <w:sz w:val="19"/>
              </w:rPr>
              <w:t>9 Dec 1992</w:t>
            </w:r>
          </w:p>
        </w:tc>
        <w:tc>
          <w:tcPr>
            <w:tcW w:w="2546"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184" w:type="dxa"/>
          </w:tcPr>
          <w:p>
            <w:pPr>
              <w:pStyle w:val="nTable"/>
              <w:spacing w:after="40"/>
              <w:ind w:right="113"/>
              <w:rPr>
                <w:sz w:val="19"/>
              </w:rPr>
            </w:pPr>
            <w:r>
              <w:rPr>
                <w:i/>
                <w:sz w:val="19"/>
              </w:rPr>
              <w:t>Stamp Amendment Act 1993</w:t>
            </w:r>
          </w:p>
        </w:tc>
        <w:tc>
          <w:tcPr>
            <w:tcW w:w="1104" w:type="dxa"/>
            <w:gridSpan w:val="2"/>
          </w:tcPr>
          <w:p>
            <w:pPr>
              <w:pStyle w:val="nTable"/>
              <w:spacing w:after="40"/>
              <w:rPr>
                <w:sz w:val="19"/>
              </w:rPr>
            </w:pPr>
            <w:r>
              <w:rPr>
                <w:sz w:val="19"/>
              </w:rPr>
              <w:t>42 of 1993</w:t>
            </w:r>
          </w:p>
        </w:tc>
        <w:tc>
          <w:tcPr>
            <w:tcW w:w="1151" w:type="dxa"/>
            <w:gridSpan w:val="2"/>
          </w:tcPr>
          <w:p>
            <w:pPr>
              <w:pStyle w:val="nTable"/>
              <w:spacing w:after="40"/>
              <w:rPr>
                <w:sz w:val="19"/>
              </w:rPr>
            </w:pPr>
            <w:r>
              <w:rPr>
                <w:sz w:val="19"/>
              </w:rPr>
              <w:t>20 Dec 1993</w:t>
            </w:r>
          </w:p>
        </w:tc>
        <w:tc>
          <w:tcPr>
            <w:tcW w:w="2546"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184" w:type="dxa"/>
          </w:tcPr>
          <w:p>
            <w:pPr>
              <w:pStyle w:val="nTable"/>
              <w:spacing w:after="40"/>
              <w:ind w:right="113"/>
              <w:rPr>
                <w:sz w:val="19"/>
              </w:rPr>
            </w:pPr>
            <w:r>
              <w:rPr>
                <w:i/>
                <w:sz w:val="19"/>
              </w:rPr>
              <w:t xml:space="preserve">R &amp; I Bank Amendment Act 1994 </w:t>
            </w:r>
            <w:r>
              <w:rPr>
                <w:sz w:val="19"/>
              </w:rPr>
              <w:t>s. 13</w:t>
            </w:r>
          </w:p>
        </w:tc>
        <w:tc>
          <w:tcPr>
            <w:tcW w:w="1104" w:type="dxa"/>
            <w:gridSpan w:val="2"/>
          </w:tcPr>
          <w:p>
            <w:pPr>
              <w:pStyle w:val="nTable"/>
              <w:spacing w:after="40"/>
              <w:rPr>
                <w:sz w:val="19"/>
              </w:rPr>
            </w:pPr>
            <w:r>
              <w:rPr>
                <w:sz w:val="19"/>
              </w:rPr>
              <w:t>6 of 1994</w:t>
            </w:r>
          </w:p>
        </w:tc>
        <w:tc>
          <w:tcPr>
            <w:tcW w:w="1151" w:type="dxa"/>
            <w:gridSpan w:val="2"/>
          </w:tcPr>
          <w:p>
            <w:pPr>
              <w:pStyle w:val="nTable"/>
              <w:spacing w:after="40"/>
              <w:rPr>
                <w:sz w:val="19"/>
              </w:rPr>
            </w:pPr>
            <w:r>
              <w:rPr>
                <w:sz w:val="19"/>
              </w:rPr>
              <w:t>11 Apr 1994</w:t>
            </w:r>
          </w:p>
        </w:tc>
        <w:tc>
          <w:tcPr>
            <w:tcW w:w="2546"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184" w:type="dxa"/>
          </w:tcPr>
          <w:p>
            <w:pPr>
              <w:pStyle w:val="nTable"/>
              <w:spacing w:after="40"/>
              <w:ind w:right="113"/>
              <w:rPr>
                <w:sz w:val="19"/>
              </w:rPr>
            </w:pPr>
            <w:r>
              <w:rPr>
                <w:i/>
                <w:sz w:val="19"/>
              </w:rPr>
              <w:t>Stamp Amendment Act 1994</w:t>
            </w:r>
          </w:p>
        </w:tc>
        <w:tc>
          <w:tcPr>
            <w:tcW w:w="1104" w:type="dxa"/>
            <w:gridSpan w:val="2"/>
          </w:tcPr>
          <w:p>
            <w:pPr>
              <w:pStyle w:val="nTable"/>
              <w:spacing w:after="40"/>
              <w:rPr>
                <w:sz w:val="19"/>
              </w:rPr>
            </w:pPr>
            <w:r>
              <w:rPr>
                <w:sz w:val="19"/>
              </w:rPr>
              <w:t>39 of 1994</w:t>
            </w:r>
          </w:p>
        </w:tc>
        <w:tc>
          <w:tcPr>
            <w:tcW w:w="1151" w:type="dxa"/>
            <w:gridSpan w:val="2"/>
          </w:tcPr>
          <w:p>
            <w:pPr>
              <w:pStyle w:val="nTable"/>
              <w:spacing w:after="40"/>
              <w:rPr>
                <w:sz w:val="19"/>
              </w:rPr>
            </w:pPr>
            <w:r>
              <w:rPr>
                <w:sz w:val="19"/>
              </w:rPr>
              <w:t>26 Aug 1994</w:t>
            </w:r>
          </w:p>
        </w:tc>
        <w:tc>
          <w:tcPr>
            <w:tcW w:w="2546" w:type="dxa"/>
          </w:tcPr>
          <w:p>
            <w:pPr>
              <w:pStyle w:val="nTable"/>
              <w:spacing w:after="40"/>
              <w:rPr>
                <w:sz w:val="19"/>
              </w:rPr>
            </w:pPr>
            <w:r>
              <w:rPr>
                <w:sz w:val="19"/>
              </w:rPr>
              <w:t>1 Sep 1994 (see s. 2)</w:t>
            </w:r>
          </w:p>
        </w:tc>
      </w:tr>
      <w:tr>
        <w:trPr>
          <w:cantSplit/>
        </w:trPr>
        <w:tc>
          <w:tcPr>
            <w:tcW w:w="2184" w:type="dxa"/>
          </w:tcPr>
          <w:p>
            <w:pPr>
              <w:pStyle w:val="nTable"/>
              <w:spacing w:after="40"/>
              <w:ind w:right="113"/>
              <w:rPr>
                <w:sz w:val="19"/>
              </w:rPr>
            </w:pPr>
            <w:r>
              <w:rPr>
                <w:i/>
                <w:sz w:val="19"/>
              </w:rPr>
              <w:t>Stamp Amendment Act (No. 2) 1994 </w:t>
            </w:r>
            <w:del w:id="4038" w:author="svcMRProcess" w:date="2020-02-20T23:16:00Z">
              <w:r>
                <w:rPr>
                  <w:sz w:val="19"/>
                  <w:vertAlign w:val="superscript"/>
                </w:rPr>
                <w:delText>5, 20</w:delText>
              </w:r>
            </w:del>
            <w:ins w:id="4039" w:author="svcMRProcess" w:date="2020-02-20T23:16:00Z">
              <w:r>
                <w:rPr>
                  <w:sz w:val="19"/>
                  <w:vertAlign w:val="superscript"/>
                </w:rPr>
                <w:t>3, 17</w:t>
              </w:r>
            </w:ins>
          </w:p>
        </w:tc>
        <w:tc>
          <w:tcPr>
            <w:tcW w:w="1104" w:type="dxa"/>
            <w:gridSpan w:val="2"/>
          </w:tcPr>
          <w:p>
            <w:pPr>
              <w:pStyle w:val="nTable"/>
              <w:spacing w:after="40"/>
              <w:rPr>
                <w:sz w:val="19"/>
              </w:rPr>
            </w:pPr>
            <w:r>
              <w:rPr>
                <w:sz w:val="19"/>
              </w:rPr>
              <w:t>79 of 1994</w:t>
            </w:r>
          </w:p>
        </w:tc>
        <w:tc>
          <w:tcPr>
            <w:tcW w:w="1151" w:type="dxa"/>
            <w:gridSpan w:val="2"/>
          </w:tcPr>
          <w:p>
            <w:pPr>
              <w:pStyle w:val="nTable"/>
              <w:spacing w:after="40"/>
              <w:rPr>
                <w:sz w:val="19"/>
              </w:rPr>
            </w:pPr>
            <w:r>
              <w:rPr>
                <w:sz w:val="19"/>
              </w:rPr>
              <w:t>22 Dec 1994</w:t>
            </w:r>
          </w:p>
        </w:tc>
        <w:tc>
          <w:tcPr>
            <w:tcW w:w="2546" w:type="dxa"/>
          </w:tcPr>
          <w:p>
            <w:pPr>
              <w:pStyle w:val="nTable"/>
              <w:spacing w:after="40"/>
              <w:rPr>
                <w:sz w:val="19"/>
              </w:rPr>
            </w:pPr>
            <w:r>
              <w:rPr>
                <w:sz w:val="19"/>
              </w:rPr>
              <w:t>22 Dec 1994 (see s. 2)</w:t>
            </w:r>
          </w:p>
        </w:tc>
      </w:tr>
      <w:tr>
        <w:trPr>
          <w:cantSplit/>
        </w:trPr>
        <w:tc>
          <w:tcPr>
            <w:tcW w:w="2184" w:type="dxa"/>
          </w:tcPr>
          <w:p>
            <w:pPr>
              <w:pStyle w:val="nTable"/>
              <w:spacing w:after="40"/>
              <w:ind w:right="113"/>
              <w:rPr>
                <w:sz w:val="19"/>
              </w:rPr>
            </w:pPr>
            <w:r>
              <w:rPr>
                <w:i/>
                <w:sz w:val="19"/>
              </w:rPr>
              <w:t xml:space="preserve">Bank of Western Australia Act 1995 </w:t>
            </w:r>
            <w:r>
              <w:rPr>
                <w:sz w:val="19"/>
              </w:rPr>
              <w:t>s. 44</w:t>
            </w:r>
          </w:p>
        </w:tc>
        <w:tc>
          <w:tcPr>
            <w:tcW w:w="1104" w:type="dxa"/>
            <w:gridSpan w:val="2"/>
          </w:tcPr>
          <w:p>
            <w:pPr>
              <w:pStyle w:val="nTable"/>
              <w:spacing w:after="40"/>
              <w:rPr>
                <w:sz w:val="19"/>
              </w:rPr>
            </w:pPr>
            <w:r>
              <w:rPr>
                <w:sz w:val="19"/>
              </w:rPr>
              <w:t>14 of 1995</w:t>
            </w:r>
          </w:p>
        </w:tc>
        <w:tc>
          <w:tcPr>
            <w:tcW w:w="1151" w:type="dxa"/>
            <w:gridSpan w:val="2"/>
          </w:tcPr>
          <w:p>
            <w:pPr>
              <w:pStyle w:val="nTable"/>
              <w:spacing w:after="40"/>
              <w:rPr>
                <w:sz w:val="19"/>
              </w:rPr>
            </w:pPr>
            <w:r>
              <w:rPr>
                <w:sz w:val="19"/>
              </w:rPr>
              <w:t>4 Jul 1995</w:t>
            </w:r>
          </w:p>
        </w:tc>
        <w:tc>
          <w:tcPr>
            <w:tcW w:w="2546"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184" w:type="dxa"/>
          </w:tcPr>
          <w:p>
            <w:pPr>
              <w:pStyle w:val="nTable"/>
              <w:spacing w:after="40"/>
              <w:ind w:right="113"/>
              <w:rPr>
                <w:sz w:val="19"/>
              </w:rPr>
            </w:pPr>
            <w:r>
              <w:rPr>
                <w:i/>
                <w:sz w:val="19"/>
              </w:rPr>
              <w:t xml:space="preserve">Road Traffic Amendment Act 1995 </w:t>
            </w:r>
            <w:r>
              <w:rPr>
                <w:sz w:val="19"/>
              </w:rPr>
              <w:t>s. 14</w:t>
            </w:r>
          </w:p>
        </w:tc>
        <w:tc>
          <w:tcPr>
            <w:tcW w:w="1104" w:type="dxa"/>
            <w:gridSpan w:val="2"/>
          </w:tcPr>
          <w:p>
            <w:pPr>
              <w:pStyle w:val="nTable"/>
              <w:spacing w:after="40"/>
              <w:rPr>
                <w:sz w:val="19"/>
              </w:rPr>
            </w:pPr>
            <w:r>
              <w:rPr>
                <w:sz w:val="19"/>
              </w:rPr>
              <w:t>21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184" w:type="dxa"/>
          </w:tcPr>
          <w:p>
            <w:pPr>
              <w:pStyle w:val="nTable"/>
              <w:spacing w:after="40"/>
              <w:ind w:right="113"/>
              <w:rPr>
                <w:sz w:val="19"/>
              </w:rPr>
            </w:pPr>
            <w:r>
              <w:rPr>
                <w:i/>
                <w:sz w:val="19"/>
              </w:rPr>
              <w:t>Stamp Amendment (Marketable Securities Duty) Act 1995</w:t>
            </w:r>
            <w:r>
              <w:rPr>
                <w:sz w:val="19"/>
                <w:vertAlign w:val="superscript"/>
              </w:rPr>
              <w:t> </w:t>
            </w:r>
            <w:del w:id="4040" w:author="svcMRProcess" w:date="2020-02-20T23:16:00Z">
              <w:r>
                <w:rPr>
                  <w:sz w:val="19"/>
                  <w:vertAlign w:val="superscript"/>
                </w:rPr>
                <w:delText>21</w:delText>
              </w:r>
            </w:del>
            <w:ins w:id="4041" w:author="svcMRProcess" w:date="2020-02-20T23:16:00Z">
              <w:r>
                <w:rPr>
                  <w:sz w:val="19"/>
                  <w:vertAlign w:val="superscript"/>
                </w:rPr>
                <w:t>18</w:t>
              </w:r>
            </w:ins>
          </w:p>
        </w:tc>
        <w:tc>
          <w:tcPr>
            <w:tcW w:w="1104" w:type="dxa"/>
            <w:gridSpan w:val="2"/>
          </w:tcPr>
          <w:p>
            <w:pPr>
              <w:pStyle w:val="nTable"/>
              <w:spacing w:after="40"/>
              <w:rPr>
                <w:sz w:val="19"/>
              </w:rPr>
            </w:pPr>
            <w:r>
              <w:rPr>
                <w:sz w:val="19"/>
              </w:rPr>
              <w:t>22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1 Jul 1995 (see s. 2)</w:t>
            </w:r>
          </w:p>
        </w:tc>
      </w:tr>
      <w:tr>
        <w:trPr>
          <w:cantSplit/>
        </w:trPr>
        <w:tc>
          <w:tcPr>
            <w:tcW w:w="2184" w:type="dxa"/>
          </w:tcPr>
          <w:p>
            <w:pPr>
              <w:pStyle w:val="nTable"/>
              <w:spacing w:after="40"/>
              <w:ind w:right="113"/>
              <w:rPr>
                <w:sz w:val="19"/>
              </w:rPr>
            </w:pPr>
            <w:r>
              <w:rPr>
                <w:i/>
                <w:sz w:val="19"/>
              </w:rPr>
              <w:t>Stamp Amendment Act 1995</w:t>
            </w:r>
            <w:r>
              <w:rPr>
                <w:sz w:val="19"/>
                <w:vertAlign w:val="superscript"/>
              </w:rPr>
              <w:t> </w:t>
            </w:r>
            <w:del w:id="4042" w:author="svcMRProcess" w:date="2020-02-20T23:16:00Z">
              <w:r>
                <w:rPr>
                  <w:sz w:val="19"/>
                  <w:vertAlign w:val="superscript"/>
                </w:rPr>
                <w:delText>22, 23</w:delText>
              </w:r>
            </w:del>
            <w:ins w:id="4043" w:author="svcMRProcess" w:date="2020-02-20T23:16:00Z">
              <w:r>
                <w:rPr>
                  <w:sz w:val="19"/>
                  <w:vertAlign w:val="superscript"/>
                </w:rPr>
                <w:t>19, 20</w:t>
              </w:r>
            </w:ins>
          </w:p>
        </w:tc>
        <w:tc>
          <w:tcPr>
            <w:tcW w:w="1104" w:type="dxa"/>
            <w:gridSpan w:val="2"/>
          </w:tcPr>
          <w:p>
            <w:pPr>
              <w:pStyle w:val="nTable"/>
              <w:spacing w:after="40"/>
              <w:rPr>
                <w:sz w:val="19"/>
              </w:rPr>
            </w:pPr>
            <w:r>
              <w:rPr>
                <w:sz w:val="19"/>
              </w:rPr>
              <w:t>41 of 1995</w:t>
            </w:r>
          </w:p>
        </w:tc>
        <w:tc>
          <w:tcPr>
            <w:tcW w:w="1151" w:type="dxa"/>
            <w:gridSpan w:val="2"/>
          </w:tcPr>
          <w:p>
            <w:pPr>
              <w:pStyle w:val="nTable"/>
              <w:spacing w:after="40"/>
              <w:rPr>
                <w:sz w:val="19"/>
              </w:rPr>
            </w:pPr>
            <w:r>
              <w:rPr>
                <w:sz w:val="19"/>
              </w:rPr>
              <w:t>24 Oct 1995</w:t>
            </w:r>
          </w:p>
        </w:tc>
        <w:tc>
          <w:tcPr>
            <w:tcW w:w="2546" w:type="dxa"/>
          </w:tcPr>
          <w:p>
            <w:pPr>
              <w:pStyle w:val="nTable"/>
              <w:spacing w:after="40"/>
              <w:rPr>
                <w:sz w:val="19"/>
              </w:rPr>
            </w:pPr>
            <w:r>
              <w:rPr>
                <w:sz w:val="19"/>
              </w:rPr>
              <w:t>24 Oct 1995 (see s. 2)</w:t>
            </w:r>
          </w:p>
        </w:tc>
      </w:tr>
      <w:tr>
        <w:trPr>
          <w:cantSplit/>
        </w:trPr>
        <w:tc>
          <w:tcPr>
            <w:tcW w:w="2184" w:type="dxa"/>
          </w:tcPr>
          <w:p>
            <w:pPr>
              <w:pStyle w:val="nTable"/>
              <w:spacing w:after="40"/>
              <w:ind w:right="113"/>
              <w:rPr>
                <w:sz w:val="19"/>
              </w:rPr>
            </w:pPr>
            <w:r>
              <w:rPr>
                <w:i/>
                <w:sz w:val="19"/>
              </w:rPr>
              <w:t xml:space="preserve">Acts Amendment (Vehicle Licences) Act 1995 </w:t>
            </w:r>
            <w:r>
              <w:rPr>
                <w:sz w:val="19"/>
              </w:rPr>
              <w:t>Pt. 3</w:t>
            </w:r>
          </w:p>
        </w:tc>
        <w:tc>
          <w:tcPr>
            <w:tcW w:w="1104" w:type="dxa"/>
            <w:gridSpan w:val="2"/>
          </w:tcPr>
          <w:p>
            <w:pPr>
              <w:pStyle w:val="nTable"/>
              <w:spacing w:after="40"/>
              <w:rPr>
                <w:sz w:val="19"/>
              </w:rPr>
            </w:pPr>
            <w:r>
              <w:rPr>
                <w:sz w:val="19"/>
              </w:rPr>
              <w:t>57 of 1995</w:t>
            </w:r>
          </w:p>
        </w:tc>
        <w:tc>
          <w:tcPr>
            <w:tcW w:w="1151" w:type="dxa"/>
            <w:gridSpan w:val="2"/>
          </w:tcPr>
          <w:p>
            <w:pPr>
              <w:pStyle w:val="nTable"/>
              <w:spacing w:after="40"/>
              <w:rPr>
                <w:sz w:val="19"/>
              </w:rPr>
            </w:pPr>
            <w:r>
              <w:rPr>
                <w:sz w:val="19"/>
              </w:rPr>
              <w:t>20 Dec 1995</w:t>
            </w:r>
          </w:p>
        </w:tc>
        <w:tc>
          <w:tcPr>
            <w:tcW w:w="2546" w:type="dxa"/>
          </w:tcPr>
          <w:p>
            <w:pPr>
              <w:pStyle w:val="nTable"/>
              <w:spacing w:after="40"/>
              <w:rPr>
                <w:sz w:val="19"/>
              </w:rPr>
            </w:pPr>
            <w:r>
              <w:rPr>
                <w:sz w:val="19"/>
              </w:rPr>
              <w:t>20 Dec 1995 (see s. 2)</w:t>
            </w:r>
          </w:p>
        </w:tc>
      </w:tr>
      <w:tr>
        <w:trPr>
          <w:cantSplit/>
        </w:trPr>
        <w:tc>
          <w:tcPr>
            <w:tcW w:w="6985" w:type="dxa"/>
            <w:gridSpan w:val="6"/>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184" w:type="dxa"/>
          </w:tcPr>
          <w:p>
            <w:pPr>
              <w:pStyle w:val="nTable"/>
              <w:spacing w:after="40"/>
              <w:ind w:right="113"/>
              <w:rPr>
                <w:sz w:val="19"/>
              </w:rPr>
            </w:pPr>
            <w:r>
              <w:rPr>
                <w:i/>
                <w:sz w:val="19"/>
              </w:rPr>
              <w:t xml:space="preserve">Local Government (Consequential Amendments) Act 1996 </w:t>
            </w:r>
            <w:r>
              <w:rPr>
                <w:sz w:val="19"/>
              </w:rPr>
              <w:t>s. 4</w:t>
            </w:r>
          </w:p>
        </w:tc>
        <w:tc>
          <w:tcPr>
            <w:tcW w:w="1104" w:type="dxa"/>
            <w:gridSpan w:val="2"/>
          </w:tcPr>
          <w:p>
            <w:pPr>
              <w:pStyle w:val="nTable"/>
              <w:spacing w:after="40"/>
              <w:rPr>
                <w:sz w:val="19"/>
              </w:rPr>
            </w:pPr>
            <w:r>
              <w:rPr>
                <w:sz w:val="19"/>
              </w:rPr>
              <w:t>14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1 Jul 1996 (see s. 2)</w:t>
            </w:r>
          </w:p>
        </w:tc>
      </w:tr>
      <w:tr>
        <w:trPr>
          <w:cantSplit/>
        </w:trPr>
        <w:tc>
          <w:tcPr>
            <w:tcW w:w="2184" w:type="dxa"/>
          </w:tcPr>
          <w:p>
            <w:pPr>
              <w:pStyle w:val="nTable"/>
              <w:spacing w:after="40"/>
              <w:ind w:right="113"/>
              <w:rPr>
                <w:sz w:val="19"/>
              </w:rPr>
            </w:pPr>
            <w:r>
              <w:rPr>
                <w:i/>
                <w:sz w:val="19"/>
              </w:rPr>
              <w:t xml:space="preserve">Revenue Laws Amendment (Assessment) Act 1996 </w:t>
            </w:r>
            <w:r>
              <w:rPr>
                <w:sz w:val="19"/>
              </w:rPr>
              <w:t>Pt. 5 </w:t>
            </w:r>
            <w:del w:id="4044" w:author="svcMRProcess" w:date="2020-02-20T23:16:00Z">
              <w:r>
                <w:rPr>
                  <w:sz w:val="19"/>
                  <w:vertAlign w:val="superscript"/>
                </w:rPr>
                <w:delText>24</w:delText>
              </w:r>
            </w:del>
            <w:ins w:id="4045" w:author="svcMRProcess" w:date="2020-02-20T23:16:00Z">
              <w:r>
                <w:rPr>
                  <w:sz w:val="19"/>
                  <w:vertAlign w:val="superscript"/>
                </w:rPr>
                <w:t>21</w:t>
              </w:r>
            </w:ins>
          </w:p>
        </w:tc>
        <w:tc>
          <w:tcPr>
            <w:tcW w:w="1104" w:type="dxa"/>
            <w:gridSpan w:val="2"/>
          </w:tcPr>
          <w:p>
            <w:pPr>
              <w:pStyle w:val="nTable"/>
              <w:spacing w:after="40"/>
              <w:rPr>
                <w:sz w:val="19"/>
              </w:rPr>
            </w:pPr>
            <w:r>
              <w:rPr>
                <w:sz w:val="19"/>
              </w:rPr>
              <w:t>20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28 Jun 1996 (see s. 2(1))</w:t>
            </w:r>
          </w:p>
        </w:tc>
      </w:tr>
      <w:tr>
        <w:trPr>
          <w:cantSplit/>
        </w:trPr>
        <w:tc>
          <w:tcPr>
            <w:tcW w:w="2184" w:type="dxa"/>
          </w:tcPr>
          <w:p>
            <w:pPr>
              <w:pStyle w:val="nTable"/>
              <w:spacing w:after="40"/>
              <w:ind w:right="113"/>
              <w:rPr>
                <w:sz w:val="19"/>
              </w:rPr>
            </w:pPr>
            <w:r>
              <w:rPr>
                <w:i/>
                <w:sz w:val="19"/>
              </w:rPr>
              <w:t xml:space="preserve">Acts Amendment (ICWA) Act 1996 </w:t>
            </w:r>
            <w:r>
              <w:rPr>
                <w:sz w:val="19"/>
              </w:rPr>
              <w:t>s. 38</w:t>
            </w:r>
          </w:p>
        </w:tc>
        <w:tc>
          <w:tcPr>
            <w:tcW w:w="1104" w:type="dxa"/>
            <w:gridSpan w:val="2"/>
          </w:tcPr>
          <w:p>
            <w:pPr>
              <w:pStyle w:val="nTable"/>
              <w:spacing w:after="40"/>
              <w:rPr>
                <w:sz w:val="19"/>
              </w:rPr>
            </w:pPr>
            <w:r>
              <w:rPr>
                <w:sz w:val="19"/>
              </w:rPr>
              <w:t>45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184" w:type="dxa"/>
          </w:tcPr>
          <w:p>
            <w:pPr>
              <w:pStyle w:val="nTable"/>
              <w:spacing w:after="40"/>
              <w:ind w:right="113"/>
              <w:rPr>
                <w:sz w:val="19"/>
              </w:rPr>
            </w:pPr>
            <w:r>
              <w:rPr>
                <w:i/>
                <w:sz w:val="19"/>
              </w:rPr>
              <w:t xml:space="preserve">Revenue Laws Amendment (Assessment) Act (No. 2) 1996 </w:t>
            </w:r>
            <w:r>
              <w:rPr>
                <w:sz w:val="19"/>
              </w:rPr>
              <w:t>Pt. 5</w:t>
            </w:r>
          </w:p>
        </w:tc>
        <w:tc>
          <w:tcPr>
            <w:tcW w:w="1104" w:type="dxa"/>
            <w:gridSpan w:val="2"/>
          </w:tcPr>
          <w:p>
            <w:pPr>
              <w:pStyle w:val="nTable"/>
              <w:spacing w:after="40"/>
              <w:rPr>
                <w:sz w:val="19"/>
              </w:rPr>
            </w:pPr>
            <w:r>
              <w:rPr>
                <w:sz w:val="19"/>
              </w:rPr>
              <w:t>48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cantSplit/>
        </w:trPr>
        <w:tc>
          <w:tcPr>
            <w:tcW w:w="2184" w:type="dxa"/>
          </w:tcPr>
          <w:p>
            <w:pPr>
              <w:pStyle w:val="nTable"/>
              <w:spacing w:after="40"/>
              <w:ind w:right="113"/>
              <w:rPr>
                <w:sz w:val="19"/>
              </w:rPr>
            </w:pPr>
            <w:r>
              <w:rPr>
                <w:i/>
                <w:sz w:val="19"/>
              </w:rPr>
              <w:t>Stamp Amendment Act 1996 </w:t>
            </w:r>
            <w:del w:id="4046" w:author="svcMRProcess" w:date="2020-02-20T23:16:00Z">
              <w:r>
                <w:rPr>
                  <w:sz w:val="19"/>
                  <w:vertAlign w:val="superscript"/>
                </w:rPr>
                <w:delText>25</w:delText>
              </w:r>
            </w:del>
            <w:ins w:id="4047" w:author="svcMRProcess" w:date="2020-02-20T23:16:00Z">
              <w:r>
                <w:rPr>
                  <w:sz w:val="19"/>
                  <w:vertAlign w:val="superscript"/>
                </w:rPr>
                <w:t>22</w:t>
              </w:r>
            </w:ins>
          </w:p>
        </w:tc>
        <w:tc>
          <w:tcPr>
            <w:tcW w:w="1104" w:type="dxa"/>
            <w:gridSpan w:val="2"/>
          </w:tcPr>
          <w:p>
            <w:pPr>
              <w:pStyle w:val="nTable"/>
              <w:spacing w:after="40"/>
              <w:rPr>
                <w:sz w:val="19"/>
              </w:rPr>
            </w:pPr>
            <w:r>
              <w:rPr>
                <w:sz w:val="19"/>
              </w:rPr>
              <w:t>57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20 Nov 1995 (see s. 2)</w:t>
            </w:r>
          </w:p>
        </w:tc>
      </w:tr>
      <w:tr>
        <w:trPr>
          <w:cantSplit/>
        </w:trPr>
        <w:tc>
          <w:tcPr>
            <w:tcW w:w="2184" w:type="dxa"/>
          </w:tcPr>
          <w:p>
            <w:pPr>
              <w:pStyle w:val="nTable"/>
              <w:spacing w:after="40"/>
              <w:ind w:right="113"/>
              <w:rPr>
                <w:sz w:val="19"/>
              </w:rPr>
            </w:pPr>
            <w:r>
              <w:rPr>
                <w:i/>
                <w:sz w:val="19"/>
              </w:rPr>
              <w:t xml:space="preserve">Strata Titles Amendment Act 1996 </w:t>
            </w:r>
            <w:r>
              <w:rPr>
                <w:sz w:val="19"/>
              </w:rPr>
              <w:t>s. 40</w:t>
            </w:r>
          </w:p>
        </w:tc>
        <w:tc>
          <w:tcPr>
            <w:tcW w:w="1104" w:type="dxa"/>
            <w:gridSpan w:val="2"/>
          </w:tcPr>
          <w:p>
            <w:pPr>
              <w:pStyle w:val="nTable"/>
              <w:spacing w:after="40"/>
              <w:rPr>
                <w:sz w:val="19"/>
              </w:rPr>
            </w:pPr>
            <w:r>
              <w:rPr>
                <w:sz w:val="19"/>
              </w:rPr>
              <w:t>61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184" w:type="dxa"/>
          </w:tcPr>
          <w:p>
            <w:pPr>
              <w:pStyle w:val="nTable"/>
              <w:spacing w:after="40"/>
              <w:ind w:right="113"/>
              <w:rPr>
                <w:sz w:val="19"/>
              </w:rPr>
            </w:pPr>
            <w:r>
              <w:rPr>
                <w:i/>
                <w:sz w:val="19"/>
              </w:rPr>
              <w:t xml:space="preserve">Road Traffic Amendment Act 1996 </w:t>
            </w:r>
            <w:r>
              <w:rPr>
                <w:sz w:val="19"/>
              </w:rPr>
              <w:t>Pt. 3 Div. 8</w:t>
            </w:r>
          </w:p>
        </w:tc>
        <w:tc>
          <w:tcPr>
            <w:tcW w:w="1104" w:type="dxa"/>
            <w:gridSpan w:val="2"/>
          </w:tcPr>
          <w:p>
            <w:pPr>
              <w:pStyle w:val="nTable"/>
              <w:spacing w:after="40"/>
              <w:rPr>
                <w:sz w:val="19"/>
              </w:rPr>
            </w:pPr>
            <w:r>
              <w:rPr>
                <w:sz w:val="19"/>
              </w:rPr>
              <w:t>76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184" w:type="dxa"/>
          </w:tcPr>
          <w:p>
            <w:pPr>
              <w:pStyle w:val="nTable"/>
              <w:spacing w:after="40"/>
              <w:ind w:right="113"/>
              <w:rPr>
                <w:sz w:val="19"/>
              </w:rPr>
            </w:pPr>
            <w:r>
              <w:rPr>
                <w:i/>
                <w:sz w:val="19"/>
              </w:rPr>
              <w:t xml:space="preserve">Transfer of Land Amendment Act 1996 </w:t>
            </w:r>
            <w:r>
              <w:rPr>
                <w:sz w:val="19"/>
              </w:rPr>
              <w:t>s. 153(1) and (2)</w:t>
            </w:r>
          </w:p>
        </w:tc>
        <w:tc>
          <w:tcPr>
            <w:tcW w:w="1104" w:type="dxa"/>
            <w:gridSpan w:val="2"/>
          </w:tcPr>
          <w:p>
            <w:pPr>
              <w:pStyle w:val="nTable"/>
              <w:spacing w:after="40"/>
              <w:rPr>
                <w:sz w:val="19"/>
              </w:rPr>
            </w:pPr>
            <w:r>
              <w:rPr>
                <w:sz w:val="19"/>
              </w:rPr>
              <w:t>81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14 Nov 1996 (see s. 2(1))</w:t>
            </w:r>
          </w:p>
        </w:tc>
      </w:tr>
      <w:tr>
        <w:trPr>
          <w:cantSplit/>
        </w:trPr>
        <w:tc>
          <w:tcPr>
            <w:tcW w:w="2184"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w:t>
            </w:r>
            <w:del w:id="4048" w:author="svcMRProcess" w:date="2020-02-20T23:16:00Z">
              <w:r>
                <w:rPr>
                  <w:sz w:val="19"/>
                  <w:vertAlign w:val="superscript"/>
                </w:rPr>
                <w:delText>26-29</w:delText>
              </w:r>
            </w:del>
            <w:ins w:id="4049" w:author="svcMRProcess" w:date="2020-02-20T23:16:00Z">
              <w:r>
                <w:rPr>
                  <w:sz w:val="19"/>
                  <w:vertAlign w:val="superscript"/>
                </w:rPr>
                <w:t>23-25</w:t>
              </w:r>
            </w:ins>
          </w:p>
        </w:tc>
        <w:tc>
          <w:tcPr>
            <w:tcW w:w="1104" w:type="dxa"/>
            <w:gridSpan w:val="2"/>
          </w:tcPr>
          <w:p>
            <w:pPr>
              <w:pStyle w:val="nTable"/>
              <w:spacing w:after="40"/>
              <w:rPr>
                <w:sz w:val="19"/>
              </w:rPr>
            </w:pPr>
            <w:r>
              <w:rPr>
                <w:sz w:val="19"/>
              </w:rPr>
              <w:t>13 of 1997</w:t>
            </w:r>
          </w:p>
        </w:tc>
        <w:tc>
          <w:tcPr>
            <w:tcW w:w="1151" w:type="dxa"/>
            <w:gridSpan w:val="2"/>
          </w:tcPr>
          <w:p>
            <w:pPr>
              <w:pStyle w:val="nTable"/>
              <w:spacing w:after="40"/>
              <w:rPr>
                <w:sz w:val="19"/>
              </w:rPr>
            </w:pPr>
            <w:r>
              <w:rPr>
                <w:sz w:val="19"/>
              </w:rPr>
              <w:t>25 Jun 1997</w:t>
            </w:r>
          </w:p>
        </w:tc>
        <w:tc>
          <w:tcPr>
            <w:tcW w:w="2546" w:type="dxa"/>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cantSplit/>
        </w:trPr>
        <w:tc>
          <w:tcPr>
            <w:tcW w:w="2184" w:type="dxa"/>
          </w:tcPr>
          <w:p>
            <w:pPr>
              <w:pStyle w:val="nTable"/>
              <w:spacing w:after="40"/>
              <w:ind w:right="113"/>
              <w:rPr>
                <w:sz w:val="19"/>
              </w:rPr>
            </w:pPr>
            <w:r>
              <w:rPr>
                <w:i/>
                <w:sz w:val="19"/>
              </w:rPr>
              <w:t xml:space="preserve">Acts Amendment (Land Administration) Act 1997 </w:t>
            </w:r>
            <w:r>
              <w:rPr>
                <w:sz w:val="19"/>
              </w:rPr>
              <w:t>Pt. 55 and s. 141</w:t>
            </w:r>
          </w:p>
        </w:tc>
        <w:tc>
          <w:tcPr>
            <w:tcW w:w="1104" w:type="dxa"/>
            <w:gridSpan w:val="2"/>
          </w:tcPr>
          <w:p>
            <w:pPr>
              <w:pStyle w:val="nTable"/>
              <w:spacing w:after="40"/>
              <w:rPr>
                <w:sz w:val="19"/>
              </w:rPr>
            </w:pPr>
            <w:r>
              <w:rPr>
                <w:sz w:val="19"/>
              </w:rPr>
              <w:t>31 of 1997</w:t>
            </w:r>
          </w:p>
        </w:tc>
        <w:tc>
          <w:tcPr>
            <w:tcW w:w="1151" w:type="dxa"/>
            <w:gridSpan w:val="2"/>
          </w:tcPr>
          <w:p>
            <w:pPr>
              <w:pStyle w:val="nTable"/>
              <w:spacing w:after="40"/>
              <w:rPr>
                <w:sz w:val="19"/>
              </w:rPr>
            </w:pPr>
            <w:r>
              <w:rPr>
                <w:sz w:val="19"/>
              </w:rPr>
              <w:t>3 Oct 1997</w:t>
            </w:r>
          </w:p>
        </w:tc>
        <w:tc>
          <w:tcPr>
            <w:tcW w:w="2546"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184" w:type="dxa"/>
          </w:tcPr>
          <w:p>
            <w:pPr>
              <w:pStyle w:val="nTable"/>
              <w:spacing w:after="40"/>
              <w:ind w:right="113"/>
              <w:rPr>
                <w:sz w:val="19"/>
              </w:rPr>
            </w:pPr>
            <w:r>
              <w:rPr>
                <w:i/>
                <w:sz w:val="19"/>
              </w:rPr>
              <w:t xml:space="preserve">Acts Amendment and Repeal (Family Court) Act 1997 </w:t>
            </w:r>
            <w:r>
              <w:rPr>
                <w:sz w:val="19"/>
              </w:rPr>
              <w:t>s. 37</w:t>
            </w:r>
          </w:p>
        </w:tc>
        <w:tc>
          <w:tcPr>
            <w:tcW w:w="1104" w:type="dxa"/>
            <w:gridSpan w:val="2"/>
          </w:tcPr>
          <w:p>
            <w:pPr>
              <w:pStyle w:val="nTable"/>
              <w:spacing w:after="40"/>
              <w:rPr>
                <w:sz w:val="19"/>
              </w:rPr>
            </w:pPr>
            <w:r>
              <w:rPr>
                <w:sz w:val="19"/>
              </w:rPr>
              <w:t>41 of 1997</w:t>
            </w:r>
          </w:p>
        </w:tc>
        <w:tc>
          <w:tcPr>
            <w:tcW w:w="1151" w:type="dxa"/>
            <w:gridSpan w:val="2"/>
          </w:tcPr>
          <w:p>
            <w:pPr>
              <w:pStyle w:val="nTable"/>
              <w:spacing w:after="40"/>
              <w:rPr>
                <w:sz w:val="19"/>
              </w:rPr>
            </w:pPr>
            <w:r>
              <w:rPr>
                <w:sz w:val="19"/>
              </w:rPr>
              <w:t>9 Dec 1997</w:t>
            </w:r>
          </w:p>
        </w:tc>
        <w:tc>
          <w:tcPr>
            <w:tcW w:w="2546" w:type="dxa"/>
          </w:tcPr>
          <w:p>
            <w:pPr>
              <w:pStyle w:val="nTable"/>
              <w:spacing w:after="40"/>
              <w:rPr>
                <w:sz w:val="19"/>
              </w:rPr>
            </w:pPr>
            <w:r>
              <w:rPr>
                <w:sz w:val="19"/>
              </w:rPr>
              <w:t>26 Sep 1998 (see s. 2)</w:t>
            </w:r>
          </w:p>
        </w:tc>
      </w:tr>
      <w:tr>
        <w:trPr>
          <w:cantSplit/>
        </w:trPr>
        <w:tc>
          <w:tcPr>
            <w:tcW w:w="2184" w:type="dxa"/>
          </w:tcPr>
          <w:p>
            <w:pPr>
              <w:pStyle w:val="nTable"/>
              <w:spacing w:after="40"/>
              <w:ind w:right="113"/>
              <w:rPr>
                <w:sz w:val="19"/>
              </w:rPr>
            </w:pPr>
            <w:r>
              <w:rPr>
                <w:i/>
                <w:sz w:val="19"/>
              </w:rPr>
              <w:t xml:space="preserve">Revenue Laws Amendment (Assessment) Act (No. 2) 1997 </w:t>
            </w:r>
            <w:r>
              <w:rPr>
                <w:sz w:val="19"/>
              </w:rPr>
              <w:t>Pt. 3</w:t>
            </w:r>
          </w:p>
        </w:tc>
        <w:tc>
          <w:tcPr>
            <w:tcW w:w="1104" w:type="dxa"/>
            <w:gridSpan w:val="2"/>
          </w:tcPr>
          <w:p>
            <w:pPr>
              <w:pStyle w:val="nTable"/>
              <w:spacing w:after="40"/>
              <w:rPr>
                <w:sz w:val="19"/>
              </w:rPr>
            </w:pPr>
            <w:r>
              <w:rPr>
                <w:sz w:val="19"/>
              </w:rPr>
              <w:t>51 of 1997</w:t>
            </w:r>
          </w:p>
        </w:tc>
        <w:tc>
          <w:tcPr>
            <w:tcW w:w="1151" w:type="dxa"/>
            <w:gridSpan w:val="2"/>
          </w:tcPr>
          <w:p>
            <w:pPr>
              <w:pStyle w:val="nTable"/>
              <w:spacing w:after="40"/>
              <w:rPr>
                <w:sz w:val="19"/>
              </w:rPr>
            </w:pPr>
            <w:r>
              <w:rPr>
                <w:sz w:val="19"/>
              </w:rPr>
              <w:t>12 Dec 1997</w:t>
            </w:r>
          </w:p>
        </w:tc>
        <w:tc>
          <w:tcPr>
            <w:tcW w:w="2546" w:type="dxa"/>
          </w:tcPr>
          <w:p>
            <w:pPr>
              <w:pStyle w:val="nTable"/>
              <w:spacing w:after="40"/>
              <w:rPr>
                <w:sz w:val="19"/>
              </w:rPr>
            </w:pPr>
            <w:r>
              <w:rPr>
                <w:sz w:val="19"/>
              </w:rPr>
              <w:t>12 Dec 1997 (see s. 2)</w:t>
            </w:r>
          </w:p>
        </w:tc>
      </w:tr>
      <w:tr>
        <w:trPr>
          <w:cantSplit/>
        </w:trPr>
        <w:tc>
          <w:tcPr>
            <w:tcW w:w="2184" w:type="dxa"/>
          </w:tcPr>
          <w:p>
            <w:pPr>
              <w:pStyle w:val="nTable"/>
              <w:spacing w:after="40"/>
              <w:ind w:right="113"/>
              <w:rPr>
                <w:sz w:val="19"/>
              </w:rPr>
            </w:pPr>
            <w:r>
              <w:rPr>
                <w:i/>
                <w:sz w:val="19"/>
              </w:rPr>
              <w:t xml:space="preserve">Statutes (Repeals and Minor Amendments) Act 1997 </w:t>
            </w:r>
            <w:r>
              <w:rPr>
                <w:sz w:val="19"/>
              </w:rPr>
              <w:t>s. 113</w:t>
            </w:r>
          </w:p>
        </w:tc>
        <w:tc>
          <w:tcPr>
            <w:tcW w:w="1104" w:type="dxa"/>
            <w:gridSpan w:val="2"/>
          </w:tcPr>
          <w:p>
            <w:pPr>
              <w:pStyle w:val="nTable"/>
              <w:spacing w:after="40"/>
              <w:rPr>
                <w:sz w:val="19"/>
              </w:rPr>
            </w:pPr>
            <w:r>
              <w:rPr>
                <w:sz w:val="19"/>
              </w:rPr>
              <w:t>57 of 1997</w:t>
            </w:r>
          </w:p>
        </w:tc>
        <w:tc>
          <w:tcPr>
            <w:tcW w:w="1151" w:type="dxa"/>
            <w:gridSpan w:val="2"/>
          </w:tcPr>
          <w:p>
            <w:pPr>
              <w:pStyle w:val="nTable"/>
              <w:spacing w:after="40"/>
              <w:rPr>
                <w:sz w:val="19"/>
              </w:rPr>
            </w:pPr>
            <w:r>
              <w:rPr>
                <w:sz w:val="19"/>
              </w:rPr>
              <w:t>15 Dec 1997</w:t>
            </w:r>
          </w:p>
        </w:tc>
        <w:tc>
          <w:tcPr>
            <w:tcW w:w="2546" w:type="dxa"/>
          </w:tcPr>
          <w:p>
            <w:pPr>
              <w:pStyle w:val="nTable"/>
              <w:spacing w:after="40"/>
              <w:rPr>
                <w:sz w:val="19"/>
              </w:rPr>
            </w:pPr>
            <w:r>
              <w:rPr>
                <w:sz w:val="19"/>
              </w:rPr>
              <w:t>15 Dec 1997 (see s. 2(1))</w:t>
            </w:r>
          </w:p>
        </w:tc>
      </w:tr>
      <w:tr>
        <w:trPr>
          <w:cantSplit/>
        </w:trPr>
        <w:tc>
          <w:tcPr>
            <w:tcW w:w="2184" w:type="dxa"/>
          </w:tcPr>
          <w:p>
            <w:pPr>
              <w:pStyle w:val="nTable"/>
              <w:spacing w:after="40"/>
              <w:ind w:right="113"/>
              <w:rPr>
                <w:sz w:val="19"/>
                <w:vertAlign w:val="superscript"/>
              </w:rPr>
            </w:pPr>
            <w:r>
              <w:rPr>
                <w:i/>
                <w:sz w:val="19"/>
              </w:rPr>
              <w:t xml:space="preserve">Revenue Laws Amendment (Taxation) Act 1998 </w:t>
            </w:r>
            <w:r>
              <w:rPr>
                <w:sz w:val="19"/>
              </w:rPr>
              <w:t>Pt. 3 </w:t>
            </w:r>
            <w:del w:id="4050" w:author="svcMRProcess" w:date="2020-02-20T23:16:00Z">
              <w:r>
                <w:rPr>
                  <w:sz w:val="19"/>
                  <w:vertAlign w:val="superscript"/>
                </w:rPr>
                <w:delText>30, 31</w:delText>
              </w:r>
            </w:del>
            <w:ins w:id="4051" w:author="svcMRProcess" w:date="2020-02-20T23:16:00Z">
              <w:r>
                <w:rPr>
                  <w:sz w:val="19"/>
                  <w:vertAlign w:val="superscript"/>
                </w:rPr>
                <w:t>26, 27</w:t>
              </w:r>
            </w:ins>
          </w:p>
        </w:tc>
        <w:tc>
          <w:tcPr>
            <w:tcW w:w="1104" w:type="dxa"/>
            <w:gridSpan w:val="2"/>
          </w:tcPr>
          <w:p>
            <w:pPr>
              <w:pStyle w:val="nTable"/>
              <w:spacing w:after="40"/>
              <w:rPr>
                <w:sz w:val="19"/>
              </w:rPr>
            </w:pPr>
            <w:r>
              <w:rPr>
                <w:sz w:val="19"/>
              </w:rPr>
              <w:t>18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1 Jul 1998 (see s. 2(2) and also take note of s. 2(4) and (5))</w:t>
            </w:r>
          </w:p>
        </w:tc>
      </w:tr>
      <w:tr>
        <w:trPr>
          <w:cantSplit/>
        </w:trPr>
        <w:tc>
          <w:tcPr>
            <w:tcW w:w="2184" w:type="dxa"/>
          </w:tcPr>
          <w:p>
            <w:pPr>
              <w:pStyle w:val="nTable"/>
              <w:spacing w:after="40"/>
              <w:ind w:right="113"/>
              <w:rPr>
                <w:sz w:val="19"/>
              </w:rPr>
            </w:pPr>
            <w:r>
              <w:rPr>
                <w:i/>
                <w:sz w:val="19"/>
              </w:rPr>
              <w:t>Revenue Laws Amendment (Assessment) Act 1998</w:t>
            </w:r>
            <w:r>
              <w:rPr>
                <w:sz w:val="19"/>
              </w:rPr>
              <w:t xml:space="preserve"> Pt. 5, Pt. 6 Div.</w:t>
            </w:r>
            <w:del w:id="4052" w:author="svcMRProcess" w:date="2020-02-20T23:16:00Z">
              <w:r>
                <w:rPr>
                  <w:sz w:val="19"/>
                </w:rPr>
                <w:delText xml:space="preserve"> </w:delText>
              </w:r>
            </w:del>
            <w:ins w:id="4053" w:author="svcMRProcess" w:date="2020-02-20T23:16:00Z">
              <w:r>
                <w:rPr>
                  <w:sz w:val="19"/>
                </w:rPr>
                <w:t> </w:t>
              </w:r>
            </w:ins>
            <w:r>
              <w:rPr>
                <w:sz w:val="19"/>
              </w:rPr>
              <w:t>4 and Pt. 7</w:t>
            </w:r>
          </w:p>
        </w:tc>
        <w:tc>
          <w:tcPr>
            <w:tcW w:w="1104" w:type="dxa"/>
            <w:gridSpan w:val="2"/>
          </w:tcPr>
          <w:p>
            <w:pPr>
              <w:pStyle w:val="nTable"/>
              <w:spacing w:after="40"/>
              <w:rPr>
                <w:sz w:val="19"/>
              </w:rPr>
            </w:pPr>
            <w:r>
              <w:rPr>
                <w:sz w:val="19"/>
              </w:rPr>
              <w:t>22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cantSplit/>
        </w:trPr>
        <w:tc>
          <w:tcPr>
            <w:tcW w:w="2184" w:type="dxa"/>
          </w:tcPr>
          <w:p>
            <w:pPr>
              <w:pStyle w:val="nTable"/>
              <w:spacing w:after="40"/>
              <w:ind w:right="113"/>
              <w:rPr>
                <w:sz w:val="19"/>
              </w:rPr>
            </w:pPr>
            <w:r>
              <w:rPr>
                <w:i/>
                <w:sz w:val="19"/>
              </w:rPr>
              <w:t xml:space="preserve">Revenue Laws Amendment (Assessment) Act (No. 2) 1998 </w:t>
            </w:r>
            <w:r>
              <w:rPr>
                <w:sz w:val="19"/>
              </w:rPr>
              <w:t>Pt. 3</w:t>
            </w:r>
          </w:p>
        </w:tc>
        <w:tc>
          <w:tcPr>
            <w:tcW w:w="1104" w:type="dxa"/>
            <w:gridSpan w:val="2"/>
          </w:tcPr>
          <w:p>
            <w:pPr>
              <w:pStyle w:val="nTable"/>
              <w:spacing w:after="40"/>
              <w:rPr>
                <w:sz w:val="19"/>
              </w:rPr>
            </w:pPr>
            <w:r>
              <w:rPr>
                <w:sz w:val="19"/>
              </w:rPr>
              <w:t>58 of 1998</w:t>
            </w:r>
          </w:p>
        </w:tc>
        <w:tc>
          <w:tcPr>
            <w:tcW w:w="1151" w:type="dxa"/>
            <w:gridSpan w:val="2"/>
          </w:tcPr>
          <w:p>
            <w:pPr>
              <w:pStyle w:val="nTable"/>
              <w:spacing w:after="40"/>
              <w:rPr>
                <w:sz w:val="19"/>
              </w:rPr>
            </w:pPr>
            <w:r>
              <w:rPr>
                <w:sz w:val="19"/>
              </w:rPr>
              <w:t>18 Dec 1998</w:t>
            </w:r>
          </w:p>
        </w:tc>
        <w:tc>
          <w:tcPr>
            <w:tcW w:w="2546" w:type="dxa"/>
          </w:tcPr>
          <w:p>
            <w:pPr>
              <w:pStyle w:val="nTable"/>
              <w:spacing w:after="40"/>
              <w:rPr>
                <w:sz w:val="19"/>
              </w:rPr>
            </w:pPr>
            <w:r>
              <w:rPr>
                <w:sz w:val="19"/>
              </w:rPr>
              <w:t>s. 8: 30 Mar 1998 (see s. 2(2));</w:t>
            </w:r>
            <w:r>
              <w:rPr>
                <w:sz w:val="19"/>
              </w:rPr>
              <w:br/>
              <w:t>balance: 18 Dec 1998 (see s. 2(1))</w:t>
            </w:r>
          </w:p>
        </w:tc>
      </w:tr>
      <w:tr>
        <w:trPr>
          <w:cantSplit/>
        </w:trPr>
        <w:tc>
          <w:tcPr>
            <w:tcW w:w="2184" w:type="dxa"/>
          </w:tcPr>
          <w:p>
            <w:pPr>
              <w:pStyle w:val="nTable"/>
              <w:spacing w:after="40"/>
              <w:ind w:right="113"/>
              <w:rPr>
                <w:sz w:val="19"/>
              </w:rPr>
            </w:pPr>
            <w:r>
              <w:rPr>
                <w:i/>
                <w:sz w:val="19"/>
              </w:rPr>
              <w:t xml:space="preserve">Friendly Societies (Western Australia) Act 1999 </w:t>
            </w:r>
            <w:r>
              <w:rPr>
                <w:sz w:val="19"/>
              </w:rPr>
              <w:t>s. 23</w:t>
            </w:r>
          </w:p>
        </w:tc>
        <w:tc>
          <w:tcPr>
            <w:tcW w:w="1104" w:type="dxa"/>
            <w:gridSpan w:val="2"/>
          </w:tcPr>
          <w:p>
            <w:pPr>
              <w:pStyle w:val="nTable"/>
              <w:spacing w:after="40"/>
              <w:rPr>
                <w:sz w:val="19"/>
              </w:rPr>
            </w:pPr>
            <w:r>
              <w:rPr>
                <w:sz w:val="19"/>
              </w:rPr>
              <w:t>2 of 1999</w:t>
            </w:r>
          </w:p>
        </w:tc>
        <w:tc>
          <w:tcPr>
            <w:tcW w:w="1151" w:type="dxa"/>
            <w:gridSpan w:val="2"/>
          </w:tcPr>
          <w:p>
            <w:pPr>
              <w:pStyle w:val="nTable"/>
              <w:spacing w:after="40"/>
              <w:rPr>
                <w:sz w:val="19"/>
              </w:rPr>
            </w:pPr>
            <w:r>
              <w:rPr>
                <w:sz w:val="19"/>
              </w:rPr>
              <w:t>25 Mar 1999</w:t>
            </w:r>
          </w:p>
        </w:tc>
        <w:tc>
          <w:tcPr>
            <w:tcW w:w="2546"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184" w:type="dxa"/>
          </w:tcPr>
          <w:p>
            <w:pPr>
              <w:pStyle w:val="nTable"/>
              <w:spacing w:after="40"/>
              <w:ind w:right="113"/>
              <w:rPr>
                <w:sz w:val="19"/>
              </w:rPr>
            </w:pPr>
            <w:r>
              <w:rPr>
                <w:i/>
                <w:sz w:val="19"/>
              </w:rPr>
              <w:t xml:space="preserve">Revenue Laws Amendment (Assessment) Act 1999 </w:t>
            </w:r>
            <w:r>
              <w:rPr>
                <w:sz w:val="19"/>
              </w:rPr>
              <w:t>Pt. 2</w:t>
            </w:r>
          </w:p>
        </w:tc>
        <w:tc>
          <w:tcPr>
            <w:tcW w:w="1104" w:type="dxa"/>
            <w:gridSpan w:val="2"/>
          </w:tcPr>
          <w:p>
            <w:pPr>
              <w:pStyle w:val="nTable"/>
              <w:keepNext/>
              <w:keepLines/>
              <w:spacing w:after="40"/>
              <w:rPr>
                <w:sz w:val="19"/>
              </w:rPr>
            </w:pPr>
            <w:r>
              <w:rPr>
                <w:sz w:val="19"/>
              </w:rPr>
              <w:t>24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184" w:type="dxa"/>
          </w:tcPr>
          <w:p>
            <w:pPr>
              <w:pStyle w:val="nTable"/>
              <w:spacing w:after="40"/>
              <w:ind w:right="113"/>
              <w:rPr>
                <w:sz w:val="19"/>
                <w:lang w:val="en-US"/>
              </w:rPr>
            </w:pPr>
            <w:r>
              <w:rPr>
                <w:i/>
                <w:sz w:val="19"/>
              </w:rPr>
              <w:t xml:space="preserve">Revenue Laws Amendment (Taxation) Act 1999 </w:t>
            </w:r>
            <w:r>
              <w:rPr>
                <w:sz w:val="19"/>
                <w:lang w:val="en-US"/>
              </w:rPr>
              <w:t>Pt. 3 </w:t>
            </w:r>
            <w:del w:id="4054" w:author="svcMRProcess" w:date="2020-02-20T23:16:00Z">
              <w:r>
                <w:rPr>
                  <w:sz w:val="19"/>
                  <w:vertAlign w:val="superscript"/>
                  <w:lang w:val="en-US"/>
                </w:rPr>
                <w:delText>32</w:delText>
              </w:r>
            </w:del>
            <w:ins w:id="4055" w:author="svcMRProcess" w:date="2020-02-20T23:16:00Z">
              <w:r>
                <w:rPr>
                  <w:sz w:val="19"/>
                  <w:vertAlign w:val="superscript"/>
                  <w:lang w:val="en-US"/>
                </w:rPr>
                <w:t>28</w:t>
              </w:r>
            </w:ins>
          </w:p>
        </w:tc>
        <w:tc>
          <w:tcPr>
            <w:tcW w:w="1104" w:type="dxa"/>
            <w:gridSpan w:val="2"/>
          </w:tcPr>
          <w:p>
            <w:pPr>
              <w:pStyle w:val="nTable"/>
              <w:keepNext/>
              <w:keepLines/>
              <w:spacing w:after="40"/>
              <w:rPr>
                <w:sz w:val="19"/>
              </w:rPr>
            </w:pPr>
            <w:r>
              <w:rPr>
                <w:sz w:val="19"/>
              </w:rPr>
              <w:t>25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1 Jul 1999 (see s. 2(4))</w:t>
            </w:r>
          </w:p>
        </w:tc>
      </w:tr>
      <w:tr>
        <w:trPr>
          <w:cantSplit/>
        </w:trPr>
        <w:tc>
          <w:tcPr>
            <w:tcW w:w="2184" w:type="dxa"/>
          </w:tcPr>
          <w:p>
            <w:pPr>
              <w:pStyle w:val="nTable"/>
              <w:spacing w:after="40"/>
              <w:ind w:right="113"/>
              <w:rPr>
                <w:sz w:val="19"/>
              </w:rPr>
            </w:pPr>
            <w:r>
              <w:rPr>
                <w:i/>
                <w:sz w:val="19"/>
              </w:rPr>
              <w:t xml:space="preserve">Acts Amendment and Repeal (Financial Sector Reform) Act 1999 </w:t>
            </w:r>
            <w:r>
              <w:rPr>
                <w:sz w:val="19"/>
              </w:rPr>
              <w:t>s. 103</w:t>
            </w:r>
          </w:p>
        </w:tc>
        <w:tc>
          <w:tcPr>
            <w:tcW w:w="1104" w:type="dxa"/>
            <w:gridSpan w:val="2"/>
          </w:tcPr>
          <w:p>
            <w:pPr>
              <w:pStyle w:val="nTable"/>
              <w:keepNext/>
              <w:keepLines/>
              <w:spacing w:after="40"/>
              <w:rPr>
                <w:sz w:val="19"/>
              </w:rPr>
            </w:pPr>
            <w:r>
              <w:rPr>
                <w:sz w:val="19"/>
              </w:rPr>
              <w:t>26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184" w:type="dxa"/>
          </w:tcPr>
          <w:p>
            <w:pPr>
              <w:pStyle w:val="nTable"/>
              <w:spacing w:after="40"/>
              <w:ind w:right="113"/>
              <w:rPr>
                <w:sz w:val="19"/>
              </w:rPr>
            </w:pPr>
            <w:r>
              <w:rPr>
                <w:i/>
                <w:sz w:val="19"/>
              </w:rPr>
              <w:t xml:space="preserve">Financial Relations Agreement (Consequential Provisions) Act 1999 </w:t>
            </w:r>
            <w:r>
              <w:rPr>
                <w:sz w:val="19"/>
              </w:rPr>
              <w:t>Pt. 5 </w:t>
            </w:r>
            <w:del w:id="4056" w:author="svcMRProcess" w:date="2020-02-20T23:16:00Z">
              <w:r>
                <w:rPr>
                  <w:sz w:val="19"/>
                  <w:vertAlign w:val="superscript"/>
                </w:rPr>
                <w:delText>33</w:delText>
              </w:r>
            </w:del>
            <w:ins w:id="4057" w:author="svcMRProcess" w:date="2020-02-20T23:16:00Z">
              <w:r>
                <w:rPr>
                  <w:sz w:val="19"/>
                  <w:vertAlign w:val="superscript"/>
                </w:rPr>
                <w:t>29</w:t>
              </w:r>
            </w:ins>
          </w:p>
        </w:tc>
        <w:tc>
          <w:tcPr>
            <w:tcW w:w="1104" w:type="dxa"/>
            <w:gridSpan w:val="2"/>
          </w:tcPr>
          <w:p>
            <w:pPr>
              <w:pStyle w:val="nTable"/>
              <w:spacing w:after="40"/>
              <w:rPr>
                <w:sz w:val="19"/>
              </w:rPr>
            </w:pPr>
            <w:r>
              <w:rPr>
                <w:sz w:val="19"/>
              </w:rPr>
              <w:t>53 of 1999</w:t>
            </w:r>
          </w:p>
        </w:tc>
        <w:tc>
          <w:tcPr>
            <w:tcW w:w="1151" w:type="dxa"/>
            <w:gridSpan w:val="2"/>
          </w:tcPr>
          <w:p>
            <w:pPr>
              <w:pStyle w:val="nTable"/>
              <w:spacing w:after="40"/>
              <w:rPr>
                <w:sz w:val="19"/>
              </w:rPr>
            </w:pPr>
            <w:r>
              <w:rPr>
                <w:sz w:val="19"/>
              </w:rPr>
              <w:t>13 Dec 1999</w:t>
            </w:r>
          </w:p>
        </w:tc>
        <w:tc>
          <w:tcPr>
            <w:tcW w:w="2546"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184"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w:t>
            </w:r>
            <w:del w:id="4058" w:author="svcMRProcess" w:date="2020-02-20T23:16:00Z">
              <w:r>
                <w:rPr>
                  <w:sz w:val="19"/>
                  <w:vertAlign w:val="superscript"/>
                </w:rPr>
                <w:delText>34</w:delText>
              </w:r>
            </w:del>
            <w:ins w:id="4059" w:author="svcMRProcess" w:date="2020-02-20T23:16:00Z">
              <w:r>
                <w:rPr>
                  <w:sz w:val="19"/>
                  <w:vertAlign w:val="superscript"/>
                </w:rPr>
                <w:t>30</w:t>
              </w:r>
            </w:ins>
          </w:p>
        </w:tc>
        <w:tc>
          <w:tcPr>
            <w:tcW w:w="1104" w:type="dxa"/>
            <w:gridSpan w:val="2"/>
          </w:tcPr>
          <w:p>
            <w:pPr>
              <w:pStyle w:val="nTable"/>
              <w:spacing w:after="40"/>
              <w:rPr>
                <w:sz w:val="19"/>
              </w:rPr>
            </w:pPr>
            <w:r>
              <w:rPr>
                <w:sz w:val="19"/>
              </w:rPr>
              <w:t>6 of 2000</w:t>
            </w:r>
            <w:r>
              <w:rPr>
                <w:sz w:val="19"/>
              </w:rPr>
              <w:br/>
              <w:t>(as amended by No. 45 of 2002 s. 6)</w:t>
            </w:r>
          </w:p>
        </w:tc>
        <w:tc>
          <w:tcPr>
            <w:tcW w:w="1151" w:type="dxa"/>
            <w:gridSpan w:val="2"/>
          </w:tcPr>
          <w:p>
            <w:pPr>
              <w:pStyle w:val="nTable"/>
              <w:spacing w:after="40"/>
              <w:rPr>
                <w:sz w:val="19"/>
              </w:rPr>
            </w:pPr>
            <w:r>
              <w:rPr>
                <w:sz w:val="19"/>
              </w:rPr>
              <w:t>11 Apr 2000</w:t>
            </w:r>
          </w:p>
        </w:tc>
        <w:tc>
          <w:tcPr>
            <w:tcW w:w="2546"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184" w:type="dxa"/>
          </w:tcPr>
          <w:p>
            <w:pPr>
              <w:pStyle w:val="nTable"/>
              <w:spacing w:after="40"/>
              <w:ind w:right="113"/>
              <w:rPr>
                <w:i/>
                <w:sz w:val="19"/>
              </w:rPr>
            </w:pPr>
            <w:r>
              <w:rPr>
                <w:i/>
                <w:sz w:val="19"/>
              </w:rPr>
              <w:t>Stamp Amendment Act 2000</w:t>
            </w:r>
          </w:p>
        </w:tc>
        <w:tc>
          <w:tcPr>
            <w:tcW w:w="1104" w:type="dxa"/>
            <w:gridSpan w:val="2"/>
          </w:tcPr>
          <w:p>
            <w:pPr>
              <w:pStyle w:val="nTable"/>
              <w:spacing w:after="40"/>
              <w:rPr>
                <w:sz w:val="19"/>
              </w:rPr>
            </w:pPr>
            <w:r>
              <w:rPr>
                <w:sz w:val="19"/>
              </w:rPr>
              <w:t>28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w:t>
            </w:r>
          </w:p>
        </w:tc>
      </w:tr>
      <w:tr>
        <w:trPr>
          <w:cantSplit/>
        </w:trPr>
        <w:tc>
          <w:tcPr>
            <w:tcW w:w="2184"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w:t>
            </w:r>
            <w:del w:id="4060" w:author="svcMRProcess" w:date="2020-02-20T23:16:00Z">
              <w:r>
                <w:rPr>
                  <w:sz w:val="19"/>
                  <w:vertAlign w:val="superscript"/>
                </w:rPr>
                <w:delText>35, 36</w:delText>
              </w:r>
            </w:del>
            <w:ins w:id="4061" w:author="svcMRProcess" w:date="2020-02-20T23:16:00Z">
              <w:r>
                <w:rPr>
                  <w:sz w:val="19"/>
                  <w:vertAlign w:val="superscript"/>
                </w:rPr>
                <w:t>31, 32</w:t>
              </w:r>
            </w:ins>
          </w:p>
        </w:tc>
        <w:tc>
          <w:tcPr>
            <w:tcW w:w="1104" w:type="dxa"/>
            <w:gridSpan w:val="2"/>
          </w:tcPr>
          <w:p>
            <w:pPr>
              <w:pStyle w:val="nTable"/>
              <w:spacing w:after="40"/>
              <w:rPr>
                <w:sz w:val="19"/>
              </w:rPr>
            </w:pPr>
            <w:r>
              <w:rPr>
                <w:sz w:val="19"/>
              </w:rPr>
              <w:t>29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2(1))</w:t>
            </w:r>
          </w:p>
        </w:tc>
      </w:tr>
      <w:tr>
        <w:trPr>
          <w:cantSplit/>
        </w:trPr>
        <w:tc>
          <w:tcPr>
            <w:tcW w:w="2184" w:type="dxa"/>
          </w:tcPr>
          <w:p>
            <w:pPr>
              <w:pStyle w:val="nTable"/>
              <w:spacing w:after="40"/>
              <w:ind w:right="113"/>
              <w:rPr>
                <w:i/>
                <w:sz w:val="19"/>
                <w:vertAlign w:val="superscript"/>
              </w:rPr>
            </w:pPr>
            <w:r>
              <w:rPr>
                <w:i/>
                <w:sz w:val="19"/>
              </w:rPr>
              <w:t>Stamp Amendment Act (No. 3) 2000</w:t>
            </w:r>
            <w:r>
              <w:rPr>
                <w:i/>
                <w:sz w:val="19"/>
                <w:vertAlign w:val="superscript"/>
              </w:rPr>
              <w:t> </w:t>
            </w:r>
            <w:del w:id="4062" w:author="svcMRProcess" w:date="2020-02-20T23:16:00Z">
              <w:r>
                <w:rPr>
                  <w:sz w:val="19"/>
                  <w:vertAlign w:val="superscript"/>
                </w:rPr>
                <w:delText>37</w:delText>
              </w:r>
            </w:del>
            <w:ins w:id="4063" w:author="svcMRProcess" w:date="2020-02-20T23:16:00Z">
              <w:r>
                <w:rPr>
                  <w:sz w:val="19"/>
                  <w:vertAlign w:val="superscript"/>
                </w:rPr>
                <w:t>33</w:t>
              </w:r>
            </w:ins>
          </w:p>
        </w:tc>
        <w:tc>
          <w:tcPr>
            <w:tcW w:w="1104" w:type="dxa"/>
            <w:gridSpan w:val="2"/>
          </w:tcPr>
          <w:p>
            <w:pPr>
              <w:pStyle w:val="nTable"/>
              <w:spacing w:after="40"/>
              <w:rPr>
                <w:sz w:val="19"/>
              </w:rPr>
            </w:pPr>
            <w:r>
              <w:rPr>
                <w:sz w:val="19"/>
              </w:rPr>
              <w:t>60 of 2000</w:t>
            </w:r>
          </w:p>
        </w:tc>
        <w:tc>
          <w:tcPr>
            <w:tcW w:w="1151" w:type="dxa"/>
            <w:gridSpan w:val="2"/>
          </w:tcPr>
          <w:p>
            <w:pPr>
              <w:pStyle w:val="nTable"/>
              <w:spacing w:after="40"/>
              <w:rPr>
                <w:sz w:val="19"/>
              </w:rPr>
            </w:pPr>
            <w:r>
              <w:rPr>
                <w:sz w:val="19"/>
              </w:rPr>
              <w:t>4 Dec 2000</w:t>
            </w:r>
          </w:p>
        </w:tc>
        <w:tc>
          <w:tcPr>
            <w:tcW w:w="2546" w:type="dxa"/>
          </w:tcPr>
          <w:p>
            <w:pPr>
              <w:pStyle w:val="nTable"/>
              <w:spacing w:after="40"/>
              <w:rPr>
                <w:sz w:val="19"/>
              </w:rPr>
            </w:pPr>
            <w:r>
              <w:rPr>
                <w:sz w:val="19"/>
              </w:rPr>
              <w:t>10 Aug 2000 (see s. 2)</w:t>
            </w:r>
          </w:p>
        </w:tc>
      </w:tr>
      <w:tr>
        <w:trPr>
          <w:cantSplit/>
        </w:trPr>
        <w:tc>
          <w:tcPr>
            <w:tcW w:w="2184" w:type="dxa"/>
          </w:tcPr>
          <w:p>
            <w:pPr>
              <w:pStyle w:val="nTable"/>
              <w:spacing w:after="40"/>
              <w:rPr>
                <w:sz w:val="19"/>
              </w:rPr>
            </w:pPr>
            <w:r>
              <w:rPr>
                <w:i/>
                <w:sz w:val="19"/>
              </w:rPr>
              <w:t xml:space="preserve">Revenue Laws Amendment (Assessment) Act 2001 </w:t>
            </w:r>
            <w:r>
              <w:rPr>
                <w:sz w:val="19"/>
              </w:rPr>
              <w:t>Pt.</w:t>
            </w:r>
            <w:del w:id="4064" w:author="svcMRProcess" w:date="2020-02-20T23:16:00Z">
              <w:r>
                <w:rPr>
                  <w:sz w:val="19"/>
                </w:rPr>
                <w:delText xml:space="preserve"> </w:delText>
              </w:r>
            </w:del>
            <w:ins w:id="4065" w:author="svcMRProcess" w:date="2020-02-20T23:16:00Z">
              <w:r>
                <w:rPr>
                  <w:sz w:val="19"/>
                </w:rPr>
                <w:t> </w:t>
              </w:r>
            </w:ins>
            <w:r>
              <w:rPr>
                <w:sz w:val="19"/>
              </w:rPr>
              <w:t>4</w:t>
            </w:r>
          </w:p>
        </w:tc>
        <w:tc>
          <w:tcPr>
            <w:tcW w:w="1104" w:type="dxa"/>
            <w:gridSpan w:val="2"/>
          </w:tcPr>
          <w:p>
            <w:pPr>
              <w:pStyle w:val="nTable"/>
              <w:spacing w:after="40"/>
              <w:rPr>
                <w:sz w:val="19"/>
              </w:rPr>
            </w:pPr>
            <w:r>
              <w:rPr>
                <w:sz w:val="19"/>
              </w:rPr>
              <w:t>3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 xml:space="preserve">Div. 1 and 2: 26 Jun 2001 </w:t>
            </w:r>
            <w:del w:id="4066" w:author="svcMRProcess" w:date="2020-02-20T23:16:00Z">
              <w:r>
                <w:rPr>
                  <w:sz w:val="19"/>
                </w:rPr>
                <w:br/>
              </w:r>
            </w:del>
            <w:r>
              <w:rPr>
                <w:sz w:val="19"/>
              </w:rPr>
              <w:t>(see</w:t>
            </w:r>
            <w:del w:id="4067" w:author="svcMRProcess" w:date="2020-02-20T23:16:00Z">
              <w:r>
                <w:rPr>
                  <w:sz w:val="19"/>
                </w:rPr>
                <w:delText xml:space="preserve"> </w:delText>
              </w:r>
            </w:del>
            <w:ins w:id="4068" w:author="svcMRProcess" w:date="2020-02-20T23:16:00Z">
              <w:r>
                <w:rPr>
                  <w:sz w:val="19"/>
                </w:rPr>
                <w:t> </w:t>
              </w:r>
            </w:ins>
            <w:r>
              <w:rPr>
                <w:sz w:val="19"/>
              </w:rPr>
              <w:t>s. 2(1));</w:t>
            </w:r>
            <w:r>
              <w:rPr>
                <w:sz w:val="19"/>
              </w:rPr>
              <w:br/>
              <w:t xml:space="preserve">Div. 3: 30 Jun 2001 (see s. 2(4)); </w:t>
            </w:r>
            <w:r>
              <w:rPr>
                <w:sz w:val="19"/>
              </w:rPr>
              <w:br/>
              <w:t>Div. 4: 1 Jul 2001 (see s. 2(6))</w:t>
            </w:r>
          </w:p>
        </w:tc>
      </w:tr>
      <w:tr>
        <w:trPr>
          <w:cantSplit/>
        </w:trPr>
        <w:tc>
          <w:tcPr>
            <w:tcW w:w="2184" w:type="dxa"/>
          </w:tcPr>
          <w:p>
            <w:pPr>
              <w:pStyle w:val="nTable"/>
              <w:spacing w:after="40"/>
              <w:rPr>
                <w:sz w:val="19"/>
              </w:rPr>
            </w:pPr>
            <w:r>
              <w:rPr>
                <w:i/>
                <w:sz w:val="19"/>
              </w:rPr>
              <w:t xml:space="preserve">Revenue Laws Amendment (Taxation) Act 2001 </w:t>
            </w:r>
            <w:r>
              <w:rPr>
                <w:sz w:val="19"/>
              </w:rPr>
              <w:t>Pt. 3</w:t>
            </w:r>
          </w:p>
        </w:tc>
        <w:tc>
          <w:tcPr>
            <w:tcW w:w="1104" w:type="dxa"/>
            <w:gridSpan w:val="2"/>
          </w:tcPr>
          <w:p>
            <w:pPr>
              <w:pStyle w:val="nTable"/>
              <w:spacing w:after="40"/>
              <w:rPr>
                <w:sz w:val="19"/>
              </w:rPr>
            </w:pPr>
            <w:r>
              <w:rPr>
                <w:sz w:val="19"/>
              </w:rPr>
              <w:t>4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30 Jun 2001 (see s. 2(4))</w:t>
            </w:r>
          </w:p>
        </w:tc>
      </w:tr>
      <w:tr>
        <w:trPr>
          <w:cantSplit/>
        </w:trPr>
        <w:tc>
          <w:tcPr>
            <w:tcW w:w="2184" w:type="dxa"/>
          </w:tcPr>
          <w:p>
            <w:pPr>
              <w:pStyle w:val="nTable"/>
              <w:keepLines/>
              <w:spacing w:after="40"/>
              <w:ind w:right="113"/>
              <w:rPr>
                <w:i/>
                <w:sz w:val="19"/>
              </w:rPr>
            </w:pPr>
            <w:r>
              <w:rPr>
                <w:i/>
                <w:sz w:val="19"/>
              </w:rPr>
              <w:t>Corporations (Consequential Amendments) Act 2001</w:t>
            </w:r>
            <w:r>
              <w:rPr>
                <w:sz w:val="19"/>
              </w:rPr>
              <w:t xml:space="preserve"> Pt. 48</w:t>
            </w:r>
          </w:p>
        </w:tc>
        <w:tc>
          <w:tcPr>
            <w:tcW w:w="1104" w:type="dxa"/>
            <w:gridSpan w:val="2"/>
          </w:tcPr>
          <w:p>
            <w:pPr>
              <w:pStyle w:val="nTable"/>
              <w:keepLines/>
              <w:spacing w:after="40"/>
              <w:rPr>
                <w:sz w:val="19"/>
              </w:rPr>
            </w:pPr>
            <w:r>
              <w:rPr>
                <w:sz w:val="19"/>
              </w:rPr>
              <w:t>10 of 2001</w:t>
            </w:r>
          </w:p>
        </w:tc>
        <w:tc>
          <w:tcPr>
            <w:tcW w:w="1151" w:type="dxa"/>
            <w:gridSpan w:val="2"/>
          </w:tcPr>
          <w:p>
            <w:pPr>
              <w:pStyle w:val="nTable"/>
              <w:keepLines/>
              <w:spacing w:after="40"/>
              <w:rPr>
                <w:sz w:val="19"/>
              </w:rPr>
            </w:pPr>
            <w:r>
              <w:rPr>
                <w:sz w:val="19"/>
              </w:rPr>
              <w:t>28 Jun 2001</w:t>
            </w:r>
          </w:p>
        </w:tc>
        <w:tc>
          <w:tcPr>
            <w:tcW w:w="2546"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184" w:type="dxa"/>
          </w:tcPr>
          <w:p>
            <w:pPr>
              <w:pStyle w:val="nTable"/>
              <w:spacing w:after="40"/>
              <w:ind w:right="113"/>
              <w:rPr>
                <w:sz w:val="19"/>
              </w:rPr>
            </w:pPr>
            <w:r>
              <w:rPr>
                <w:i/>
                <w:sz w:val="19"/>
              </w:rPr>
              <w:t xml:space="preserve">Building Societies Amendment Act 2001 </w:t>
            </w:r>
            <w:r>
              <w:rPr>
                <w:sz w:val="19"/>
              </w:rPr>
              <w:t>s. 51</w:t>
            </w:r>
          </w:p>
        </w:tc>
        <w:tc>
          <w:tcPr>
            <w:tcW w:w="1104" w:type="dxa"/>
            <w:gridSpan w:val="2"/>
          </w:tcPr>
          <w:p>
            <w:pPr>
              <w:pStyle w:val="nTable"/>
              <w:spacing w:after="40"/>
              <w:rPr>
                <w:sz w:val="19"/>
              </w:rPr>
            </w:pPr>
            <w:r>
              <w:rPr>
                <w:sz w:val="19"/>
              </w:rPr>
              <w:t>12 of 2001</w:t>
            </w:r>
          </w:p>
        </w:tc>
        <w:tc>
          <w:tcPr>
            <w:tcW w:w="1151" w:type="dxa"/>
            <w:gridSpan w:val="2"/>
          </w:tcPr>
          <w:p>
            <w:pPr>
              <w:pStyle w:val="nTable"/>
              <w:spacing w:after="40"/>
              <w:rPr>
                <w:sz w:val="19"/>
              </w:rPr>
            </w:pPr>
            <w:r>
              <w:rPr>
                <w:sz w:val="19"/>
              </w:rPr>
              <w:t>13 Jul 2001</w:t>
            </w:r>
          </w:p>
        </w:tc>
        <w:tc>
          <w:tcPr>
            <w:tcW w:w="2546" w:type="dxa"/>
          </w:tcPr>
          <w:p>
            <w:pPr>
              <w:pStyle w:val="nTable"/>
              <w:spacing w:after="40"/>
              <w:rPr>
                <w:sz w:val="19"/>
              </w:rPr>
            </w:pPr>
            <w:r>
              <w:rPr>
                <w:sz w:val="19"/>
              </w:rPr>
              <w:t>13 Jul 2001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184" w:type="dxa"/>
          </w:tcPr>
          <w:p>
            <w:pPr>
              <w:pStyle w:val="nTable"/>
              <w:spacing w:after="40"/>
              <w:ind w:right="113"/>
              <w:rPr>
                <w:sz w:val="19"/>
              </w:rPr>
            </w:pPr>
            <w:r>
              <w:rPr>
                <w:i/>
                <w:sz w:val="19"/>
              </w:rPr>
              <w:t>Revenue Laws Amendment (Assessment) Act (No. 2) 2001</w:t>
            </w:r>
            <w:r>
              <w:rPr>
                <w:sz w:val="19"/>
              </w:rPr>
              <w:t xml:space="preserve"> Pt. 5 and 6</w:t>
            </w:r>
          </w:p>
        </w:tc>
        <w:tc>
          <w:tcPr>
            <w:tcW w:w="1104" w:type="dxa"/>
            <w:gridSpan w:val="2"/>
          </w:tcPr>
          <w:p>
            <w:pPr>
              <w:pStyle w:val="nTable"/>
              <w:spacing w:after="40"/>
              <w:rPr>
                <w:sz w:val="19"/>
              </w:rPr>
            </w:pPr>
            <w:r>
              <w:rPr>
                <w:sz w:val="19"/>
              </w:rPr>
              <w:t>36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7 Jan 2002 (see s. 2(1))</w:t>
            </w:r>
          </w:p>
        </w:tc>
      </w:tr>
      <w:tr>
        <w:trPr>
          <w:cantSplit/>
        </w:trPr>
        <w:tc>
          <w:tcPr>
            <w:tcW w:w="2184"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04" w:type="dxa"/>
            <w:gridSpan w:val="2"/>
          </w:tcPr>
          <w:p>
            <w:pPr>
              <w:pStyle w:val="nTable"/>
              <w:spacing w:after="40"/>
              <w:rPr>
                <w:sz w:val="19"/>
              </w:rPr>
            </w:pPr>
            <w:r>
              <w:rPr>
                <w:sz w:val="19"/>
              </w:rPr>
              <w:t>37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184"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04" w:type="dxa"/>
            <w:gridSpan w:val="2"/>
          </w:tcPr>
          <w:p>
            <w:pPr>
              <w:pStyle w:val="nTable"/>
              <w:spacing w:after="40"/>
              <w:rPr>
                <w:sz w:val="19"/>
              </w:rPr>
            </w:pPr>
            <w:r>
              <w:rPr>
                <w:sz w:val="19"/>
              </w:rPr>
              <w:t>7 of 2002</w:t>
            </w:r>
          </w:p>
        </w:tc>
        <w:tc>
          <w:tcPr>
            <w:tcW w:w="1151" w:type="dxa"/>
            <w:gridSpan w:val="2"/>
          </w:tcPr>
          <w:p>
            <w:pPr>
              <w:pStyle w:val="nTable"/>
              <w:spacing w:after="40"/>
              <w:rPr>
                <w:sz w:val="19"/>
              </w:rPr>
            </w:pPr>
            <w:r>
              <w:rPr>
                <w:sz w:val="19"/>
              </w:rPr>
              <w:t>19 Jun 2002</w:t>
            </w:r>
          </w:p>
        </w:tc>
        <w:tc>
          <w:tcPr>
            <w:tcW w:w="254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184" w:type="dxa"/>
          </w:tcPr>
          <w:p>
            <w:pPr>
              <w:pStyle w:val="nTable"/>
              <w:spacing w:after="40"/>
              <w:ind w:right="113"/>
              <w:rPr>
                <w:sz w:val="19"/>
              </w:rPr>
            </w:pPr>
            <w:r>
              <w:rPr>
                <w:i/>
                <w:sz w:val="19"/>
              </w:rPr>
              <w:t>Stamp Amendment (Budget) Act 2002</w:t>
            </w:r>
            <w:r>
              <w:rPr>
                <w:sz w:val="19"/>
              </w:rPr>
              <w:t xml:space="preserve"> </w:t>
            </w:r>
            <w:del w:id="4069" w:author="svcMRProcess" w:date="2020-02-20T23:16:00Z">
              <w:r>
                <w:rPr>
                  <w:sz w:val="19"/>
                  <w:vertAlign w:val="superscript"/>
                </w:rPr>
                <w:delText>38, 39, 40</w:delText>
              </w:r>
            </w:del>
            <w:ins w:id="4070" w:author="svcMRProcess" w:date="2020-02-20T23:16:00Z">
              <w:r>
                <w:rPr>
                  <w:sz w:val="19"/>
                  <w:vertAlign w:val="superscript"/>
                </w:rPr>
                <w:t>34, 35</w:t>
              </w:r>
            </w:ins>
          </w:p>
        </w:tc>
        <w:tc>
          <w:tcPr>
            <w:tcW w:w="1104" w:type="dxa"/>
            <w:gridSpan w:val="2"/>
          </w:tcPr>
          <w:p>
            <w:pPr>
              <w:pStyle w:val="nTable"/>
              <w:spacing w:after="40"/>
              <w:rPr>
                <w:sz w:val="19"/>
              </w:rPr>
            </w:pPr>
            <w:r>
              <w:rPr>
                <w:sz w:val="19"/>
              </w:rPr>
              <w:t>11 of 2002</w:t>
            </w:r>
          </w:p>
        </w:tc>
        <w:tc>
          <w:tcPr>
            <w:tcW w:w="1151" w:type="dxa"/>
            <w:gridSpan w:val="2"/>
          </w:tcPr>
          <w:p>
            <w:pPr>
              <w:pStyle w:val="nTable"/>
              <w:spacing w:after="40"/>
              <w:rPr>
                <w:sz w:val="19"/>
              </w:rPr>
            </w:pPr>
            <w:r>
              <w:rPr>
                <w:sz w:val="19"/>
              </w:rPr>
              <w:t>28 Jun 2002</w:t>
            </w:r>
          </w:p>
        </w:tc>
        <w:tc>
          <w:tcPr>
            <w:tcW w:w="2546" w:type="dxa"/>
          </w:tcPr>
          <w:p>
            <w:pPr>
              <w:pStyle w:val="nTable"/>
              <w:spacing w:after="40"/>
              <w:rPr>
                <w:sz w:val="19"/>
              </w:rPr>
            </w:pPr>
            <w:r>
              <w:rPr>
                <w:sz w:val="19"/>
              </w:rPr>
              <w:t>1 Jul 2002 (see s. 2)</w:t>
            </w:r>
          </w:p>
        </w:tc>
      </w:tr>
      <w:tr>
        <w:trPr>
          <w:cantSplit/>
        </w:trPr>
        <w:tc>
          <w:tcPr>
            <w:tcW w:w="2184" w:type="dxa"/>
          </w:tcPr>
          <w:p>
            <w:pPr>
              <w:pStyle w:val="nTable"/>
              <w:spacing w:after="40"/>
              <w:ind w:right="113"/>
              <w:rPr>
                <w:sz w:val="19"/>
              </w:rPr>
            </w:pPr>
            <w:r>
              <w:rPr>
                <w:i/>
                <w:sz w:val="19"/>
              </w:rPr>
              <w:t>Family Court Amendment Act 2002</w:t>
            </w:r>
            <w:r>
              <w:rPr>
                <w:sz w:val="19"/>
              </w:rPr>
              <w:t xml:space="preserve"> s. 52</w:t>
            </w:r>
          </w:p>
        </w:tc>
        <w:tc>
          <w:tcPr>
            <w:tcW w:w="1104" w:type="dxa"/>
            <w:gridSpan w:val="2"/>
          </w:tcPr>
          <w:p>
            <w:pPr>
              <w:pStyle w:val="nTable"/>
              <w:spacing w:after="40"/>
              <w:rPr>
                <w:sz w:val="19"/>
              </w:rPr>
            </w:pPr>
            <w:r>
              <w:rPr>
                <w:sz w:val="19"/>
              </w:rPr>
              <w:t>25 of 2002</w:t>
            </w:r>
          </w:p>
        </w:tc>
        <w:tc>
          <w:tcPr>
            <w:tcW w:w="1151" w:type="dxa"/>
            <w:gridSpan w:val="2"/>
          </w:tcPr>
          <w:p>
            <w:pPr>
              <w:pStyle w:val="nTable"/>
              <w:spacing w:after="40"/>
              <w:rPr>
                <w:sz w:val="19"/>
              </w:rPr>
            </w:pPr>
            <w:r>
              <w:rPr>
                <w:sz w:val="19"/>
              </w:rPr>
              <w:t>25 Sep 2002</w:t>
            </w:r>
          </w:p>
        </w:tc>
        <w:tc>
          <w:tcPr>
            <w:tcW w:w="2546"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184"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w:t>
            </w:r>
            <w:del w:id="4071" w:author="svcMRProcess" w:date="2020-02-20T23:16:00Z">
              <w:r>
                <w:rPr>
                  <w:sz w:val="19"/>
                  <w:vertAlign w:val="superscript"/>
                </w:rPr>
                <w:delText>41</w:delText>
              </w:r>
            </w:del>
            <w:ins w:id="4072" w:author="svcMRProcess" w:date="2020-02-20T23:16:00Z">
              <w:r>
                <w:rPr>
                  <w:sz w:val="19"/>
                  <w:vertAlign w:val="superscript"/>
                </w:rPr>
                <w:t>36</w:t>
              </w:r>
            </w:ins>
          </w:p>
        </w:tc>
        <w:tc>
          <w:tcPr>
            <w:tcW w:w="1104" w:type="dxa"/>
            <w:gridSpan w:val="2"/>
          </w:tcPr>
          <w:p>
            <w:pPr>
              <w:pStyle w:val="nTable"/>
              <w:spacing w:after="40"/>
              <w:rPr>
                <w:sz w:val="19"/>
              </w:rPr>
            </w:pPr>
            <w:r>
              <w:rPr>
                <w:sz w:val="19"/>
              </w:rPr>
              <w:t>46 of 2002</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i/>
                <w:sz w:val="19"/>
              </w:rPr>
            </w:pPr>
            <w:r>
              <w:rPr>
                <w:i/>
                <w:sz w:val="19"/>
              </w:rPr>
              <w:t>Stamp Amendment Act 2003</w:t>
            </w:r>
          </w:p>
        </w:tc>
        <w:tc>
          <w:tcPr>
            <w:tcW w:w="1104" w:type="dxa"/>
            <w:gridSpan w:val="2"/>
          </w:tcPr>
          <w:p>
            <w:pPr>
              <w:pStyle w:val="nTable"/>
              <w:spacing w:after="40"/>
              <w:rPr>
                <w:sz w:val="19"/>
              </w:rPr>
            </w:pPr>
            <w:r>
              <w:rPr>
                <w:sz w:val="19"/>
              </w:rPr>
              <w:t>2 of 2003</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w:t>
            </w:r>
            <w:del w:id="4073" w:author="svcMRProcess" w:date="2020-02-20T23:16:00Z">
              <w:r>
                <w:rPr>
                  <w:sz w:val="19"/>
                  <w:vertAlign w:val="superscript"/>
                </w:rPr>
                <w:delText>42</w:delText>
              </w:r>
            </w:del>
            <w:ins w:id="4074" w:author="svcMRProcess" w:date="2020-02-20T23:16:00Z">
              <w:r>
                <w:rPr>
                  <w:sz w:val="19"/>
                  <w:vertAlign w:val="superscript"/>
                </w:rPr>
                <w:t>37</w:t>
              </w:r>
            </w:ins>
          </w:p>
        </w:tc>
        <w:tc>
          <w:tcPr>
            <w:tcW w:w="1104" w:type="dxa"/>
            <w:gridSpan w:val="2"/>
          </w:tcPr>
          <w:p>
            <w:pPr>
              <w:pStyle w:val="nTable"/>
              <w:spacing w:after="40"/>
              <w:rPr>
                <w:sz w:val="19"/>
              </w:rPr>
            </w:pPr>
            <w:r>
              <w:rPr>
                <w:sz w:val="19"/>
              </w:rPr>
              <w:t>21 of 2003</w:t>
            </w:r>
          </w:p>
        </w:tc>
        <w:tc>
          <w:tcPr>
            <w:tcW w:w="1151" w:type="dxa"/>
            <w:gridSpan w:val="2"/>
          </w:tcPr>
          <w:p>
            <w:pPr>
              <w:pStyle w:val="nTable"/>
              <w:spacing w:after="40"/>
              <w:rPr>
                <w:sz w:val="19"/>
              </w:rPr>
            </w:pPr>
            <w:r>
              <w:rPr>
                <w:sz w:val="19"/>
              </w:rPr>
              <w:t>23 Apr 2003</w:t>
            </w:r>
          </w:p>
        </w:tc>
        <w:tc>
          <w:tcPr>
            <w:tcW w:w="2546"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184" w:type="dxa"/>
          </w:tcPr>
          <w:p>
            <w:pPr>
              <w:pStyle w:val="nTable"/>
              <w:spacing w:after="40"/>
              <w:ind w:right="113"/>
              <w:rPr>
                <w:sz w:val="19"/>
              </w:rPr>
            </w:pPr>
            <w:r>
              <w:rPr>
                <w:i/>
                <w:sz w:val="19"/>
              </w:rPr>
              <w:t>Acts Amendment (Equality of Status) Act 2003</w:t>
            </w:r>
            <w:r>
              <w:rPr>
                <w:sz w:val="19"/>
              </w:rPr>
              <w:t xml:space="preserve"> Pt. 55</w:t>
            </w:r>
          </w:p>
        </w:tc>
        <w:tc>
          <w:tcPr>
            <w:tcW w:w="1104" w:type="dxa"/>
            <w:gridSpan w:val="2"/>
          </w:tcPr>
          <w:p>
            <w:pPr>
              <w:pStyle w:val="nTable"/>
              <w:spacing w:after="40"/>
              <w:rPr>
                <w:sz w:val="19"/>
              </w:rPr>
            </w:pPr>
            <w:r>
              <w:rPr>
                <w:sz w:val="19"/>
              </w:rPr>
              <w:t>28 of 2003</w:t>
            </w:r>
          </w:p>
        </w:tc>
        <w:tc>
          <w:tcPr>
            <w:tcW w:w="1151" w:type="dxa"/>
            <w:gridSpan w:val="2"/>
          </w:tcPr>
          <w:p>
            <w:pPr>
              <w:pStyle w:val="nTable"/>
              <w:spacing w:after="40"/>
              <w:rPr>
                <w:sz w:val="19"/>
              </w:rPr>
            </w:pPr>
            <w:r>
              <w:rPr>
                <w:sz w:val="19"/>
              </w:rPr>
              <w:t>22 May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184" w:type="dxa"/>
          </w:tcPr>
          <w:p>
            <w:pPr>
              <w:pStyle w:val="nTable"/>
              <w:spacing w:after="40"/>
              <w:ind w:right="113"/>
              <w:rPr>
                <w:sz w:val="19"/>
              </w:rPr>
            </w:pPr>
            <w:r>
              <w:rPr>
                <w:i/>
                <w:sz w:val="19"/>
              </w:rPr>
              <w:t>Stamp Amendment (Budget) Act 2003</w:t>
            </w:r>
            <w:r>
              <w:rPr>
                <w:sz w:val="19"/>
                <w:vertAlign w:val="superscript"/>
              </w:rPr>
              <w:t> </w:t>
            </w:r>
            <w:del w:id="4075" w:author="svcMRProcess" w:date="2020-02-20T23:16:00Z">
              <w:r>
                <w:rPr>
                  <w:sz w:val="19"/>
                  <w:vertAlign w:val="superscript"/>
                </w:rPr>
                <w:delText>43</w:delText>
              </w:r>
            </w:del>
            <w:ins w:id="4076" w:author="svcMRProcess" w:date="2020-02-20T23:16:00Z">
              <w:r>
                <w:rPr>
                  <w:sz w:val="19"/>
                  <w:vertAlign w:val="superscript"/>
                </w:rPr>
                <w:t>38</w:t>
              </w:r>
            </w:ins>
          </w:p>
        </w:tc>
        <w:tc>
          <w:tcPr>
            <w:tcW w:w="1104" w:type="dxa"/>
            <w:gridSpan w:val="2"/>
          </w:tcPr>
          <w:p>
            <w:pPr>
              <w:pStyle w:val="nTable"/>
              <w:spacing w:after="40"/>
              <w:rPr>
                <w:sz w:val="19"/>
              </w:rPr>
            </w:pPr>
            <w:r>
              <w:rPr>
                <w:sz w:val="19"/>
              </w:rPr>
              <w:t>44 of 2003</w:t>
            </w:r>
          </w:p>
        </w:tc>
        <w:tc>
          <w:tcPr>
            <w:tcW w:w="1151" w:type="dxa"/>
            <w:gridSpan w:val="2"/>
          </w:tcPr>
          <w:p>
            <w:pPr>
              <w:pStyle w:val="nTable"/>
              <w:spacing w:after="40"/>
              <w:rPr>
                <w:sz w:val="19"/>
              </w:rPr>
            </w:pPr>
            <w:r>
              <w:rPr>
                <w:sz w:val="19"/>
              </w:rPr>
              <w:t>30 Jun 2003</w:t>
            </w:r>
          </w:p>
        </w:tc>
        <w:tc>
          <w:tcPr>
            <w:tcW w:w="2546" w:type="dxa"/>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cantSplit/>
        </w:trPr>
        <w:tc>
          <w:tcPr>
            <w:tcW w:w="6985" w:type="dxa"/>
            <w:gridSpan w:val="6"/>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184" w:type="dxa"/>
          </w:tcPr>
          <w:p>
            <w:pPr>
              <w:pStyle w:val="nTable"/>
              <w:spacing w:after="40"/>
              <w:rPr>
                <w:sz w:val="19"/>
              </w:rPr>
            </w:pPr>
            <w:r>
              <w:rPr>
                <w:i/>
                <w:sz w:val="19"/>
              </w:rPr>
              <w:t>Acts Amendment (Carbon Rights and Tree Plantation Agreements) Act 2003</w:t>
            </w:r>
            <w:r>
              <w:rPr>
                <w:sz w:val="19"/>
              </w:rPr>
              <w:t xml:space="preserve"> Pt. 4</w:t>
            </w:r>
          </w:p>
        </w:tc>
        <w:tc>
          <w:tcPr>
            <w:tcW w:w="1104" w:type="dxa"/>
            <w:gridSpan w:val="2"/>
          </w:tcPr>
          <w:p>
            <w:pPr>
              <w:pStyle w:val="nTable"/>
              <w:spacing w:after="40"/>
              <w:rPr>
                <w:sz w:val="19"/>
              </w:rPr>
            </w:pPr>
            <w:r>
              <w:rPr>
                <w:sz w:val="19"/>
              </w:rPr>
              <w:t>56 of 2003</w:t>
            </w:r>
          </w:p>
        </w:tc>
        <w:tc>
          <w:tcPr>
            <w:tcW w:w="1151" w:type="dxa"/>
            <w:gridSpan w:val="2"/>
          </w:tcPr>
          <w:p>
            <w:pPr>
              <w:pStyle w:val="nTable"/>
              <w:spacing w:after="40"/>
              <w:rPr>
                <w:sz w:val="19"/>
              </w:rPr>
            </w:pPr>
            <w:r>
              <w:rPr>
                <w:sz w:val="19"/>
              </w:rPr>
              <w:t>29 Oct 2003</w:t>
            </w:r>
          </w:p>
        </w:tc>
        <w:tc>
          <w:tcPr>
            <w:tcW w:w="2546"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184" w:type="dxa"/>
          </w:tcPr>
          <w:p>
            <w:pPr>
              <w:pStyle w:val="nTable"/>
              <w:spacing w:after="40"/>
              <w:ind w:right="113"/>
              <w:rPr>
                <w:sz w:val="19"/>
                <w:vertAlign w:val="superscript"/>
              </w:rPr>
            </w:pPr>
            <w:r>
              <w:rPr>
                <w:i/>
                <w:sz w:val="19"/>
              </w:rPr>
              <w:t>Business Tax Review (Taxing) Act (No. 2)</w:t>
            </w:r>
            <w:del w:id="4077" w:author="svcMRProcess" w:date="2020-02-20T23:16:00Z">
              <w:r>
                <w:rPr>
                  <w:i/>
                  <w:sz w:val="19"/>
                </w:rPr>
                <w:delText xml:space="preserve"> </w:delText>
              </w:r>
            </w:del>
            <w:ins w:id="4078" w:author="svcMRProcess" w:date="2020-02-20T23:16:00Z">
              <w:r>
                <w:rPr>
                  <w:i/>
                  <w:sz w:val="19"/>
                </w:rPr>
                <w:t> </w:t>
              </w:r>
            </w:ins>
            <w:r>
              <w:rPr>
                <w:i/>
                <w:sz w:val="19"/>
              </w:rPr>
              <w:t>2003</w:t>
            </w:r>
            <w:del w:id="4079" w:author="svcMRProcess" w:date="2020-02-20T23:16:00Z">
              <w:r>
                <w:rPr>
                  <w:sz w:val="19"/>
                  <w:vertAlign w:val="superscript"/>
                </w:rPr>
                <w:delText> </w:delText>
              </w:r>
            </w:del>
          </w:p>
        </w:tc>
        <w:tc>
          <w:tcPr>
            <w:tcW w:w="1104" w:type="dxa"/>
            <w:gridSpan w:val="2"/>
          </w:tcPr>
          <w:p>
            <w:pPr>
              <w:pStyle w:val="nTable"/>
              <w:spacing w:after="40"/>
              <w:rPr>
                <w:sz w:val="19"/>
              </w:rPr>
            </w:pPr>
            <w:r>
              <w:rPr>
                <w:sz w:val="19"/>
              </w:rPr>
              <w:t>59 of 2003</w:t>
            </w:r>
          </w:p>
        </w:tc>
        <w:tc>
          <w:tcPr>
            <w:tcW w:w="1151" w:type="dxa"/>
            <w:gridSpan w:val="2"/>
          </w:tcPr>
          <w:p>
            <w:pPr>
              <w:pStyle w:val="nTable"/>
              <w:spacing w:after="40"/>
              <w:rPr>
                <w:sz w:val="19"/>
              </w:rPr>
            </w:pPr>
            <w:r>
              <w:rPr>
                <w:sz w:val="19"/>
              </w:rPr>
              <w:t>26 Nov 2003</w:t>
            </w:r>
          </w:p>
        </w:tc>
        <w:tc>
          <w:tcPr>
            <w:tcW w:w="2546" w:type="dxa"/>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cantSplit/>
        </w:trPr>
        <w:tc>
          <w:tcPr>
            <w:tcW w:w="2184"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del w:id="4080" w:author="svcMRProcess" w:date="2020-02-20T23:16:00Z">
              <w:r>
                <w:rPr>
                  <w:sz w:val="19"/>
                  <w:vertAlign w:val="superscript"/>
                </w:rPr>
                <w:delText>4, 44</w:delText>
              </w:r>
            </w:del>
            <w:ins w:id="4081" w:author="svcMRProcess" w:date="2020-02-20T23:16:00Z">
              <w:r>
                <w:rPr>
                  <w:sz w:val="19"/>
                  <w:vertAlign w:val="superscript"/>
                </w:rPr>
                <w:t>39, 40</w:t>
              </w:r>
            </w:ins>
          </w:p>
        </w:tc>
        <w:tc>
          <w:tcPr>
            <w:tcW w:w="1104" w:type="dxa"/>
            <w:gridSpan w:val="2"/>
          </w:tcPr>
          <w:p>
            <w:pPr>
              <w:pStyle w:val="nTable"/>
              <w:spacing w:after="40"/>
              <w:rPr>
                <w:sz w:val="19"/>
              </w:rPr>
            </w:pPr>
            <w:r>
              <w:rPr>
                <w:sz w:val="19"/>
              </w:rPr>
              <w:t>66 of 2003</w:t>
            </w:r>
          </w:p>
        </w:tc>
        <w:tc>
          <w:tcPr>
            <w:tcW w:w="1151" w:type="dxa"/>
            <w:gridSpan w:val="2"/>
          </w:tcPr>
          <w:p>
            <w:pPr>
              <w:pStyle w:val="nTable"/>
              <w:spacing w:after="40"/>
              <w:rPr>
                <w:sz w:val="19"/>
              </w:rPr>
            </w:pPr>
            <w:r>
              <w:rPr>
                <w:sz w:val="19"/>
              </w:rPr>
              <w:t>5 Dec 2003</w:t>
            </w:r>
          </w:p>
        </w:tc>
        <w:tc>
          <w:tcPr>
            <w:tcW w:w="2546"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cantSplit/>
        </w:trPr>
        <w:tc>
          <w:tcPr>
            <w:tcW w:w="2184" w:type="dxa"/>
          </w:tcPr>
          <w:p>
            <w:pPr>
              <w:pStyle w:val="nTable"/>
              <w:spacing w:after="40"/>
              <w:rPr>
                <w:sz w:val="19"/>
              </w:rPr>
            </w:pPr>
            <w:r>
              <w:rPr>
                <w:i/>
                <w:sz w:val="19"/>
              </w:rPr>
              <w:t>Revenue Laws Amendment Act 2004</w:t>
            </w:r>
            <w:r>
              <w:rPr>
                <w:sz w:val="19"/>
              </w:rPr>
              <w:t xml:space="preserve"> Pt. 3 </w:t>
            </w:r>
            <w:del w:id="4082" w:author="svcMRProcess" w:date="2020-02-20T23:16:00Z">
              <w:r>
                <w:rPr>
                  <w:sz w:val="19"/>
                  <w:vertAlign w:val="superscript"/>
                </w:rPr>
                <w:delText>7</w:delText>
              </w:r>
            </w:del>
            <w:ins w:id="4083" w:author="svcMRProcess" w:date="2020-02-20T23:16:00Z">
              <w:r>
                <w:rPr>
                  <w:sz w:val="19"/>
                  <w:vertAlign w:val="superscript"/>
                </w:rPr>
                <w:t>41</w:t>
              </w:r>
            </w:ins>
          </w:p>
        </w:tc>
        <w:tc>
          <w:tcPr>
            <w:tcW w:w="1104" w:type="dxa"/>
            <w:gridSpan w:val="2"/>
          </w:tcPr>
          <w:p>
            <w:pPr>
              <w:pStyle w:val="nTable"/>
              <w:spacing w:after="40"/>
              <w:rPr>
                <w:sz w:val="19"/>
              </w:rPr>
            </w:pPr>
            <w:r>
              <w:rPr>
                <w:sz w:val="19"/>
              </w:rPr>
              <w:t>11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z w:val="19"/>
              </w:rPr>
              <w:t>1 Jul 2004 (see s. 2(2))</w:t>
            </w:r>
          </w:p>
        </w:tc>
      </w:tr>
      <w:tr>
        <w:trPr>
          <w:cantSplit/>
        </w:trPr>
        <w:tc>
          <w:tcPr>
            <w:tcW w:w="2184"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del w:id="4084" w:author="svcMRProcess" w:date="2020-02-20T23:16:00Z">
              <w:r>
                <w:rPr>
                  <w:noProof/>
                  <w:snapToGrid w:val="0"/>
                  <w:sz w:val="19"/>
                  <w:vertAlign w:val="superscript"/>
                </w:rPr>
                <w:delText>2</w:delText>
              </w:r>
            </w:del>
            <w:ins w:id="4085" w:author="svcMRProcess" w:date="2020-02-20T23:16:00Z">
              <w:r>
                <w:rPr>
                  <w:noProof/>
                  <w:snapToGrid w:val="0"/>
                  <w:sz w:val="19"/>
                  <w:vertAlign w:val="superscript"/>
                </w:rPr>
                <w:t>42</w:t>
              </w:r>
            </w:ins>
          </w:p>
        </w:tc>
        <w:tc>
          <w:tcPr>
            <w:tcW w:w="1104" w:type="dxa"/>
            <w:gridSpan w:val="2"/>
          </w:tcPr>
          <w:p>
            <w:pPr>
              <w:pStyle w:val="nTable"/>
              <w:spacing w:after="40"/>
              <w:rPr>
                <w:sz w:val="19"/>
              </w:rPr>
            </w:pPr>
            <w:r>
              <w:rPr>
                <w:sz w:val="19"/>
              </w:rPr>
              <w:t>12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cantSplit/>
        </w:trPr>
        <w:tc>
          <w:tcPr>
            <w:tcW w:w="2184"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04" w:type="dxa"/>
            <w:gridSpan w:val="2"/>
          </w:tcPr>
          <w:p>
            <w:pPr>
              <w:pStyle w:val="nTable"/>
              <w:spacing w:after="40"/>
              <w:rPr>
                <w:sz w:val="19"/>
              </w:rPr>
            </w:pPr>
            <w:r>
              <w:rPr>
                <w:snapToGrid w:val="0"/>
                <w:sz w:val="19"/>
                <w:lang w:val="en-US"/>
              </w:rPr>
              <w:t>42 of 2004</w:t>
            </w:r>
          </w:p>
        </w:tc>
        <w:tc>
          <w:tcPr>
            <w:tcW w:w="1151" w:type="dxa"/>
            <w:gridSpan w:val="2"/>
          </w:tcPr>
          <w:p>
            <w:pPr>
              <w:pStyle w:val="nTable"/>
              <w:spacing w:after="40"/>
              <w:rPr>
                <w:sz w:val="19"/>
              </w:rPr>
            </w:pPr>
            <w:r>
              <w:rPr>
                <w:sz w:val="19"/>
              </w:rPr>
              <w:t>9 Nov 2004</w:t>
            </w:r>
          </w:p>
        </w:tc>
        <w:tc>
          <w:tcPr>
            <w:tcW w:w="2546"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184"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del w:id="4086" w:author="svcMRProcess" w:date="2020-02-20T23:16:00Z">
              <w:r>
                <w:rPr>
                  <w:sz w:val="19"/>
                  <w:vertAlign w:val="superscript"/>
                </w:rPr>
                <w:delText>45</w:delText>
              </w:r>
            </w:del>
            <w:ins w:id="4087" w:author="svcMRProcess" w:date="2020-02-20T23:16:00Z">
              <w:r>
                <w:rPr>
                  <w:sz w:val="19"/>
                  <w:vertAlign w:val="superscript"/>
                </w:rPr>
                <w:t>43</w:t>
              </w:r>
            </w:ins>
          </w:p>
        </w:tc>
        <w:tc>
          <w:tcPr>
            <w:tcW w:w="1104" w:type="dxa"/>
            <w:gridSpan w:val="2"/>
          </w:tcPr>
          <w:p>
            <w:pPr>
              <w:pStyle w:val="nTable"/>
              <w:spacing w:after="40"/>
              <w:rPr>
                <w:sz w:val="19"/>
              </w:rPr>
            </w:pPr>
            <w:r>
              <w:rPr>
                <w:sz w:val="19"/>
              </w:rPr>
              <w:t>83 of 2004</w:t>
            </w:r>
          </w:p>
        </w:tc>
        <w:tc>
          <w:tcPr>
            <w:tcW w:w="1151" w:type="dxa"/>
            <w:gridSpan w:val="2"/>
          </w:tcPr>
          <w:p>
            <w:pPr>
              <w:pStyle w:val="nTable"/>
              <w:spacing w:after="40"/>
              <w:rPr>
                <w:sz w:val="19"/>
              </w:rPr>
            </w:pPr>
            <w:r>
              <w:rPr>
                <w:sz w:val="19"/>
              </w:rPr>
              <w:t>8 Dec 2004</w:t>
            </w:r>
          </w:p>
        </w:tc>
        <w:tc>
          <w:tcPr>
            <w:tcW w:w="2546" w:type="dxa"/>
          </w:tcPr>
          <w:p>
            <w:pPr>
              <w:pStyle w:val="nTable"/>
              <w:spacing w:after="40"/>
              <w:rPr>
                <w:spacing w:val="-2"/>
                <w:sz w:val="19"/>
              </w:rPr>
            </w:pPr>
            <w:r>
              <w:rPr>
                <w:sz w:val="19"/>
              </w:rPr>
              <w:t>8 Dec 2004 (see s. 2)</w:t>
            </w:r>
          </w:p>
        </w:tc>
      </w:tr>
      <w:tr>
        <w:trPr>
          <w:cantSplit/>
        </w:trPr>
        <w:tc>
          <w:tcPr>
            <w:tcW w:w="6985" w:type="dxa"/>
            <w:gridSpan w:val="6"/>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184" w:type="dxa"/>
          </w:tcPr>
          <w:p>
            <w:pPr>
              <w:pStyle w:val="nTable"/>
              <w:spacing w:after="40"/>
              <w:ind w:right="-32"/>
              <w:rPr>
                <w:sz w:val="19"/>
              </w:rPr>
            </w:pPr>
            <w:r>
              <w:rPr>
                <w:i/>
                <w:sz w:val="19"/>
              </w:rPr>
              <w:t>Revenue Laws Amendment Act 2005</w:t>
            </w:r>
            <w:del w:id="4088" w:author="svcMRProcess" w:date="2020-02-20T23:16:00Z">
              <w:r>
                <w:rPr>
                  <w:sz w:val="19"/>
                </w:rPr>
                <w:delText xml:space="preserve"> </w:delText>
              </w:r>
            </w:del>
            <w:ins w:id="4089" w:author="svcMRProcess" w:date="2020-02-20T23:16:00Z">
              <w:r>
                <w:rPr>
                  <w:sz w:val="19"/>
                </w:rPr>
                <w:br/>
              </w:r>
            </w:ins>
            <w:r>
              <w:rPr>
                <w:sz w:val="19"/>
              </w:rPr>
              <w:t xml:space="preserve">Pt. 3 </w:t>
            </w:r>
            <w:del w:id="4090" w:author="svcMRProcess" w:date="2020-02-20T23:16:00Z">
              <w:r>
                <w:rPr>
                  <w:sz w:val="19"/>
                  <w:vertAlign w:val="superscript"/>
                </w:rPr>
                <w:delText>46, 47</w:delText>
              </w:r>
            </w:del>
            <w:ins w:id="4091" w:author="svcMRProcess" w:date="2020-02-20T23:16:00Z">
              <w:r>
                <w:rPr>
                  <w:sz w:val="19"/>
                </w:rPr>
                <w:t xml:space="preserve">(s. 5-30) </w:t>
              </w:r>
              <w:r>
                <w:rPr>
                  <w:sz w:val="19"/>
                  <w:vertAlign w:val="superscript"/>
                </w:rPr>
                <w:t>44, 45</w:t>
              </w:r>
            </w:ins>
          </w:p>
        </w:tc>
        <w:tc>
          <w:tcPr>
            <w:tcW w:w="1043" w:type="dxa"/>
          </w:tcPr>
          <w:p>
            <w:pPr>
              <w:pStyle w:val="nTable"/>
              <w:spacing w:after="40"/>
              <w:rPr>
                <w:sz w:val="19"/>
              </w:rPr>
            </w:pPr>
            <w:r>
              <w:rPr>
                <w:sz w:val="19"/>
              </w:rPr>
              <w:t>11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 xml:space="preserve">s. 27 </w:t>
            </w:r>
            <w:del w:id="4092" w:author="svcMRProcess" w:date="2020-02-20T23:16:00Z">
              <w:r>
                <w:rPr>
                  <w:sz w:val="19"/>
                </w:rPr>
                <w:delText>&amp;</w:delText>
              </w:r>
            </w:del>
            <w:ins w:id="4093" w:author="svcMRProcess" w:date="2020-02-20T23:16:00Z">
              <w:r>
                <w:rPr>
                  <w:sz w:val="19"/>
                </w:rPr>
                <w:t>and</w:t>
              </w:r>
            </w:ins>
            <w:r>
              <w:rPr>
                <w:sz w:val="19"/>
              </w:rPr>
              <w:t xml:space="preserve"> 29: 1 Jan 2004 (see s. 2(3));</w:t>
            </w:r>
            <w:r>
              <w:rPr>
                <w:sz w:val="19"/>
              </w:rPr>
              <w:br/>
              <w:t>s. 28: 1 Jul 2004 (see s. 2(4));</w:t>
            </w:r>
            <w:r>
              <w:rPr>
                <w:sz w:val="19"/>
              </w:rPr>
              <w:br/>
              <w:t xml:space="preserve">s. 8, 11(1), 13(2) </w:t>
            </w:r>
            <w:del w:id="4094" w:author="svcMRProcess" w:date="2020-02-20T23:16:00Z">
              <w:r>
                <w:rPr>
                  <w:sz w:val="19"/>
                </w:rPr>
                <w:delText>&amp;</w:delText>
              </w:r>
            </w:del>
            <w:ins w:id="4095" w:author="svcMRProcess" w:date="2020-02-20T23:16:00Z">
              <w:r>
                <w:rPr>
                  <w:sz w:val="19"/>
                </w:rPr>
                <w:t>and</w:t>
              </w:r>
            </w:ins>
            <w:r>
              <w:rPr>
                <w:sz w:val="19"/>
              </w:rPr>
              <w:t xml:space="preserve"> (3) and 18</w:t>
            </w:r>
            <w:del w:id="4096" w:author="svcMRProcess" w:date="2020-02-20T23:16:00Z">
              <w:r>
                <w:rPr>
                  <w:sz w:val="19"/>
                </w:rPr>
                <w:delText>-</w:delText>
              </w:r>
            </w:del>
            <w:ins w:id="4097" w:author="svcMRProcess" w:date="2020-02-20T23:16:00Z">
              <w:r>
                <w:rPr>
                  <w:sz w:val="19"/>
                </w:rPr>
                <w:noBreakHyphen/>
              </w:r>
            </w:ins>
            <w:r>
              <w:rPr>
                <w:sz w:val="19"/>
              </w:rPr>
              <w:t>25: 18 May 2005 (see s. 2(2));</w:t>
            </w:r>
            <w:r>
              <w:rPr>
                <w:sz w:val="19"/>
              </w:rPr>
              <w:br/>
              <w:t>balance: 30 Aug 2005 (see s. 2(1))</w:t>
            </w:r>
          </w:p>
        </w:tc>
      </w:tr>
      <w:tr>
        <w:trPr>
          <w:cantSplit/>
        </w:trPr>
        <w:tc>
          <w:tcPr>
            <w:tcW w:w="2184" w:type="dxa"/>
          </w:tcPr>
          <w:p>
            <w:pPr>
              <w:pStyle w:val="nTable"/>
              <w:spacing w:after="40"/>
              <w:rPr>
                <w:sz w:val="19"/>
              </w:rPr>
            </w:pPr>
            <w:r>
              <w:rPr>
                <w:i/>
                <w:sz w:val="19"/>
              </w:rPr>
              <w:t>Revenue Laws Amendment Act (No. 2) 2005</w:t>
            </w:r>
            <w:r>
              <w:rPr>
                <w:sz w:val="19"/>
              </w:rPr>
              <w:t xml:space="preserve"> Pt. 3</w:t>
            </w:r>
          </w:p>
        </w:tc>
        <w:tc>
          <w:tcPr>
            <w:tcW w:w="1043" w:type="dxa"/>
          </w:tcPr>
          <w:p>
            <w:pPr>
              <w:pStyle w:val="nTable"/>
              <w:spacing w:after="40"/>
              <w:rPr>
                <w:sz w:val="19"/>
              </w:rPr>
            </w:pPr>
            <w:r>
              <w:rPr>
                <w:sz w:val="19"/>
              </w:rPr>
              <w:t>12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30 Aug 2005 (see s. 2(1))</w:t>
            </w:r>
          </w:p>
        </w:tc>
      </w:tr>
      <w:tr>
        <w:trPr>
          <w:cantSplit/>
        </w:trPr>
        <w:tc>
          <w:tcPr>
            <w:tcW w:w="2184" w:type="dxa"/>
          </w:tcPr>
          <w:p>
            <w:pPr>
              <w:pStyle w:val="nTable"/>
              <w:spacing w:after="40"/>
              <w:rPr>
                <w:sz w:val="19"/>
              </w:rPr>
            </w:pPr>
            <w:r>
              <w:rPr>
                <w:i/>
                <w:sz w:val="19"/>
              </w:rPr>
              <w:t>Stamp Amendment Act 2005</w:t>
            </w:r>
            <w:r>
              <w:rPr>
                <w:sz w:val="19"/>
              </w:rPr>
              <w:t> </w:t>
            </w:r>
            <w:del w:id="4098" w:author="svcMRProcess" w:date="2020-02-20T23:16:00Z">
              <w:r>
                <w:rPr>
                  <w:sz w:val="19"/>
                  <w:vertAlign w:val="superscript"/>
                </w:rPr>
                <w:delText>49, 50</w:delText>
              </w:r>
            </w:del>
            <w:ins w:id="4099" w:author="svcMRProcess" w:date="2020-02-20T23:16:00Z">
              <w:r>
                <w:rPr>
                  <w:sz w:val="19"/>
                  <w:vertAlign w:val="superscript"/>
                </w:rPr>
                <w:t>46, 47</w:t>
              </w:r>
            </w:ins>
          </w:p>
        </w:tc>
        <w:tc>
          <w:tcPr>
            <w:tcW w:w="1043" w:type="dxa"/>
          </w:tcPr>
          <w:p>
            <w:pPr>
              <w:pStyle w:val="nTable"/>
              <w:spacing w:after="40"/>
              <w:rPr>
                <w:sz w:val="19"/>
              </w:rPr>
            </w:pPr>
            <w:r>
              <w:rPr>
                <w:sz w:val="19"/>
              </w:rPr>
              <w:t>34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del w:id="4100" w:author="svcMRProcess" w:date="2020-02-20T23:16:00Z"/>
                <w:sz w:val="20"/>
              </w:rPr>
            </w:pPr>
            <w:r>
              <w:rPr>
                <w:sz w:val="19"/>
              </w:rPr>
              <w:t>Act</w:t>
            </w:r>
            <w:r>
              <w:rPr>
                <w:sz w:val="20"/>
              </w:rPr>
              <w:t xml:space="preserve"> other than Pt. 3: 12 Dec 2005 (see s. 2</w:t>
            </w:r>
            <w:del w:id="4101" w:author="svcMRProcess" w:date="2020-02-20T23:16:00Z">
              <w:r>
                <w:rPr>
                  <w:sz w:val="20"/>
                </w:rPr>
                <w:delText>);</w:delText>
              </w:r>
            </w:del>
          </w:p>
          <w:p>
            <w:pPr>
              <w:pStyle w:val="nTable"/>
              <w:spacing w:after="40"/>
              <w:rPr>
                <w:sz w:val="19"/>
              </w:rPr>
            </w:pPr>
            <w:ins w:id="4102" w:author="svcMRProcess" w:date="2020-02-20T23:16:00Z">
              <w:r>
                <w:rPr>
                  <w:sz w:val="20"/>
                </w:rPr>
                <w:t>(1));</w:t>
              </w:r>
              <w:r>
                <w:rPr>
                  <w:sz w:val="20"/>
                </w:rPr>
                <w:br/>
              </w:r>
            </w:ins>
            <w:r>
              <w:rPr>
                <w:sz w:val="20"/>
              </w:rPr>
              <w:t>Pt. 3: 1 Jan 2006 (see s. 2(2))</w:t>
            </w:r>
          </w:p>
        </w:tc>
      </w:tr>
      <w:tr>
        <w:trPr>
          <w:cantSplit/>
        </w:trPr>
        <w:tc>
          <w:tcPr>
            <w:tcW w:w="2184" w:type="dxa"/>
          </w:tcPr>
          <w:p>
            <w:pPr>
              <w:pStyle w:val="nTable"/>
              <w:spacing w:after="40"/>
              <w:rPr>
                <w:i/>
                <w:sz w:val="19"/>
              </w:rPr>
            </w:pPr>
            <w:r>
              <w:rPr>
                <w:i/>
                <w:sz w:val="19"/>
              </w:rPr>
              <w:t>Stamp Amendment (Taxing) Act 2005</w:t>
            </w:r>
          </w:p>
        </w:tc>
        <w:tc>
          <w:tcPr>
            <w:tcW w:w="1043" w:type="dxa"/>
          </w:tcPr>
          <w:p>
            <w:pPr>
              <w:pStyle w:val="nTable"/>
              <w:spacing w:after="40"/>
              <w:rPr>
                <w:sz w:val="19"/>
              </w:rPr>
            </w:pPr>
            <w:r>
              <w:rPr>
                <w:sz w:val="19"/>
              </w:rPr>
              <w:t>35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20"/>
              </w:rPr>
            </w:pPr>
            <w:r>
              <w:rPr>
                <w:sz w:val="20"/>
              </w:rPr>
              <w:t xml:space="preserve">1 Mar 2006 (see s. 2 and </w:t>
            </w:r>
            <w:r>
              <w:rPr>
                <w:i/>
                <w:iCs/>
                <w:sz w:val="20"/>
              </w:rPr>
              <w:t>Gazette</w:t>
            </w:r>
            <w:r>
              <w:rPr>
                <w:sz w:val="20"/>
              </w:rPr>
              <w:t xml:space="preserve"> 24 Jan 2006 p. 429)</w:t>
            </w:r>
          </w:p>
        </w:tc>
      </w:tr>
      <w:tr>
        <w:trPr>
          <w:cantSplit/>
        </w:trPr>
        <w:tc>
          <w:tcPr>
            <w:tcW w:w="2184" w:type="dxa"/>
          </w:tcPr>
          <w:p>
            <w:pPr>
              <w:pStyle w:val="nTable"/>
              <w:spacing w:after="40"/>
              <w:rPr>
                <w:sz w:val="19"/>
              </w:rPr>
            </w:pPr>
            <w:r>
              <w:rPr>
                <w:i/>
                <w:sz w:val="19"/>
              </w:rPr>
              <w:t>Stamp Amendment (Assessment) Act 2005</w:t>
            </w:r>
            <w:r>
              <w:rPr>
                <w:sz w:val="19"/>
              </w:rPr>
              <w:t xml:space="preserve"> </w:t>
            </w:r>
            <w:del w:id="4103" w:author="svcMRProcess" w:date="2020-02-20T23:16:00Z">
              <w:r>
                <w:rPr>
                  <w:sz w:val="19"/>
                  <w:vertAlign w:val="superscript"/>
                </w:rPr>
                <w:delText>52</w:delText>
              </w:r>
            </w:del>
            <w:ins w:id="4104" w:author="svcMRProcess" w:date="2020-02-20T23:16:00Z">
              <w:r>
                <w:rPr>
                  <w:sz w:val="19"/>
                  <w:vertAlign w:val="superscript"/>
                </w:rPr>
                <w:t>48</w:t>
              </w:r>
            </w:ins>
          </w:p>
        </w:tc>
        <w:tc>
          <w:tcPr>
            <w:tcW w:w="1043" w:type="dxa"/>
          </w:tcPr>
          <w:p>
            <w:pPr>
              <w:pStyle w:val="nTable"/>
              <w:spacing w:after="40"/>
              <w:rPr>
                <w:sz w:val="19"/>
              </w:rPr>
            </w:pPr>
            <w:r>
              <w:rPr>
                <w:sz w:val="19"/>
              </w:rPr>
              <w:t>36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del w:id="4105" w:author="svcMRProcess" w:date="2020-02-20T23:16:00Z"/>
                <w:sz w:val="19"/>
              </w:rPr>
            </w:pPr>
            <w:del w:id="4106" w:author="svcMRProcess" w:date="2020-02-20T23:16:00Z">
              <w:r>
                <w:rPr>
                  <w:sz w:val="19"/>
                </w:rPr>
                <w:delText>s.</w:delText>
              </w:r>
            </w:del>
            <w:ins w:id="4107" w:author="svcMRProcess" w:date="2020-02-20T23:16:00Z">
              <w:r>
                <w:rPr>
                  <w:sz w:val="19"/>
                </w:rPr>
                <w:t>s. 5: 1 Jul 1997 (see s. 2(2));</w:t>
              </w:r>
              <w:r>
                <w:rPr>
                  <w:sz w:val="19"/>
                </w:rPr>
                <w:br/>
                <w:t>s.</w:t>
              </w:r>
            </w:ins>
            <w:r>
              <w:rPr>
                <w:sz w:val="19"/>
              </w:rPr>
              <w:t> 1-4 and 7: 12 Dec 2005 (see s. 2(1));</w:t>
            </w:r>
          </w:p>
          <w:p>
            <w:pPr>
              <w:pStyle w:val="nTable"/>
              <w:spacing w:after="40"/>
              <w:rPr>
                <w:del w:id="4108" w:author="svcMRProcess" w:date="2020-02-20T23:16:00Z"/>
                <w:sz w:val="19"/>
              </w:rPr>
            </w:pPr>
            <w:del w:id="4109" w:author="svcMRProcess" w:date="2020-02-20T23:16:00Z">
              <w:r>
                <w:rPr>
                  <w:sz w:val="19"/>
                </w:rPr>
                <w:delText>s. 5: 1 Jul 1997 (see s. 2(2))</w:delText>
              </w:r>
            </w:del>
          </w:p>
          <w:p>
            <w:pPr>
              <w:pStyle w:val="nTable"/>
              <w:spacing w:before="0" w:after="40"/>
              <w:rPr>
                <w:sz w:val="19"/>
              </w:rPr>
            </w:pPr>
            <w:ins w:id="4110" w:author="svcMRProcess" w:date="2020-02-20T23:16:00Z">
              <w:r>
                <w:rPr>
                  <w:sz w:val="19"/>
                </w:rPr>
                <w:br/>
              </w:r>
            </w:ins>
            <w:r>
              <w:rPr>
                <w:sz w:val="19"/>
              </w:rPr>
              <w:t xml:space="preserve">s. 6 and 8: 1 Mar 2006 (see s. 2(3) and </w:t>
            </w:r>
            <w:r>
              <w:rPr>
                <w:i/>
                <w:iCs/>
                <w:sz w:val="19"/>
              </w:rPr>
              <w:t>Gazette</w:t>
            </w:r>
            <w:r>
              <w:rPr>
                <w:sz w:val="19"/>
              </w:rPr>
              <w:t xml:space="preserve"> 24 Jan 2006 p. 429)</w:t>
            </w:r>
          </w:p>
        </w:tc>
      </w:tr>
      <w:tr>
        <w:trPr>
          <w:cantSplit/>
        </w:trPr>
        <w:tc>
          <w:tcPr>
            <w:tcW w:w="2184" w:type="dxa"/>
          </w:tcPr>
          <w:p>
            <w:pPr>
              <w:pStyle w:val="nTable"/>
              <w:spacing w:after="40"/>
              <w:rPr>
                <w:i/>
                <w:sz w:val="19"/>
              </w:rPr>
            </w:pPr>
            <w:r>
              <w:rPr>
                <w:i/>
                <w:sz w:val="19"/>
              </w:rPr>
              <w:t>Planning and Development (Consequential and Transitional Provisions) Act 2005</w:t>
            </w:r>
            <w:r>
              <w:rPr>
                <w:sz w:val="19"/>
              </w:rPr>
              <w:t xml:space="preserve"> s. 15</w:t>
            </w:r>
          </w:p>
        </w:tc>
        <w:tc>
          <w:tcPr>
            <w:tcW w:w="1043" w:type="dxa"/>
          </w:tcPr>
          <w:p>
            <w:pPr>
              <w:pStyle w:val="nTable"/>
              <w:spacing w:after="40"/>
              <w:rPr>
                <w:sz w:val="19"/>
              </w:rPr>
            </w:pPr>
            <w:r>
              <w:rPr>
                <w:sz w:val="19"/>
              </w:rPr>
              <w:t>38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 xml:space="preserve">9 Apr 2006 (see s. 2 and </w:t>
            </w:r>
            <w:r>
              <w:rPr>
                <w:i/>
                <w:iCs/>
                <w:sz w:val="19"/>
              </w:rPr>
              <w:t>Gazette</w:t>
            </w:r>
            <w:r>
              <w:rPr>
                <w:sz w:val="19"/>
              </w:rPr>
              <w:t xml:space="preserve"> 21 Mar 2006 p. 1078)</w:t>
            </w:r>
          </w:p>
        </w:tc>
      </w:tr>
      <w:tr>
        <w:trPr>
          <w:cantSplit/>
          <w:ins w:id="4111" w:author="svcMRProcess" w:date="2020-02-20T23:16:00Z"/>
        </w:trPr>
        <w:tc>
          <w:tcPr>
            <w:tcW w:w="6985" w:type="dxa"/>
            <w:gridSpan w:val="6"/>
            <w:tcBorders>
              <w:bottom w:val="single" w:sz="4" w:space="0" w:color="auto"/>
            </w:tcBorders>
          </w:tcPr>
          <w:p>
            <w:pPr>
              <w:pStyle w:val="nTable"/>
              <w:spacing w:before="0" w:after="40"/>
              <w:rPr>
                <w:ins w:id="4112" w:author="svcMRProcess" w:date="2020-02-20T23:16:00Z"/>
                <w:b/>
                <w:bCs/>
                <w:sz w:val="19"/>
              </w:rPr>
            </w:pPr>
            <w:ins w:id="4113" w:author="svcMRProcess" w:date="2020-02-20T23:16:00Z">
              <w:r>
                <w:rPr>
                  <w:b/>
                  <w:sz w:val="19"/>
                </w:rPr>
                <w:t xml:space="preserve">Reprint 16: The </w:t>
              </w:r>
              <w:r>
                <w:rPr>
                  <w:b/>
                  <w:i/>
                  <w:sz w:val="19"/>
                </w:rPr>
                <w:t>Stamp Act 1921</w:t>
              </w:r>
              <w:r>
                <w:rPr>
                  <w:b/>
                  <w:sz w:val="19"/>
                </w:rPr>
                <w:t xml:space="preserve"> as at 12 May 2006</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4114" w:name="_Hlt507390729"/>
      <w:bookmarkEnd w:id="4114"/>
      <w:r>
        <w:t xml:space="preserve">s </w:t>
      </w:r>
      <w:del w:id="4115" w:author="svcMRProcess" w:date="2020-02-20T23:16:00Z">
        <w:r>
          <w:rPr>
            <w:snapToGrid w:val="0"/>
          </w:rPr>
          <w:delText>compilation</w:delText>
        </w:r>
      </w:del>
      <w:ins w:id="4116" w:author="svcMRProcess" w:date="2020-02-20T23:16:00Z">
        <w:r>
          <w:t>reprint</w:t>
        </w:r>
      </w:ins>
      <w:r>
        <w:t xml:space="preserve"> was prepared, provisions referred to in the following table had not come into operation and were therefore not included in </w:t>
      </w:r>
      <w:del w:id="4117" w:author="svcMRProcess" w:date="2020-02-20T23:16:00Z">
        <w:r>
          <w:rPr>
            <w:snapToGrid w:val="0"/>
          </w:rPr>
          <w:delText>this compilation.</w:delText>
        </w:r>
      </w:del>
      <w:ins w:id="4118" w:author="svcMRProcess" w:date="2020-02-20T23:16:00Z">
        <w:r>
          <w:t xml:space="preserve">compiling the reprint. </w:t>
        </w:r>
      </w:ins>
      <w:r>
        <w:t xml:space="preserve"> For the text of the provisions see the endnotes referred to in the table.</w:t>
      </w:r>
    </w:p>
    <w:p>
      <w:pPr>
        <w:pStyle w:val="nHeading3"/>
        <w:rPr>
          <w:snapToGrid w:val="0"/>
        </w:rPr>
      </w:pPr>
      <w:bookmarkStart w:id="4119" w:name="_Toc134854837"/>
      <w:bookmarkStart w:id="4120" w:name="_Toc136841290"/>
      <w:bookmarkStart w:id="4121" w:name="_Toc534778309"/>
      <w:bookmarkStart w:id="4122" w:name="_Toc7405063"/>
      <w:bookmarkStart w:id="4123" w:name="_Toc116703346"/>
      <w:bookmarkStart w:id="4124" w:name="_Toc131416296"/>
      <w:bookmarkStart w:id="4125" w:name="_Toc170193479"/>
      <w:r>
        <w:rPr>
          <w:snapToGrid w:val="0"/>
        </w:rPr>
        <w:t>Provisions that have not come into operation</w:t>
      </w:r>
      <w:bookmarkEnd w:id="4119"/>
      <w:bookmarkEnd w:id="4120"/>
      <w:bookmarkEnd w:id="4121"/>
      <w:bookmarkEnd w:id="4122"/>
      <w:bookmarkEnd w:id="4123"/>
      <w:bookmarkEnd w:id="4124"/>
      <w:bookmarkEnd w:id="4125"/>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 xml:space="preserve">Number and </w:t>
            </w:r>
            <w:del w:id="4126" w:author="svcMRProcess" w:date="2020-02-20T23:16:00Z">
              <w:r>
                <w:rPr>
                  <w:b/>
                  <w:snapToGrid w:val="0"/>
                  <w:lang w:val="en-US"/>
                </w:rPr>
                <w:delText>Year</w:delText>
              </w:r>
            </w:del>
            <w:ins w:id="4127" w:author="svcMRProcess" w:date="2020-02-20T23:16:00Z">
              <w:r>
                <w:rPr>
                  <w:b/>
                  <w:snapToGrid w:val="0"/>
                  <w:sz w:val="19"/>
                  <w:lang w:val="en-US"/>
                </w:rPr>
                <w:t>year</w:t>
              </w:r>
            </w:ins>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30 </w:t>
            </w:r>
            <w:del w:id="4128" w:author="svcMRProcess" w:date="2020-02-20T23:16:00Z">
              <w:r>
                <w:rPr>
                  <w:sz w:val="19"/>
                  <w:vertAlign w:val="superscript"/>
                </w:rPr>
                <w:delText>48</w:delText>
              </w:r>
            </w:del>
            <w:ins w:id="4129" w:author="svcMRProcess" w:date="2020-02-20T23:16:00Z">
              <w:r>
                <w:rPr>
                  <w:sz w:val="19"/>
                  <w:vertAlign w:val="superscript"/>
                </w:rPr>
                <w:t>49</w:t>
              </w:r>
            </w:ins>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del w:id="4130" w:author="svcMRProcess" w:date="2020-02-20T23:16:00Z"/>
        </w:rPr>
      </w:pPr>
      <w:del w:id="4131" w:author="svcMRProcess" w:date="2020-02-20T23:16:00Z">
        <w:r>
          <w:rPr>
            <w:vertAlign w:val="superscript"/>
          </w:rPr>
          <w:delText>2</w:delText>
        </w:r>
        <w:r>
          <w:tab/>
          <w:delText xml:space="preserve">The </w:delText>
        </w:r>
        <w:r>
          <w:rPr>
            <w:i/>
          </w:rPr>
          <w:delText>Revenue Laws Amendment and Repeal Act 2004</w:delText>
        </w:r>
        <w:r>
          <w:delText xml:space="preserve"> s. 19 and 32 read as follows:</w:delText>
        </w:r>
      </w:del>
    </w:p>
    <w:p>
      <w:pPr>
        <w:pStyle w:val="MiscOpen"/>
        <w:rPr>
          <w:del w:id="4132" w:author="svcMRProcess" w:date="2020-02-20T23:16:00Z"/>
        </w:rPr>
      </w:pPr>
      <w:del w:id="4133" w:author="svcMRProcess" w:date="2020-02-20T23:16:00Z">
        <w:r>
          <w:delText>“</w:delText>
        </w:r>
      </w:del>
    </w:p>
    <w:p>
      <w:pPr>
        <w:pStyle w:val="nzHeading5"/>
        <w:rPr>
          <w:del w:id="4134" w:author="svcMRProcess" w:date="2020-02-20T23:16:00Z"/>
        </w:rPr>
      </w:pPr>
      <w:del w:id="4135" w:author="svcMRProcess" w:date="2020-02-20T23:16:00Z">
        <w:r>
          <w:rPr>
            <w:rStyle w:val="CharSectno"/>
          </w:rPr>
          <w:delText>19</w:delText>
        </w:r>
        <w:r>
          <w:delText>.</w:delText>
        </w:r>
        <w:r>
          <w:tab/>
          <w:delText>Transitional provisions</w:delText>
        </w:r>
      </w:del>
    </w:p>
    <w:p>
      <w:pPr>
        <w:pStyle w:val="nzSubsection"/>
        <w:rPr>
          <w:del w:id="4136" w:author="svcMRProcess" w:date="2020-02-20T23:16:00Z"/>
        </w:rPr>
      </w:pPr>
      <w:del w:id="4137" w:author="svcMRProcess" w:date="2020-02-20T23:16:00Z">
        <w:r>
          <w:tab/>
          <w:delText>(1)</w:delText>
        </w:r>
        <w:r>
          <w:tab/>
          <w:delText xml:space="preserve">The </w:delText>
        </w:r>
        <w:r>
          <w:rPr>
            <w:i/>
          </w:rPr>
          <w:delText>Stamp Act 1921</w:delText>
        </w:r>
        <w:r>
          <w:delText xml:space="preserve"> as amended by this Division applies in relation to instruments executed on or after 1 July 2004.</w:delText>
        </w:r>
      </w:del>
    </w:p>
    <w:p>
      <w:pPr>
        <w:pStyle w:val="nzSubsection"/>
        <w:rPr>
          <w:del w:id="4138" w:author="svcMRProcess" w:date="2020-02-20T23:16:00Z"/>
        </w:rPr>
      </w:pPr>
      <w:del w:id="4139" w:author="svcMRProcess" w:date="2020-02-20T23:16:00Z">
        <w:r>
          <w:tab/>
          <w:delText>(2)</w:delText>
        </w:r>
        <w:r>
          <w:tab/>
          <w:delText xml:space="preserve">The </w:delText>
        </w:r>
        <w:r>
          <w:rPr>
            <w:i/>
          </w:rPr>
          <w:delText>Stamp Act 1921</w:delText>
        </w:r>
        <w:r>
          <w:delText xml:space="preserve"> as in force immediately before the commencement of this Division applies in relation to instruments executed before 1 July 2004.</w:delText>
        </w:r>
      </w:del>
    </w:p>
    <w:p>
      <w:pPr>
        <w:pStyle w:val="nzHeading5"/>
        <w:rPr>
          <w:del w:id="4140" w:author="svcMRProcess" w:date="2020-02-20T23:16:00Z"/>
        </w:rPr>
      </w:pPr>
      <w:del w:id="4141" w:author="svcMRProcess" w:date="2020-02-20T23:16:00Z">
        <w:r>
          <w:rPr>
            <w:rStyle w:val="CharSectno"/>
          </w:rPr>
          <w:delText>32</w:delText>
        </w:r>
        <w:r>
          <w:delText>.</w:delText>
        </w:r>
        <w:r>
          <w:tab/>
          <w:delText>Section 91 amended and transitional provision</w:delText>
        </w:r>
      </w:del>
    </w:p>
    <w:p>
      <w:pPr>
        <w:pStyle w:val="nzSubsection"/>
        <w:rPr>
          <w:del w:id="4142" w:author="svcMRProcess" w:date="2020-02-20T23:16:00Z"/>
        </w:rPr>
      </w:pPr>
      <w:del w:id="4143" w:author="svcMRProcess" w:date="2020-02-20T23:16:00Z">
        <w:r>
          <w:tab/>
          <w:delText>(1)</w:delText>
        </w:r>
        <w:r>
          <w:tab/>
          <w:delText xml:space="preserve">Section 91(2) is amended by inserting after “located in” — </w:delText>
        </w:r>
      </w:del>
    </w:p>
    <w:p>
      <w:pPr>
        <w:pStyle w:val="Subsection"/>
        <w:rPr>
          <w:del w:id="4144" w:author="svcMRProcess" w:date="2020-02-20T23:16:00Z"/>
          <w:sz w:val="20"/>
        </w:rPr>
      </w:pPr>
      <w:del w:id="4145" w:author="svcMRProcess" w:date="2020-02-20T23:16:00Z">
        <w:r>
          <w:tab/>
        </w:r>
        <w:r>
          <w:rPr>
            <w:sz w:val="20"/>
          </w:rPr>
          <w:tab/>
        </w:r>
        <w:r>
          <w:rPr>
            <w:sz w:val="20"/>
          </w:rPr>
          <w:tab/>
          <w:delText>“    the State of Victoria or    ”.</w:delText>
        </w:r>
      </w:del>
    </w:p>
    <w:p>
      <w:pPr>
        <w:pStyle w:val="nzSubsection"/>
        <w:rPr>
          <w:del w:id="4146" w:author="svcMRProcess" w:date="2020-02-20T23:16:00Z"/>
        </w:rPr>
      </w:pPr>
      <w:del w:id="4147" w:author="svcMRProcess" w:date="2020-02-20T23:16:00Z">
        <w:r>
          <w:tab/>
          <w:delText>(2)</w:delText>
        </w:r>
        <w:r>
          <w:tab/>
          <w:delText xml:space="preserve">Despite the amendment effected by subsection (1), the </w:delText>
        </w:r>
        <w:r>
          <w:rPr>
            <w:i/>
          </w:rPr>
          <w:delText xml:space="preserve">Stamp Act 1921 </w:delText>
        </w:r>
        <w:r>
          <w:delText>as in force immediately before the commencement of that subsection continues to apply to and in relation to an advance made before 1 July 2004 in respect of property referred to in section 91.</w:delText>
        </w:r>
      </w:del>
    </w:p>
    <w:p>
      <w:pPr>
        <w:pStyle w:val="MiscClose"/>
        <w:rPr>
          <w:del w:id="4148" w:author="svcMRProcess" w:date="2020-02-20T23:16:00Z"/>
        </w:rPr>
      </w:pPr>
      <w:del w:id="4149" w:author="svcMRProcess" w:date="2020-02-20T23:16:00Z">
        <w:r>
          <w:delText>”.</w:delText>
        </w:r>
      </w:del>
    </w:p>
    <w:p>
      <w:pPr>
        <w:pStyle w:val="nSubsection"/>
        <w:rPr>
          <w:i/>
        </w:rPr>
      </w:pPr>
      <w:del w:id="4150" w:author="svcMRProcess" w:date="2020-02-20T23:16:00Z">
        <w:r>
          <w:rPr>
            <w:vertAlign w:val="superscript"/>
          </w:rPr>
          <w:delText>3</w:delText>
        </w:r>
      </w:del>
      <w:ins w:id="4151" w:author="svcMRProcess" w:date="2020-02-20T23:16:00Z">
        <w:r>
          <w:rPr>
            <w:vertAlign w:val="superscript"/>
          </w:rPr>
          <w:t>2</w:t>
        </w:r>
      </w:ins>
      <w:r>
        <w:tab/>
        <w:t xml:space="preserve">Repealed by the </w:t>
      </w:r>
      <w:r>
        <w:rPr>
          <w:i/>
        </w:rPr>
        <w:t>Mining Act 1978.</w:t>
      </w:r>
    </w:p>
    <w:p>
      <w:pPr>
        <w:pStyle w:val="nSubsection"/>
        <w:rPr>
          <w:del w:id="4152" w:author="svcMRProcess" w:date="2020-02-20T23:16:00Z"/>
        </w:rPr>
      </w:pPr>
      <w:del w:id="4153" w:author="svcMRProcess" w:date="2020-02-20T23:16:00Z">
        <w:r>
          <w:rPr>
            <w:vertAlign w:val="superscript"/>
          </w:rPr>
          <w:delText>4</w:delText>
        </w:r>
        <w:r>
          <w:tab/>
          <w:delText xml:space="preserve">The </w:delText>
        </w:r>
        <w:r>
          <w:rPr>
            <w:i/>
          </w:rPr>
          <w:delText xml:space="preserve">Business Tax Review (Assessment) Act (No. 2) 2003 </w:delText>
        </w:r>
        <w:r>
          <w:delText>s. 16(2), 24(3), 25(2), 27(2), 40(3), 50(2), (11), (12), 89</w:delText>
        </w:r>
        <w:r>
          <w:noBreakHyphen/>
          <w:delText>94 and 98(2) read as follows:</w:delText>
        </w:r>
      </w:del>
    </w:p>
    <w:p>
      <w:pPr>
        <w:pStyle w:val="MiscOpen"/>
        <w:ind w:left="284"/>
        <w:rPr>
          <w:del w:id="4154" w:author="svcMRProcess" w:date="2020-02-20T23:16:00Z"/>
        </w:rPr>
      </w:pPr>
      <w:del w:id="4155" w:author="svcMRProcess" w:date="2020-02-20T23:16:00Z">
        <w:r>
          <w:delText>“</w:delText>
        </w:r>
      </w:del>
    </w:p>
    <w:p>
      <w:pPr>
        <w:pStyle w:val="nzHeading5"/>
        <w:rPr>
          <w:del w:id="4156" w:author="svcMRProcess" w:date="2020-02-20T23:16:00Z"/>
          <w:rStyle w:val="CharSectno"/>
        </w:rPr>
      </w:pPr>
      <w:del w:id="4157" w:author="svcMRProcess" w:date="2020-02-20T23:16:00Z">
        <w:r>
          <w:rPr>
            <w:rStyle w:val="CharSectno"/>
          </w:rPr>
          <w:delText>16.</w:delText>
        </w:r>
        <w:r>
          <w:rPr>
            <w:rStyle w:val="CharSectno"/>
          </w:rPr>
          <w:tab/>
          <w:delText>Part IIIA (s. 49</w:delText>
        </w:r>
        <w:r>
          <w:rPr>
            <w:rStyle w:val="CharSectno"/>
          </w:rPr>
          <w:noBreakHyphen/>
          <w:delText>50D) repealed and transitional</w:delText>
        </w:r>
      </w:del>
    </w:p>
    <w:p>
      <w:pPr>
        <w:pStyle w:val="nzSubsection"/>
        <w:rPr>
          <w:del w:id="4158" w:author="svcMRProcess" w:date="2020-02-20T23:16:00Z"/>
        </w:rPr>
      </w:pPr>
      <w:del w:id="4159" w:author="svcMRProcess" w:date="2020-02-20T23:16:00Z">
        <w:r>
          <w:tab/>
          <w:delText>(2)</w:delText>
        </w:r>
        <w:r>
          <w:tab/>
          <w:delText>The amendments effected by this section and sections 87(2), 88(2) and 88(4) do not apply in relation to a blank cheque provided by a financial institution to the holder of a cheque account before this section came into operation regardless of when the cheque is drawn.</w:delText>
        </w:r>
      </w:del>
    </w:p>
    <w:p>
      <w:pPr>
        <w:pStyle w:val="nzHeading5"/>
        <w:rPr>
          <w:del w:id="4160" w:author="svcMRProcess" w:date="2020-02-20T23:16:00Z"/>
        </w:rPr>
      </w:pPr>
      <w:del w:id="4161" w:author="svcMRProcess" w:date="2020-02-20T23:16:00Z">
        <w:r>
          <w:rPr>
            <w:rStyle w:val="CharSectno"/>
          </w:rPr>
          <w:delText>24</w:delText>
        </w:r>
        <w:r>
          <w:delText>.</w:delText>
        </w:r>
        <w:r>
          <w:tab/>
          <w:delText>Section 63AF amended and transitional</w:delText>
        </w:r>
      </w:del>
    </w:p>
    <w:p>
      <w:pPr>
        <w:pStyle w:val="nzSubsection"/>
        <w:rPr>
          <w:del w:id="4162" w:author="svcMRProcess" w:date="2020-02-20T23:16:00Z"/>
        </w:rPr>
      </w:pPr>
      <w:del w:id="4163" w:author="svcMRProcess" w:date="2020-02-20T23:16:00Z">
        <w:r>
          <w:tab/>
          <w:delText>(3)</w:delText>
        </w:r>
        <w:r>
          <w:tab/>
          <w:delText>However, section 63AF(2) of the Stamp Act 1921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delText>
        </w:r>
      </w:del>
    </w:p>
    <w:p>
      <w:pPr>
        <w:pStyle w:val="nzHeading5"/>
        <w:rPr>
          <w:del w:id="4164" w:author="svcMRProcess" w:date="2020-02-20T23:16:00Z"/>
          <w:b w:val="0"/>
          <w:i/>
        </w:rPr>
      </w:pPr>
      <w:del w:id="4165" w:author="svcMRProcess" w:date="2020-02-20T23:16:00Z">
        <w:r>
          <w:rPr>
            <w:rStyle w:val="CharSectno"/>
          </w:rPr>
          <w:delText>25</w:delText>
        </w:r>
        <w:r>
          <w:delText>.</w:delText>
        </w:r>
        <w:r>
          <w:tab/>
          <w:delText>Sections 63AG to 63AJ inserted and transitional</w:delText>
        </w:r>
      </w:del>
    </w:p>
    <w:p>
      <w:pPr>
        <w:pStyle w:val="nzSubsection"/>
        <w:rPr>
          <w:del w:id="4166" w:author="svcMRProcess" w:date="2020-02-20T23:16:00Z"/>
        </w:rPr>
      </w:pPr>
      <w:del w:id="4167" w:author="svcMRProcess" w:date="2020-02-20T23:16:00Z">
        <w:r>
          <w:tab/>
          <w:delText>(2)</w:delText>
        </w:r>
        <w:r>
          <w:tab/>
          <w:delText xml:space="preserve">Section 63AG of the </w:delText>
        </w:r>
        <w:r>
          <w:rPr>
            <w:i/>
          </w:rPr>
          <w:delText>Stamp Act 1921</w:delText>
        </w:r>
        <w:r>
          <w:delText xml:space="preserve">, as inserted by subsection (1), does not apply to or in relation to a disposition referred to in that section — </w:delText>
        </w:r>
      </w:del>
    </w:p>
    <w:p>
      <w:pPr>
        <w:pStyle w:val="nzIndenta"/>
        <w:rPr>
          <w:del w:id="4168" w:author="svcMRProcess" w:date="2020-02-20T23:16:00Z"/>
        </w:rPr>
      </w:pPr>
      <w:del w:id="4169" w:author="svcMRProcess" w:date="2020-02-20T23:16:00Z">
        <w:r>
          <w:tab/>
          <w:delText>(a)</w:delText>
        </w:r>
        <w:r>
          <w:tab/>
          <w:delText>made before the day on which this section comes into operation; or</w:delText>
        </w:r>
      </w:del>
    </w:p>
    <w:p>
      <w:pPr>
        <w:pStyle w:val="nzIndenta"/>
        <w:rPr>
          <w:del w:id="4170" w:author="svcMRProcess" w:date="2020-02-20T23:16:00Z"/>
        </w:rPr>
      </w:pPr>
      <w:del w:id="4171" w:author="svcMRProcess" w:date="2020-02-20T23:16:00Z">
        <w:r>
          <w:tab/>
          <w:delText>(b)</w:delText>
        </w:r>
        <w:r>
          <w:tab/>
          <w:delText>made in response to an offer made or arrangement entered into before that day.</w:delText>
        </w:r>
      </w:del>
    </w:p>
    <w:p>
      <w:pPr>
        <w:pStyle w:val="nzHeading5"/>
        <w:rPr>
          <w:del w:id="4172" w:author="svcMRProcess" w:date="2020-02-20T23:16:00Z"/>
          <w:rStyle w:val="CharSectno"/>
        </w:rPr>
      </w:pPr>
      <w:del w:id="4173" w:author="svcMRProcess" w:date="2020-02-20T23:16:00Z">
        <w:r>
          <w:rPr>
            <w:rStyle w:val="CharSectno"/>
          </w:rPr>
          <w:delText>27.</w:delText>
        </w:r>
        <w:r>
          <w:rPr>
            <w:rStyle w:val="CharSectno"/>
          </w:rPr>
          <w:tab/>
          <w:delText>Section 69 amended and transitional</w:delText>
        </w:r>
      </w:del>
    </w:p>
    <w:p>
      <w:pPr>
        <w:pStyle w:val="nzSubsection"/>
        <w:rPr>
          <w:del w:id="4174" w:author="svcMRProcess" w:date="2020-02-20T23:16:00Z"/>
        </w:rPr>
      </w:pPr>
      <w:del w:id="4175" w:author="svcMRProcess" w:date="2020-02-20T23:16:00Z">
        <w:r>
          <w:tab/>
          <w:delText>(2)</w:delText>
        </w:r>
        <w:r>
          <w:tab/>
          <w:delTex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delText>
        </w:r>
      </w:del>
    </w:p>
    <w:p>
      <w:pPr>
        <w:pStyle w:val="nzHeading5"/>
        <w:rPr>
          <w:del w:id="4176" w:author="svcMRProcess" w:date="2020-02-20T23:16:00Z"/>
        </w:rPr>
      </w:pPr>
      <w:del w:id="4177" w:author="svcMRProcess" w:date="2020-02-20T23:16:00Z">
        <w:r>
          <w:rPr>
            <w:rStyle w:val="CharSectno"/>
          </w:rPr>
          <w:delText>40</w:delText>
        </w:r>
        <w:r>
          <w:delText>.</w:delText>
        </w:r>
        <w:r>
          <w:tab/>
          <w:delText>Section 75AG amended and transitional</w:delText>
        </w:r>
      </w:del>
    </w:p>
    <w:p>
      <w:pPr>
        <w:pStyle w:val="nzSubsection"/>
        <w:rPr>
          <w:del w:id="4178" w:author="svcMRProcess" w:date="2020-02-20T23:16:00Z"/>
        </w:rPr>
      </w:pPr>
      <w:del w:id="4179" w:author="svcMRProcess" w:date="2020-02-20T23:16:00Z">
        <w:r>
          <w:tab/>
          <w:delText>(3)</w:delText>
        </w:r>
        <w:r>
          <w:tab/>
          <w:delText>The amendments effected by this section do not apply in relation to —</w:delText>
        </w:r>
      </w:del>
    </w:p>
    <w:p>
      <w:pPr>
        <w:pStyle w:val="nzIndenta"/>
        <w:rPr>
          <w:del w:id="4180" w:author="svcMRProcess" w:date="2020-02-20T23:16:00Z"/>
        </w:rPr>
      </w:pPr>
      <w:del w:id="4181" w:author="svcMRProcess" w:date="2020-02-20T23:16:00Z">
        <w:r>
          <w:tab/>
          <w:delText>(a)</w:delText>
        </w:r>
        <w:r>
          <w:tab/>
          <w:delText xml:space="preserve">an agreement for the conveyance or transfer of residential property executed before this section came into operation regardless of when any instrument of conveyance or transfer entered into in accordance with the agreement is executed; or </w:delText>
        </w:r>
      </w:del>
    </w:p>
    <w:p>
      <w:pPr>
        <w:pStyle w:val="nzIndenta"/>
        <w:rPr>
          <w:del w:id="4182" w:author="svcMRProcess" w:date="2020-02-20T23:16:00Z"/>
        </w:rPr>
      </w:pPr>
      <w:del w:id="4183" w:author="svcMRProcess" w:date="2020-02-20T23:16:00Z">
        <w:r>
          <w:tab/>
          <w:delText>(b)</w:delText>
        </w:r>
        <w:r>
          <w:tab/>
          <w:delText>an instrument of conveyance or transfer made in accordance with an agreement referred to in paragraph (a), regardless of when the instrument is executed.</w:delText>
        </w:r>
      </w:del>
    </w:p>
    <w:p>
      <w:pPr>
        <w:pStyle w:val="nzHeading5"/>
        <w:rPr>
          <w:del w:id="4184" w:author="svcMRProcess" w:date="2020-02-20T23:16:00Z"/>
        </w:rPr>
      </w:pPr>
      <w:del w:id="4185" w:author="svcMRProcess" w:date="2020-02-20T23:16:00Z">
        <w:r>
          <w:rPr>
            <w:rStyle w:val="CharSectno"/>
          </w:rPr>
          <w:delText>50</w:delText>
        </w:r>
        <w:r>
          <w:delText>.</w:delText>
        </w:r>
        <w:r>
          <w:tab/>
          <w:delText>Section 75JB amended and transitional</w:delText>
        </w:r>
      </w:del>
    </w:p>
    <w:p>
      <w:pPr>
        <w:pStyle w:val="nzSubsection"/>
        <w:rPr>
          <w:del w:id="4186" w:author="svcMRProcess" w:date="2020-02-20T23:16:00Z"/>
        </w:rPr>
      </w:pPr>
      <w:del w:id="4187" w:author="svcMRProcess" w:date="2020-02-20T23:16:00Z">
        <w:r>
          <w:tab/>
          <w:delText>(2)</w:delText>
        </w:r>
        <w:r>
          <w:tab/>
          <w:delText>The amendment effected by subsection (1)(a) does not apply in relation to an instrument if, before the commencement day, the Commissioner issued a pre</w:delText>
        </w:r>
        <w:r>
          <w:noBreakHyphen/>
          <w:delText xml:space="preserve">determination to the effect that section 75JB(1)(d)(i) of the </w:delText>
        </w:r>
        <w:r>
          <w:rPr>
            <w:i/>
          </w:rPr>
          <w:delText>Stamp Act 1921</w:delText>
        </w:r>
        <w:r>
          <w:delText xml:space="preserve"> applied to the parties to the instrument, and in any such case —</w:delText>
        </w:r>
      </w:del>
    </w:p>
    <w:p>
      <w:pPr>
        <w:pStyle w:val="nzIndenta"/>
        <w:rPr>
          <w:del w:id="4188" w:author="svcMRProcess" w:date="2020-02-20T23:16:00Z"/>
        </w:rPr>
      </w:pPr>
      <w:del w:id="4189" w:author="svcMRProcess" w:date="2020-02-20T23:16:00Z">
        <w:r>
          <w:tab/>
          <w:delText>(a)</w:delText>
        </w:r>
        <w:r>
          <w:tab/>
          <w:delText xml:space="preserve">the reference in section 75JB(1)(d)(i) to section 75JA(1a) is to be read as a reference to that subsection as in force from time to time prior to its repeal by this Act; and </w:delText>
        </w:r>
      </w:del>
    </w:p>
    <w:p>
      <w:pPr>
        <w:pStyle w:val="nzIndenta"/>
        <w:rPr>
          <w:del w:id="4190" w:author="svcMRProcess" w:date="2020-02-20T23:16:00Z"/>
        </w:rPr>
      </w:pPr>
      <w:del w:id="4191" w:author="svcMRProcess" w:date="2020-02-20T23:16:00Z">
        <w:r>
          <w:tab/>
          <w:delText>(b)</w:delText>
        </w:r>
        <w:r>
          <w:tab/>
          <w:delText>any such pre</w:delText>
        </w:r>
        <w:r>
          <w:noBreakHyphen/>
          <w:delText>determination is as binding on the Commissioner after the commencement day as it was before that day.</w:delText>
        </w:r>
      </w:del>
    </w:p>
    <w:p>
      <w:pPr>
        <w:pStyle w:val="nzSubsection"/>
        <w:rPr>
          <w:del w:id="4192" w:author="svcMRProcess" w:date="2020-02-20T23:16:00Z"/>
        </w:rPr>
      </w:pPr>
      <w:del w:id="4193" w:author="svcMRProcess" w:date="2020-02-20T23:16:00Z">
        <w:r>
          <w:tab/>
          <w:delText>(11)</w:delText>
        </w:r>
        <w:r>
          <w:tab/>
          <w:delText xml:space="preserve">The amendments effected by subsections (6)(b), (6)(c), (10)(b) and (10)(c) do not apply in relation to an instrument executed before the commencement day, and in any such case the references in section 75JB of the </w:delText>
        </w:r>
        <w:r>
          <w:rPr>
            <w:i/>
          </w:rPr>
          <w:delText>Stamp Act 1921</w:delText>
        </w:r>
        <w:r>
          <w:delText xml:space="preserve"> to section 75JA(1a) of that Act are to be read as references to that subsection as in force from time to time prior to its repeal by this Act. </w:delText>
        </w:r>
      </w:del>
    </w:p>
    <w:p>
      <w:pPr>
        <w:pStyle w:val="nzSubsection"/>
        <w:rPr>
          <w:del w:id="4194" w:author="svcMRProcess" w:date="2020-02-20T23:16:00Z"/>
        </w:rPr>
      </w:pPr>
      <w:del w:id="4195" w:author="svcMRProcess" w:date="2020-02-20T23:16:00Z">
        <w:r>
          <w:tab/>
          <w:delText>(12)</w:delText>
        </w:r>
        <w:r>
          <w:tab/>
          <w:delText>In this section —</w:delText>
        </w:r>
      </w:del>
    </w:p>
    <w:p>
      <w:pPr>
        <w:pStyle w:val="nzDefstart"/>
        <w:rPr>
          <w:del w:id="4196" w:author="svcMRProcess" w:date="2020-02-20T23:16:00Z"/>
        </w:rPr>
      </w:pPr>
      <w:del w:id="4197" w:author="svcMRProcess" w:date="2020-02-20T23:16:00Z">
        <w:r>
          <w:rPr>
            <w:b/>
          </w:rPr>
          <w:tab/>
          <w:delText>“</w:delText>
        </w:r>
        <w:r>
          <w:rPr>
            <w:rStyle w:val="CharDefText"/>
          </w:rPr>
          <w:delText>commencement day</w:delText>
        </w:r>
        <w:r>
          <w:rPr>
            <w:b/>
          </w:rPr>
          <w:delText>”</w:delText>
        </w:r>
        <w:r>
          <w:delText xml:space="preserve"> means the day on which this section came into operation. </w:delText>
        </w:r>
      </w:del>
    </w:p>
    <w:p>
      <w:pPr>
        <w:pStyle w:val="nzHeading3"/>
        <w:rPr>
          <w:del w:id="4198" w:author="svcMRProcess" w:date="2020-02-20T23:16:00Z"/>
        </w:rPr>
      </w:pPr>
      <w:del w:id="4199" w:author="svcMRProcess" w:date="2020-02-20T23:16:00Z">
        <w:r>
          <w:rPr>
            <w:rStyle w:val="CharDivNo"/>
          </w:rPr>
          <w:delText>Division 2</w:delText>
        </w:r>
        <w:r>
          <w:delText> — </w:delText>
        </w:r>
        <w:r>
          <w:rPr>
            <w:rStyle w:val="CharDivText"/>
          </w:rPr>
          <w:delText>Transitional provisions</w:delText>
        </w:r>
      </w:del>
    </w:p>
    <w:p>
      <w:pPr>
        <w:pStyle w:val="nzHeading5"/>
        <w:rPr>
          <w:del w:id="4200" w:author="svcMRProcess" w:date="2020-02-20T23:16:00Z"/>
        </w:rPr>
      </w:pPr>
      <w:del w:id="4201" w:author="svcMRProcess" w:date="2020-02-20T23:16:00Z">
        <w:r>
          <w:rPr>
            <w:rStyle w:val="CharSectno"/>
          </w:rPr>
          <w:delText>89</w:delText>
        </w:r>
        <w:r>
          <w:delText>.</w:delText>
        </w:r>
        <w:r>
          <w:tab/>
          <w:delText>Registered pooled investment trusts</w:delText>
        </w:r>
      </w:del>
    </w:p>
    <w:p>
      <w:pPr>
        <w:pStyle w:val="nzSubsection"/>
        <w:rPr>
          <w:del w:id="4202" w:author="svcMRProcess" w:date="2020-02-20T23:16:00Z"/>
        </w:rPr>
      </w:pPr>
      <w:del w:id="4203" w:author="svcMRProcess" w:date="2020-02-20T23:16:00Z">
        <w:r>
          <w:tab/>
          <w:delText>(1)</w:delText>
        </w:r>
        <w:r>
          <w:tab/>
          <w:delText xml:space="preserve">In this section — </w:delText>
        </w:r>
      </w:del>
    </w:p>
    <w:p>
      <w:pPr>
        <w:pStyle w:val="nzDefstart"/>
        <w:rPr>
          <w:del w:id="4204" w:author="svcMRProcess" w:date="2020-02-20T23:16:00Z"/>
        </w:rPr>
      </w:pPr>
      <w:del w:id="4205" w:author="svcMRProcess" w:date="2020-02-20T23:16:00Z">
        <w:r>
          <w:rPr>
            <w:b/>
          </w:rPr>
          <w:tab/>
          <w:delText>“</w:delText>
        </w:r>
        <w:r>
          <w:rPr>
            <w:rStyle w:val="CharDefText"/>
          </w:rPr>
          <w:delText>commencement day</w:delText>
        </w:r>
        <w:r>
          <w:rPr>
            <w:b/>
          </w:rPr>
          <w:delText>”</w:delText>
        </w:r>
        <w:r>
          <w:delText xml:space="preserve"> means the day on which this section came into operation;</w:delText>
        </w:r>
      </w:del>
    </w:p>
    <w:p>
      <w:pPr>
        <w:pStyle w:val="nzDefstart"/>
        <w:rPr>
          <w:del w:id="4206" w:author="svcMRProcess" w:date="2020-02-20T23:16:00Z"/>
        </w:rPr>
      </w:pPr>
      <w:del w:id="4207" w:author="svcMRProcess" w:date="2020-02-20T23:16:00Z">
        <w:r>
          <w:rPr>
            <w:b/>
          </w:rPr>
          <w:tab/>
          <w:delText>“</w:delText>
        </w:r>
        <w:r>
          <w:rPr>
            <w:rStyle w:val="CharDefText"/>
          </w:rPr>
          <w:delText>former provisions</w:delText>
        </w:r>
        <w:r>
          <w:rPr>
            <w:b/>
          </w:rPr>
          <w:delText>”</w:delText>
        </w:r>
        <w:r>
          <w:delText xml:space="preserve"> means the </w:delText>
        </w:r>
        <w:r>
          <w:rPr>
            <w:i/>
          </w:rPr>
          <w:delText>Stamp Act 1921</w:delText>
        </w:r>
        <w:r>
          <w:delText>, as in force immediately before the commencement day;</w:delText>
        </w:r>
      </w:del>
    </w:p>
    <w:p>
      <w:pPr>
        <w:pStyle w:val="nzDefstart"/>
        <w:rPr>
          <w:del w:id="4208" w:author="svcMRProcess" w:date="2020-02-20T23:16:00Z"/>
        </w:rPr>
      </w:pPr>
      <w:del w:id="4209" w:author="svcMRProcess" w:date="2020-02-20T23:16:00Z">
        <w:r>
          <w:rPr>
            <w:b/>
          </w:rPr>
          <w:tab/>
          <w:delText>“</w:delText>
        </w:r>
        <w:r>
          <w:rPr>
            <w:rStyle w:val="CharDefText"/>
          </w:rPr>
          <w:delText>new provisions</w:delText>
        </w:r>
        <w:r>
          <w:rPr>
            <w:b/>
          </w:rPr>
          <w:delText>”</w:delText>
        </w:r>
        <w:r>
          <w:delText xml:space="preserve"> means the </w:delText>
        </w:r>
        <w:r>
          <w:rPr>
            <w:i/>
          </w:rPr>
          <w:delText>Stamp Act 1921</w:delText>
        </w:r>
        <w:r>
          <w:delText>, as in force on the commencement day;</w:delText>
        </w:r>
      </w:del>
    </w:p>
    <w:p>
      <w:pPr>
        <w:pStyle w:val="nzDefstart"/>
        <w:rPr>
          <w:del w:id="4210" w:author="svcMRProcess" w:date="2020-02-20T23:16:00Z"/>
        </w:rPr>
      </w:pPr>
      <w:del w:id="4211" w:author="svcMRProcess" w:date="2020-02-20T23:16:00Z">
        <w:r>
          <w:rPr>
            <w:b/>
          </w:rPr>
          <w:tab/>
          <w:delText>“</w:delText>
        </w:r>
        <w:r>
          <w:rPr>
            <w:rStyle w:val="CharDefText"/>
          </w:rPr>
          <w:delText>start up period</w:delText>
        </w:r>
        <w:r>
          <w:rPr>
            <w:b/>
          </w:rPr>
          <w:delText>”</w:delText>
        </w:r>
        <w:r>
          <w:delText xml:space="preserve"> has the same meaning as it has in section 63AC(2) of the former provisions and refers to a period that ends on or after the commencement day.</w:delText>
        </w:r>
      </w:del>
    </w:p>
    <w:p>
      <w:pPr>
        <w:pStyle w:val="nzSubsection"/>
        <w:rPr>
          <w:del w:id="4212" w:author="svcMRProcess" w:date="2020-02-20T23:16:00Z"/>
        </w:rPr>
      </w:pPr>
      <w:del w:id="4213" w:author="svcMRProcess" w:date="2020-02-20T23:16:00Z">
        <w:r>
          <w:tab/>
          <w:delText>(2)</w:delText>
        </w:r>
        <w:r>
          <w:tab/>
          <w:delText xml:space="preserve">Without limiting sections 63AD and 63AE of the new provisions, a disqualifying event occurs for the purposes of those sections if — </w:delText>
        </w:r>
      </w:del>
    </w:p>
    <w:p>
      <w:pPr>
        <w:pStyle w:val="nzIndenta"/>
        <w:rPr>
          <w:del w:id="4214" w:author="svcMRProcess" w:date="2020-02-20T23:16:00Z"/>
        </w:rPr>
      </w:pPr>
      <w:del w:id="4215" w:author="svcMRProcess" w:date="2020-02-20T23:16:00Z">
        <w:r>
          <w:tab/>
          <w:delText>(a)</w:delText>
        </w:r>
        <w:r>
          <w:tab/>
          <w:delText>on the commencement day, a pooled investment trust registered under section 63AA(2) of the former provisions; or</w:delText>
        </w:r>
      </w:del>
    </w:p>
    <w:p>
      <w:pPr>
        <w:pStyle w:val="nzIndenta"/>
        <w:rPr>
          <w:del w:id="4216" w:author="svcMRProcess" w:date="2020-02-20T23:16:00Z"/>
        </w:rPr>
      </w:pPr>
      <w:del w:id="4217" w:author="svcMRProcess" w:date="2020-02-20T23:16:00Z">
        <w:r>
          <w:tab/>
          <w:delText>(b)</w:delText>
        </w:r>
        <w:r>
          <w:tab/>
          <w:delText>on the day on which the start up period ends, a pooled investment trust granted interim registration under section 63AC(2) of the former provisions,</w:delText>
        </w:r>
      </w:del>
    </w:p>
    <w:p>
      <w:pPr>
        <w:pStyle w:val="nzSubsection"/>
        <w:rPr>
          <w:del w:id="4218" w:author="svcMRProcess" w:date="2020-02-20T23:16:00Z"/>
        </w:rPr>
      </w:pPr>
      <w:del w:id="4219" w:author="svcMRProcess" w:date="2020-02-20T23:16:00Z">
        <w:r>
          <w:tab/>
        </w:r>
        <w:r>
          <w:tab/>
          <w:delText>does not comply with section 63AB(2) of the new provisions.</w:delText>
        </w:r>
      </w:del>
    </w:p>
    <w:p>
      <w:pPr>
        <w:pStyle w:val="nzSubsection"/>
        <w:rPr>
          <w:del w:id="4220" w:author="svcMRProcess" w:date="2020-02-20T23:16:00Z"/>
        </w:rPr>
      </w:pPr>
      <w:del w:id="4221" w:author="svcMRProcess" w:date="2020-02-20T23:16:00Z">
        <w:r>
          <w:tab/>
          <w:delText>(3)</w:delText>
        </w:r>
        <w:r>
          <w:tab/>
          <w:delTex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delText>
        </w:r>
      </w:del>
    </w:p>
    <w:p>
      <w:pPr>
        <w:pStyle w:val="nzHeading5"/>
        <w:rPr>
          <w:del w:id="4222" w:author="svcMRProcess" w:date="2020-02-20T23:16:00Z"/>
        </w:rPr>
      </w:pPr>
      <w:del w:id="4223" w:author="svcMRProcess" w:date="2020-02-20T23:16:00Z">
        <w:r>
          <w:rPr>
            <w:rStyle w:val="CharSectno"/>
          </w:rPr>
          <w:delText>90</w:delText>
        </w:r>
        <w:r>
          <w:delText>.</w:delText>
        </w:r>
        <w:r>
          <w:tab/>
          <w:delText xml:space="preserve">Determinations under section 75JBA or 75JC </w:delText>
        </w:r>
      </w:del>
    </w:p>
    <w:p>
      <w:pPr>
        <w:pStyle w:val="nzSubsection"/>
        <w:rPr>
          <w:del w:id="4224" w:author="svcMRProcess" w:date="2020-02-20T23:16:00Z"/>
        </w:rPr>
      </w:pPr>
      <w:del w:id="4225" w:author="svcMRProcess" w:date="2020-02-20T23:16:00Z">
        <w:r>
          <w:tab/>
          <w:delText>(1)</w:delText>
        </w:r>
        <w:r>
          <w:tab/>
          <w:delText>In this section —</w:delText>
        </w:r>
      </w:del>
    </w:p>
    <w:p>
      <w:pPr>
        <w:pStyle w:val="nzDefstart"/>
        <w:rPr>
          <w:del w:id="4226" w:author="svcMRProcess" w:date="2020-02-20T23:16:00Z"/>
        </w:rPr>
      </w:pPr>
      <w:del w:id="4227" w:author="svcMRProcess" w:date="2020-02-20T23:16:00Z">
        <w:r>
          <w:rPr>
            <w:b/>
          </w:rPr>
          <w:tab/>
          <w:delText>“</w:delText>
        </w:r>
        <w:r>
          <w:rPr>
            <w:rStyle w:val="CharDefText"/>
          </w:rPr>
          <w:delText>commencement day</w:delText>
        </w:r>
        <w:r>
          <w:rPr>
            <w:b/>
          </w:rPr>
          <w:delText>”</w:delText>
        </w:r>
        <w:r>
          <w:delText xml:space="preserve"> means the day on which this section came into operation.</w:delText>
        </w:r>
      </w:del>
    </w:p>
    <w:p>
      <w:pPr>
        <w:pStyle w:val="nzSubsection"/>
        <w:rPr>
          <w:del w:id="4228" w:author="svcMRProcess" w:date="2020-02-20T23:16:00Z"/>
        </w:rPr>
      </w:pPr>
      <w:del w:id="4229" w:author="svcMRProcess" w:date="2020-02-20T23:16:00Z">
        <w:r>
          <w:tab/>
          <w:delText>(2)</w:delText>
        </w:r>
        <w:r>
          <w:tab/>
          <w:delText>If, before the commencement day, the Commissioner made a determination —</w:delText>
        </w:r>
      </w:del>
    </w:p>
    <w:p>
      <w:pPr>
        <w:pStyle w:val="nzIndenta"/>
        <w:rPr>
          <w:del w:id="4230" w:author="svcMRProcess" w:date="2020-02-20T23:16:00Z"/>
        </w:rPr>
      </w:pPr>
      <w:del w:id="4231" w:author="svcMRProcess" w:date="2020-02-20T23:16:00Z">
        <w:r>
          <w:tab/>
          <w:delText>(a)</w:delText>
        </w:r>
        <w:r>
          <w:tab/>
          <w:delText>under section 75JBA that a controlling body would be approved and the claw</w:delText>
        </w:r>
        <w:r>
          <w:noBreakHyphen/>
          <w:delText>back waived; or</w:delText>
        </w:r>
      </w:del>
    </w:p>
    <w:p>
      <w:pPr>
        <w:pStyle w:val="nzIndenta"/>
        <w:rPr>
          <w:del w:id="4232" w:author="svcMRProcess" w:date="2020-02-20T23:16:00Z"/>
        </w:rPr>
      </w:pPr>
      <w:del w:id="4233" w:author="svcMRProcess" w:date="2020-02-20T23:16:00Z">
        <w:r>
          <w:tab/>
          <w:delText>(b)</w:delText>
        </w:r>
        <w:r>
          <w:tab/>
          <w:delText>under section 75JC that an exemption would be granted,</w:delText>
        </w:r>
      </w:del>
    </w:p>
    <w:p>
      <w:pPr>
        <w:pStyle w:val="nzSubsection"/>
        <w:rPr>
          <w:del w:id="4234" w:author="svcMRProcess" w:date="2020-02-20T23:16:00Z"/>
        </w:rPr>
      </w:pPr>
      <w:del w:id="4235" w:author="svcMRProcess" w:date="2020-02-20T23:16:00Z">
        <w:r>
          <w:tab/>
        </w:r>
        <w:r>
          <w:tab/>
          <w:delText xml:space="preserve">the determination is as binding on the Commissioner after the commencement day as it was before that day, even if any of the relevant provisions of the </w:delText>
        </w:r>
        <w:r>
          <w:rPr>
            <w:i/>
          </w:rPr>
          <w:delText>Stamp Act 1921</w:delText>
        </w:r>
        <w:r>
          <w:delText xml:space="preserve"> have been amended or repealed by this Act. </w:delText>
        </w:r>
      </w:del>
    </w:p>
    <w:p>
      <w:pPr>
        <w:pStyle w:val="nzHeading5"/>
        <w:rPr>
          <w:del w:id="4236" w:author="svcMRProcess" w:date="2020-02-20T23:16:00Z"/>
        </w:rPr>
      </w:pPr>
      <w:del w:id="4237" w:author="svcMRProcess" w:date="2020-02-20T23:16:00Z">
        <w:r>
          <w:rPr>
            <w:rStyle w:val="CharSectno"/>
          </w:rPr>
          <w:delText>91</w:delText>
        </w:r>
        <w:r>
          <w:delText>.</w:delText>
        </w:r>
        <w:r>
          <w:tab/>
          <w:delText xml:space="preserve">Agreements for lease </w:delText>
        </w:r>
      </w:del>
    </w:p>
    <w:p>
      <w:pPr>
        <w:pStyle w:val="nzSubsection"/>
        <w:rPr>
          <w:del w:id="4238" w:author="svcMRProcess" w:date="2020-02-20T23:16:00Z"/>
        </w:rPr>
      </w:pPr>
      <w:del w:id="4239" w:author="svcMRProcess" w:date="2020-02-20T23:16:00Z">
        <w:r>
          <w:tab/>
        </w:r>
        <w:r>
          <w:tab/>
          <w:delText>The amendments effected by sections 5, 77, 78 and 87(6) do not</w:delText>
        </w:r>
        <w:r>
          <w:rPr>
            <w:b/>
          </w:rPr>
          <w:delText xml:space="preserve"> </w:delText>
        </w:r>
        <w:r>
          <w:delText>apply in relation to —</w:delText>
        </w:r>
      </w:del>
    </w:p>
    <w:p>
      <w:pPr>
        <w:pStyle w:val="nzIndenta"/>
        <w:rPr>
          <w:del w:id="4240" w:author="svcMRProcess" w:date="2020-02-20T23:16:00Z"/>
        </w:rPr>
      </w:pPr>
      <w:del w:id="4241" w:author="svcMRProcess" w:date="2020-02-20T23:16:00Z">
        <w:r>
          <w:tab/>
          <w:delText>(a)</w:delText>
        </w:r>
        <w:r>
          <w:tab/>
          <w:delText>an agreement for lease executed before this section came into operation regardless of when any lease entered into in accordance with the agreement is executed; or</w:delText>
        </w:r>
      </w:del>
    </w:p>
    <w:p>
      <w:pPr>
        <w:pStyle w:val="nzIndenta"/>
        <w:rPr>
          <w:del w:id="4242" w:author="svcMRProcess" w:date="2020-02-20T23:16:00Z"/>
        </w:rPr>
      </w:pPr>
      <w:del w:id="4243" w:author="svcMRProcess" w:date="2020-02-20T23:16:00Z">
        <w:r>
          <w:tab/>
          <w:delText>(b)</w:delText>
        </w:r>
        <w:r>
          <w:tab/>
          <w:delText>any such lease, regardless of when it is executed.</w:delText>
        </w:r>
      </w:del>
    </w:p>
    <w:p>
      <w:pPr>
        <w:pStyle w:val="nzHeading5"/>
        <w:rPr>
          <w:del w:id="4244" w:author="svcMRProcess" w:date="2020-02-20T23:16:00Z"/>
        </w:rPr>
      </w:pPr>
      <w:del w:id="4245" w:author="svcMRProcess" w:date="2020-02-20T23:16:00Z">
        <w:r>
          <w:rPr>
            <w:rStyle w:val="CharSectno"/>
          </w:rPr>
          <w:delText>92</w:delText>
        </w:r>
        <w:r>
          <w:delText>.</w:delText>
        </w:r>
        <w:r>
          <w:tab/>
          <w:delText xml:space="preserve">Mortgages </w:delText>
        </w:r>
      </w:del>
    </w:p>
    <w:p>
      <w:pPr>
        <w:pStyle w:val="nzSubsection"/>
        <w:rPr>
          <w:del w:id="4246" w:author="svcMRProcess" w:date="2020-02-20T23:16:00Z"/>
        </w:rPr>
      </w:pPr>
      <w:del w:id="4247" w:author="svcMRProcess" w:date="2020-02-20T23:16:00Z">
        <w:r>
          <w:tab/>
          <w:delText>(1)</w:delText>
        </w:r>
        <w:r>
          <w:tab/>
          <w:delText xml:space="preserve">In this section — </w:delText>
        </w:r>
      </w:del>
    </w:p>
    <w:p>
      <w:pPr>
        <w:pStyle w:val="nzDefstart"/>
        <w:rPr>
          <w:del w:id="4248" w:author="svcMRProcess" w:date="2020-02-20T23:16:00Z"/>
        </w:rPr>
      </w:pPr>
      <w:del w:id="4249" w:author="svcMRProcess" w:date="2020-02-20T23:16:00Z">
        <w:r>
          <w:rPr>
            <w:b/>
          </w:rPr>
          <w:tab/>
          <w:delText>“</w:delText>
        </w:r>
        <w:r>
          <w:rPr>
            <w:rStyle w:val="CharDefText"/>
          </w:rPr>
          <w:delText>amended Act</w:delText>
        </w:r>
        <w:r>
          <w:rPr>
            <w:b/>
          </w:rPr>
          <w:delText>”</w:delText>
        </w:r>
        <w:r>
          <w:delText xml:space="preserve"> means the </w:delText>
        </w:r>
        <w:r>
          <w:rPr>
            <w:i/>
          </w:rPr>
          <w:delText>Stamp Act 1921</w:delText>
        </w:r>
        <w:r>
          <w:delText xml:space="preserve"> as amended by this Act and the </w:delText>
        </w:r>
        <w:r>
          <w:rPr>
            <w:i/>
          </w:rPr>
          <w:delText>Business Tax Review (Taxing) Act (No. 2) 2003</w:delText>
        </w:r>
        <w:r>
          <w:delText>;</w:delText>
        </w:r>
      </w:del>
    </w:p>
    <w:p>
      <w:pPr>
        <w:pStyle w:val="nzDefstart"/>
        <w:rPr>
          <w:del w:id="4250" w:author="svcMRProcess" w:date="2020-02-20T23:16:00Z"/>
        </w:rPr>
      </w:pPr>
      <w:del w:id="4251" w:author="svcMRProcess" w:date="2020-02-20T23:16:00Z">
        <w:r>
          <w:rPr>
            <w:b/>
          </w:rPr>
          <w:tab/>
          <w:delText>“</w:delText>
        </w:r>
        <w:r>
          <w:rPr>
            <w:rStyle w:val="CharDefText"/>
          </w:rPr>
          <w:delText>commencement day</w:delText>
        </w:r>
        <w:r>
          <w:rPr>
            <w:b/>
          </w:rPr>
          <w:delText>”</w:delText>
        </w:r>
        <w:r>
          <w:delText xml:space="preserve"> means the day on which section 79 came into operation;</w:delText>
        </w:r>
      </w:del>
    </w:p>
    <w:p>
      <w:pPr>
        <w:pStyle w:val="nzDefstart"/>
        <w:rPr>
          <w:del w:id="4252" w:author="svcMRProcess" w:date="2020-02-20T23:16:00Z"/>
        </w:rPr>
      </w:pPr>
      <w:del w:id="4253" w:author="svcMRProcess" w:date="2020-02-20T23:16:00Z">
        <w:r>
          <w:rPr>
            <w:b/>
          </w:rPr>
          <w:tab/>
          <w:delText>“</w:delText>
        </w:r>
        <w:r>
          <w:rPr>
            <w:rStyle w:val="CharDefText"/>
          </w:rPr>
          <w:delText>former Act</w:delText>
        </w:r>
        <w:r>
          <w:rPr>
            <w:b/>
          </w:rPr>
          <w:delText>”</w:delText>
        </w:r>
        <w:r>
          <w:delText xml:space="preserve"> means the </w:delText>
        </w:r>
        <w:r>
          <w:rPr>
            <w:i/>
          </w:rPr>
          <w:delText>Stamp Act 1921</w:delText>
        </w:r>
        <w:r>
          <w:delText xml:space="preserve"> as in force from time to time before the commencement day.</w:delText>
        </w:r>
      </w:del>
    </w:p>
    <w:p>
      <w:pPr>
        <w:pStyle w:val="nzSubsection"/>
        <w:rPr>
          <w:del w:id="4254" w:author="svcMRProcess" w:date="2020-02-20T23:16:00Z"/>
        </w:rPr>
      </w:pPr>
      <w:del w:id="4255" w:author="svcMRProcess" w:date="2020-02-20T23:16:00Z">
        <w:r>
          <w:tab/>
          <w:delText>(2)</w:delText>
        </w:r>
        <w:r>
          <w:tab/>
          <w:delText>The amended Act does not apply to a mortgage or other security on which duty was payable under Part IIIE of the former Act if the amount secured by the mortgage does not increase on or after the commencement day.</w:delText>
        </w:r>
      </w:del>
    </w:p>
    <w:p>
      <w:pPr>
        <w:pStyle w:val="nzSubsection"/>
        <w:rPr>
          <w:del w:id="4256" w:author="svcMRProcess" w:date="2020-02-20T23:16:00Z"/>
        </w:rPr>
      </w:pPr>
      <w:del w:id="4257" w:author="svcMRProcess" w:date="2020-02-20T23:16:00Z">
        <w:r>
          <w:tab/>
          <w:delText>(3)</w:delText>
        </w:r>
        <w:r>
          <w:tab/>
          <w:delTex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delText>
        </w:r>
      </w:del>
    </w:p>
    <w:p>
      <w:pPr>
        <w:pStyle w:val="nzHeading5"/>
        <w:rPr>
          <w:del w:id="4258" w:author="svcMRProcess" w:date="2020-02-20T23:16:00Z"/>
        </w:rPr>
      </w:pPr>
      <w:del w:id="4259" w:author="svcMRProcess" w:date="2020-02-20T23:16:00Z">
        <w:r>
          <w:rPr>
            <w:rStyle w:val="CharSectno"/>
          </w:rPr>
          <w:delText>93</w:delText>
        </w:r>
        <w:r>
          <w:delText>.</w:delText>
        </w:r>
        <w:r>
          <w:tab/>
          <w:delText xml:space="preserve">Life insurance </w:delText>
        </w:r>
      </w:del>
    </w:p>
    <w:p>
      <w:pPr>
        <w:pStyle w:val="nzSubsection"/>
        <w:rPr>
          <w:del w:id="4260" w:author="svcMRProcess" w:date="2020-02-20T23:16:00Z"/>
          <w:b/>
        </w:rPr>
      </w:pPr>
      <w:del w:id="4261" w:author="svcMRProcess" w:date="2020-02-20T23:16:00Z">
        <w:r>
          <w:tab/>
        </w:r>
        <w:r>
          <w:tab/>
          <w:delText xml:space="preserve">The amendments effected by sections 80, 81, 82, 83 and 87(9) do not apply in relation to a policy of life insurance where the period for which the insurance is effected commenced before this section came into operation. </w:delText>
        </w:r>
      </w:del>
    </w:p>
    <w:p>
      <w:pPr>
        <w:pStyle w:val="nzHeading5"/>
        <w:rPr>
          <w:del w:id="4262" w:author="svcMRProcess" w:date="2020-02-20T23:16:00Z"/>
        </w:rPr>
      </w:pPr>
      <w:del w:id="4263" w:author="svcMRProcess" w:date="2020-02-20T23:16:00Z">
        <w:r>
          <w:rPr>
            <w:rStyle w:val="CharSectno"/>
          </w:rPr>
          <w:delText>94</w:delText>
        </w:r>
        <w:r>
          <w:delText>.</w:delText>
        </w:r>
        <w:r>
          <w:tab/>
          <w:delText xml:space="preserve">Hire of goods </w:delText>
        </w:r>
      </w:del>
    </w:p>
    <w:p>
      <w:pPr>
        <w:pStyle w:val="nzSubsection"/>
        <w:rPr>
          <w:del w:id="4264" w:author="svcMRProcess" w:date="2020-02-20T23:16:00Z"/>
        </w:rPr>
      </w:pPr>
      <w:del w:id="4265" w:author="svcMRProcess" w:date="2020-02-20T23:16:00Z">
        <w:r>
          <w:tab/>
          <w:delText>(1)</w:delText>
        </w:r>
        <w:r>
          <w:tab/>
          <w:delText xml:space="preserve">In this section — </w:delText>
        </w:r>
      </w:del>
    </w:p>
    <w:p>
      <w:pPr>
        <w:pStyle w:val="nzDefstart"/>
        <w:rPr>
          <w:del w:id="4266" w:author="svcMRProcess" w:date="2020-02-20T23:16:00Z"/>
        </w:rPr>
      </w:pPr>
      <w:del w:id="4267" w:author="svcMRProcess" w:date="2020-02-20T23:16:00Z">
        <w:r>
          <w:rPr>
            <w:b/>
          </w:rPr>
          <w:tab/>
          <w:delText>“</w:delText>
        </w:r>
        <w:r>
          <w:rPr>
            <w:rStyle w:val="CharDefText"/>
          </w:rPr>
          <w:delText>commencement</w:delText>
        </w:r>
        <w:r>
          <w:rPr>
            <w:b/>
          </w:rPr>
          <w:delText>”</w:delText>
        </w:r>
        <w:r>
          <w:delText xml:space="preserve"> means the time at which section 85 came into operation;</w:delText>
        </w:r>
      </w:del>
    </w:p>
    <w:p>
      <w:pPr>
        <w:pStyle w:val="nzDefstart"/>
        <w:rPr>
          <w:del w:id="4268" w:author="svcMRProcess" w:date="2020-02-20T23:16:00Z"/>
        </w:rPr>
      </w:pPr>
      <w:del w:id="4269" w:author="svcMRProcess" w:date="2020-02-20T23:16:00Z">
        <w:r>
          <w:rPr>
            <w:b/>
          </w:rPr>
          <w:tab/>
          <w:delText>“</w:delText>
        </w:r>
        <w:r>
          <w:rPr>
            <w:rStyle w:val="CharDefText"/>
          </w:rPr>
          <w:delText>new Part IVB</w:delText>
        </w:r>
        <w:r>
          <w:rPr>
            <w:b/>
          </w:rPr>
          <w:delText>”</w:delText>
        </w:r>
        <w:r>
          <w:delText xml:space="preserve"> means Part IVB of the </w:delText>
        </w:r>
        <w:r>
          <w:rPr>
            <w:i/>
          </w:rPr>
          <w:delText>Stamp Act 1921</w:delText>
        </w:r>
        <w:r>
          <w:delText xml:space="preserve"> as in force after commencement and, for the purposes of this section, is taken to include item 18 of the Second Schedule as in force after commencement;</w:delText>
        </w:r>
      </w:del>
    </w:p>
    <w:p>
      <w:pPr>
        <w:pStyle w:val="nzDefstart"/>
        <w:rPr>
          <w:del w:id="4270" w:author="svcMRProcess" w:date="2020-02-20T23:16:00Z"/>
        </w:rPr>
      </w:pPr>
      <w:del w:id="4271" w:author="svcMRProcess" w:date="2020-02-20T23:16:00Z">
        <w:r>
          <w:rPr>
            <w:b/>
          </w:rPr>
          <w:tab/>
          <w:delText>“</w:delText>
        </w:r>
        <w:r>
          <w:rPr>
            <w:rStyle w:val="CharDefText"/>
          </w:rPr>
          <w:delText>old Part IVB</w:delText>
        </w:r>
        <w:r>
          <w:rPr>
            <w:b/>
          </w:rPr>
          <w:delText>”</w:delText>
        </w:r>
        <w:r>
          <w:delText xml:space="preserve"> means Part IVB of the </w:delText>
        </w:r>
        <w:r>
          <w:rPr>
            <w:i/>
          </w:rPr>
          <w:delText>Stamp Act 1921</w:delText>
        </w:r>
        <w:r>
          <w:delText xml:space="preserve"> as in force immediately before commencement and, for the purposes of this section, is taken to include item 18 of the Second Schedule as in force immediately before commencement.</w:delText>
        </w:r>
      </w:del>
    </w:p>
    <w:p>
      <w:pPr>
        <w:pStyle w:val="nzSubsection"/>
        <w:rPr>
          <w:del w:id="4272" w:author="svcMRProcess" w:date="2020-02-20T23:16:00Z"/>
        </w:rPr>
      </w:pPr>
      <w:del w:id="4273" w:author="svcMRProcess" w:date="2020-02-20T23:16:00Z">
        <w:r>
          <w:tab/>
          <w:delText>(2)</w:delText>
        </w:r>
        <w:r>
          <w:tab/>
          <w:delText xml:space="preserve">An expression used in this section that is given a meaning in the </w:delText>
        </w:r>
        <w:r>
          <w:rPr>
            <w:i/>
          </w:rPr>
          <w:delText>Stamp Act 1921</w:delText>
        </w:r>
        <w:r>
          <w:delText xml:space="preserve"> (including old Part IVB and new Part IVB) has the meaning so given unless the contrary intention appears.</w:delText>
        </w:r>
      </w:del>
    </w:p>
    <w:p>
      <w:pPr>
        <w:pStyle w:val="nzSubsection"/>
        <w:rPr>
          <w:del w:id="4274" w:author="svcMRProcess" w:date="2020-02-20T23:16:00Z"/>
        </w:rPr>
      </w:pPr>
      <w:del w:id="4275" w:author="svcMRProcess" w:date="2020-02-20T23:16:00Z">
        <w:r>
          <w:tab/>
          <w:delText>(3)</w:delText>
        </w:r>
        <w:r>
          <w:tab/>
          <w:delText>On commencement, a person who was registered under old Part IVB immediately before commencement is taken, for all purposes, to have been registered under section 112JA of new Part IVB.</w:delText>
        </w:r>
      </w:del>
    </w:p>
    <w:p>
      <w:pPr>
        <w:pStyle w:val="nzSubsection"/>
        <w:rPr>
          <w:del w:id="4276" w:author="svcMRProcess" w:date="2020-02-20T23:16:00Z"/>
        </w:rPr>
      </w:pPr>
      <w:del w:id="4277" w:author="svcMRProcess" w:date="2020-02-20T23:16:00Z">
        <w:r>
          <w:tab/>
          <w:delText>(4)</w:delText>
        </w:r>
        <w:r>
          <w:tab/>
          <w:delTex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delText>
        </w:r>
      </w:del>
    </w:p>
    <w:p>
      <w:pPr>
        <w:pStyle w:val="nzSubsection"/>
        <w:rPr>
          <w:del w:id="4278" w:author="svcMRProcess" w:date="2020-02-20T23:16:00Z"/>
        </w:rPr>
      </w:pPr>
      <w:del w:id="4279" w:author="svcMRProcess" w:date="2020-02-20T23:16:00Z">
        <w:r>
          <w:tab/>
          <w:delText>(5)</w:delText>
        </w:r>
        <w:r>
          <w:tab/>
          <w:delText>On commencement, a designation made by the Minister under section 112N(1)(fa)(ii) of old Part IVB and in force immediately before commencement is taken, for all purposes, to have been made under section 112IC(2) of new Part IVB.</w:delText>
        </w:r>
      </w:del>
    </w:p>
    <w:p>
      <w:pPr>
        <w:pStyle w:val="nzSubsection"/>
        <w:rPr>
          <w:del w:id="4280" w:author="svcMRProcess" w:date="2020-02-20T23:16:00Z"/>
        </w:rPr>
      </w:pPr>
      <w:del w:id="4281" w:author="svcMRProcess" w:date="2020-02-20T23:16:00Z">
        <w:r>
          <w:tab/>
          <w:delText>(6)</w:delText>
        </w:r>
        <w:r>
          <w:tab/>
          <w:delText>New Part IVB applies to hiring charges received under a hire of goods entered into after commencement.</w:delText>
        </w:r>
      </w:del>
    </w:p>
    <w:p>
      <w:pPr>
        <w:pStyle w:val="nzSubsection"/>
        <w:rPr>
          <w:del w:id="4282" w:author="svcMRProcess" w:date="2020-02-20T23:16:00Z"/>
        </w:rPr>
      </w:pPr>
      <w:del w:id="4283" w:author="svcMRProcess" w:date="2020-02-20T23:16:00Z">
        <w:r>
          <w:tab/>
          <w:delText>(7)</w:delText>
        </w:r>
        <w:r>
          <w:tab/>
          <w:delText xml:space="preserve">Despite the repeal of old Part IVB, it continues to apply — </w:delText>
        </w:r>
      </w:del>
    </w:p>
    <w:p>
      <w:pPr>
        <w:pStyle w:val="nzIndenta"/>
        <w:rPr>
          <w:del w:id="4284" w:author="svcMRProcess" w:date="2020-02-20T23:16:00Z"/>
        </w:rPr>
      </w:pPr>
      <w:del w:id="4285" w:author="svcMRProcess" w:date="2020-02-20T23:16:00Z">
        <w:r>
          <w:tab/>
          <w:delText>(a)</w:delText>
        </w:r>
        <w:r>
          <w:tab/>
          <w:delText>in relation to the conduct of a rental business before commencement; and</w:delText>
        </w:r>
      </w:del>
    </w:p>
    <w:p>
      <w:pPr>
        <w:pStyle w:val="nzIndenta"/>
        <w:rPr>
          <w:del w:id="4286" w:author="svcMRProcess" w:date="2020-02-20T23:16:00Z"/>
        </w:rPr>
      </w:pPr>
      <w:del w:id="4287" w:author="svcMRProcess" w:date="2020-02-20T23:16:00Z">
        <w:r>
          <w:tab/>
          <w:delText>(b)</w:delText>
        </w:r>
        <w:r>
          <w:tab/>
          <w:delText>in relation to the conduct of a rental business after commencement to the extent that the conduct of the rental business relates to rights, granted before commencement, to which old Part IVB applied before commencement.</w:delText>
        </w:r>
      </w:del>
    </w:p>
    <w:p>
      <w:pPr>
        <w:pStyle w:val="nzSubsection"/>
        <w:rPr>
          <w:del w:id="4288" w:author="svcMRProcess" w:date="2020-02-20T23:16:00Z"/>
        </w:rPr>
      </w:pPr>
      <w:del w:id="4289" w:author="svcMRProcess" w:date="2020-02-20T23:16:00Z">
        <w:r>
          <w:tab/>
          <w:delText>(8)</w:delText>
        </w:r>
        <w:r>
          <w:tab/>
          <w:delText xml:space="preserve">To the extent that section 112O of old Part IVB has effect after commencement in relation to the conduct of a rental business, it has effect subject to the </w:delText>
        </w:r>
        <w:r>
          <w:rPr>
            <w:i/>
          </w:rPr>
          <w:delText>Taxation Administration Act 2003</w:delText>
        </w:r>
        <w:r>
          <w:delText>.</w:delText>
        </w:r>
      </w:del>
    </w:p>
    <w:p>
      <w:pPr>
        <w:pStyle w:val="nzHeading5"/>
        <w:rPr>
          <w:del w:id="4290" w:author="svcMRProcess" w:date="2020-02-20T23:16:00Z"/>
        </w:rPr>
      </w:pPr>
      <w:del w:id="4291" w:author="svcMRProcess" w:date="2020-02-20T23:16:00Z">
        <w:r>
          <w:rPr>
            <w:rStyle w:val="CharSectno"/>
          </w:rPr>
          <w:delText>98</w:delText>
        </w:r>
        <w:r>
          <w:delText>.</w:delText>
        </w:r>
        <w:r>
          <w:tab/>
          <w:delText>Section 92 amended and transitional</w:delText>
        </w:r>
      </w:del>
    </w:p>
    <w:p>
      <w:pPr>
        <w:pStyle w:val="nzSubsection"/>
        <w:rPr>
          <w:del w:id="4292" w:author="svcMRProcess" w:date="2020-02-20T23:16:00Z"/>
        </w:rPr>
      </w:pPr>
      <w:del w:id="4293" w:author="svcMRProcess" w:date="2020-02-20T23:16:00Z">
        <w:r>
          <w:tab/>
          <w:delText>(2)</w:delText>
        </w:r>
        <w:r>
          <w:tab/>
          <w:delText xml:space="preserve">The amendments effected by this section and section 99 do not apply in relation to a policy of insurance against an employer’s liability to pay compensation under the </w:delText>
        </w:r>
        <w:r>
          <w:rPr>
            <w:i/>
          </w:rPr>
          <w:delText>Workers’ Compensation and Rehabilitation Act 1981</w:delText>
        </w:r>
        <w:r>
          <w:delText xml:space="preserve"> where the period for which the insurance was effected commenced on or before 29 June 2004.</w:delText>
        </w:r>
      </w:del>
    </w:p>
    <w:p>
      <w:pPr>
        <w:pStyle w:val="MiscClose"/>
        <w:rPr>
          <w:del w:id="4294" w:author="svcMRProcess" w:date="2020-02-20T23:16:00Z"/>
        </w:rPr>
      </w:pPr>
      <w:del w:id="4295" w:author="svcMRProcess" w:date="2020-02-20T23:16:00Z">
        <w:r>
          <w:delText>”.</w:delText>
        </w:r>
      </w:del>
    </w:p>
    <w:p>
      <w:pPr>
        <w:pStyle w:val="nSubsection"/>
        <w:keepNext/>
        <w:rPr>
          <w:snapToGrid w:val="0"/>
        </w:rPr>
      </w:pPr>
      <w:del w:id="4296" w:author="svcMRProcess" w:date="2020-02-20T23:16:00Z">
        <w:r>
          <w:rPr>
            <w:snapToGrid w:val="0"/>
            <w:vertAlign w:val="superscript"/>
          </w:rPr>
          <w:delText>5</w:delText>
        </w:r>
      </w:del>
      <w:ins w:id="4297" w:author="svcMRProcess" w:date="2020-02-20T23:16:00Z">
        <w:r>
          <w:rPr>
            <w:snapToGrid w:val="0"/>
            <w:vertAlign w:val="superscript"/>
          </w:rPr>
          <w:t>3</w:t>
        </w:r>
      </w:ins>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rPr>
          <w:del w:id="4298" w:author="svcMRProcess" w:date="2020-02-20T23:16:00Z"/>
        </w:rPr>
      </w:pPr>
      <w:del w:id="4299" w:author="svcMRProcess" w:date="2020-02-20T23:16:00Z">
        <w:r>
          <w:rPr>
            <w:vertAlign w:val="superscript"/>
          </w:rPr>
          <w:delText>6</w:delText>
        </w:r>
        <w:r>
          <w:rPr>
            <w:i/>
          </w:rPr>
          <w:tab/>
        </w:r>
        <w:r>
          <w:delText>Formerly referred to the</w:delText>
        </w:r>
        <w:r>
          <w:rPr>
            <w:i/>
          </w:rPr>
          <w:delText xml:space="preserve"> Workers’ Compensation and Rehabilitation Act 1981</w:delText>
        </w:r>
        <w:r>
          <w:delText>, the short title of which was changed to the</w:delText>
        </w:r>
        <w:r>
          <w:rPr>
            <w:i/>
          </w:rPr>
          <w:delText xml:space="preserve"> Workers’ Compensation and Injury Management Act 1981 </w:delText>
        </w:r>
        <w:r>
          <w:delText>by the</w:delText>
        </w:r>
        <w:r>
          <w:rPr>
            <w:i/>
          </w:rPr>
          <w:delText xml:space="preserve"> Workers’ Compensation Reform Act 2004 </w:delText>
        </w:r>
        <w:r>
          <w:delText>s. 5</w:delText>
        </w:r>
        <w:r>
          <w:rPr>
            <w:i/>
          </w:rPr>
          <w:delText xml:space="preserve">. </w:delText>
        </w:r>
        <w:r>
          <w:delText xml:space="preserve">This reference was changed under the </w:delText>
        </w:r>
        <w:r>
          <w:rPr>
            <w:i/>
          </w:rPr>
          <w:delText>Reprints Act 1984</w:delText>
        </w:r>
        <w:r>
          <w:delText xml:space="preserve"> s. 7(3)(gb).</w:delText>
        </w:r>
      </w:del>
    </w:p>
    <w:p>
      <w:pPr>
        <w:pStyle w:val="nSubsection"/>
        <w:rPr>
          <w:del w:id="4300" w:author="svcMRProcess" w:date="2020-02-20T23:16:00Z"/>
        </w:rPr>
      </w:pPr>
      <w:del w:id="4301" w:author="svcMRProcess" w:date="2020-02-20T23:16:00Z">
        <w:r>
          <w:rPr>
            <w:vertAlign w:val="superscript"/>
          </w:rPr>
          <w:delText>7</w:delText>
        </w:r>
        <w:r>
          <w:tab/>
          <w:delText xml:space="preserve">The </w:delText>
        </w:r>
        <w:r>
          <w:rPr>
            <w:i/>
          </w:rPr>
          <w:delText xml:space="preserve">Revenue Laws Amendment Act 2004 </w:delText>
        </w:r>
        <w:r>
          <w:delText>s. 8 reads as follows:</w:delText>
        </w:r>
      </w:del>
    </w:p>
    <w:p>
      <w:pPr>
        <w:pStyle w:val="MiscOpen"/>
        <w:rPr>
          <w:del w:id="4302" w:author="svcMRProcess" w:date="2020-02-20T23:16:00Z"/>
        </w:rPr>
      </w:pPr>
      <w:del w:id="4303" w:author="svcMRProcess" w:date="2020-02-20T23:16:00Z">
        <w:r>
          <w:delText>“</w:delText>
        </w:r>
      </w:del>
    </w:p>
    <w:p>
      <w:pPr>
        <w:pStyle w:val="nzHeading5"/>
        <w:ind w:right="717"/>
        <w:rPr>
          <w:del w:id="4304" w:author="svcMRProcess" w:date="2020-02-20T23:16:00Z"/>
        </w:rPr>
      </w:pPr>
      <w:del w:id="4305" w:author="svcMRProcess" w:date="2020-02-20T23:16:00Z">
        <w:r>
          <w:rPr>
            <w:rStyle w:val="CharSectno"/>
          </w:rPr>
          <w:delText>8</w:delText>
        </w:r>
        <w:r>
          <w:delText>.</w:delText>
        </w:r>
        <w:r>
          <w:tab/>
          <w:delText>Transitional provision</w:delText>
        </w:r>
      </w:del>
    </w:p>
    <w:p>
      <w:pPr>
        <w:pStyle w:val="nzSubsection"/>
        <w:ind w:right="717"/>
        <w:rPr>
          <w:del w:id="4306" w:author="svcMRProcess" w:date="2020-02-20T23:16:00Z"/>
        </w:rPr>
      </w:pPr>
      <w:del w:id="4307" w:author="svcMRProcess" w:date="2020-02-20T23:16:00Z">
        <w:r>
          <w:tab/>
        </w:r>
        <w:r>
          <w:tab/>
          <w:delText xml:space="preserve">Despite the amendments made by this Division, the </w:delText>
        </w:r>
        <w:r>
          <w:rPr>
            <w:i/>
          </w:rPr>
          <w:delText>Stamp Act 1921</w:delText>
        </w:r>
        <w:r>
          <w:delText xml:space="preserve"> as in force immediately before the commencement of this Division applies to and in relation to —</w:delText>
        </w:r>
      </w:del>
    </w:p>
    <w:p>
      <w:pPr>
        <w:pStyle w:val="nzIndenta"/>
        <w:ind w:right="717"/>
        <w:rPr>
          <w:del w:id="4308" w:author="svcMRProcess" w:date="2020-02-20T23:16:00Z"/>
        </w:rPr>
      </w:pPr>
      <w:del w:id="4309" w:author="svcMRProcess" w:date="2020-02-20T23:16:00Z">
        <w:r>
          <w:tab/>
          <w:delText>(a)</w:delText>
        </w:r>
        <w:r>
          <w:tab/>
          <w:delText>an instrument that was first executed before 1 July 2004;</w:delText>
        </w:r>
      </w:del>
    </w:p>
    <w:p>
      <w:pPr>
        <w:pStyle w:val="nzIndenta"/>
        <w:ind w:right="717"/>
        <w:rPr>
          <w:del w:id="4310" w:author="svcMRProcess" w:date="2020-02-20T23:16:00Z"/>
        </w:rPr>
      </w:pPr>
      <w:del w:id="4311" w:author="svcMRProcess" w:date="2020-02-20T23:16:00Z">
        <w:r>
          <w:tab/>
          <w:delText>(b)</w:delText>
        </w:r>
        <w:r>
          <w:tab/>
          <w:delText>an instrument of conveyance or transfer that replaces another instrument for the conveyance or transfer of the same property where the replaced instrument was first executed before 1 July 2004;</w:delText>
        </w:r>
      </w:del>
    </w:p>
    <w:p>
      <w:pPr>
        <w:pStyle w:val="nzIndenta"/>
        <w:ind w:right="717"/>
        <w:rPr>
          <w:del w:id="4312" w:author="svcMRProcess" w:date="2020-02-20T23:16:00Z"/>
        </w:rPr>
      </w:pPr>
      <w:del w:id="4313" w:author="svcMRProcess" w:date="2020-02-20T23:16:00Z">
        <w:r>
          <w:tab/>
          <w:delText>(c)</w:delText>
        </w:r>
        <w:r>
          <w:tab/>
          <w:delText>an instrument of conveyance or transfer of property where —</w:delText>
        </w:r>
      </w:del>
    </w:p>
    <w:p>
      <w:pPr>
        <w:pStyle w:val="nzIndenti"/>
        <w:ind w:right="717"/>
        <w:rPr>
          <w:del w:id="4314" w:author="svcMRProcess" w:date="2020-02-20T23:16:00Z"/>
        </w:rPr>
      </w:pPr>
      <w:del w:id="4315" w:author="svcMRProcess" w:date="2020-02-20T23:16:00Z">
        <w:r>
          <w:tab/>
          <w:delText>(i)</w:delText>
        </w:r>
        <w:r>
          <w:tab/>
          <w:delText>the person to whom the property is conveyed or transferred (the transferee) had an option to purchase the property, or the person who conveys or transfers the property had an option to require the transferee to purchase the property; and</w:delText>
        </w:r>
      </w:del>
    </w:p>
    <w:p>
      <w:pPr>
        <w:pStyle w:val="nzIndenti"/>
        <w:ind w:right="717"/>
        <w:rPr>
          <w:del w:id="4316" w:author="svcMRProcess" w:date="2020-02-20T23:16:00Z"/>
        </w:rPr>
      </w:pPr>
      <w:del w:id="4317" w:author="svcMRProcess" w:date="2020-02-20T23:16:00Z">
        <w:r>
          <w:tab/>
          <w:delText>(ii)</w:delText>
        </w:r>
        <w:r>
          <w:tab/>
          <w:delText>in either case, the option was granted on or after 6 May 2004 but before 1 July 2004;</w:delText>
        </w:r>
      </w:del>
    </w:p>
    <w:p>
      <w:pPr>
        <w:pStyle w:val="nzIndenta"/>
        <w:ind w:right="717"/>
        <w:rPr>
          <w:del w:id="4318" w:author="svcMRProcess" w:date="2020-02-20T23:16:00Z"/>
        </w:rPr>
      </w:pPr>
      <w:del w:id="4319" w:author="svcMRProcess" w:date="2020-02-20T23:16:00Z">
        <w:r>
          <w:tab/>
        </w:r>
        <w:r>
          <w:tab/>
          <w:delText>and</w:delText>
        </w:r>
      </w:del>
    </w:p>
    <w:p>
      <w:pPr>
        <w:pStyle w:val="nzIndenta"/>
        <w:ind w:right="717"/>
        <w:rPr>
          <w:del w:id="4320" w:author="svcMRProcess" w:date="2020-02-20T23:16:00Z"/>
        </w:rPr>
      </w:pPr>
      <w:del w:id="4321" w:author="svcMRProcess" w:date="2020-02-20T23:16:00Z">
        <w:r>
          <w:tab/>
          <w:delText>(d)</w:delText>
        </w:r>
        <w:r>
          <w:tab/>
          <w:delText>an instrument of conveyance or transfer where —</w:delText>
        </w:r>
      </w:del>
    </w:p>
    <w:p>
      <w:pPr>
        <w:pStyle w:val="nzIndenti"/>
        <w:ind w:right="717"/>
        <w:rPr>
          <w:del w:id="4322" w:author="svcMRProcess" w:date="2020-02-20T23:16:00Z"/>
        </w:rPr>
      </w:pPr>
      <w:del w:id="4323" w:author="svcMRProcess" w:date="2020-02-20T23:16:00Z">
        <w:r>
          <w:tab/>
          <w:delText>(i)</w:delText>
        </w:r>
        <w:r>
          <w:tab/>
          <w:delText>the conveyance or transfer of property is made in accordance with an arrangement made on or after 6 May 2004; and</w:delText>
        </w:r>
      </w:del>
    </w:p>
    <w:p>
      <w:pPr>
        <w:pStyle w:val="nzIndenti"/>
        <w:ind w:right="717"/>
        <w:rPr>
          <w:del w:id="4324" w:author="svcMRProcess" w:date="2020-02-20T23:16:00Z"/>
        </w:rPr>
      </w:pPr>
      <w:del w:id="4325" w:author="svcMRProcess" w:date="2020-02-20T23:16:00Z">
        <w:r>
          <w:tab/>
          <w:delText>(ii)</w:delText>
        </w:r>
        <w:r>
          <w:tab/>
          <w:delText>the sole or principal purpose of the arrangement was to defer the conveyance or transfer of the property until 1 July 2004 or later so that the rates of duty applicable on or after 1 July 2004 would apply to the instrument.</w:delText>
        </w:r>
      </w:del>
    </w:p>
    <w:p>
      <w:pPr>
        <w:pStyle w:val="MiscClose"/>
        <w:rPr>
          <w:del w:id="4326" w:author="svcMRProcess" w:date="2020-02-20T23:16:00Z"/>
        </w:rPr>
      </w:pPr>
      <w:del w:id="4327" w:author="svcMRProcess" w:date="2020-02-20T23:16:00Z">
        <w:r>
          <w:delText>”.</w:delText>
        </w:r>
      </w:del>
    </w:p>
    <w:p>
      <w:pPr>
        <w:pStyle w:val="nSubsection"/>
        <w:rPr>
          <w:snapToGrid w:val="0"/>
        </w:rPr>
      </w:pPr>
      <w:del w:id="4328" w:author="svcMRProcess" w:date="2020-02-20T23:16:00Z">
        <w:r>
          <w:rPr>
            <w:snapToGrid w:val="0"/>
            <w:vertAlign w:val="superscript"/>
          </w:rPr>
          <w:delText>8</w:delText>
        </w:r>
      </w:del>
      <w:ins w:id="4329" w:author="svcMRProcess" w:date="2020-02-20T23:16:00Z">
        <w:r>
          <w:rPr>
            <w:snapToGrid w:val="0"/>
            <w:vertAlign w:val="superscript"/>
          </w:rPr>
          <w:t>4</w:t>
        </w:r>
      </w:ins>
      <w:r>
        <w:rPr>
          <w:snapToGrid w:val="0"/>
        </w:rPr>
        <w:tab/>
      </w:r>
      <w:r>
        <w:rPr>
          <w:iCs/>
          <w:snapToGrid w:val="0"/>
        </w:rPr>
        <w:t xml:space="preserve">The </w:t>
      </w:r>
      <w:r>
        <w:rPr>
          <w:i/>
          <w:snapToGrid w:val="0"/>
        </w:rPr>
        <w:t>Acts Amendment (Land Administration) Act 1997</w:t>
      </w:r>
      <w:r>
        <w:rPr>
          <w:snapToGrid w:val="0"/>
        </w:rPr>
        <w:t xml:space="preserve"> came into operation 30 Mar 1998.</w:t>
      </w:r>
    </w:p>
    <w:p>
      <w:pPr>
        <w:pStyle w:val="nSubsection"/>
        <w:rPr>
          <w:ins w:id="4330" w:author="svcMRProcess" w:date="2020-02-20T23:16:00Z"/>
          <w:snapToGrid w:val="0"/>
        </w:rPr>
      </w:pPr>
      <w:del w:id="4331" w:author="svcMRProcess" w:date="2020-02-20T23:16:00Z">
        <w:r>
          <w:rPr>
            <w:snapToGrid w:val="0"/>
            <w:vertAlign w:val="superscript"/>
          </w:rPr>
          <w:delText>9</w:delText>
        </w:r>
      </w:del>
      <w:ins w:id="4332" w:author="svcMRProcess" w:date="2020-02-20T23:16:00Z">
        <w:r>
          <w:rPr>
            <w:snapToGrid w:val="0"/>
            <w:vertAlign w:val="superscript"/>
          </w:rPr>
          <w:t>5</w:t>
        </w:r>
        <w:r>
          <w:rPr>
            <w:snapToGrid w:val="0"/>
          </w:rPr>
          <w:tab/>
          <w:t xml:space="preserve">The </w:t>
        </w:r>
        <w:r>
          <w:rPr>
            <w:i/>
            <w:iCs/>
            <w:snapToGrid w:val="0"/>
          </w:rPr>
          <w:t>Stamp Act Amendment Act (No. 2) 1952</w:t>
        </w:r>
        <w:r>
          <w:rPr>
            <w:snapToGrid w:val="0"/>
          </w:rPr>
          <w:t xml:space="preserve"> was repealed by the </w:t>
        </w:r>
        <w:r>
          <w:rPr>
            <w:i/>
            <w:iCs/>
            <w:snapToGrid w:val="0"/>
          </w:rPr>
          <w:t>Betting Control Act 1954</w:t>
        </w:r>
        <w:r>
          <w:rPr>
            <w:snapToGrid w:val="0"/>
          </w:rPr>
          <w:t xml:space="preserve"> s. 3(1).</w:t>
        </w:r>
      </w:ins>
    </w:p>
    <w:p>
      <w:pPr>
        <w:pStyle w:val="nSubsection"/>
        <w:rPr>
          <w:snapToGrid w:val="0"/>
        </w:rPr>
      </w:pPr>
      <w:ins w:id="4333" w:author="svcMRProcess" w:date="2020-02-20T23:16:00Z">
        <w:r>
          <w:rPr>
            <w:snapToGrid w:val="0"/>
            <w:vertAlign w:val="superscript"/>
          </w:rPr>
          <w:t>6</w:t>
        </w:r>
      </w:ins>
      <w:r>
        <w:rPr>
          <w:snapToGrid w:val="0"/>
        </w:rPr>
        <w:tab/>
        <w:t xml:space="preserve">The </w:t>
      </w:r>
      <w:r>
        <w:rPr>
          <w:i/>
          <w:snapToGrid w:val="0"/>
        </w:rPr>
        <w:t>Road Traffic Amendment Act 2000</w:t>
      </w:r>
      <w:r>
        <w:rPr>
          <w:snapToGrid w:val="0"/>
        </w:rPr>
        <w:t xml:space="preserve"> Pt. 3 Div. </w:t>
      </w:r>
      <w:del w:id="4334" w:author="svcMRProcess" w:date="2020-02-20T23:16:00Z">
        <w:r>
          <w:rPr>
            <w:snapToGrid w:val="0"/>
          </w:rPr>
          <w:delText>3 will not come into operation because it</w:delText>
        </w:r>
      </w:del>
      <w:ins w:id="4335" w:author="svcMRProcess" w:date="2020-02-20T23:16:00Z">
        <w:r>
          <w:rPr>
            <w:snapToGrid w:val="0"/>
          </w:rPr>
          <w:t>3</w:t>
        </w:r>
      </w:ins>
      <w:r>
        <w:rPr>
          <w:snapToGrid w:val="0"/>
        </w:rPr>
        <w:t xml:space="preserve"> was repealed by the </w:t>
      </w:r>
      <w:r>
        <w:rPr>
          <w:i/>
          <w:snapToGrid w:val="0"/>
        </w:rPr>
        <w:t>Taxation Administration (Consequential Provisions) Act 2002</w:t>
      </w:r>
      <w:r>
        <w:rPr>
          <w:snapToGrid w:val="0"/>
        </w:rPr>
        <w:t xml:space="preserve"> s. 28(3).</w:t>
      </w:r>
    </w:p>
    <w:p>
      <w:pPr>
        <w:pStyle w:val="nSubsection"/>
      </w:pPr>
      <w:del w:id="4336" w:author="svcMRProcess" w:date="2020-02-20T23:16:00Z">
        <w:r>
          <w:rPr>
            <w:snapToGrid w:val="0"/>
            <w:vertAlign w:val="superscript"/>
          </w:rPr>
          <w:delText>10</w:delText>
        </w:r>
      </w:del>
      <w:ins w:id="4337" w:author="svcMRProcess" w:date="2020-02-20T23:16:00Z">
        <w:r>
          <w:rPr>
            <w:snapToGrid w:val="0"/>
            <w:vertAlign w:val="superscript"/>
          </w:rPr>
          <w:t>7</w:t>
        </w:r>
      </w:ins>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7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If —</w:t>
      </w:r>
      <w:del w:id="4338" w:author="svcMRProcess" w:date="2020-02-20T23:16:00Z">
        <w:r>
          <w:delText xml:space="preserve"> </w:delText>
        </w:r>
      </w:del>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State taxing law and the corresponding applied law in relation to the event, state of affairs or transaction;</w:t>
      </w:r>
      <w:del w:id="4339" w:author="svcMRProcess" w:date="2020-02-20T23:16:00Z">
        <w:r>
          <w:delText xml:space="preserve"> </w:delText>
        </w:r>
      </w:del>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then —</w:t>
      </w:r>
      <w:del w:id="4340" w:author="svcMRProcess" w:date="2020-02-20T23:16:00Z">
        <w:r>
          <w:delText xml:space="preserve"> </w:delText>
        </w:r>
      </w:del>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1</w:t>
      </w:r>
      <w:r>
        <w:t xml:space="preserve"> — </w:t>
      </w:r>
      <w:r>
        <w:rPr>
          <w:rStyle w:val="CharDivText"/>
        </w:rPr>
        <w:t>The</w:t>
      </w:r>
      <w:r>
        <w:rPr>
          <w:rStyle w:val="CharDivText"/>
          <w:i/>
        </w:rPr>
        <w:t xml:space="preserve"> Stamp Act 1921</w:t>
      </w:r>
    </w:p>
    <w:p>
      <w:pPr>
        <w:pStyle w:val="nzHeading5"/>
        <w:rPr>
          <w:i/>
        </w:rPr>
      </w:pPr>
      <w:r>
        <w:rPr>
          <w:rStyle w:val="CharSectno"/>
        </w:rPr>
        <w:t>57</w:t>
      </w:r>
      <w:r>
        <w:t>.</w:t>
      </w:r>
      <w:r>
        <w:tab/>
      </w:r>
      <w:r>
        <w:rPr>
          <w:rStyle w:val="CharSectno"/>
        </w:rPr>
        <w:t>Modification</w:t>
      </w:r>
      <w:r>
        <w:t xml:space="preserve"> of the </w:t>
      </w:r>
      <w:r>
        <w:rPr>
          <w:i/>
        </w:rPr>
        <w:t>Stamp Act 1921</w:t>
      </w:r>
    </w:p>
    <w:p>
      <w:pPr>
        <w:pStyle w:val="nzSubsection"/>
      </w:pPr>
      <w:r>
        <w:tab/>
      </w:r>
      <w:r>
        <w:tab/>
        <w:t xml:space="preserve">This Division sets out modifications of the </w:t>
      </w:r>
      <w:r>
        <w:rPr>
          <w:i/>
        </w:rPr>
        <w:t>Stamp Act 1921</w:t>
      </w:r>
      <w:r>
        <w:t>.</w:t>
      </w:r>
    </w:p>
    <w:p>
      <w:pPr>
        <w:pStyle w:val="nzHeading5"/>
      </w:pPr>
      <w:r>
        <w:rPr>
          <w:rStyle w:val="CharSectno"/>
        </w:rPr>
        <w:t>58</w:t>
      </w:r>
      <w:r>
        <w:t>.</w:t>
      </w:r>
      <w:r>
        <w:tab/>
      </w:r>
      <w:r>
        <w:rPr>
          <w:rStyle w:val="CharSectno"/>
        </w:rPr>
        <w:t>Section</w:t>
      </w:r>
      <w:r>
        <w:t> 2 inserted</w:t>
      </w:r>
    </w:p>
    <w:p>
      <w:pPr>
        <w:pStyle w:val="nzSubsection"/>
      </w:pPr>
      <w:r>
        <w:tab/>
      </w:r>
      <w:r>
        <w:tab/>
        <w:t>After section 1 the following section is inserted —</w:t>
      </w:r>
      <w:del w:id="4341" w:author="svcMRProcess" w:date="2020-02-20T23:16:00Z">
        <w:r>
          <w:delText xml:space="preserve"> </w:delText>
        </w:r>
      </w:del>
    </w:p>
    <w:p>
      <w:pPr>
        <w:pStyle w:val="MiscOpen"/>
        <w:spacing w:before="0"/>
        <w:ind w:left="601"/>
      </w:pPr>
      <w:r>
        <w:t>“</w:t>
      </w:r>
      <w:del w:id="4342" w:author="svcMRProcess" w:date="2020-02-20T23:16:00Z">
        <w:r>
          <w:delText xml:space="preserve">    </w:delText>
        </w:r>
      </w:del>
    </w:p>
    <w:p>
      <w:pPr>
        <w:pStyle w:val="nzMiscellaneousHeading"/>
        <w:tabs>
          <w:tab w:val="left" w:pos="1134"/>
          <w:tab w:val="left" w:pos="1985"/>
        </w:tabs>
        <w:spacing w:before="0"/>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In this Act, unless the contrary intention appears —</w:t>
      </w:r>
      <w:del w:id="4343" w:author="svcMRProcess" w:date="2020-02-20T23:16:00Z">
        <w:r>
          <w:delText xml:space="preserve"> </w:delText>
        </w:r>
      </w:del>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those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 xml:space="preserve">Stamp Act Amendment Act 1979 </w:t>
      </w:r>
      <w:r>
        <w:t>is to be read as a reference to that Act in its application as a law of Western Australia;</w:t>
      </w:r>
      <w:del w:id="4344" w:author="svcMRProcess" w:date="2020-02-20T23:16:00Z">
        <w:r>
          <w:delText xml:space="preserve"> </w:delText>
        </w:r>
      </w:del>
    </w:p>
    <w:p>
      <w:pPr>
        <w:pStyle w:val="nzMiscellaneousBody"/>
        <w:tabs>
          <w:tab w:val="left" w:pos="1985"/>
          <w:tab w:val="left" w:pos="2552"/>
        </w:tabs>
        <w:ind w:left="2552" w:hanging="1985"/>
      </w:pPr>
      <w:r>
        <w:tab/>
        <w:t>(e)</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985"/>
          <w:tab w:val="left" w:pos="2552"/>
        </w:tabs>
        <w:ind w:left="2552" w:hanging="1985"/>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Stamp Act as a single body of law.</w:t>
      </w:r>
    </w:p>
    <w:p>
      <w:pPr>
        <w:pStyle w:val="nzMiscellaneousBody"/>
        <w:tabs>
          <w:tab w:val="left" w:pos="1418"/>
          <w:tab w:val="left" w:pos="1985"/>
        </w:tabs>
        <w:ind w:left="1985" w:hanging="1418"/>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ind w:right="577"/>
      </w:pPr>
      <w:r>
        <w:t xml:space="preserve">    ”.</w:t>
      </w:r>
    </w:p>
    <w:p>
      <w:pPr>
        <w:pStyle w:val="nzHeading5"/>
      </w:pPr>
      <w:r>
        <w:rPr>
          <w:rStyle w:val="CharSectno"/>
        </w:rPr>
        <w:t>59</w:t>
      </w:r>
      <w:r>
        <w:t>.</w:t>
      </w:r>
      <w:r>
        <w:tab/>
      </w:r>
      <w:r>
        <w:rPr>
          <w:rStyle w:val="CharSectno"/>
        </w:rPr>
        <w:t>Section</w:t>
      </w:r>
      <w:r>
        <w:t> 4 modified</w:t>
      </w:r>
    </w:p>
    <w:p>
      <w:pPr>
        <w:pStyle w:val="nzSubsection"/>
      </w:pPr>
      <w:r>
        <w:tab/>
      </w:r>
      <w:r>
        <w:tab/>
        <w:t>Section 4(1) is modified by inserting the following definitions in their appropriate alphabetical positions —</w:t>
      </w:r>
    </w:p>
    <w:p>
      <w:pPr>
        <w:pStyle w:val="MiscOpen"/>
        <w:spacing w:before="0"/>
        <w:ind w:left="601"/>
      </w:pPr>
      <w:r>
        <w:t>“</w:t>
      </w:r>
      <w:del w:id="4345" w:author="svcMRProcess" w:date="2020-02-20T23:16:00Z">
        <w:r>
          <w:delText xml:space="preserve">    </w:delText>
        </w:r>
      </w:del>
    </w:p>
    <w:p>
      <w:pPr>
        <w:pStyle w:val="nzMiscellaneousBody"/>
        <w:tabs>
          <w:tab w:val="left" w:pos="1418"/>
          <w:tab w:val="left" w:pos="1985"/>
        </w:tabs>
        <w:spacing w:before="0"/>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the applied Stamp Act applies, or is taken to have applied, under the Commonwealth Mirror Taxes Act;</w:t>
      </w:r>
    </w:p>
    <w:p>
      <w:pPr>
        <w:pStyle w:val="MiscClose"/>
        <w:ind w:right="577"/>
      </w:pPr>
      <w:r>
        <w:t xml:space="preserve">    ”.</w:t>
      </w:r>
    </w:p>
    <w:p>
      <w:pPr>
        <w:pStyle w:val="nzHeading5"/>
      </w:pPr>
      <w:r>
        <w:rPr>
          <w:rStyle w:val="CharSectno"/>
        </w:rPr>
        <w:t>60</w:t>
      </w:r>
      <w:r>
        <w:t>.</w:t>
      </w:r>
      <w:r>
        <w:tab/>
      </w:r>
      <w:r>
        <w:rPr>
          <w:rStyle w:val="CharSectno"/>
        </w:rPr>
        <w:t>Section</w:t>
      </w:r>
      <w:r>
        <w:t> 4AA inserted</w:t>
      </w:r>
    </w:p>
    <w:p>
      <w:pPr>
        <w:pStyle w:val="nzSubsection"/>
      </w:pPr>
      <w:r>
        <w:tab/>
      </w:r>
      <w:r>
        <w:tab/>
        <w:t>After section 4 the following section is inserted —</w:t>
      </w:r>
    </w:p>
    <w:p>
      <w:pPr>
        <w:pStyle w:val="MiscOpen"/>
        <w:spacing w:before="0"/>
        <w:ind w:left="601"/>
      </w:pPr>
      <w:r>
        <w:t>“</w:t>
      </w:r>
      <w:del w:id="4346" w:author="svcMRProcess" w:date="2020-02-20T23:16:00Z">
        <w:r>
          <w:delText xml:space="preserve">    </w:delText>
        </w:r>
      </w:del>
    </w:p>
    <w:p>
      <w:pPr>
        <w:pStyle w:val="nzMiscellaneousHeading"/>
        <w:tabs>
          <w:tab w:val="left" w:pos="1134"/>
          <w:tab w:val="left" w:pos="1985"/>
        </w:tabs>
        <w:spacing w:before="0"/>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applied Stamp Act, the amount of duty payable is calculated by reference to the amount equal to the sum of —</w:t>
      </w:r>
      <w:del w:id="4347" w:author="svcMRProcess" w:date="2020-02-20T23:16:00Z">
        <w:r>
          <w:delText xml:space="preserve"> </w:delText>
        </w:r>
      </w:del>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applied Stamp Act.</w:t>
      </w:r>
    </w:p>
    <w:p>
      <w:pPr>
        <w:pStyle w:val="nzMiscellaneousBody"/>
        <w:tabs>
          <w:tab w:val="left" w:pos="1418"/>
          <w:tab w:val="left" w:pos="1985"/>
        </w:tabs>
        <w:ind w:left="1985" w:hanging="1418"/>
      </w:pPr>
      <w:r>
        <w:tab/>
        <w:t>(2)</w:t>
      </w:r>
      <w:r>
        <w:tab/>
        <w:t>The amount of duty payable on the instrument or instruments under this Act is the amount calculated under subsection (1) minus any amount paid or payable under the applied Stamp Act.</w:t>
      </w:r>
    </w:p>
    <w:p>
      <w:pPr>
        <w:pStyle w:val="MiscClose"/>
        <w:ind w:right="577"/>
      </w:pPr>
      <w:r>
        <w:t xml:space="preserve">    ”.</w:t>
      </w:r>
    </w:p>
    <w:p>
      <w:pPr>
        <w:pStyle w:val="nzHeading5"/>
      </w:pPr>
      <w:r>
        <w:rPr>
          <w:rStyle w:val="CharSectno"/>
        </w:rPr>
        <w:t>61</w:t>
      </w:r>
      <w:r>
        <w:t>.</w:t>
      </w:r>
      <w:r>
        <w:tab/>
      </w:r>
      <w:r>
        <w:rPr>
          <w:rStyle w:val="CharSectno"/>
        </w:rPr>
        <w:t>Section</w:t>
      </w:r>
      <w:r>
        <w:t> 8 modified</w:t>
      </w:r>
    </w:p>
    <w:p>
      <w:pPr>
        <w:pStyle w:val="nzSubsection"/>
      </w:pPr>
      <w:r>
        <w:tab/>
        <w:t>(1)</w:t>
      </w:r>
      <w:r>
        <w:tab/>
        <w:t>Section 8 is modified by inserting before “The” the subsection designation “(1)”.</w:t>
      </w:r>
    </w:p>
    <w:p>
      <w:pPr>
        <w:pStyle w:val="nzSubsection"/>
      </w:pPr>
      <w:r>
        <w:tab/>
        <w:t>(2)</w:t>
      </w:r>
      <w:r>
        <w:tab/>
        <w:t>At the end of section 8 the following subsection is inserted —</w:t>
      </w:r>
      <w:del w:id="4348" w:author="svcMRProcess" w:date="2020-02-20T23:16:00Z">
        <w:r>
          <w:delText xml:space="preserve"> </w:delText>
        </w:r>
      </w:del>
    </w:p>
    <w:p>
      <w:pPr>
        <w:pStyle w:val="MiscOpen"/>
        <w:spacing w:before="0"/>
        <w:ind w:left="601"/>
      </w:pPr>
      <w:r>
        <w:t>“</w:t>
      </w:r>
      <w:del w:id="4349" w:author="svcMRProcess" w:date="2020-02-20T23:16:00Z">
        <w:r>
          <w:delText xml:space="preserve">    </w:delText>
        </w:r>
      </w:del>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pPr>
      <w:r>
        <w:rPr>
          <w:rStyle w:val="CharSectno"/>
        </w:rPr>
        <w:t>62</w:t>
      </w:r>
      <w:r>
        <w:t>.</w:t>
      </w:r>
      <w:r>
        <w:tab/>
      </w:r>
      <w:r>
        <w:rPr>
          <w:rStyle w:val="CharSectno"/>
        </w:rPr>
        <w:t>Section</w:t>
      </w:r>
      <w:r>
        <w:t>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 w:val="left" w:pos="2552"/>
        </w:tabs>
        <w:ind w:left="2552" w:hanging="1985"/>
      </w:pPr>
      <w:r>
        <w:tab/>
        <w:t>“    or the applied Stamp Act    ”;</w:t>
      </w:r>
    </w:p>
    <w:p>
      <w:pPr>
        <w:pStyle w:val="nzIndenta"/>
        <w:keepNext/>
      </w:pPr>
      <w:r>
        <w:tab/>
        <w:t>(b)</w:t>
      </w:r>
      <w:r>
        <w:tab/>
        <w:t>in paragraph (b) by inserting after “this Act” —</w:t>
      </w:r>
    </w:p>
    <w:p>
      <w:pPr>
        <w:pStyle w:val="nzMiscellaneousBody"/>
        <w:tabs>
          <w:tab w:val="left" w:pos="2268"/>
          <w:tab w:val="left" w:pos="2552"/>
        </w:tabs>
        <w:ind w:left="2552" w:hanging="1985"/>
      </w:pPr>
      <w:r>
        <w:tab/>
        <w:t>“    or the applied Stamp Act    ”.</w:t>
      </w:r>
    </w:p>
    <w:p>
      <w:pPr>
        <w:pStyle w:val="nzHeading5"/>
      </w:pPr>
      <w:r>
        <w:rPr>
          <w:rStyle w:val="CharSectno"/>
        </w:rPr>
        <w:t>63</w:t>
      </w:r>
      <w:r>
        <w:t>.</w:t>
      </w:r>
      <w:r>
        <w:tab/>
      </w:r>
      <w:r>
        <w:rPr>
          <w:rStyle w:val="CharSectno"/>
        </w:rPr>
        <w:t>Section</w:t>
      </w:r>
      <w:r>
        <w:t> 31B modified</w:t>
      </w:r>
      <w:del w:id="4350" w:author="svcMRProcess" w:date="2020-02-20T23:16:00Z">
        <w:r>
          <w:delText xml:space="preserve"> </w:delText>
        </w:r>
      </w:del>
    </w:p>
    <w:p>
      <w:pPr>
        <w:pStyle w:val="nzSubsection"/>
      </w:pPr>
      <w:r>
        <w:tab/>
      </w:r>
      <w:r>
        <w:tab/>
        <w:t>Section 31B(5) is modified by deleting “the law of another State or of a Territory” and inserting instead —</w:t>
      </w:r>
    </w:p>
    <w:p>
      <w:pPr>
        <w:pStyle w:val="MiscOpen"/>
        <w:spacing w:before="0"/>
        <w:ind w:left="601"/>
      </w:pPr>
      <w:r>
        <w:t>“</w:t>
      </w:r>
      <w:del w:id="4351" w:author="svcMRProcess" w:date="2020-02-20T23:16:00Z">
        <w:r>
          <w:delText xml:space="preserve">    </w:delText>
        </w:r>
      </w:del>
    </w:p>
    <w:p>
      <w:pPr>
        <w:pStyle w:val="nzMiscellaneousBody"/>
        <w:tabs>
          <w:tab w:val="left" w:pos="1134"/>
        </w:tabs>
        <w:ind w:left="1134" w:hanging="567"/>
      </w:pPr>
      <w:r>
        <w:tab/>
        <w:t>the applied Stamp Act or a law in force in another State or a Territory, including an applied interstate law</w:t>
      </w:r>
    </w:p>
    <w:p>
      <w:pPr>
        <w:pStyle w:val="MiscClose"/>
        <w:ind w:right="577"/>
      </w:pPr>
      <w:r>
        <w:t xml:space="preserve">    ”.</w:t>
      </w:r>
    </w:p>
    <w:p>
      <w:pPr>
        <w:pStyle w:val="nzHeading5"/>
      </w:pPr>
      <w:r>
        <w:rPr>
          <w:rStyle w:val="CharSectno"/>
        </w:rPr>
        <w:t>64</w:t>
      </w:r>
      <w:r>
        <w:t>.</w:t>
      </w:r>
      <w:r>
        <w:tab/>
      </w:r>
      <w:r>
        <w:rPr>
          <w:rStyle w:val="CharSectno"/>
        </w:rPr>
        <w:t>Section</w:t>
      </w:r>
      <w:r>
        <w:t> 73D modified</w:t>
      </w:r>
    </w:p>
    <w:p>
      <w:pPr>
        <w:pStyle w:val="nzSubsection"/>
      </w:pPr>
      <w:r>
        <w:tab/>
      </w:r>
      <w:r>
        <w:tab/>
        <w:t>Section 73D(6a)(b) is modified by deleting “in another jurisdiction” and inserting instead —</w:t>
      </w:r>
    </w:p>
    <w:p>
      <w:pPr>
        <w:pStyle w:val="nzSubsection"/>
      </w:pPr>
      <w:r>
        <w:t>“</w:t>
      </w:r>
      <w:del w:id="4352" w:author="svcMRProcess" w:date="2020-02-20T23:16:00Z">
        <w:r>
          <w:delText xml:space="preserve">    </w:delText>
        </w:r>
      </w:del>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65</w:t>
      </w:r>
      <w:r>
        <w:t>.</w:t>
      </w:r>
      <w:r>
        <w:tab/>
      </w:r>
      <w:r>
        <w:rPr>
          <w:rStyle w:val="CharSectno"/>
        </w:rPr>
        <w:t>Section</w:t>
      </w:r>
      <w:r>
        <w:t> 75AE modified</w:t>
      </w:r>
    </w:p>
    <w:p>
      <w:pPr>
        <w:pStyle w:val="nzSubsection"/>
      </w:pPr>
      <w:r>
        <w:tab/>
      </w:r>
      <w:r>
        <w:tab/>
        <w:t>After subsection 75AE(2) the following subsection is inserted —</w:t>
      </w:r>
      <w:del w:id="4353" w:author="svcMRProcess" w:date="2020-02-20T23:16:00Z">
        <w:r>
          <w:delText xml:space="preserve"> </w:delText>
        </w:r>
      </w:del>
    </w:p>
    <w:p>
      <w:pPr>
        <w:pStyle w:val="MiscOpen"/>
        <w:spacing w:before="0"/>
        <w:ind w:left="601"/>
      </w:pPr>
      <w:r>
        <w:t>“</w:t>
      </w:r>
      <w:del w:id="4354" w:author="svcMRProcess" w:date="2020-02-20T23:16:00Z">
        <w:r>
          <w:delText xml:space="preserve">    </w:delText>
        </w:r>
      </w:del>
    </w:p>
    <w:p>
      <w:pPr>
        <w:pStyle w:val="nzMiscellaneousBody"/>
        <w:tabs>
          <w:tab w:val="left" w:pos="1134"/>
          <w:tab w:val="left" w:pos="1701"/>
        </w:tabs>
        <w:ind w:left="1701" w:hanging="1134"/>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rPr>
          <w:rStyle w:val="CharSectno"/>
        </w:rPr>
        <w:t>66</w:t>
      </w:r>
      <w:r>
        <w:t>.</w:t>
      </w:r>
      <w:r>
        <w:tab/>
      </w:r>
      <w:r>
        <w:rPr>
          <w:rStyle w:val="CharSectno"/>
        </w:rPr>
        <w:t>Section</w:t>
      </w:r>
      <w:r>
        <w:t> 76AH modified</w:t>
      </w:r>
    </w:p>
    <w:p>
      <w:pPr>
        <w:pStyle w:val="nzSubsection"/>
      </w:pPr>
      <w:r>
        <w:tab/>
      </w:r>
      <w:r>
        <w:tab/>
        <w:t>Section 76AH(4)(b) is modified by deleting “in another jurisdiction” and inserting instead —</w:t>
      </w:r>
      <w:del w:id="4355" w:author="svcMRProcess" w:date="2020-02-20T23:16:00Z">
        <w:r>
          <w:delText xml:space="preserve"> </w:delText>
        </w:r>
      </w:del>
    </w:p>
    <w:p>
      <w:pPr>
        <w:pStyle w:val="MiscOpen"/>
        <w:spacing w:before="0"/>
        <w:ind w:left="601"/>
      </w:pPr>
      <w:r>
        <w:t>“</w:t>
      </w:r>
      <w:del w:id="4356" w:author="svcMRProcess" w:date="2020-02-20T23:16:00Z">
        <w:r>
          <w:delText xml:space="preserve">    </w:delText>
        </w:r>
      </w:del>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67</w:t>
      </w:r>
      <w:r>
        <w:t>.</w:t>
      </w:r>
      <w:r>
        <w:tab/>
      </w:r>
      <w:r>
        <w:rPr>
          <w:rStyle w:val="CharSectno"/>
        </w:rPr>
        <w:t>Section</w:t>
      </w:r>
      <w:r>
        <w:t> 76AO modified</w:t>
      </w:r>
    </w:p>
    <w:p>
      <w:pPr>
        <w:pStyle w:val="nzSubsection"/>
        <w:keepNext/>
      </w:pPr>
      <w:r>
        <w:tab/>
      </w:r>
      <w:r>
        <w:tab/>
        <w:t>Section 76AO(4)(b) is modified by deleting “in another jurisdiction” and inserting instead —</w:t>
      </w:r>
      <w:del w:id="4357" w:author="svcMRProcess" w:date="2020-02-20T23:16:00Z">
        <w:r>
          <w:delText xml:space="preserve"> </w:delText>
        </w:r>
      </w:del>
    </w:p>
    <w:p>
      <w:pPr>
        <w:pStyle w:val="MiscOpen"/>
        <w:spacing w:before="0"/>
        <w:ind w:left="601"/>
      </w:pPr>
      <w:r>
        <w:t>“</w:t>
      </w:r>
      <w:del w:id="4358" w:author="svcMRProcess" w:date="2020-02-20T23:16:00Z">
        <w:r>
          <w:delText xml:space="preserve">    </w:delText>
        </w:r>
      </w:del>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68</w:t>
      </w:r>
      <w:r>
        <w:t>.</w:t>
      </w:r>
      <w:r>
        <w:tab/>
      </w:r>
      <w:r>
        <w:rPr>
          <w:rStyle w:val="CharSectno"/>
        </w:rPr>
        <w:t>Section</w:t>
      </w:r>
      <w:r>
        <w:t> 84 modified</w:t>
      </w:r>
    </w:p>
    <w:p>
      <w:pPr>
        <w:pStyle w:val="nzSubsection"/>
      </w:pPr>
      <w:r>
        <w:tab/>
      </w:r>
      <w:r>
        <w:tab/>
        <w:t>After section 84(4) the following subsection is inserted —</w:t>
      </w:r>
      <w:del w:id="4359" w:author="svcMRProcess" w:date="2020-02-20T23:16:00Z">
        <w:r>
          <w:delText xml:space="preserve"> </w:delText>
        </w:r>
      </w:del>
    </w:p>
    <w:p>
      <w:pPr>
        <w:pStyle w:val="MiscOpen"/>
        <w:spacing w:before="0"/>
        <w:ind w:left="601"/>
      </w:pPr>
      <w:r>
        <w:t>“</w:t>
      </w:r>
      <w:del w:id="4360" w:author="svcMRProcess" w:date="2020-02-20T23:16:00Z">
        <w:r>
          <w:delText xml:space="preserve">    </w:delText>
        </w:r>
      </w:del>
    </w:p>
    <w:p>
      <w:pPr>
        <w:pStyle w:val="nzMiscellaneousBody"/>
        <w:tabs>
          <w:tab w:val="left" w:pos="1134"/>
          <w:tab w:val="left" w:pos="1701"/>
        </w:tabs>
        <w:ind w:left="1701" w:hanging="1134"/>
      </w:pPr>
      <w:r>
        <w:tab/>
        <w:t>(5)</w:t>
      </w:r>
      <w:r>
        <w:tab/>
        <w:t>In this section —</w:t>
      </w:r>
      <w:del w:id="4361" w:author="svcMRProcess" w:date="2020-02-20T23:16:00Z">
        <w:r>
          <w:delText xml:space="preserve"> </w:delText>
        </w:r>
      </w:del>
    </w:p>
    <w:p>
      <w:pPr>
        <w:pStyle w:val="nzMiscellaneousBody"/>
        <w:tabs>
          <w:tab w:val="left" w:pos="1701"/>
          <w:tab w:val="left" w:pos="2268"/>
        </w:tabs>
        <w:ind w:left="2268" w:hanging="1701"/>
      </w:pPr>
      <w:r>
        <w:tab/>
        <w:t>(a)</w:t>
      </w:r>
      <w:r>
        <w:tab/>
        <w:t>a reference to duty paid or payable in another State is to be read as including a reference to duty paid or payable under the applied Stamp Act or under an applied interstate law;</w:t>
      </w:r>
    </w:p>
    <w:p>
      <w:pPr>
        <w:pStyle w:val="nzMiscellaneousBody"/>
        <w:tabs>
          <w:tab w:val="left" w:pos="1701"/>
          <w:tab w:val="left" w:pos="2268"/>
        </w:tabs>
        <w:ind w:left="2268" w:hanging="1701"/>
      </w:pPr>
      <w:r>
        <w:tab/>
        <w:t>(b)</w:t>
      </w:r>
      <w:r>
        <w:tab/>
        <w:t>a reference to an instrument that is exempt in another State is to be read as including a reference to an instrument that is exempt under the applied Stamp Act or under an applied interstate law.</w:t>
      </w:r>
    </w:p>
    <w:p>
      <w:pPr>
        <w:pStyle w:val="MiscClose"/>
        <w:ind w:right="577"/>
      </w:pPr>
      <w:r>
        <w:t>”.</w:t>
      </w:r>
    </w:p>
    <w:p>
      <w:pPr>
        <w:pStyle w:val="nzHeading5"/>
      </w:pPr>
      <w:r>
        <w:rPr>
          <w:rStyle w:val="CharSectno"/>
        </w:rPr>
        <w:t>69</w:t>
      </w:r>
      <w:r>
        <w:t>.</w:t>
      </w:r>
      <w:r>
        <w:tab/>
      </w:r>
      <w:r>
        <w:rPr>
          <w:rStyle w:val="CharSectno"/>
        </w:rPr>
        <w:t>Section</w:t>
      </w:r>
      <w:r>
        <w:t> 87 modified</w:t>
      </w:r>
    </w:p>
    <w:p>
      <w:pPr>
        <w:pStyle w:val="nzSubsection"/>
      </w:pPr>
      <w:r>
        <w:tab/>
        <w:t>(1)</w:t>
      </w:r>
      <w:r>
        <w:tab/>
        <w:t>Section 87(1) is modified by inserting after “Second Schedule” —</w:t>
      </w:r>
    </w:p>
    <w:p>
      <w:pPr>
        <w:pStyle w:val="MiscOpen"/>
        <w:spacing w:before="0"/>
        <w:ind w:left="601"/>
      </w:pPr>
      <w:r>
        <w:t>“</w:t>
      </w:r>
      <w:del w:id="4362" w:author="svcMRProcess" w:date="2020-02-20T23:16:00Z">
        <w:r>
          <w:delText xml:space="preserve">    </w:delText>
        </w:r>
      </w:del>
    </w:p>
    <w:p>
      <w:pPr>
        <w:pStyle w:val="nzMiscellaneousBody"/>
        <w:tabs>
          <w:tab w:val="left" w:pos="1134"/>
        </w:tabs>
        <w:ind w:left="1134" w:hanging="567"/>
      </w:pPr>
      <w:r>
        <w:tab/>
        <w:t>or item 13 of the Second Schedule to the applied Stamp Act</w:t>
      </w:r>
    </w:p>
    <w:p>
      <w:pPr>
        <w:pStyle w:val="MiscClose"/>
        <w:ind w:right="577"/>
      </w:pPr>
      <w:r>
        <w:t xml:space="preserve">    ”.</w:t>
      </w:r>
    </w:p>
    <w:p>
      <w:pPr>
        <w:pStyle w:val="nzSubsection"/>
        <w:keepNext/>
      </w:pPr>
      <w:r>
        <w:tab/>
        <w:t>(2)</w:t>
      </w:r>
      <w:r>
        <w:tab/>
        <w:t>Section 87(1b) is modified by inserting after “or (2)” —</w:t>
      </w:r>
    </w:p>
    <w:p>
      <w:pPr>
        <w:pStyle w:val="MiscOpen"/>
        <w:spacing w:before="0"/>
        <w:ind w:left="601"/>
      </w:pPr>
      <w:r>
        <w:t>“</w:t>
      </w:r>
      <w:del w:id="4363" w:author="svcMRProcess" w:date="2020-02-20T23:16:00Z">
        <w:r>
          <w:delText xml:space="preserve">    </w:delText>
        </w:r>
      </w:del>
    </w:p>
    <w:p>
      <w:pPr>
        <w:pStyle w:val="nzMiscellaneousBody"/>
        <w:tabs>
          <w:tab w:val="left" w:pos="1134"/>
        </w:tabs>
        <w:ind w:left="1134" w:hanging="567"/>
      </w:pPr>
      <w:r>
        <w:tab/>
        <w:t>of the Second Schedule or item 13(1)(a), (1a) or (2) of the Second Schedule to the applied Stamp Act (as the case requires)</w:t>
      </w:r>
    </w:p>
    <w:p>
      <w:pPr>
        <w:pStyle w:val="MiscClose"/>
        <w:ind w:right="577"/>
      </w:pPr>
      <w:r>
        <w:t xml:space="preserve">    ”.</w:t>
      </w:r>
    </w:p>
    <w:p>
      <w:pPr>
        <w:pStyle w:val="nzHeading5"/>
      </w:pPr>
      <w:r>
        <w:rPr>
          <w:rStyle w:val="CharSectno"/>
        </w:rPr>
        <w:t>70</w:t>
      </w:r>
      <w:r>
        <w:t>.</w:t>
      </w:r>
      <w:r>
        <w:tab/>
      </w:r>
      <w:r>
        <w:rPr>
          <w:rStyle w:val="CharSectno"/>
        </w:rPr>
        <w:t>Section</w:t>
      </w:r>
      <w:r>
        <w:t> 112A modified</w:t>
      </w:r>
    </w:p>
    <w:p>
      <w:pPr>
        <w:pStyle w:val="nzSubsection"/>
        <w:keepNext/>
      </w:pPr>
      <w:r>
        <w:tab/>
      </w:r>
      <w:r>
        <w:tab/>
        <w:t>Section 112A(1) is modified by deleting the definition of “corresponding law” and inserting the following definition instead —</w:t>
      </w:r>
    </w:p>
    <w:p>
      <w:pPr>
        <w:pStyle w:val="MiscOpen"/>
        <w:spacing w:before="0"/>
        <w:ind w:left="601"/>
      </w:pPr>
      <w:r>
        <w:t>“</w:t>
      </w:r>
      <w:del w:id="4364" w:author="svcMRProcess" w:date="2020-02-20T23:16:00Z">
        <w:r>
          <w:delText xml:space="preserve">    </w:delText>
        </w:r>
      </w:del>
    </w:p>
    <w:p>
      <w:pPr>
        <w:pStyle w:val="nzMiscellaneousBody"/>
        <w:keepNext/>
        <w:tabs>
          <w:tab w:val="left" w:pos="1418"/>
        </w:tabs>
        <w:spacing w:before="0"/>
        <w:ind w:left="1418" w:hanging="851"/>
      </w:pPr>
      <w:r>
        <w:tab/>
      </w:r>
      <w:r>
        <w:rPr>
          <w:b/>
          <w:bCs/>
        </w:rPr>
        <w:t>“</w:t>
      </w:r>
      <w:r>
        <w:rPr>
          <w:b/>
          <w:snapToGrid w:val="0"/>
        </w:rPr>
        <w:t>corresponding law</w:t>
      </w:r>
      <w:r>
        <w:rPr>
          <w:b/>
          <w:bCs/>
        </w:rPr>
        <w:t>”</w:t>
      </w:r>
      <w:r>
        <w:t xml:space="preserve"> means —</w:t>
      </w:r>
    </w:p>
    <w:p>
      <w:pPr>
        <w:pStyle w:val="nzMiscellaneousBody"/>
        <w:tabs>
          <w:tab w:val="left" w:pos="1701"/>
          <w:tab w:val="left" w:pos="2268"/>
        </w:tabs>
        <w:ind w:left="2268" w:hanging="1701"/>
      </w:pPr>
      <w:r>
        <w:tab/>
        <w:t>(a)</w:t>
      </w:r>
      <w:r>
        <w:tab/>
        <w:t>the applied Stamp Act;</w:t>
      </w:r>
    </w:p>
    <w:p>
      <w:pPr>
        <w:pStyle w:val="nzMiscellaneousBody"/>
        <w:tabs>
          <w:tab w:val="left" w:pos="1701"/>
          <w:tab w:val="left" w:pos="2268"/>
        </w:tabs>
        <w:ind w:left="2268" w:hanging="1701"/>
      </w:pPr>
      <w:r>
        <w:tab/>
        <w:t>(b)</w:t>
      </w:r>
      <w:r>
        <w:tab/>
        <w:t>a law in force in another State or in a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MiscClose"/>
      </w:pPr>
      <w:r>
        <w:t>”.</w:t>
      </w:r>
    </w:p>
    <w:p>
      <w:pPr>
        <w:pStyle w:val="nSubsection"/>
      </w:pPr>
      <w:del w:id="4365" w:author="svcMRProcess" w:date="2020-02-20T23:16:00Z">
        <w:r>
          <w:rPr>
            <w:snapToGrid w:val="0"/>
            <w:vertAlign w:val="superscript"/>
          </w:rPr>
          <w:delText>11</w:delText>
        </w:r>
      </w:del>
      <w:ins w:id="4366" w:author="svcMRProcess" w:date="2020-02-20T23:16:00Z">
        <w:r>
          <w:rPr>
            <w:snapToGrid w:val="0"/>
            <w:vertAlign w:val="superscript"/>
          </w:rPr>
          <w:t>8</w:t>
        </w:r>
      </w:ins>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In this notice —</w:t>
      </w:r>
      <w:del w:id="4367" w:author="svcMRProcess" w:date="2020-02-20T23:16:00Z">
        <w:r>
          <w:delText xml:space="preserve"> </w:delText>
        </w:r>
      </w:del>
    </w:p>
    <w:p>
      <w:pPr>
        <w:pStyle w:val="nzDefstart"/>
      </w:pPr>
      <w:r>
        <w:rPr>
          <w:b/>
        </w:rPr>
        <w:tab/>
        <w:t xml:space="preserve">“applied WA law”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“Commonwealth Mirror Taxes Act”</w:t>
      </w:r>
      <w:r>
        <w:t xml:space="preserve"> means the </w:t>
      </w:r>
      <w:r>
        <w:rPr>
          <w:i/>
        </w:rPr>
        <w:t>Commonwealth Places (Mirror Taxes) Act 1998</w:t>
      </w:r>
      <w:r>
        <w:t xml:space="preserve"> of the Commonwealth;</w:t>
      </w:r>
    </w:p>
    <w:p>
      <w:pPr>
        <w:pStyle w:val="nzDefstart"/>
      </w:pPr>
      <w:r>
        <w:rPr>
          <w:b/>
        </w:rPr>
        <w:tab/>
        <w:t xml:space="preserve">“WA taxing law” </w:t>
      </w:r>
      <w:r>
        <w:t>means a State taxing law of Western Australia.</w:t>
      </w:r>
    </w:p>
    <w:p>
      <w:pPr>
        <w:pStyle w:val="nzHeading5"/>
      </w:pPr>
      <w:r>
        <w:t>4.</w:t>
      </w:r>
      <w:r>
        <w:tab/>
        <w:t>Modification of applied WA laws</w:t>
      </w:r>
      <w:del w:id="4368" w:author="svcMRProcess" w:date="2020-02-20T23:16:00Z">
        <w:r>
          <w:delText xml:space="preserve"> </w:delText>
        </w:r>
      </w:del>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If —</w:t>
      </w:r>
      <w:del w:id="4369" w:author="svcMRProcess" w:date="2020-02-20T23:16:00Z">
        <w:r>
          <w:delText xml:space="preserve"> </w:delText>
        </w:r>
      </w:del>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w:t>
      </w:r>
      <w:del w:id="4370" w:author="svcMRProcess" w:date="2020-02-20T23:16:00Z">
        <w:r>
          <w:delText xml:space="preserve"> </w:delText>
        </w:r>
      </w:del>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then —</w:t>
      </w:r>
      <w:del w:id="4371" w:author="svcMRProcess" w:date="2020-02-20T23:16:00Z">
        <w:r>
          <w:delText xml:space="preserve"> </w:delText>
        </w:r>
      </w:del>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1 — The applied </w:t>
      </w:r>
      <w:r>
        <w:rPr>
          <w:i/>
        </w:rPr>
        <w:t>Stamp Act 1921</w:t>
      </w:r>
    </w:p>
    <w:p>
      <w:pPr>
        <w:pStyle w:val="nzHeading5"/>
      </w:pPr>
      <w:r>
        <w:t>83.</w:t>
      </w:r>
      <w:r>
        <w:tab/>
        <w:t>Modification of the applied Act</w:t>
      </w:r>
    </w:p>
    <w:p>
      <w:pPr>
        <w:pStyle w:val="nzSubsection"/>
      </w:pPr>
      <w:r>
        <w:tab/>
      </w:r>
      <w:r>
        <w:tab/>
        <w:t xml:space="preserve">This Division sets out modifications of the </w:t>
      </w:r>
      <w:r>
        <w:rPr>
          <w:i/>
        </w:rPr>
        <w:t>Stamp Act 1921</w:t>
      </w:r>
      <w:r>
        <w:t xml:space="preserve"> of Western Australia.</w:t>
      </w:r>
    </w:p>
    <w:p>
      <w:pPr>
        <w:pStyle w:val="nzHeading5"/>
      </w:pPr>
      <w:r>
        <w:t>84.</w:t>
      </w:r>
      <w:r>
        <w:tab/>
        <w:t>Section 2 inserted</w:t>
      </w:r>
    </w:p>
    <w:p>
      <w:pPr>
        <w:pStyle w:val="nzSubsection"/>
        <w:keepNext/>
      </w:pPr>
      <w:r>
        <w:tab/>
      </w:r>
      <w:r>
        <w:tab/>
        <w:t>After section 1 the following section is inserted —</w:t>
      </w:r>
      <w:del w:id="4372" w:author="svcMRProcess" w:date="2020-02-20T23:16:00Z">
        <w:r>
          <w:delText xml:space="preserve"> </w:delText>
        </w:r>
      </w:del>
    </w:p>
    <w:p>
      <w:pPr>
        <w:pStyle w:val="MiscOpen"/>
        <w:ind w:left="851"/>
      </w:pPr>
      <w:r>
        <w:t>“</w:t>
      </w:r>
      <w:del w:id="4373" w:author="svcMRProcess" w:date="2020-02-20T23:16:00Z">
        <w:r>
          <w:delText xml:space="preserve">    </w:delText>
        </w:r>
      </w:del>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In this Act, unless the contrary intention appears —</w:t>
      </w:r>
      <w:del w:id="4374" w:author="svcMRProcess" w:date="2020-02-20T23:16:00Z">
        <w:r>
          <w:delText xml:space="preserve"> </w:delText>
        </w:r>
      </w:del>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a reference (however expressed) to an Act administered by the Commissioner is to be read as a reference to —</w:t>
      </w:r>
      <w:del w:id="4375" w:author="svcMRProcess" w:date="2020-02-20T23:16:00Z">
        <w:r>
          <w:delText xml:space="preserve"> </w:delText>
        </w:r>
      </w:del>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 Act 1989</w:t>
      </w:r>
      <w:r>
        <w:t xml:space="preserve"> is to be read as a reference to the applied Taxation (Reciprocal Powers) Act;</w:t>
      </w:r>
    </w:p>
    <w:p>
      <w:pPr>
        <w:pStyle w:val="nzMiscellaneousBody"/>
        <w:tabs>
          <w:tab w:val="left" w:pos="1985"/>
          <w:tab w:val="left" w:pos="2552"/>
        </w:tabs>
        <w:ind w:left="2552" w:hanging="1985"/>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nzMiscellaneousBody"/>
        <w:tabs>
          <w:tab w:val="left" w:pos="1985"/>
          <w:tab w:val="left" w:pos="2552"/>
        </w:tabs>
        <w:ind w:left="2552" w:hanging="1985"/>
      </w:pPr>
      <w:r>
        <w:tab/>
        <w:t>(h)</w:t>
      </w:r>
      <w:r>
        <w:tab/>
        <w:t>a reference to the Treasurer is to be read as a reference to the Treasurer of Western Australia;</w:t>
      </w:r>
      <w:del w:id="4376" w:author="svcMRProcess" w:date="2020-02-20T23:16:00Z">
        <w:r>
          <w:delText xml:space="preserve"> </w:delText>
        </w:r>
      </w:del>
    </w:p>
    <w:p>
      <w:pPr>
        <w:pStyle w:val="nzMiscellaneousBody"/>
        <w:tabs>
          <w:tab w:val="left" w:pos="1985"/>
          <w:tab w:val="left" w:pos="2552"/>
        </w:tabs>
        <w:ind w:left="2552" w:hanging="1985"/>
      </w:pPr>
      <w:r>
        <w:tab/>
        <w:t>(i)</w:t>
      </w:r>
      <w:r>
        <w:tab/>
        <w:t>a reference to any of the following Acts is to be read as a reference to the Act of that name of the Parliament of Western Australia —</w:t>
      </w:r>
      <w:del w:id="4377" w:author="svcMRProcess" w:date="2020-02-20T23:16:00Z">
        <w:r>
          <w:delText xml:space="preserve"> </w:delText>
        </w:r>
      </w:del>
    </w:p>
    <w:p>
      <w:pPr>
        <w:pStyle w:val="nzMiscellaneousBody"/>
        <w:tabs>
          <w:tab w:val="left" w:pos="2552"/>
          <w:tab w:val="left" w:pos="3119"/>
        </w:tabs>
        <w:ind w:left="3119" w:hanging="2552"/>
      </w:pPr>
      <w:r>
        <w:tab/>
        <w:t>(i)</w:t>
      </w:r>
      <w:r>
        <w:tab/>
        <w:t xml:space="preserve">the </w:t>
      </w:r>
      <w:r>
        <w:rPr>
          <w:i/>
        </w:rPr>
        <w:t>Acts Amendment (Continuing Lotteries) Act 2000</w:t>
      </w:r>
      <w:r>
        <w:t>;</w:t>
      </w:r>
    </w:p>
    <w:p>
      <w:pPr>
        <w:pStyle w:val="nzMiscellaneousBody"/>
        <w:tabs>
          <w:tab w:val="left" w:pos="2552"/>
          <w:tab w:val="left" w:pos="3119"/>
        </w:tabs>
        <w:ind w:left="3119" w:hanging="2552"/>
      </w:pPr>
      <w:r>
        <w:tab/>
        <w:t>(ii)</w:t>
      </w:r>
      <w:r>
        <w:tab/>
        <w:t xml:space="preserve">the </w:t>
      </w:r>
      <w:r>
        <w:rPr>
          <w:i/>
        </w:rPr>
        <w:t>Building Societies Act 1976</w:t>
      </w:r>
      <w:r>
        <w:t>;</w:t>
      </w:r>
    </w:p>
    <w:p>
      <w:pPr>
        <w:pStyle w:val="nzMiscellaneousBody"/>
        <w:tabs>
          <w:tab w:val="left" w:pos="2552"/>
          <w:tab w:val="left" w:pos="3119"/>
        </w:tabs>
        <w:ind w:left="3119" w:hanging="2552"/>
      </w:pPr>
      <w:r>
        <w:tab/>
        <w:t>(iii)</w:t>
      </w:r>
      <w:r>
        <w:tab/>
        <w:t xml:space="preserve">the </w:t>
      </w:r>
      <w:r>
        <w:rPr>
          <w:i/>
        </w:rPr>
        <w:t>Financial Sector (Transfer of Business) Act 1999</w:t>
      </w:r>
      <w:r>
        <w:t>;</w:t>
      </w:r>
    </w:p>
    <w:p>
      <w:pPr>
        <w:pStyle w:val="nzMiscellaneousBody"/>
        <w:tabs>
          <w:tab w:val="left" w:pos="2552"/>
          <w:tab w:val="left" w:pos="3119"/>
        </w:tabs>
        <w:ind w:left="3119" w:hanging="2552"/>
      </w:pPr>
      <w:r>
        <w:tab/>
        <w:t>(iv)</w:t>
      </w:r>
      <w:r>
        <w:tab/>
        <w:t xml:space="preserve">the </w:t>
      </w:r>
      <w:r>
        <w:rPr>
          <w:i/>
        </w:rPr>
        <w:t>Gaming Commission Act 1987</w:t>
      </w:r>
      <w:r>
        <w:t>;</w:t>
      </w:r>
    </w:p>
    <w:p>
      <w:pPr>
        <w:pStyle w:val="nzMiscellaneousBody"/>
        <w:tabs>
          <w:tab w:val="left" w:pos="2552"/>
          <w:tab w:val="left" w:pos="3119"/>
        </w:tabs>
        <w:ind w:left="3119" w:hanging="2552"/>
      </w:pPr>
      <w:r>
        <w:tab/>
        <w:t>(v)</w:t>
      </w:r>
      <w:r>
        <w:tab/>
        <w:t xml:space="preserve">the </w:t>
      </w:r>
      <w:r>
        <w:rPr>
          <w:i/>
        </w:rPr>
        <w:t>Housing Societies Act 1976</w:t>
      </w:r>
      <w:r>
        <w:t>;</w:t>
      </w:r>
    </w:p>
    <w:p>
      <w:pPr>
        <w:pStyle w:val="nzMiscellaneousBody"/>
        <w:tabs>
          <w:tab w:val="left" w:pos="2552"/>
          <w:tab w:val="left" w:pos="3119"/>
        </w:tabs>
        <w:ind w:left="3119" w:hanging="2552"/>
      </w:pPr>
      <w:r>
        <w:tab/>
        <w:t>(vi)</w:t>
      </w:r>
      <w:r>
        <w:tab/>
        <w:t xml:space="preserve">the </w:t>
      </w:r>
      <w:r>
        <w:rPr>
          <w:i/>
        </w:rPr>
        <w:t>Local Government Act 1995</w:t>
      </w:r>
      <w:r>
        <w:t>;</w:t>
      </w:r>
    </w:p>
    <w:p>
      <w:pPr>
        <w:pStyle w:val="nzMiscellaneousBody"/>
        <w:tabs>
          <w:tab w:val="left" w:pos="2552"/>
          <w:tab w:val="left" w:pos="3119"/>
        </w:tabs>
        <w:ind w:left="3119" w:hanging="2552"/>
      </w:pPr>
      <w:r>
        <w:tab/>
        <w:t>(vii)</w:t>
      </w:r>
      <w:r>
        <w:tab/>
        <w:t xml:space="preserve">the </w:t>
      </w:r>
      <w:r>
        <w:rPr>
          <w:i/>
        </w:rPr>
        <w:t>Mining Act 1978</w:t>
      </w:r>
      <w:r>
        <w:t>;</w:t>
      </w:r>
    </w:p>
    <w:p>
      <w:pPr>
        <w:pStyle w:val="nzMiscellaneousBody"/>
        <w:tabs>
          <w:tab w:val="left" w:pos="2552"/>
          <w:tab w:val="left" w:pos="3119"/>
        </w:tabs>
        <w:ind w:left="3119" w:hanging="2552"/>
      </w:pPr>
      <w:r>
        <w:tab/>
        <w:t>(viii)</w:t>
      </w:r>
      <w:r>
        <w:tab/>
        <w:t xml:space="preserve">the </w:t>
      </w:r>
      <w:r>
        <w:rPr>
          <w:i/>
        </w:rPr>
        <w:t>Public Sector Management Act 1994</w:t>
      </w:r>
      <w:r>
        <w:t>;</w:t>
      </w:r>
    </w:p>
    <w:p>
      <w:pPr>
        <w:pStyle w:val="nzMiscellaneousBody"/>
        <w:tabs>
          <w:tab w:val="left" w:pos="2552"/>
          <w:tab w:val="left" w:pos="3119"/>
        </w:tabs>
        <w:ind w:left="3119" w:hanging="2552"/>
      </w:pPr>
      <w:r>
        <w:tab/>
        <w:t>(ix)</w:t>
      </w:r>
      <w:r>
        <w:tab/>
        <w:t xml:space="preserve">the </w:t>
      </w:r>
      <w:r>
        <w:rPr>
          <w:i/>
        </w:rPr>
        <w:t>Transfer of Land Act 1893</w:t>
      </w:r>
      <w:r>
        <w:t>;</w:t>
      </w:r>
    </w:p>
    <w:p>
      <w:pPr>
        <w:pStyle w:val="nzMiscellaneousBody"/>
        <w:tabs>
          <w:tab w:val="left" w:pos="2552"/>
          <w:tab w:val="left" w:pos="3119"/>
        </w:tabs>
        <w:ind w:left="3119" w:hanging="2552"/>
      </w:pPr>
      <w:r>
        <w:tab/>
        <w:t>(x)</w:t>
      </w:r>
      <w:r>
        <w:tab/>
        <w:t xml:space="preserve">the </w:t>
      </w:r>
      <w:r>
        <w:rPr>
          <w:i/>
        </w:rPr>
        <w:t>Workers’ Compensation and Rehabilitation Act 1981</w:t>
      </w:r>
      <w:r>
        <w:t>;</w:t>
      </w:r>
    </w:p>
    <w:p>
      <w:pPr>
        <w:pStyle w:val="nzMiscellaneousBody"/>
        <w:tabs>
          <w:tab w:val="left" w:pos="1985"/>
          <w:tab w:val="left" w:pos="2552"/>
        </w:tabs>
        <w:ind w:left="2552" w:hanging="1985"/>
      </w:pPr>
      <w:r>
        <w:tab/>
      </w:r>
      <w:r>
        <w:tab/>
        <w:t>and</w:t>
      </w:r>
    </w:p>
    <w:p>
      <w:pPr>
        <w:pStyle w:val="nzMiscellaneousBody"/>
        <w:tabs>
          <w:tab w:val="left" w:pos="1985"/>
          <w:tab w:val="left" w:pos="2552"/>
        </w:tabs>
        <w:ind w:left="2552" w:hanging="1985"/>
      </w:pPr>
      <w:r>
        <w:tab/>
        <w:t>(j)</w:t>
      </w:r>
      <w:r>
        <w:tab/>
        <w:t>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w:t>
      </w:r>
      <w:del w:id="4378" w:author="svcMRProcess" w:date="2020-02-20T23:16:00Z">
        <w:r>
          <w:delText xml:space="preserve"> </w:delText>
        </w:r>
      </w:del>
    </w:p>
    <w:p>
      <w:pPr>
        <w:pStyle w:val="nzMiscellaneousBody"/>
        <w:tabs>
          <w:tab w:val="left" w:pos="2552"/>
          <w:tab w:val="left" w:pos="3119"/>
        </w:tabs>
        <w:ind w:left="3119" w:hanging="2552"/>
      </w:pPr>
      <w:r>
        <w:tab/>
        <w:t>(i)</w:t>
      </w:r>
      <w:r>
        <w:tab/>
        <w:t xml:space="preserve">the </w:t>
      </w:r>
      <w:r>
        <w:rPr>
          <w:i/>
        </w:rPr>
        <w:t>Pay</w:t>
      </w:r>
      <w:r>
        <w:rPr>
          <w:i/>
        </w:rPr>
        <w:noBreakHyphen/>
        <w:t>roll Tax Assessment Act 1971</w:t>
      </w:r>
      <w:r>
        <w:t>;</w:t>
      </w:r>
    </w:p>
    <w:p>
      <w:pPr>
        <w:pStyle w:val="nzMiscellaneousBody"/>
        <w:tabs>
          <w:tab w:val="left" w:pos="2552"/>
          <w:tab w:val="left" w:pos="3119"/>
        </w:tabs>
        <w:ind w:left="3119" w:hanging="2552"/>
      </w:pPr>
      <w:r>
        <w:tab/>
        <w:t>(ii)</w:t>
      </w:r>
      <w:r>
        <w:tab/>
        <w:t xml:space="preserve">the </w:t>
      </w:r>
      <w:r>
        <w:rPr>
          <w:i/>
        </w:rPr>
        <w:t>Revenue Laws Amendment (Assessment) Act 2000</w:t>
      </w:r>
      <w:r>
        <w:t>;</w:t>
      </w:r>
    </w:p>
    <w:p>
      <w:pPr>
        <w:pStyle w:val="nzMiscellaneousBody"/>
        <w:tabs>
          <w:tab w:val="left" w:pos="2552"/>
          <w:tab w:val="left" w:pos="3119"/>
        </w:tabs>
        <w:ind w:left="3119" w:hanging="2552"/>
      </w:pPr>
      <w:r>
        <w:tab/>
        <w:t>(iii)</w:t>
      </w:r>
      <w:r>
        <w:tab/>
        <w:t xml:space="preserve">the </w:t>
      </w:r>
      <w:r>
        <w:rPr>
          <w:i/>
        </w:rPr>
        <w:t>Stamp Act Amendment Act 1979</w:t>
      </w:r>
      <w:r>
        <w:t>;</w:t>
      </w:r>
    </w:p>
    <w:p>
      <w:pPr>
        <w:pStyle w:val="nzMiscellaneousBody"/>
        <w:tabs>
          <w:tab w:val="left" w:pos="2552"/>
          <w:tab w:val="left" w:pos="3119"/>
        </w:tabs>
        <w:ind w:left="3119" w:hanging="2552"/>
      </w:pPr>
      <w:r>
        <w:tab/>
        <w:t>(iv)</w:t>
      </w:r>
      <w:r>
        <w:tab/>
        <w:t xml:space="preserve">the </w:t>
      </w:r>
      <w:r>
        <w:rPr>
          <w:i/>
        </w:rPr>
        <w:t>Stamp Act Regulations 1966</w:t>
      </w:r>
      <w:r>
        <w:t>.</w:t>
      </w:r>
    </w:p>
    <w:p>
      <w:pPr>
        <w:pStyle w:val="nzMiscellaneousBody"/>
        <w:tabs>
          <w:tab w:val="left" w:pos="1418"/>
          <w:tab w:val="left" w:pos="1985"/>
        </w:tabs>
        <w:ind w:left="1985" w:hanging="1418"/>
      </w:pPr>
      <w:r>
        <w:tab/>
        <w:t>(2)</w:t>
      </w:r>
      <w:r>
        <w:tab/>
        <w:t>This Act is to be read with the corresponding Stamp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this Act is deemed to be further modified to any extent that is necessary or convenient —</w:t>
      </w:r>
      <w:del w:id="4379" w:author="svcMRProcess" w:date="2020-02-20T23:16:00Z">
        <w:r>
          <w:delText xml:space="preserve"> </w:delText>
        </w:r>
      </w:del>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MiscellaneousBody"/>
        <w:tabs>
          <w:tab w:val="left" w:pos="1418"/>
          <w:tab w:val="left" w:pos="1985"/>
        </w:tabs>
        <w:ind w:left="1985" w:hanging="1418"/>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pPr>
      <w:r>
        <w:t>”.</w:t>
      </w:r>
    </w:p>
    <w:p>
      <w:pPr>
        <w:pStyle w:val="nzHeading5"/>
      </w:pPr>
      <w:r>
        <w:t>85.</w:t>
      </w:r>
      <w:r>
        <w:tab/>
        <w:t>Section 2A modified</w:t>
      </w:r>
    </w:p>
    <w:p>
      <w:pPr>
        <w:pStyle w:val="nzSubsection"/>
      </w:pPr>
      <w:r>
        <w:tab/>
      </w:r>
      <w:r>
        <w:tab/>
        <w:t>Section 2A(1) is repealed.</w:t>
      </w:r>
    </w:p>
    <w:p>
      <w:pPr>
        <w:pStyle w:val="nzHeading5"/>
      </w:pPr>
      <w:r>
        <w:t>86.</w:t>
      </w:r>
      <w:r>
        <w:tab/>
        <w:t>Section 4 modified</w:t>
      </w:r>
    </w:p>
    <w:p>
      <w:pPr>
        <w:pStyle w:val="nzSubsection"/>
      </w:pPr>
      <w:r>
        <w:tab/>
        <w:t>(1)</w:t>
      </w:r>
      <w:r>
        <w:tab/>
        <w:t>Section 4(1) is modified by inserting the following definitions in their appropriate alphabetical positions —</w:t>
      </w:r>
      <w:del w:id="4380" w:author="svcMRProcess" w:date="2020-02-20T23:16:00Z">
        <w:r>
          <w:delText xml:space="preserve"> </w:delText>
        </w:r>
      </w:del>
    </w:p>
    <w:p>
      <w:pPr>
        <w:pStyle w:val="Subsection"/>
      </w:pPr>
      <w:r>
        <w:tab/>
      </w:r>
      <w:r>
        <w:tab/>
        <w:t>“</w:t>
      </w:r>
      <w:del w:id="4381" w:author="svcMRProcess" w:date="2020-02-20T23:16:00Z">
        <w:r>
          <w:delText xml:space="preserve">    </w:delText>
        </w:r>
      </w:del>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 xml:space="preserve">”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 xml:space="preserve">“corresponding </w:t>
      </w:r>
      <w:r>
        <w:rPr>
          <w:b/>
          <w:snapToGrid w:val="0"/>
        </w:rPr>
        <w:t>Stamp Act</w:t>
      </w:r>
      <w:r>
        <w:rPr>
          <w:b/>
        </w:rPr>
        <w:t>”</w:t>
      </w:r>
      <w:r>
        <w:t xml:space="preserve"> means the </w:t>
      </w:r>
      <w:r>
        <w:rPr>
          <w:i/>
        </w:rPr>
        <w:t>Stamp Act 1921</w:t>
      </w:r>
      <w:r>
        <w:t xml:space="preserve"> of Western Australia in its application as a law of Western Australia;</w:t>
      </w:r>
    </w:p>
    <w:p>
      <w:pPr>
        <w:pStyle w:val="MiscClose"/>
        <w:ind w:right="577"/>
      </w:pPr>
      <w:r>
        <w:t>”.</w:t>
      </w:r>
    </w:p>
    <w:p>
      <w:pPr>
        <w:pStyle w:val="nzSubsection"/>
      </w:pPr>
      <w:r>
        <w:tab/>
        <w:t>(2)</w:t>
      </w:r>
      <w:r>
        <w:tab/>
        <w:t>Section 4(1) is further modified as follows:</w:t>
      </w:r>
    </w:p>
    <w:p>
      <w:pPr>
        <w:pStyle w:val="nzIndenta"/>
      </w:pPr>
      <w:r>
        <w:tab/>
        <w:t>(a)</w:t>
      </w:r>
      <w:r>
        <w:tab/>
        <w:t>in the definition of “Commissioner” by deleting all the words after “office” and inserting instead —</w:t>
      </w:r>
      <w:del w:id="4382" w:author="svcMRProcess" w:date="2020-02-20T23:16:00Z">
        <w:r>
          <w:delText xml:space="preserve"> </w:delText>
        </w:r>
      </w:del>
    </w:p>
    <w:p>
      <w:pPr>
        <w:pStyle w:val="MiscOpen"/>
        <w:spacing w:before="80"/>
        <w:ind w:left="1418"/>
      </w:pPr>
      <w:r>
        <w:t>“</w:t>
      </w:r>
      <w:del w:id="4383" w:author="svcMRProcess" w:date="2020-02-20T23:16:00Z">
        <w:r>
          <w:delText xml:space="preserve">    </w:delText>
        </w:r>
      </w:del>
    </w:p>
    <w:p>
      <w:pPr>
        <w:pStyle w:val="nzMiscellaneousBody"/>
        <w:tabs>
          <w:tab w:val="left" w:pos="2268"/>
        </w:tabs>
        <w:spacing w:before="0"/>
        <w:ind w:left="2268" w:right="856" w:hanging="1701"/>
      </w:pPr>
      <w:r>
        <w:tab/>
        <w:t>of Commissioner of State Revenue of Western Australia</w:t>
      </w:r>
    </w:p>
    <w:p>
      <w:pPr>
        <w:pStyle w:val="MiscClose"/>
        <w:ind w:right="577"/>
      </w:pPr>
      <w:r>
        <w:t xml:space="preserve">    ”;</w:t>
      </w:r>
    </w:p>
    <w:p>
      <w:pPr>
        <w:pStyle w:val="nzIndenta"/>
      </w:pPr>
      <w:r>
        <w:tab/>
        <w:t>(b)</w:t>
      </w:r>
      <w:r>
        <w:tab/>
        <w:t>by deleting the definition of “the Crown”.</w:t>
      </w:r>
    </w:p>
    <w:p>
      <w:pPr>
        <w:pStyle w:val="nzHeading5"/>
      </w:pPr>
      <w:r>
        <w:t>87.</w:t>
      </w:r>
      <w:r>
        <w:tab/>
        <w:t>Section 4AA inserted</w:t>
      </w:r>
    </w:p>
    <w:p>
      <w:pPr>
        <w:pStyle w:val="nzSubsection"/>
      </w:pPr>
      <w:r>
        <w:tab/>
      </w:r>
      <w:r>
        <w:tab/>
        <w:t>After section 4 the following section is inserted —</w:t>
      </w:r>
      <w:del w:id="4384" w:author="svcMRProcess" w:date="2020-02-20T23:16:00Z">
        <w:r>
          <w:delText xml:space="preserve"> </w:delText>
        </w:r>
      </w:del>
    </w:p>
    <w:p>
      <w:pPr>
        <w:pStyle w:val="MiscOpen"/>
        <w:ind w:left="851"/>
      </w:pPr>
      <w:r>
        <w:t>“</w:t>
      </w:r>
      <w:del w:id="4385" w:author="svcMRProcess" w:date="2020-02-20T23:16:00Z">
        <w:r>
          <w:delText xml:space="preserve">    </w:delText>
        </w:r>
      </w:del>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corresponding Stamp Act, the total amount of duty payable is calculated by reference to the amount equal to the sum of —</w:t>
      </w:r>
      <w:del w:id="4386" w:author="svcMRProcess" w:date="2020-02-20T23:16:00Z">
        <w:r>
          <w:delText xml:space="preserve"> </w:delText>
        </w:r>
      </w:del>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corresponding Stamp Act.</w:t>
      </w:r>
    </w:p>
    <w:p>
      <w:pPr>
        <w:pStyle w:val="nzMiscellaneousBody"/>
        <w:tabs>
          <w:tab w:val="left" w:pos="1418"/>
          <w:tab w:val="left" w:pos="1985"/>
        </w:tabs>
        <w:ind w:left="1985" w:hanging="1418"/>
      </w:pPr>
      <w:r>
        <w:tab/>
        <w:t>(2)</w:t>
      </w:r>
      <w:r>
        <w:tab/>
        <w:t>The amount of duty paid or payable on the instrument or instruments under this Act is the amount equal to the amount calculated under subsection (1) minus any amount paid or payable under the corresponding Stamp Act.</w:t>
      </w:r>
      <w:del w:id="4387" w:author="svcMRProcess" w:date="2020-02-20T23:16:00Z">
        <w:r>
          <w:delText xml:space="preserve"> </w:delText>
        </w:r>
      </w:del>
    </w:p>
    <w:p>
      <w:pPr>
        <w:pStyle w:val="MiscClose"/>
        <w:ind w:right="577"/>
      </w:pPr>
      <w:r>
        <w:t xml:space="preserve">    ”.</w:t>
      </w:r>
    </w:p>
    <w:p>
      <w:pPr>
        <w:pStyle w:val="nzHeading5"/>
      </w:pPr>
      <w:r>
        <w:t>88.</w:t>
      </w:r>
      <w:r>
        <w:tab/>
        <w:t>Section 6 modified</w:t>
      </w:r>
    </w:p>
    <w:p>
      <w:pPr>
        <w:pStyle w:val="nzSubsection"/>
        <w:keepNext/>
      </w:pPr>
      <w:r>
        <w:tab/>
      </w:r>
      <w:r>
        <w:tab/>
        <w:t>After section 6(2) the following subsections are inserted —</w:t>
      </w:r>
      <w:del w:id="4388" w:author="svcMRProcess" w:date="2020-02-20T23:16:00Z">
        <w:r>
          <w:delText xml:space="preserve"> </w:delText>
        </w:r>
      </w:del>
    </w:p>
    <w:p>
      <w:pPr>
        <w:pStyle w:val="MiscOpen"/>
        <w:ind w:left="595"/>
      </w:pPr>
      <w:r>
        <w:t>“</w:t>
      </w:r>
      <w:del w:id="4389" w:author="svcMRProcess" w:date="2020-02-20T23:16:00Z">
        <w:r>
          <w:delText xml:space="preserve">    </w:delText>
        </w:r>
      </w:del>
    </w:p>
    <w:p>
      <w:pPr>
        <w:pStyle w:val="nzMiscellaneousBody"/>
        <w:tabs>
          <w:tab w:val="left" w:pos="1418"/>
          <w:tab w:val="left" w:pos="1985"/>
        </w:tabs>
        <w:ind w:left="1985" w:hanging="1418"/>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(4)</w:t>
      </w:r>
      <w:r>
        <w:tab/>
        <w:t>A person who is authorised to perform a function under the corresponding Stamp Act is taken to be authorised to perform the corresponding function under this Act.</w:t>
      </w:r>
    </w:p>
    <w:p>
      <w:pPr>
        <w:pStyle w:val="MiscClose"/>
        <w:ind w:right="577"/>
      </w:pPr>
      <w:r>
        <w:t xml:space="preserve">    ”.</w:t>
      </w:r>
    </w:p>
    <w:p>
      <w:pPr>
        <w:pStyle w:val="nzHeading5"/>
        <w:spacing w:before="0"/>
      </w:pPr>
      <w:r>
        <w:t>89.</w:t>
      </w:r>
      <w:r>
        <w:tab/>
        <w:t>Section 8 modified</w:t>
      </w:r>
    </w:p>
    <w:p>
      <w:pPr>
        <w:pStyle w:val="nzSubsection"/>
        <w:keepNext/>
      </w:pPr>
      <w:r>
        <w:tab/>
        <w:t>(1)</w:t>
      </w:r>
      <w:r>
        <w:tab/>
        <w:t>Section 8 is modified as follows:</w:t>
      </w:r>
    </w:p>
    <w:p>
      <w:pPr>
        <w:pStyle w:val="nzIndenta"/>
      </w:pPr>
      <w:r>
        <w:tab/>
        <w:t>(a)</w:t>
      </w:r>
      <w:r>
        <w:tab/>
        <w:t>by inserting before “The” the subsection designation “(1)”;</w:t>
      </w:r>
    </w:p>
    <w:p>
      <w:pPr>
        <w:pStyle w:val="nzIndenta"/>
      </w:pPr>
      <w:r>
        <w:tab/>
        <w:t>(b)</w:t>
      </w:r>
      <w:r>
        <w:tab/>
        <w:t>by inserting after “this Act” —</w:t>
      </w:r>
      <w:del w:id="4390" w:author="svcMRProcess" w:date="2020-02-20T23:16:00Z">
        <w:r>
          <w:delText xml:space="preserve"> </w:delText>
        </w:r>
      </w:del>
    </w:p>
    <w:p>
      <w:pPr>
        <w:pStyle w:val="nzMiscellaneousBody"/>
        <w:tabs>
          <w:tab w:val="left" w:pos="2268"/>
        </w:tabs>
        <w:ind w:left="2268" w:hanging="1701"/>
      </w:pPr>
      <w:r>
        <w:tab/>
        <w:t>“    or the corresponding Stamp Act    ”;</w:t>
      </w:r>
    </w:p>
    <w:p>
      <w:pPr>
        <w:pStyle w:val="nzIndenta"/>
      </w:pPr>
      <w:r>
        <w:tab/>
        <w:t>(c)</w:t>
      </w:r>
      <w:r>
        <w:tab/>
        <w:t>by inserting before “any other Act” —</w:t>
      </w:r>
      <w:del w:id="4391" w:author="svcMRProcess" w:date="2020-02-20T23:16:00Z">
        <w:r>
          <w:delText xml:space="preserve"> </w:delText>
        </w:r>
      </w:del>
    </w:p>
    <w:p>
      <w:pPr>
        <w:pStyle w:val="nzMiscellaneousBody"/>
        <w:tabs>
          <w:tab w:val="left" w:pos="2268"/>
        </w:tabs>
        <w:ind w:left="2268" w:hanging="1701"/>
      </w:pPr>
      <w:r>
        <w:tab/>
        <w:t>“    this Act or    ”.</w:t>
      </w:r>
    </w:p>
    <w:p>
      <w:pPr>
        <w:pStyle w:val="nzSubsection"/>
      </w:pPr>
      <w:r>
        <w:tab/>
        <w:t>(2)</w:t>
      </w:r>
      <w:r>
        <w:tab/>
        <w:t>At the end of section 8 the following subsection is inserted —</w:t>
      </w:r>
      <w:del w:id="4392" w:author="svcMRProcess" w:date="2020-02-20T23:16:00Z">
        <w:r>
          <w:delText xml:space="preserve"> </w:delText>
        </w:r>
      </w:del>
    </w:p>
    <w:p>
      <w:pPr>
        <w:pStyle w:val="MiscOpen"/>
        <w:ind w:left="595"/>
      </w:pPr>
      <w:r>
        <w:t>“</w:t>
      </w:r>
      <w:del w:id="4393" w:author="svcMRProcess" w:date="2020-02-20T23:16:00Z">
        <w:r>
          <w:delText xml:space="preserve">    </w:delText>
        </w:r>
      </w:del>
    </w:p>
    <w:p>
      <w:pPr>
        <w:pStyle w:val="nzMiscellaneousBody"/>
        <w:tabs>
          <w:tab w:val="left" w:pos="1418"/>
          <w:tab w:val="left" w:pos="1985"/>
        </w:tabs>
        <w:ind w:left="1985" w:hanging="1418"/>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spacing w:before="0"/>
      </w:pPr>
      <w:r>
        <w:t>90.</w:t>
      </w:r>
      <w:r>
        <w:tab/>
        <w:t>Section 9 modified</w:t>
      </w:r>
    </w:p>
    <w:p>
      <w:pPr>
        <w:pStyle w:val="nzSubsection"/>
      </w:pPr>
      <w:r>
        <w:tab/>
      </w:r>
      <w:r>
        <w:tab/>
        <w:t>Section 9(2) is modified as follows:</w:t>
      </w:r>
    </w:p>
    <w:p>
      <w:pPr>
        <w:pStyle w:val="nzIndenta"/>
      </w:pPr>
      <w:r>
        <w:tab/>
        <w:t>(a)</w:t>
      </w:r>
      <w:r>
        <w:tab/>
        <w:t>in paragraph (a) by inserting after “this Act” —</w:t>
      </w:r>
      <w:del w:id="4394" w:author="svcMRProcess" w:date="2020-02-20T23:16:00Z">
        <w:r>
          <w:delText xml:space="preserve"> </w:delText>
        </w:r>
      </w:del>
    </w:p>
    <w:p>
      <w:pPr>
        <w:pStyle w:val="nzMiscellaneousBody"/>
        <w:tabs>
          <w:tab w:val="left" w:pos="2268"/>
        </w:tabs>
        <w:ind w:left="2268" w:hanging="1701"/>
      </w:pPr>
      <w:r>
        <w:tab/>
        <w:t>“     or the corresponding Stamp Act    ”;</w:t>
      </w:r>
    </w:p>
    <w:p>
      <w:pPr>
        <w:pStyle w:val="nzIndenta"/>
      </w:pPr>
      <w:r>
        <w:tab/>
        <w:t>(b)</w:t>
      </w:r>
      <w:r>
        <w:tab/>
        <w:t>in paragraph (b) by inserting after “this Act” —</w:t>
      </w:r>
      <w:del w:id="4395" w:author="svcMRProcess" w:date="2020-02-20T23:16:00Z">
        <w:r>
          <w:delText xml:space="preserve"> </w:delText>
        </w:r>
      </w:del>
    </w:p>
    <w:p>
      <w:pPr>
        <w:pStyle w:val="nzMiscellaneousBody"/>
        <w:tabs>
          <w:tab w:val="left" w:pos="2268"/>
        </w:tabs>
        <w:ind w:left="2268" w:hanging="1701"/>
      </w:pPr>
      <w:r>
        <w:tab/>
        <w:t>“     or the corresponding Stamp Act    ”.</w:t>
      </w:r>
    </w:p>
    <w:p>
      <w:pPr>
        <w:pStyle w:val="nzHeading5"/>
      </w:pPr>
      <w:r>
        <w:t>91.</w:t>
      </w:r>
      <w:r>
        <w:tab/>
        <w:t>Section 11 modified</w:t>
      </w:r>
    </w:p>
    <w:p>
      <w:pPr>
        <w:pStyle w:val="nzSubsection"/>
      </w:pPr>
      <w:r>
        <w:tab/>
      </w:r>
      <w:r>
        <w:tab/>
        <w:t>Section 11 is modified by deleting “on behalf of the Crown”.</w:t>
      </w:r>
    </w:p>
    <w:p>
      <w:pPr>
        <w:pStyle w:val="nzHeading5"/>
      </w:pPr>
      <w:r>
        <w:t>92.</w:t>
      </w:r>
      <w:r>
        <w:tab/>
        <w:t>Section 15B modified</w:t>
      </w:r>
    </w:p>
    <w:p>
      <w:pPr>
        <w:pStyle w:val="nzSubsection"/>
      </w:pPr>
      <w:r>
        <w:tab/>
      </w:r>
      <w:r>
        <w:tab/>
        <w:t>Section 15B(1)(b) is modified by deleting “</w:t>
      </w:r>
      <w:r>
        <w:rPr>
          <w:i/>
        </w:rPr>
        <w:t>Financial Administration and Audit Act 1985</w:t>
      </w:r>
      <w:r>
        <w:t>” and inserting instead —</w:t>
      </w:r>
      <w:del w:id="4396" w:author="svcMRProcess" w:date="2020-02-20T23:16:00Z">
        <w:r>
          <w:delText xml:space="preserve"> </w:delText>
        </w:r>
      </w:del>
    </w:p>
    <w:p>
      <w:pPr>
        <w:pStyle w:val="MiscOpen"/>
        <w:ind w:left="993"/>
      </w:pPr>
      <w:r>
        <w:t>“</w:t>
      </w:r>
      <w:del w:id="4397" w:author="svcMRProcess" w:date="2020-02-20T23:16:00Z">
        <w:r>
          <w:delText xml:space="preserve">    </w:delText>
        </w:r>
      </w:del>
    </w:p>
    <w:p>
      <w:pPr>
        <w:pStyle w:val="nzMiscellaneousBody"/>
        <w:tabs>
          <w:tab w:val="left" w:pos="1418"/>
        </w:tabs>
        <w:ind w:left="1418" w:hanging="851"/>
      </w:pPr>
      <w:r>
        <w:tab/>
      </w:r>
      <w:r>
        <w:rPr>
          <w:i/>
        </w:rPr>
        <w:t>Financial Management and Accountability Act 1997</w:t>
      </w:r>
      <w:r>
        <w:t xml:space="preserve"> of the Commonwealth</w:t>
      </w:r>
    </w:p>
    <w:p>
      <w:pPr>
        <w:pStyle w:val="MiscClose"/>
        <w:ind w:right="577"/>
      </w:pPr>
      <w:r>
        <w:t xml:space="preserve">    ”.</w:t>
      </w:r>
    </w:p>
    <w:p>
      <w:pPr>
        <w:pStyle w:val="nzHeading5"/>
      </w:pPr>
      <w:r>
        <w:t>93.</w:t>
      </w:r>
      <w:r>
        <w:tab/>
        <w:t>Section 16 modified</w:t>
      </w:r>
    </w:p>
    <w:p>
      <w:pPr>
        <w:pStyle w:val="nzSubsection"/>
      </w:pPr>
      <w:r>
        <w:tab/>
      </w:r>
      <w:r>
        <w:tab/>
        <w:t>Section 16(1) is modified by deleting “for the use of the Crown”.</w:t>
      </w:r>
    </w:p>
    <w:p>
      <w:pPr>
        <w:pStyle w:val="nzHeading5"/>
      </w:pPr>
      <w:r>
        <w:t>94.</w:t>
      </w:r>
      <w:r>
        <w:tab/>
        <w:t>Section 26 modified</w:t>
      </w:r>
    </w:p>
    <w:p>
      <w:pPr>
        <w:pStyle w:val="nzSubsection"/>
        <w:keepNext/>
      </w:pPr>
      <w:r>
        <w:tab/>
        <w:t>(1)</w:t>
      </w:r>
      <w:r>
        <w:tab/>
        <w:t>Section 26(1) is modified by deleting “Crown” and inserting instead —</w:t>
      </w:r>
      <w:del w:id="4398" w:author="svcMRProcess" w:date="2020-02-20T23:16:00Z">
        <w:r>
          <w:delText xml:space="preserve"> </w:delText>
        </w:r>
      </w:del>
    </w:p>
    <w:p>
      <w:pPr>
        <w:pStyle w:val="nzMiscellaneousBody"/>
        <w:tabs>
          <w:tab w:val="left" w:pos="1418"/>
        </w:tabs>
        <w:ind w:left="1418" w:hanging="851"/>
      </w:pPr>
      <w:r>
        <w:tab/>
        <w:t>“    Commonwealth    ”.</w:t>
      </w:r>
    </w:p>
    <w:p>
      <w:pPr>
        <w:pStyle w:val="nzSubsection"/>
      </w:pPr>
      <w:r>
        <w:tab/>
        <w:t>(2)</w:t>
      </w:r>
      <w:r>
        <w:tab/>
        <w:t>Section 26(1a) is modified by deleting “Crown” and inserting instead —</w:t>
      </w:r>
      <w:del w:id="4399" w:author="svcMRProcess" w:date="2020-02-20T23:16:00Z">
        <w:r>
          <w:delText xml:space="preserve"> </w:delText>
        </w:r>
      </w:del>
    </w:p>
    <w:p>
      <w:pPr>
        <w:pStyle w:val="nzMiscellaneousBody"/>
        <w:tabs>
          <w:tab w:val="left" w:pos="1418"/>
        </w:tabs>
        <w:ind w:left="1418" w:hanging="851"/>
      </w:pPr>
      <w:r>
        <w:tab/>
        <w:t>“    Commonwealth    ”.</w:t>
      </w:r>
    </w:p>
    <w:p>
      <w:pPr>
        <w:pStyle w:val="nzHeading5"/>
      </w:pPr>
      <w:r>
        <w:t>95.</w:t>
      </w:r>
      <w:r>
        <w:tab/>
        <w:t>Section 31B modified</w:t>
      </w:r>
    </w:p>
    <w:p>
      <w:pPr>
        <w:pStyle w:val="nzSubsection"/>
      </w:pPr>
      <w:r>
        <w:tab/>
      </w:r>
      <w:r>
        <w:tab/>
        <w:t>Section 31B(5) is modified by deleting “the law of another State or of a Territory” and inserting instead —</w:t>
      </w:r>
      <w:del w:id="4400" w:author="svcMRProcess" w:date="2020-02-20T23:16:00Z">
        <w:r>
          <w:delText xml:space="preserve"> </w:delText>
        </w:r>
      </w:del>
    </w:p>
    <w:p>
      <w:pPr>
        <w:pStyle w:val="MiscOpen"/>
        <w:ind w:left="879"/>
      </w:pPr>
      <w:r>
        <w:t>“</w:t>
      </w:r>
      <w:del w:id="4401" w:author="svcMRProcess" w:date="2020-02-20T23:16:00Z">
        <w:r>
          <w:delText xml:space="preserve">    </w:delText>
        </w:r>
      </w:del>
    </w:p>
    <w:p>
      <w:pPr>
        <w:pStyle w:val="nzMiscellaneousBody"/>
        <w:tabs>
          <w:tab w:val="left" w:pos="1418"/>
        </w:tabs>
        <w:ind w:left="1418" w:hanging="851"/>
      </w:pPr>
      <w:r>
        <w:tab/>
        <w:t>the corresponding Stamp Act or a law in force in another State or Territory, including an applied law within the meaning of the Commonwealth Mirror Taxes Act,</w:t>
      </w:r>
    </w:p>
    <w:p>
      <w:pPr>
        <w:pStyle w:val="MiscClose"/>
        <w:ind w:right="577"/>
      </w:pPr>
      <w:r>
        <w:t xml:space="preserve">    ”.</w:t>
      </w:r>
    </w:p>
    <w:p>
      <w:pPr>
        <w:pStyle w:val="nzHeading5"/>
      </w:pPr>
      <w:r>
        <w:t>96.</w:t>
      </w:r>
      <w:r>
        <w:tab/>
        <w:t>Section 39A modified</w:t>
      </w:r>
    </w:p>
    <w:p>
      <w:pPr>
        <w:pStyle w:val="nzSubsection"/>
      </w:pPr>
      <w:r>
        <w:tab/>
      </w:r>
      <w:r>
        <w:tab/>
        <w:t>Section 39A(1) is modified by deleting “Crown” and inserting instead —</w:t>
      </w:r>
      <w:del w:id="4402" w:author="svcMRProcess" w:date="2020-02-20T23:16:00Z">
        <w:r>
          <w:delText xml:space="preserve"> </w:delText>
        </w:r>
      </w:del>
    </w:p>
    <w:p>
      <w:pPr>
        <w:pStyle w:val="nzMiscellaneousBody"/>
        <w:tabs>
          <w:tab w:val="left" w:pos="1418"/>
        </w:tabs>
        <w:ind w:left="1418" w:hanging="851"/>
      </w:pPr>
      <w:r>
        <w:tab/>
      </w:r>
      <w:r>
        <w:tab/>
        <w:t>“    Commonwealth    ”.</w:t>
      </w:r>
    </w:p>
    <w:p>
      <w:pPr>
        <w:pStyle w:val="nzHeading5"/>
      </w:pPr>
      <w:r>
        <w:t>97.</w:t>
      </w:r>
      <w:r>
        <w:tab/>
        <w:t>Section 73D modified</w:t>
      </w:r>
    </w:p>
    <w:p>
      <w:pPr>
        <w:pStyle w:val="nzSubsection"/>
      </w:pPr>
      <w:r>
        <w:tab/>
      </w:r>
      <w:r>
        <w:tab/>
        <w:t>Section 73D(6a)(b) is modified by deleting “in another jurisdiction” and inserting instead —</w:t>
      </w:r>
      <w:del w:id="4403" w:author="svcMRProcess" w:date="2020-02-20T23:16:00Z">
        <w:r>
          <w:delText xml:space="preserve"> </w:delText>
        </w:r>
      </w:del>
    </w:p>
    <w:p>
      <w:pPr>
        <w:pStyle w:val="MiscOpen"/>
        <w:ind w:left="879"/>
        <w:rPr>
          <w:del w:id="4404" w:author="svcMRProcess" w:date="2020-02-20T23:16:00Z"/>
        </w:rPr>
      </w:pPr>
      <w:del w:id="4405" w:author="svcMRProcess" w:date="2020-02-20T23:16:00Z">
        <w:r>
          <w:delText xml:space="preserve">“    </w:delText>
        </w:r>
      </w:del>
    </w:p>
    <w:p>
      <w:pPr>
        <w:pStyle w:val="nzMiscellaneousBody"/>
        <w:tabs>
          <w:tab w:val="left" w:pos="1418"/>
        </w:tabs>
        <w:ind w:left="1418" w:hanging="851"/>
        <w:rPr>
          <w:del w:id="4406" w:author="svcMRProcess" w:date="2020-02-20T23:16:00Z"/>
        </w:rPr>
      </w:pPr>
      <w:del w:id="4407" w:author="svcMRProcess" w:date="2020-02-20T23:16:00Z">
        <w:r>
          <w:tab/>
        </w:r>
      </w:del>
      <w:ins w:id="4408" w:author="svcMRProcess" w:date="2020-02-20T23:16:00Z">
        <w:r>
          <w:tab/>
          <w:t xml:space="preserve">“    </w:t>
        </w:r>
      </w:ins>
      <w:r>
        <w:t>under a law in force in another State or Territory</w:t>
      </w:r>
    </w:p>
    <w:p>
      <w:pPr>
        <w:pStyle w:val="nzMiscellaneousBody"/>
        <w:tabs>
          <w:tab w:val="left" w:pos="1418"/>
        </w:tabs>
        <w:ind w:left="1418" w:hanging="851"/>
      </w:pPr>
      <w:r>
        <w:t xml:space="preserve">    ”.</w:t>
      </w:r>
    </w:p>
    <w:p>
      <w:pPr>
        <w:pStyle w:val="nzHeading5"/>
      </w:pPr>
      <w:r>
        <w:t>98.</w:t>
      </w:r>
      <w:r>
        <w:tab/>
        <w:t>Section 75AE modified</w:t>
      </w:r>
    </w:p>
    <w:p>
      <w:pPr>
        <w:pStyle w:val="nzSubsection"/>
        <w:keepNext/>
      </w:pPr>
      <w:r>
        <w:tab/>
      </w:r>
      <w:r>
        <w:tab/>
        <w:t>After section 75AE(2) the following subsection is inserted —</w:t>
      </w:r>
      <w:del w:id="4409" w:author="svcMRProcess" w:date="2020-02-20T23:16:00Z">
        <w:r>
          <w:delText xml:space="preserve"> </w:delText>
        </w:r>
      </w:del>
    </w:p>
    <w:p>
      <w:pPr>
        <w:pStyle w:val="MiscOpen"/>
        <w:ind w:left="600"/>
      </w:pPr>
      <w:r>
        <w:t>“</w:t>
      </w:r>
      <w:del w:id="4410" w:author="svcMRProcess" w:date="2020-02-20T23:16:00Z">
        <w:r>
          <w:delText xml:space="preserve">    </w:delText>
        </w:r>
      </w:del>
    </w:p>
    <w:p>
      <w:pPr>
        <w:pStyle w:val="nzMiscellaneousBody"/>
        <w:tabs>
          <w:tab w:val="left" w:pos="1418"/>
          <w:tab w:val="left" w:pos="1985"/>
        </w:tabs>
        <w:ind w:left="1985" w:hanging="1418"/>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t>99.</w:t>
      </w:r>
      <w:r>
        <w:tab/>
        <w:t>Section 76AH modified</w:t>
      </w:r>
    </w:p>
    <w:p>
      <w:pPr>
        <w:pStyle w:val="nzSubsection"/>
      </w:pPr>
      <w:r>
        <w:tab/>
      </w:r>
      <w:r>
        <w:tab/>
        <w:t>Section 76AH(4)(b) is modified by deleting “in another jurisdiction” and inserting instead —</w:t>
      </w:r>
      <w:del w:id="4411" w:author="svcMRProcess" w:date="2020-02-20T23:16:00Z">
        <w:r>
          <w:delText xml:space="preserve"> </w:delText>
        </w:r>
      </w:del>
    </w:p>
    <w:p>
      <w:pPr>
        <w:pStyle w:val="MiscOpen"/>
        <w:ind w:left="600"/>
        <w:rPr>
          <w:del w:id="4412" w:author="svcMRProcess" w:date="2020-02-20T23:16:00Z"/>
        </w:rPr>
      </w:pPr>
      <w:del w:id="4413" w:author="svcMRProcess" w:date="2020-02-20T23:16:00Z">
        <w:r>
          <w:delText xml:space="preserve">“    </w:delText>
        </w:r>
      </w:del>
    </w:p>
    <w:p>
      <w:pPr>
        <w:pStyle w:val="nzMiscellaneousBody"/>
        <w:tabs>
          <w:tab w:val="left" w:pos="1418"/>
        </w:tabs>
        <w:ind w:left="1418" w:hanging="851"/>
        <w:rPr>
          <w:del w:id="4414" w:author="svcMRProcess" w:date="2020-02-20T23:16:00Z"/>
        </w:rPr>
      </w:pPr>
      <w:del w:id="4415" w:author="svcMRProcess" w:date="2020-02-20T23:16:00Z">
        <w:r>
          <w:tab/>
        </w:r>
      </w:del>
      <w:ins w:id="4416" w:author="svcMRProcess" w:date="2020-02-20T23:16:00Z">
        <w:r>
          <w:tab/>
          <w:t xml:space="preserve">“    </w:t>
        </w:r>
      </w:ins>
      <w:r>
        <w:t>under a law in force in another State or Territory</w:t>
      </w:r>
    </w:p>
    <w:p>
      <w:pPr>
        <w:pStyle w:val="nzMiscellaneousBody"/>
        <w:tabs>
          <w:tab w:val="left" w:pos="1418"/>
        </w:tabs>
        <w:ind w:left="1418" w:hanging="851"/>
      </w:pPr>
      <w:r>
        <w:t xml:space="preserve">    ”.</w:t>
      </w:r>
    </w:p>
    <w:p>
      <w:pPr>
        <w:pStyle w:val="nzHeading5"/>
      </w:pPr>
      <w:r>
        <w:t>100.</w:t>
      </w:r>
      <w:r>
        <w:tab/>
        <w:t>Section 76AO modified</w:t>
      </w:r>
    </w:p>
    <w:p>
      <w:pPr>
        <w:pStyle w:val="nzSubsection"/>
      </w:pPr>
      <w:r>
        <w:tab/>
      </w:r>
      <w:r>
        <w:tab/>
        <w:t>Section 76AO(4)(b) is modified by deleting “in another jurisdiction” and inserting instead —</w:t>
      </w:r>
      <w:del w:id="4417" w:author="svcMRProcess" w:date="2020-02-20T23:16:00Z">
        <w:r>
          <w:delText xml:space="preserve"> </w:delText>
        </w:r>
      </w:del>
    </w:p>
    <w:p>
      <w:pPr>
        <w:pStyle w:val="nzMiscellaneousBody"/>
        <w:tabs>
          <w:tab w:val="left" w:pos="1418"/>
        </w:tabs>
        <w:ind w:left="1418" w:hanging="851"/>
      </w:pPr>
      <w:r>
        <w:tab/>
        <w:t>“    under a law in force in another State or Territory    ”.</w:t>
      </w:r>
    </w:p>
    <w:p>
      <w:pPr>
        <w:pStyle w:val="nzHeading5"/>
      </w:pPr>
      <w:r>
        <w:t>101.</w:t>
      </w:r>
      <w:r>
        <w:tab/>
        <w:t>Section 84 modified</w:t>
      </w:r>
    </w:p>
    <w:p>
      <w:pPr>
        <w:pStyle w:val="nzSubsection"/>
      </w:pPr>
      <w:r>
        <w:tab/>
      </w:r>
      <w:r>
        <w:tab/>
        <w:t>After section 84(4) the following subsection is inserted —</w:t>
      </w:r>
      <w:del w:id="4418" w:author="svcMRProcess" w:date="2020-02-20T23:16:00Z">
        <w:r>
          <w:delText xml:space="preserve"> </w:delText>
        </w:r>
      </w:del>
    </w:p>
    <w:p>
      <w:pPr>
        <w:pStyle w:val="MiscOpen"/>
        <w:ind w:left="600"/>
      </w:pPr>
      <w:r>
        <w:t>“</w:t>
      </w:r>
      <w:del w:id="4419" w:author="svcMRProcess" w:date="2020-02-20T23:16:00Z">
        <w:r>
          <w:delText xml:space="preserve">    </w:delText>
        </w:r>
      </w:del>
    </w:p>
    <w:p>
      <w:pPr>
        <w:pStyle w:val="nzMiscellaneousBody"/>
        <w:tabs>
          <w:tab w:val="left" w:pos="1418"/>
          <w:tab w:val="left" w:pos="1985"/>
        </w:tabs>
        <w:ind w:left="1985" w:hanging="1418"/>
      </w:pPr>
      <w:r>
        <w:tab/>
        <w:t>(5)</w:t>
      </w:r>
      <w:r>
        <w:tab/>
        <w:t>In this section —</w:t>
      </w:r>
      <w:del w:id="4420" w:author="svcMRProcess" w:date="2020-02-20T23:16:00Z">
        <w:r>
          <w:delText xml:space="preserve"> </w:delText>
        </w:r>
      </w:del>
    </w:p>
    <w:p>
      <w:pPr>
        <w:pStyle w:val="nzMiscellaneousBody"/>
        <w:tabs>
          <w:tab w:val="left" w:pos="1985"/>
          <w:tab w:val="left" w:pos="2552"/>
        </w:tabs>
        <w:ind w:left="2552" w:hanging="1985"/>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nzMiscellaneousBody"/>
        <w:tabs>
          <w:tab w:val="left" w:pos="1985"/>
          <w:tab w:val="left" w:pos="2552"/>
        </w:tabs>
        <w:ind w:left="2552" w:hanging="1985"/>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ind w:right="577"/>
      </w:pPr>
      <w:r>
        <w:t xml:space="preserve">    ”.</w:t>
      </w:r>
    </w:p>
    <w:p>
      <w:pPr>
        <w:pStyle w:val="nzHeading5"/>
      </w:pPr>
      <w:r>
        <w:t>102.</w:t>
      </w:r>
      <w:r>
        <w:tab/>
        <w:t>Section 87 modified</w:t>
      </w:r>
    </w:p>
    <w:p>
      <w:pPr>
        <w:pStyle w:val="nzSubsection"/>
        <w:keepNext/>
      </w:pPr>
      <w:r>
        <w:tab/>
      </w:r>
      <w:r>
        <w:tab/>
        <w:t>Section 87(1) is modified by inserting after “chargeable under item 13” —</w:t>
      </w:r>
      <w:del w:id="4421" w:author="svcMRProcess" w:date="2020-02-20T23:16:00Z">
        <w:r>
          <w:delText xml:space="preserve"> </w:delText>
        </w:r>
      </w:del>
    </w:p>
    <w:p>
      <w:pPr>
        <w:pStyle w:val="MiscOpen"/>
        <w:ind w:left="879"/>
      </w:pPr>
      <w:r>
        <w:t>“</w:t>
      </w:r>
      <w:del w:id="4422" w:author="svcMRProcess" w:date="2020-02-20T23:16:00Z">
        <w:r>
          <w:delText xml:space="preserve">    </w:delText>
        </w:r>
      </w:del>
    </w:p>
    <w:p>
      <w:pPr>
        <w:pStyle w:val="nzMiscellaneousBody"/>
        <w:tabs>
          <w:tab w:val="left" w:pos="1418"/>
        </w:tabs>
        <w:ind w:left="1418" w:right="856" w:hanging="851"/>
      </w:pPr>
      <w:r>
        <w:tab/>
        <w:t>of the second Schedule of this Act or the corresponding Stamp Act</w:t>
      </w:r>
    </w:p>
    <w:p>
      <w:pPr>
        <w:pStyle w:val="MiscClose"/>
        <w:ind w:right="577"/>
      </w:pPr>
      <w:r>
        <w:t xml:space="preserve">    ”.</w:t>
      </w:r>
    </w:p>
    <w:p>
      <w:pPr>
        <w:pStyle w:val="nzHeading5"/>
      </w:pPr>
      <w:r>
        <w:t>103.</w:t>
      </w:r>
      <w:r>
        <w:tab/>
        <w:t>Section 112A modified</w:t>
      </w:r>
    </w:p>
    <w:p>
      <w:pPr>
        <w:pStyle w:val="nzSubsection"/>
      </w:pPr>
      <w:r>
        <w:tab/>
      </w:r>
      <w:r>
        <w:tab/>
        <w:t>Section 112A(1) is modified by deleting the definition of “corresponding law” and inserting the following definition instead —</w:t>
      </w:r>
      <w:del w:id="4423" w:author="svcMRProcess" w:date="2020-02-20T23:16:00Z">
        <w:r>
          <w:delText xml:space="preserve"> </w:delText>
        </w:r>
      </w:del>
    </w:p>
    <w:p>
      <w:pPr>
        <w:pStyle w:val="MiscOpen"/>
        <w:ind w:left="879"/>
      </w:pPr>
      <w:r>
        <w:t>“</w:t>
      </w:r>
      <w:del w:id="4424" w:author="svcMRProcess" w:date="2020-02-20T23:16:00Z">
        <w:r>
          <w:delText xml:space="preserve">    </w:delText>
        </w:r>
      </w:del>
    </w:p>
    <w:p>
      <w:pPr>
        <w:pStyle w:val="nzMiscellaneousBody"/>
        <w:tabs>
          <w:tab w:val="left" w:pos="1418"/>
          <w:tab w:val="left" w:pos="1985"/>
        </w:tabs>
        <w:ind w:left="1985" w:hanging="1418"/>
      </w:pPr>
      <w:r>
        <w:tab/>
      </w:r>
      <w:r>
        <w:rPr>
          <w:b/>
          <w:bCs/>
        </w:rPr>
        <w:t>“</w:t>
      </w:r>
      <w:r>
        <w:rPr>
          <w:b/>
        </w:rPr>
        <w:t>corresponding law</w:t>
      </w:r>
      <w:r>
        <w:rPr>
          <w:b/>
          <w:bCs/>
        </w:rPr>
        <w:t>”</w:t>
      </w:r>
      <w:r>
        <w:t xml:space="preserve"> means —</w:t>
      </w:r>
      <w:del w:id="4425" w:author="svcMRProcess" w:date="2020-02-20T23:16:00Z">
        <w:r>
          <w:delText xml:space="preserve"> </w:delText>
        </w:r>
      </w:del>
    </w:p>
    <w:p>
      <w:pPr>
        <w:pStyle w:val="nzMiscellaneousBody"/>
        <w:tabs>
          <w:tab w:val="left" w:pos="1701"/>
          <w:tab w:val="left" w:pos="2268"/>
        </w:tabs>
        <w:ind w:left="2268" w:hanging="1701"/>
      </w:pPr>
      <w:r>
        <w:tab/>
        <w:t>(a)</w:t>
      </w:r>
      <w:r>
        <w:tab/>
        <w:t>the corresponding Stamp Act;</w:t>
      </w:r>
    </w:p>
    <w:p>
      <w:pPr>
        <w:pStyle w:val="nzMiscellaneousBody"/>
        <w:tabs>
          <w:tab w:val="left" w:pos="1701"/>
          <w:tab w:val="left" w:pos="2268"/>
        </w:tabs>
        <w:ind w:left="2268" w:hanging="1701"/>
      </w:pPr>
      <w:r>
        <w:tab/>
        <w:t>(b)</w:t>
      </w:r>
      <w:r>
        <w:tab/>
        <w:t>a law in force in another State or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nzHeading5"/>
      </w:pPr>
      <w:r>
        <w:t>104.</w:t>
      </w:r>
      <w:r>
        <w:tab/>
        <w:t>Section 112K modified</w:t>
      </w:r>
    </w:p>
    <w:p>
      <w:pPr>
        <w:pStyle w:val="nzSubsection"/>
      </w:pPr>
      <w:r>
        <w:tab/>
      </w:r>
      <w:r>
        <w:tab/>
        <w:t>After section 112K(1a) the following subsection is inserted —</w:t>
      </w:r>
      <w:del w:id="4426" w:author="svcMRProcess" w:date="2020-02-20T23:16:00Z">
        <w:r>
          <w:delText xml:space="preserve"> </w:delText>
        </w:r>
      </w:del>
    </w:p>
    <w:p>
      <w:pPr>
        <w:pStyle w:val="MiscOpen"/>
        <w:ind w:left="600"/>
      </w:pPr>
      <w:r>
        <w:t>“</w:t>
      </w:r>
      <w:del w:id="4427" w:author="svcMRProcess" w:date="2020-02-20T23:16:00Z">
        <w:r>
          <w:delText xml:space="preserve">    </w:delText>
        </w:r>
      </w:del>
    </w:p>
    <w:p>
      <w:pPr>
        <w:pStyle w:val="nzMiscellaneousBody"/>
        <w:tabs>
          <w:tab w:val="left" w:pos="1418"/>
          <w:tab w:val="left" w:pos="1985"/>
        </w:tabs>
        <w:ind w:left="1985" w:hanging="1418"/>
      </w:pPr>
      <w:r>
        <w:tab/>
        <w:t>(1b)</w:t>
      </w:r>
      <w:r>
        <w:tab/>
        <w:t>A reference in subsection (1) to an amount to be shown in a statement does not include a reference to any amount in respect of which stamp duty has been paid under the corresponding Stamp Act.</w:t>
      </w:r>
    </w:p>
    <w:p>
      <w:pPr>
        <w:pStyle w:val="MiscClose"/>
        <w:ind w:right="577"/>
      </w:pPr>
      <w:r>
        <w:t xml:space="preserve">    ”.</w:t>
      </w:r>
    </w:p>
    <w:p>
      <w:pPr>
        <w:pStyle w:val="nzHeading5"/>
      </w:pPr>
      <w:r>
        <w:t>105.</w:t>
      </w:r>
      <w:r>
        <w:tab/>
        <w:t>Section 120 modified</w:t>
      </w:r>
    </w:p>
    <w:p>
      <w:pPr>
        <w:pStyle w:val="nzSubsection"/>
      </w:pPr>
      <w:r>
        <w:tab/>
      </w:r>
      <w:r>
        <w:tab/>
        <w:t>Section 120(1)(f) is modified by deleting “Crown” and inserting instead —</w:t>
      </w:r>
      <w:del w:id="4428" w:author="svcMRProcess" w:date="2020-02-20T23:16:00Z">
        <w:r>
          <w:delText xml:space="preserve"> </w:delText>
        </w:r>
      </w:del>
    </w:p>
    <w:p>
      <w:pPr>
        <w:pStyle w:val="nzMiscellaneousBody"/>
        <w:tabs>
          <w:tab w:val="left" w:pos="1418"/>
          <w:tab w:val="left" w:pos="1985"/>
        </w:tabs>
        <w:ind w:left="1985" w:hanging="1418"/>
      </w:pPr>
      <w:r>
        <w:tab/>
        <w:t>“    Commonwealth    ”.</w:t>
      </w:r>
    </w:p>
    <w:p>
      <w:pPr>
        <w:pStyle w:val="MiscClose"/>
      </w:pPr>
      <w:r>
        <w:t>”.</w:t>
      </w:r>
    </w:p>
    <w:p>
      <w:pPr>
        <w:pStyle w:val="nSubsection"/>
        <w:rPr>
          <w:snapToGrid w:val="0"/>
        </w:rPr>
      </w:pPr>
      <w:del w:id="4429" w:author="svcMRProcess" w:date="2020-02-20T23:16:00Z">
        <w:r>
          <w:rPr>
            <w:snapToGrid w:val="0"/>
            <w:vertAlign w:val="superscript"/>
          </w:rPr>
          <w:delText>12</w:delText>
        </w:r>
      </w:del>
      <w:ins w:id="4430" w:author="svcMRProcess" w:date="2020-02-20T23:16:00Z">
        <w:r>
          <w:rPr>
            <w:snapToGrid w:val="0"/>
            <w:vertAlign w:val="superscript"/>
          </w:rPr>
          <w:t>9</w:t>
        </w:r>
      </w:ins>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del w:id="4431" w:author="svcMRProcess" w:date="2020-02-20T23:16:00Z">
        <w:r>
          <w:rPr>
            <w:snapToGrid w:val="0"/>
            <w:vertAlign w:val="superscript"/>
          </w:rPr>
          <w:delText>13</w:delText>
        </w:r>
      </w:del>
      <w:ins w:id="4432" w:author="svcMRProcess" w:date="2020-02-20T23:16:00Z">
        <w:r>
          <w:rPr>
            <w:snapToGrid w:val="0"/>
            <w:vertAlign w:val="superscript"/>
          </w:rPr>
          <w:t>10</w:t>
        </w:r>
      </w:ins>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del w:id="4433" w:author="svcMRProcess" w:date="2020-02-20T23:16:00Z">
        <w:r>
          <w:rPr>
            <w:snapToGrid w:val="0"/>
            <w:vertAlign w:val="superscript"/>
          </w:rPr>
          <w:delText>14</w:delText>
        </w:r>
      </w:del>
      <w:ins w:id="4434" w:author="svcMRProcess" w:date="2020-02-20T23:16:00Z">
        <w:r>
          <w:rPr>
            <w:snapToGrid w:val="0"/>
            <w:vertAlign w:val="superscript"/>
          </w:rPr>
          <w:t>11</w:t>
        </w:r>
      </w:ins>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del w:id="4435" w:author="svcMRProcess" w:date="2020-02-20T23:16:00Z">
        <w:r>
          <w:rPr>
            <w:snapToGrid w:val="0"/>
            <w:vertAlign w:val="superscript"/>
          </w:rPr>
          <w:delText>15</w:delText>
        </w:r>
      </w:del>
      <w:ins w:id="4436" w:author="svcMRProcess" w:date="2020-02-20T23:16:00Z">
        <w:r>
          <w:rPr>
            <w:snapToGrid w:val="0"/>
            <w:vertAlign w:val="superscript"/>
          </w:rPr>
          <w:t>12</w:t>
        </w:r>
      </w:ins>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del w:id="4437" w:author="svcMRProcess" w:date="2020-02-20T23:16:00Z">
        <w:r>
          <w:rPr>
            <w:snapToGrid w:val="0"/>
            <w:vertAlign w:val="superscript"/>
          </w:rPr>
          <w:delText>16</w:delText>
        </w:r>
      </w:del>
      <w:ins w:id="4438" w:author="svcMRProcess" w:date="2020-02-20T23:16:00Z">
        <w:r>
          <w:rPr>
            <w:snapToGrid w:val="0"/>
            <w:vertAlign w:val="superscript"/>
          </w:rPr>
          <w:t>13</w:t>
        </w:r>
      </w:ins>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del w:id="4439" w:author="svcMRProcess" w:date="2020-02-20T23:16:00Z">
        <w:r>
          <w:rPr>
            <w:snapToGrid w:val="0"/>
            <w:vertAlign w:val="superscript"/>
          </w:rPr>
          <w:delText>17</w:delText>
        </w:r>
      </w:del>
      <w:ins w:id="4440" w:author="svcMRProcess" w:date="2020-02-20T23:16:00Z">
        <w:r>
          <w:rPr>
            <w:snapToGrid w:val="0"/>
            <w:vertAlign w:val="superscript"/>
          </w:rPr>
          <w:t>14</w:t>
        </w:r>
      </w:ins>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del w:id="4441" w:author="svcMRProcess" w:date="2020-02-20T23:16:00Z">
        <w:r>
          <w:rPr>
            <w:snapToGrid w:val="0"/>
            <w:vertAlign w:val="superscript"/>
          </w:rPr>
          <w:delText>18</w:delText>
        </w:r>
      </w:del>
      <w:ins w:id="4442" w:author="svcMRProcess" w:date="2020-02-20T23:16:00Z">
        <w:r>
          <w:rPr>
            <w:snapToGrid w:val="0"/>
            <w:vertAlign w:val="superscript"/>
          </w:rPr>
          <w:t>15</w:t>
        </w:r>
      </w:ins>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del w:id="4443" w:author="svcMRProcess" w:date="2020-02-20T23:16:00Z">
        <w:r>
          <w:rPr>
            <w:snapToGrid w:val="0"/>
            <w:vertAlign w:val="superscript"/>
          </w:rPr>
          <w:delText>19</w:delText>
        </w:r>
      </w:del>
      <w:ins w:id="4444" w:author="svcMRProcess" w:date="2020-02-20T23:16:00Z">
        <w:r>
          <w:rPr>
            <w:snapToGrid w:val="0"/>
            <w:vertAlign w:val="superscript"/>
          </w:rPr>
          <w:t>16</w:t>
        </w:r>
      </w:ins>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del w:id="4445" w:author="svcMRProcess" w:date="2020-02-20T23:16:00Z">
        <w:r>
          <w:rPr>
            <w:snapToGrid w:val="0"/>
            <w:vertAlign w:val="superscript"/>
          </w:rPr>
          <w:delText>20</w:delText>
        </w:r>
      </w:del>
      <w:ins w:id="4446" w:author="svcMRProcess" w:date="2020-02-20T23:16:00Z">
        <w:r>
          <w:rPr>
            <w:snapToGrid w:val="0"/>
            <w:vertAlign w:val="superscript"/>
          </w:rPr>
          <w:t>17</w:t>
        </w:r>
      </w:ins>
      <w:r>
        <w:rPr>
          <w:snapToGrid w:val="0"/>
        </w:rPr>
        <w:tab/>
        <w:t xml:space="preserve">The </w:t>
      </w:r>
      <w:r>
        <w:rPr>
          <w:i/>
          <w:snapToGrid w:val="0"/>
        </w:rPr>
        <w:t>Stamp Amendment Act (No. 2) 1994</w:t>
      </w:r>
      <w:r>
        <w:rPr>
          <w:snapToGrid w:val="0"/>
        </w:rPr>
        <w:t xml:space="preserve"> s. 5(2) and (3) read as follows:</w:t>
      </w:r>
      <w:del w:id="4447" w:author="svcMRProcess" w:date="2020-02-20T23:16:00Z">
        <w:r>
          <w:rPr>
            <w:snapToGrid w:val="0"/>
          </w:rPr>
          <w:delText> </w:delText>
        </w:r>
      </w:del>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del w:id="4448" w:author="svcMRProcess" w:date="2020-02-20T23:16:00Z">
        <w:r>
          <w:rPr>
            <w:snapToGrid w:val="0"/>
            <w:vertAlign w:val="superscript"/>
          </w:rPr>
          <w:delText>21</w:delText>
        </w:r>
      </w:del>
      <w:ins w:id="4449" w:author="svcMRProcess" w:date="2020-02-20T23:16:00Z">
        <w:r>
          <w:rPr>
            <w:snapToGrid w:val="0"/>
            <w:vertAlign w:val="superscript"/>
          </w:rPr>
          <w:t>18</w:t>
        </w:r>
      </w:ins>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Saving provision</w:t>
      </w:r>
      <w:del w:id="4450" w:author="svcMRProcess" w:date="2020-02-20T23:16:00Z">
        <w:r>
          <w:rPr>
            <w:snapToGrid w:val="0"/>
          </w:rPr>
          <w:delText xml:space="preserve"> </w:delText>
        </w:r>
      </w:del>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del w:id="4451" w:author="svcMRProcess" w:date="2020-02-20T23:16:00Z">
        <w:r>
          <w:rPr>
            <w:snapToGrid w:val="0"/>
            <w:vertAlign w:val="superscript"/>
          </w:rPr>
          <w:delText>22</w:delText>
        </w:r>
      </w:del>
      <w:ins w:id="4452" w:author="svcMRProcess" w:date="2020-02-20T23:16:00Z">
        <w:r>
          <w:rPr>
            <w:snapToGrid w:val="0"/>
            <w:vertAlign w:val="superscript"/>
          </w:rPr>
          <w:t>19</w:t>
        </w:r>
      </w:ins>
      <w:r>
        <w:rPr>
          <w:snapToGrid w:val="0"/>
        </w:rPr>
        <w:tab/>
        <w:t xml:space="preserve">The </w:t>
      </w:r>
      <w:r>
        <w:rPr>
          <w:i/>
          <w:snapToGrid w:val="0"/>
        </w:rPr>
        <w:t>Stamp Amendment Act 1995</w:t>
      </w:r>
      <w:r>
        <w:rPr>
          <w:snapToGrid w:val="0"/>
        </w:rPr>
        <w:t xml:space="preserve"> s. 4(2) reads as follows:</w:t>
      </w:r>
      <w:del w:id="4453" w:author="svcMRProcess" w:date="2020-02-20T23:16:00Z">
        <w:r>
          <w:rPr>
            <w:snapToGrid w:val="0"/>
          </w:rPr>
          <w:delText> </w:delText>
        </w:r>
      </w:del>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del w:id="4454" w:author="svcMRProcess" w:date="2020-02-20T23:16:00Z">
        <w:r>
          <w:rPr>
            <w:snapToGrid w:val="0"/>
            <w:vertAlign w:val="superscript"/>
          </w:rPr>
          <w:delText>23</w:delText>
        </w:r>
      </w:del>
      <w:ins w:id="4455" w:author="svcMRProcess" w:date="2020-02-20T23:16:00Z">
        <w:r>
          <w:rPr>
            <w:snapToGrid w:val="0"/>
            <w:vertAlign w:val="superscript"/>
          </w:rPr>
          <w:t>20</w:t>
        </w:r>
      </w:ins>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del w:id="4456" w:author="svcMRProcess" w:date="2020-02-20T23:16:00Z">
        <w:r>
          <w:rPr>
            <w:snapToGrid w:val="0"/>
            <w:vertAlign w:val="superscript"/>
          </w:rPr>
          <w:delText>24</w:delText>
        </w:r>
      </w:del>
      <w:ins w:id="4457" w:author="svcMRProcess" w:date="2020-02-20T23:16:00Z">
        <w:r>
          <w:rPr>
            <w:snapToGrid w:val="0"/>
            <w:vertAlign w:val="superscript"/>
          </w:rPr>
          <w:t>21</w:t>
        </w:r>
      </w:ins>
      <w:r>
        <w:rPr>
          <w:snapToGrid w:val="0"/>
        </w:rPr>
        <w:tab/>
        <w:t xml:space="preserve">The </w:t>
      </w:r>
      <w:r>
        <w:rPr>
          <w:i/>
          <w:snapToGrid w:val="0"/>
        </w:rPr>
        <w:t>Revenue Laws Amendment (Assessment) Act 1996</w:t>
      </w:r>
      <w:r>
        <w:rPr>
          <w:snapToGrid w:val="0"/>
        </w:rPr>
        <w:t xml:space="preserve"> s. 32(5) reads as follows:</w:t>
      </w:r>
      <w:del w:id="4458" w:author="svcMRProcess" w:date="2020-02-20T23:16:00Z">
        <w:r>
          <w:rPr>
            <w:snapToGrid w:val="0"/>
          </w:rPr>
          <w:delText> </w:delText>
        </w:r>
      </w:del>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keepNext/>
        <w:rPr>
          <w:snapToGrid w:val="0"/>
        </w:rPr>
      </w:pPr>
      <w:del w:id="4459" w:author="svcMRProcess" w:date="2020-02-20T23:16:00Z">
        <w:r>
          <w:rPr>
            <w:snapToGrid w:val="0"/>
            <w:vertAlign w:val="superscript"/>
          </w:rPr>
          <w:delText>25</w:delText>
        </w:r>
      </w:del>
      <w:ins w:id="4460" w:author="svcMRProcess" w:date="2020-02-20T23:16:00Z">
        <w:r>
          <w:rPr>
            <w:snapToGrid w:val="0"/>
            <w:vertAlign w:val="superscript"/>
          </w:rPr>
          <w:t>22</w:t>
        </w:r>
      </w:ins>
      <w:r>
        <w:rPr>
          <w:snapToGrid w:val="0"/>
        </w:rPr>
        <w:tab/>
        <w:t xml:space="preserve">The </w:t>
      </w:r>
      <w:r>
        <w:rPr>
          <w:i/>
          <w:snapToGrid w:val="0"/>
        </w:rPr>
        <w:t>Stamp Amendment Act 1996</w:t>
      </w:r>
      <w:r>
        <w:rPr>
          <w:snapToGrid w:val="0"/>
        </w:rPr>
        <w:t xml:space="preserve"> s. 9 reads as follows:</w:t>
      </w:r>
      <w:del w:id="4461" w:author="svcMRProcess" w:date="2020-02-20T23:16:00Z">
        <w:r>
          <w:rPr>
            <w:snapToGrid w:val="0"/>
          </w:rPr>
          <w:delText> </w:delText>
        </w:r>
      </w:del>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Transitional</w:t>
      </w:r>
      <w:del w:id="4462" w:author="svcMRProcess" w:date="2020-02-20T23:16:00Z">
        <w:r>
          <w:rPr>
            <w:snapToGrid w:val="0"/>
          </w:rPr>
          <w:delText xml:space="preserve"> </w:delText>
        </w:r>
      </w:del>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del w:id="4463" w:author="svcMRProcess" w:date="2020-02-20T23:16:00Z">
        <w:r>
          <w:rPr>
            <w:snapToGrid w:val="0"/>
            <w:vertAlign w:val="superscript"/>
          </w:rPr>
          <w:delText>26</w:delText>
        </w:r>
      </w:del>
      <w:ins w:id="4464" w:author="svcMRProcess" w:date="2020-02-20T23:16:00Z">
        <w:r>
          <w:rPr>
            <w:snapToGrid w:val="0"/>
            <w:vertAlign w:val="superscript"/>
          </w:rPr>
          <w:t>23</w:t>
        </w:r>
      </w:ins>
      <w:r>
        <w:rPr>
          <w:snapToGrid w:val="0"/>
        </w:rPr>
        <w:tab/>
        <w:t xml:space="preserve">The </w:t>
      </w:r>
      <w:r>
        <w:rPr>
          <w:i/>
          <w:snapToGrid w:val="0"/>
        </w:rPr>
        <w:t>Revenue Laws Amendment (Assessment) Act 1997</w:t>
      </w:r>
      <w:r>
        <w:rPr>
          <w:snapToGrid w:val="0"/>
        </w:rPr>
        <w:t xml:space="preserve"> s. 36(2) reads as follows:</w:t>
      </w:r>
      <w:del w:id="4465" w:author="svcMRProcess" w:date="2020-02-20T23:16:00Z">
        <w:r>
          <w:rPr>
            <w:snapToGrid w:val="0"/>
          </w:rPr>
          <w:delText> </w:delText>
        </w:r>
      </w:del>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del w:id="4466" w:author="svcMRProcess" w:date="2020-02-20T23:16:00Z">
        <w:r>
          <w:rPr>
            <w:snapToGrid w:val="0"/>
            <w:vertAlign w:val="superscript"/>
          </w:rPr>
          <w:delText>27</w:delText>
        </w:r>
      </w:del>
      <w:ins w:id="4467" w:author="svcMRProcess" w:date="2020-02-20T23:16:00Z">
        <w:r>
          <w:rPr>
            <w:snapToGrid w:val="0"/>
            <w:vertAlign w:val="superscript"/>
          </w:rPr>
          <w:t>24</w:t>
        </w:r>
      </w:ins>
      <w:r>
        <w:rPr>
          <w:snapToGrid w:val="0"/>
        </w:rPr>
        <w:tab/>
        <w:t xml:space="preserve">The </w:t>
      </w:r>
      <w:r>
        <w:rPr>
          <w:i/>
          <w:snapToGrid w:val="0"/>
        </w:rPr>
        <w:t>Revenue Laws Amendment (Assessment) Act 1997</w:t>
      </w:r>
      <w:r>
        <w:rPr>
          <w:snapToGrid w:val="0"/>
        </w:rPr>
        <w:t xml:space="preserve"> s. 39(2) and (3) read as follows:</w:t>
      </w:r>
      <w:del w:id="4468" w:author="svcMRProcess" w:date="2020-02-20T23:16:00Z">
        <w:r>
          <w:rPr>
            <w:snapToGrid w:val="0"/>
          </w:rPr>
          <w:delText> </w:delText>
        </w:r>
      </w:del>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w:t>
      </w:r>
      <w:del w:id="4469" w:author="svcMRProcess" w:date="2020-02-20T23:16:00Z">
        <w:r>
          <w:rPr>
            <w:snapToGrid w:val="0"/>
          </w:rPr>
          <w:delText> </w:delText>
        </w:r>
      </w:del>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del w:id="4470" w:author="svcMRProcess" w:date="2020-02-20T23:16:00Z">
        <w:r>
          <w:rPr>
            <w:snapToGrid w:val="0"/>
            <w:vertAlign w:val="superscript"/>
          </w:rPr>
          <w:delText>28</w:delText>
        </w:r>
      </w:del>
      <w:ins w:id="4471" w:author="svcMRProcess" w:date="2020-02-20T23:16:00Z">
        <w:r>
          <w:rPr>
            <w:snapToGrid w:val="0"/>
            <w:vertAlign w:val="superscript"/>
          </w:rPr>
          <w:t>25</w:t>
        </w:r>
      </w:ins>
      <w:r>
        <w:rPr>
          <w:snapToGrid w:val="0"/>
        </w:rPr>
        <w:tab/>
        <w:t xml:space="preserve">The </w:t>
      </w:r>
      <w:r>
        <w:rPr>
          <w:i/>
          <w:snapToGrid w:val="0"/>
        </w:rPr>
        <w:t>Revenue Laws Amendment (Assessment) Act 1997</w:t>
      </w:r>
      <w:r>
        <w:rPr>
          <w:snapToGrid w:val="0"/>
        </w:rPr>
        <w:t xml:space="preserve"> s. 24 </w:t>
      </w:r>
      <w:del w:id="4472" w:author="svcMRProcess" w:date="2020-02-20T23:16:00Z">
        <w:r>
          <w:rPr>
            <w:snapToGrid w:val="0"/>
          </w:rPr>
          <w:delText>reads</w:delText>
        </w:r>
      </w:del>
      <w:ins w:id="4473" w:author="svcMRProcess" w:date="2020-02-20T23:16:00Z">
        <w:r>
          <w:rPr>
            <w:snapToGrid w:val="0"/>
          </w:rPr>
          <w:t>and 48 read</w:t>
        </w:r>
      </w:ins>
      <w:r>
        <w:rPr>
          <w:snapToGrid w:val="0"/>
        </w:rPr>
        <w:t xml:space="preserve">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Reassessment</w:t>
      </w:r>
      <w:del w:id="4474" w:author="svcMRProcess" w:date="2020-02-20T23:16:00Z">
        <w:r>
          <w:rPr>
            <w:snapToGrid w:val="0"/>
          </w:rPr>
          <w:delText xml:space="preserve"> </w:delText>
        </w:r>
      </w:del>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The reassessment supersedes the original assessment.</w:t>
      </w:r>
      <w:del w:id="4475" w:author="svcMRProcess" w:date="2020-02-20T23:16:00Z">
        <w:r>
          <w:rPr>
            <w:snapToGrid w:val="0"/>
          </w:rPr>
          <w:delText xml:space="preserve"> </w:delText>
        </w:r>
      </w:del>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MiscClose"/>
        <w:rPr>
          <w:del w:id="4476" w:author="svcMRProcess" w:date="2020-02-20T23:16:00Z"/>
          <w:snapToGrid w:val="0"/>
        </w:rPr>
      </w:pPr>
      <w:del w:id="4477" w:author="svcMRProcess" w:date="2020-02-20T23:16:00Z">
        <w:r>
          <w:rPr>
            <w:snapToGrid w:val="0"/>
          </w:rPr>
          <w:delText>”.</w:delText>
        </w:r>
      </w:del>
    </w:p>
    <w:p>
      <w:pPr>
        <w:pStyle w:val="nSubsection"/>
        <w:keepNext/>
        <w:rPr>
          <w:del w:id="4478" w:author="svcMRProcess" w:date="2020-02-20T23:16:00Z"/>
          <w:snapToGrid w:val="0"/>
        </w:rPr>
      </w:pPr>
      <w:del w:id="4479" w:author="svcMRProcess" w:date="2020-02-20T23:16:00Z">
        <w:r>
          <w:rPr>
            <w:snapToGrid w:val="0"/>
            <w:vertAlign w:val="superscript"/>
          </w:rPr>
          <w:delText>29</w:delText>
        </w:r>
        <w:r>
          <w:rPr>
            <w:snapToGrid w:val="0"/>
          </w:rPr>
          <w:tab/>
          <w:delText xml:space="preserve">The </w:delText>
        </w:r>
        <w:r>
          <w:rPr>
            <w:i/>
            <w:snapToGrid w:val="0"/>
          </w:rPr>
          <w:delText>Revenue Laws Amendment (Assessment) Act 1997</w:delText>
        </w:r>
        <w:r>
          <w:rPr>
            <w:snapToGrid w:val="0"/>
          </w:rPr>
          <w:delText xml:space="preserve"> s. 48 reads as follows:</w:delText>
        </w:r>
      </w:del>
    </w:p>
    <w:p>
      <w:pPr>
        <w:pStyle w:val="MiscOpen"/>
        <w:rPr>
          <w:del w:id="4480" w:author="svcMRProcess" w:date="2020-02-20T23:16:00Z"/>
          <w:snapToGrid w:val="0"/>
        </w:rPr>
      </w:pPr>
      <w:del w:id="4481" w:author="svcMRProcess" w:date="2020-02-20T23:16:00Z">
        <w:r>
          <w:rPr>
            <w:snapToGrid w:val="0"/>
          </w:rPr>
          <w:delText>“</w:delText>
        </w:r>
      </w:del>
    </w:p>
    <w:p>
      <w:pPr>
        <w:pStyle w:val="nzHeading5"/>
        <w:spacing w:before="80"/>
        <w:rPr>
          <w:snapToGrid w:val="0"/>
        </w:rPr>
      </w:pPr>
      <w:r>
        <w:rPr>
          <w:snapToGrid w:val="0"/>
        </w:rPr>
        <w:t>48.</w:t>
      </w:r>
      <w:r>
        <w:rPr>
          <w:snapToGrid w:val="0"/>
        </w:rPr>
        <w:tab/>
        <w:t>Transitional</w:t>
      </w:r>
      <w:del w:id="4482" w:author="svcMRProcess" w:date="2020-02-20T23:16:00Z">
        <w:r>
          <w:rPr>
            <w:snapToGrid w:val="0"/>
          </w:rPr>
          <w:delText xml:space="preserve"> </w:delText>
        </w:r>
      </w:del>
    </w:p>
    <w:p>
      <w:pPr>
        <w:pStyle w:val="nzSubsection"/>
        <w:rPr>
          <w:snapToGrid w:val="0"/>
        </w:rPr>
      </w:pPr>
      <w:r>
        <w:rPr>
          <w:snapToGrid w:val="0"/>
        </w:rPr>
        <w:tab/>
      </w:r>
      <w:r>
        <w:rPr>
          <w:snapToGrid w:val="0"/>
        </w:rPr>
        <w:tab/>
        <w:t>The Commissioner is to refund the amount of any duty paid on a vehicle licence if —</w:t>
      </w:r>
      <w:del w:id="4483" w:author="svcMRProcess" w:date="2020-02-20T23:16:00Z">
        <w:r>
          <w:rPr>
            <w:snapToGrid w:val="0"/>
          </w:rPr>
          <w:delText> </w:delText>
        </w:r>
      </w:del>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del w:id="4484" w:author="svcMRProcess" w:date="2020-02-20T23:16:00Z">
        <w:r>
          <w:rPr>
            <w:snapToGrid w:val="0"/>
            <w:vertAlign w:val="superscript"/>
          </w:rPr>
          <w:delText>30</w:delText>
        </w:r>
      </w:del>
      <w:ins w:id="4485" w:author="svcMRProcess" w:date="2020-02-20T23:16:00Z">
        <w:r>
          <w:rPr>
            <w:snapToGrid w:val="0"/>
            <w:vertAlign w:val="superscript"/>
          </w:rPr>
          <w:t>26</w:t>
        </w:r>
      </w:ins>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keepNext/>
        <w:keepLines/>
        <w:rPr>
          <w:snapToGrid w:val="0"/>
        </w:rPr>
      </w:pPr>
      <w:del w:id="4486" w:author="svcMRProcess" w:date="2020-02-20T23:16:00Z">
        <w:r>
          <w:rPr>
            <w:snapToGrid w:val="0"/>
            <w:vertAlign w:val="superscript"/>
          </w:rPr>
          <w:delText>31</w:delText>
        </w:r>
      </w:del>
      <w:ins w:id="4487" w:author="svcMRProcess" w:date="2020-02-20T23:16:00Z">
        <w:r>
          <w:rPr>
            <w:snapToGrid w:val="0"/>
            <w:vertAlign w:val="superscript"/>
          </w:rPr>
          <w:t>27</w:t>
        </w:r>
      </w:ins>
      <w:r>
        <w:rPr>
          <w:snapToGrid w:val="0"/>
        </w:rPr>
        <w:tab/>
        <w:t xml:space="preserve">The </w:t>
      </w:r>
      <w:r>
        <w:rPr>
          <w:i/>
          <w:snapToGrid w:val="0"/>
        </w:rPr>
        <w:t>Revenue Laws Amendment (Taxation) Act 1998</w:t>
      </w:r>
      <w:r>
        <w:rPr>
          <w:snapToGrid w:val="0"/>
        </w:rPr>
        <w:t xml:space="preserve"> s. 2(4) and (5) read as follows:</w:t>
      </w:r>
      <w:del w:id="4488" w:author="svcMRProcess" w:date="2020-02-20T23:16:00Z">
        <w:r>
          <w:rPr>
            <w:snapToGrid w:val="0"/>
          </w:rPr>
          <w:delText xml:space="preserve"> </w:delText>
        </w:r>
      </w:del>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del w:id="4489" w:author="svcMRProcess" w:date="2020-02-20T23:16:00Z">
        <w:r>
          <w:rPr>
            <w:snapToGrid w:val="0"/>
            <w:vertAlign w:val="superscript"/>
          </w:rPr>
          <w:delText>32</w:delText>
        </w:r>
      </w:del>
      <w:ins w:id="4490" w:author="svcMRProcess" w:date="2020-02-20T23:16:00Z">
        <w:r>
          <w:rPr>
            <w:snapToGrid w:val="0"/>
            <w:vertAlign w:val="superscript"/>
          </w:rPr>
          <w:t>28</w:t>
        </w:r>
      </w:ins>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del w:id="4491" w:author="svcMRProcess" w:date="2020-02-20T23:16:00Z">
        <w:r>
          <w:rPr>
            <w:snapToGrid w:val="0"/>
            <w:vertAlign w:val="superscript"/>
          </w:rPr>
          <w:delText>33</w:delText>
        </w:r>
      </w:del>
      <w:ins w:id="4492" w:author="svcMRProcess" w:date="2020-02-20T23:16:00Z">
        <w:r>
          <w:rPr>
            <w:snapToGrid w:val="0"/>
            <w:vertAlign w:val="superscript"/>
          </w:rPr>
          <w:t>29</w:t>
        </w:r>
      </w:ins>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del w:id="4493" w:author="svcMRProcess" w:date="2020-02-20T23:16:00Z">
        <w:r>
          <w:delText xml:space="preserve"> </w:delText>
        </w:r>
      </w:del>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del w:id="4494" w:author="svcMRProcess" w:date="2020-02-20T23:16:00Z">
        <w:r>
          <w:delText xml:space="preserve"> </w:delText>
        </w:r>
      </w:del>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del w:id="4495" w:author="svcMRProcess" w:date="2020-02-20T23:16:00Z">
        <w:r>
          <w:delText xml:space="preserve"> </w:delText>
        </w:r>
      </w:del>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del w:id="4496" w:author="svcMRProcess" w:date="2020-02-20T23:16:00Z">
        <w:r>
          <w:rPr>
            <w:snapToGrid w:val="0"/>
            <w:vertAlign w:val="superscript"/>
          </w:rPr>
          <w:delText>34</w:delText>
        </w:r>
      </w:del>
      <w:ins w:id="4497" w:author="svcMRProcess" w:date="2020-02-20T23:16:00Z">
        <w:r>
          <w:rPr>
            <w:snapToGrid w:val="0"/>
            <w:vertAlign w:val="superscript"/>
          </w:rPr>
          <w:t>30</w:t>
        </w:r>
      </w:ins>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del w:id="4498" w:author="svcMRProcess" w:date="2020-02-20T23:16:00Z">
        <w:r>
          <w:rPr>
            <w:snapToGrid w:val="0"/>
          </w:rPr>
          <w:delText> </w:delText>
        </w:r>
      </w:del>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del w:id="4499" w:author="svcMRProcess" w:date="2020-02-20T23:16:00Z">
        <w:r>
          <w:rPr>
            <w:snapToGrid w:val="0"/>
          </w:rPr>
          <w:delText xml:space="preserve"> </w:delText>
        </w:r>
      </w:del>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del w:id="4500" w:author="svcMRProcess" w:date="2020-02-20T23:16:00Z">
        <w:r>
          <w:rPr>
            <w:snapToGrid w:val="0"/>
            <w:vertAlign w:val="superscript"/>
          </w:rPr>
          <w:delText>35</w:delText>
        </w:r>
      </w:del>
      <w:ins w:id="4501" w:author="svcMRProcess" w:date="2020-02-20T23:16:00Z">
        <w:r>
          <w:rPr>
            <w:snapToGrid w:val="0"/>
            <w:vertAlign w:val="superscript"/>
          </w:rPr>
          <w:t>31</w:t>
        </w:r>
      </w:ins>
      <w:r>
        <w:rPr>
          <w:snapToGrid w:val="0"/>
        </w:rPr>
        <w:tab/>
        <w:t xml:space="preserve">The </w:t>
      </w:r>
      <w:r>
        <w:rPr>
          <w:i/>
          <w:snapToGrid w:val="0"/>
        </w:rPr>
        <w:t>Revenue Laws Amendment (Assessment) Act 2000</w:t>
      </w:r>
      <w:r>
        <w:rPr>
          <w:snapToGrid w:val="0"/>
        </w:rPr>
        <w:t xml:space="preserve"> s. 6(2) reads as follows:</w:t>
      </w:r>
      <w:del w:id="4502" w:author="svcMRProcess" w:date="2020-02-20T23:16:00Z">
        <w:r>
          <w:rPr>
            <w:snapToGrid w:val="0"/>
          </w:rPr>
          <w:delText xml:space="preserve"> </w:delText>
        </w:r>
      </w:del>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w:t>
      </w:r>
      <w:del w:id="4503" w:author="svcMRProcess" w:date="2020-02-20T23:16:00Z">
        <w:r>
          <w:delText xml:space="preserve"> </w:delText>
        </w:r>
      </w:del>
    </w:p>
    <w:p>
      <w:pPr>
        <w:pStyle w:val="MiscClose"/>
        <w:rPr>
          <w:snapToGrid w:val="0"/>
        </w:rPr>
      </w:pPr>
      <w:r>
        <w:rPr>
          <w:snapToGrid w:val="0"/>
        </w:rPr>
        <w:t>”.</w:t>
      </w:r>
    </w:p>
    <w:p>
      <w:pPr>
        <w:pStyle w:val="nSubsection"/>
        <w:keepNext/>
        <w:rPr>
          <w:snapToGrid w:val="0"/>
        </w:rPr>
      </w:pPr>
      <w:del w:id="4504" w:author="svcMRProcess" w:date="2020-02-20T23:16:00Z">
        <w:r>
          <w:rPr>
            <w:snapToGrid w:val="0"/>
            <w:vertAlign w:val="superscript"/>
          </w:rPr>
          <w:delText>36</w:delText>
        </w:r>
      </w:del>
      <w:ins w:id="4505" w:author="svcMRProcess" w:date="2020-02-20T23:16:00Z">
        <w:r>
          <w:rPr>
            <w:snapToGrid w:val="0"/>
            <w:vertAlign w:val="superscript"/>
          </w:rPr>
          <w:t>32</w:t>
        </w:r>
      </w:ins>
      <w:r>
        <w:rPr>
          <w:snapToGrid w:val="0"/>
        </w:rPr>
        <w:tab/>
        <w:t xml:space="preserve">The </w:t>
      </w:r>
      <w:r>
        <w:rPr>
          <w:i/>
          <w:snapToGrid w:val="0"/>
        </w:rPr>
        <w:t>Revenue Laws Amendment (Assessment) Act 2000</w:t>
      </w:r>
      <w:r>
        <w:rPr>
          <w:snapToGrid w:val="0"/>
        </w:rPr>
        <w:t xml:space="preserve"> s. 8(2), (3) and (4) read as follows:</w:t>
      </w:r>
      <w:del w:id="4506" w:author="svcMRProcess" w:date="2020-02-20T23:16:00Z">
        <w:r>
          <w:rPr>
            <w:snapToGrid w:val="0"/>
          </w:rPr>
          <w:delText xml:space="preserve"> </w:delText>
        </w:r>
      </w:del>
    </w:p>
    <w:p>
      <w:pPr>
        <w:pStyle w:val="MiscOpen"/>
        <w:rPr>
          <w:snapToGrid w:val="0"/>
        </w:rPr>
      </w:pPr>
      <w:r>
        <w:rPr>
          <w:snapToGrid w:val="0"/>
        </w:rPr>
        <w:t>“</w:t>
      </w:r>
    </w:p>
    <w:p>
      <w:pPr>
        <w:pStyle w:val="nzSubsection"/>
        <w:keepNext/>
        <w:spacing w:before="0"/>
      </w:pPr>
      <w:r>
        <w:tab/>
        <w:t>(2)</w:t>
      </w:r>
      <w:r>
        <w:tab/>
        <w:t>In subsections (3) and (4) —</w:t>
      </w:r>
      <w:del w:id="4507" w:author="svcMRProcess" w:date="2020-02-20T23:16:00Z">
        <w:r>
          <w:delText xml:space="preserve"> </w:delText>
        </w:r>
      </w:del>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del w:id="4508" w:author="svcMRProcess" w:date="2020-02-20T23:16:00Z">
        <w:r>
          <w:rPr>
            <w:snapToGrid w:val="0"/>
            <w:vertAlign w:val="superscript"/>
          </w:rPr>
          <w:delText>37</w:delText>
        </w:r>
      </w:del>
      <w:ins w:id="4509" w:author="svcMRProcess" w:date="2020-02-20T23:16:00Z">
        <w:r>
          <w:rPr>
            <w:snapToGrid w:val="0"/>
            <w:vertAlign w:val="superscript"/>
          </w:rPr>
          <w:t>33</w:t>
        </w:r>
      </w:ins>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del w:id="4510" w:author="svcMRProcess" w:date="2020-02-20T23:16:00Z">
        <w:r>
          <w:rPr>
            <w:snapToGrid w:val="0"/>
          </w:rPr>
          <w:delText xml:space="preserve"> </w:delText>
        </w:r>
      </w:del>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del w:id="4511" w:author="svcMRProcess" w:date="2020-02-20T23:16:00Z">
        <w:r>
          <w:delText xml:space="preserve"> </w:delText>
        </w:r>
      </w:del>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del w:id="4512" w:author="svcMRProcess" w:date="2020-02-20T23:16:00Z">
        <w:r>
          <w:delText xml:space="preserve"> </w:delText>
        </w:r>
      </w:del>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del w:id="4513" w:author="svcMRProcess" w:date="2020-02-20T23:16:00Z">
        <w:r>
          <w:rPr>
            <w:vertAlign w:val="superscript"/>
          </w:rPr>
          <w:delText>38</w:delText>
        </w:r>
      </w:del>
      <w:ins w:id="4514" w:author="svcMRProcess" w:date="2020-02-20T23:16:00Z">
        <w:r>
          <w:rPr>
            <w:vertAlign w:val="superscript"/>
          </w:rPr>
          <w:t>34</w:t>
        </w:r>
      </w:ins>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del w:id="4515" w:author="svcMRProcess" w:date="2020-02-20T23:16:00Z">
        <w:r>
          <w:delText xml:space="preserve"> </w:delText>
        </w:r>
      </w:del>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del w:id="4516" w:author="svcMRProcess" w:date="2020-02-20T23:16:00Z">
        <w:r>
          <w:rPr>
            <w:vertAlign w:val="superscript"/>
          </w:rPr>
          <w:delText>39</w:delText>
        </w:r>
      </w:del>
      <w:ins w:id="4517" w:author="svcMRProcess" w:date="2020-02-20T23:16:00Z">
        <w:r>
          <w:rPr>
            <w:vertAlign w:val="superscript"/>
          </w:rPr>
          <w:t>35</w:t>
        </w:r>
      </w:ins>
      <w:r>
        <w:tab/>
      </w:r>
      <w:r>
        <w:rPr>
          <w:snapToGrid w:val="0"/>
        </w:rPr>
        <w:t xml:space="preserve">The </w:t>
      </w:r>
      <w:r>
        <w:rPr>
          <w:i/>
          <w:snapToGrid w:val="0"/>
        </w:rPr>
        <w:t>Stamp Amendment (Budget) Act 2002</w:t>
      </w:r>
      <w:r>
        <w:rPr>
          <w:snapToGrid w:val="0"/>
        </w:rPr>
        <w:t xml:space="preserve"> s. 5 </w:t>
      </w:r>
      <w:del w:id="4518" w:author="svcMRProcess" w:date="2020-02-20T23:16:00Z">
        <w:r>
          <w:rPr>
            <w:snapToGrid w:val="0"/>
          </w:rPr>
          <w:delText>reads</w:delText>
        </w:r>
      </w:del>
      <w:ins w:id="4519" w:author="svcMRProcess" w:date="2020-02-20T23:16:00Z">
        <w:r>
          <w:rPr>
            <w:snapToGrid w:val="0"/>
          </w:rPr>
          <w:t>and 9 read</w:t>
        </w:r>
      </w:ins>
      <w:r>
        <w:rPr>
          <w:snapToGrid w:val="0"/>
        </w:rPr>
        <w:t xml:space="preserve">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del w:id="4520" w:author="svcMRProcess" w:date="2020-02-20T23:16:00Z">
        <w:r>
          <w:delText xml:space="preserve"> </w:delText>
        </w:r>
      </w:del>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del w:id="4521" w:author="svcMRProcess" w:date="2020-02-20T23:16:00Z">
        <w:r>
          <w:delText xml:space="preserve"> </w:delText>
        </w:r>
      </w:del>
    </w:p>
    <w:p>
      <w:pPr>
        <w:pStyle w:val="MiscClose"/>
        <w:rPr>
          <w:del w:id="4522" w:author="svcMRProcess" w:date="2020-02-20T23:16:00Z"/>
          <w:snapToGrid w:val="0"/>
        </w:rPr>
      </w:pPr>
      <w:del w:id="4523" w:author="svcMRProcess" w:date="2020-02-20T23:16:00Z">
        <w:r>
          <w:rPr>
            <w:snapToGrid w:val="0"/>
          </w:rPr>
          <w:delText>”.</w:delText>
        </w:r>
      </w:del>
    </w:p>
    <w:p>
      <w:pPr>
        <w:pStyle w:val="nSubsection"/>
        <w:keepNext/>
        <w:rPr>
          <w:del w:id="4524" w:author="svcMRProcess" w:date="2020-02-20T23:16:00Z"/>
          <w:snapToGrid w:val="0"/>
        </w:rPr>
      </w:pPr>
      <w:del w:id="4525" w:author="svcMRProcess" w:date="2020-02-20T23:16:00Z">
        <w:r>
          <w:rPr>
            <w:vertAlign w:val="superscript"/>
          </w:rPr>
          <w:delText>40</w:delText>
        </w:r>
        <w:r>
          <w:tab/>
        </w:r>
        <w:r>
          <w:rPr>
            <w:snapToGrid w:val="0"/>
          </w:rPr>
          <w:delText xml:space="preserve">The </w:delText>
        </w:r>
        <w:r>
          <w:rPr>
            <w:i/>
            <w:snapToGrid w:val="0"/>
          </w:rPr>
          <w:delText>Stamp Amendment (Budget) Act 2002</w:delText>
        </w:r>
        <w:r>
          <w:rPr>
            <w:snapToGrid w:val="0"/>
          </w:rPr>
          <w:delText xml:space="preserve"> s. 9 reads as follows:</w:delText>
        </w:r>
      </w:del>
    </w:p>
    <w:p>
      <w:pPr>
        <w:pStyle w:val="MiscOpen"/>
        <w:spacing w:before="80"/>
        <w:rPr>
          <w:del w:id="4526" w:author="svcMRProcess" w:date="2020-02-20T23:16:00Z"/>
          <w:snapToGrid w:val="0"/>
        </w:rPr>
      </w:pPr>
      <w:del w:id="4527" w:author="svcMRProcess" w:date="2020-02-20T23:16:00Z">
        <w:r>
          <w:rPr>
            <w:snapToGrid w:val="0"/>
          </w:rPr>
          <w:delText>“</w:delText>
        </w:r>
      </w:del>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del w:id="4528" w:author="svcMRProcess" w:date="2020-02-20T23:16:00Z">
        <w:r>
          <w:delText xml:space="preserve"> </w:delText>
        </w:r>
      </w:del>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del w:id="4529" w:author="svcMRProcess" w:date="2020-02-20T23:16:00Z">
        <w:r>
          <w:delText xml:space="preserve"> </w:delText>
        </w:r>
      </w:del>
    </w:p>
    <w:p>
      <w:pPr>
        <w:pStyle w:val="nzSubsection"/>
      </w:pPr>
      <w:r>
        <w:tab/>
        <w:t>(4)</w:t>
      </w:r>
      <w:r>
        <w:tab/>
        <w:t>In this Part —</w:t>
      </w:r>
      <w:del w:id="4530" w:author="svcMRProcess" w:date="2020-02-20T23:16:00Z">
        <w:r>
          <w:delText xml:space="preserve"> </w:delText>
        </w:r>
      </w:del>
    </w:p>
    <w:p>
      <w:pPr>
        <w:pStyle w:val="nzDefstart"/>
      </w:pPr>
      <w:r>
        <w:tab/>
      </w:r>
      <w:r>
        <w:rPr>
          <w:b/>
        </w:rPr>
        <w:t>“commencement day”</w:t>
      </w:r>
      <w:r>
        <w:t xml:space="preserve"> means day on which this Part comes into operation.</w:t>
      </w:r>
      <w:del w:id="4531" w:author="svcMRProcess" w:date="2020-02-20T23:16:00Z">
        <w:r>
          <w:delText xml:space="preserve"> </w:delText>
        </w:r>
      </w:del>
    </w:p>
    <w:p>
      <w:pPr>
        <w:pStyle w:val="MiscClose"/>
      </w:pPr>
      <w:r>
        <w:t>”.</w:t>
      </w:r>
    </w:p>
    <w:p>
      <w:pPr>
        <w:pStyle w:val="nSubsection"/>
        <w:keepNext/>
        <w:rPr>
          <w:snapToGrid w:val="0"/>
        </w:rPr>
      </w:pPr>
      <w:del w:id="4532" w:author="svcMRProcess" w:date="2020-02-20T23:16:00Z">
        <w:r>
          <w:rPr>
            <w:vertAlign w:val="superscript"/>
          </w:rPr>
          <w:delText>41</w:delText>
        </w:r>
      </w:del>
      <w:ins w:id="4533" w:author="svcMRProcess" w:date="2020-02-20T23:16:00Z">
        <w:r>
          <w:rPr>
            <w:vertAlign w:val="superscript"/>
          </w:rPr>
          <w:t>36</w:t>
        </w:r>
      </w:ins>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del w:id="4534" w:author="svcMRProcess" w:date="2020-02-20T23:16:00Z">
        <w:r>
          <w:delText xml:space="preserve"> </w:delText>
        </w:r>
      </w:del>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del w:id="4535" w:author="svcMRProcess" w:date="2020-02-20T23:16:00Z">
        <w:r>
          <w:delText xml:space="preserve"> </w:delText>
        </w:r>
      </w:del>
    </w:p>
    <w:p>
      <w:pPr>
        <w:pStyle w:val="nzDefpara"/>
      </w:pPr>
      <w:r>
        <w:tab/>
        <w:t>(b)</w:t>
      </w:r>
      <w:r>
        <w:tab/>
        <w:t>the old Stamp Act; or</w:t>
      </w:r>
      <w:del w:id="4536" w:author="svcMRProcess" w:date="2020-02-20T23:16:00Z">
        <w:r>
          <w:delText xml:space="preserve"> </w:delText>
        </w:r>
      </w:del>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del w:id="4537" w:author="svcMRProcess" w:date="2020-02-20T23:16:00Z">
        <w:r>
          <w:delText xml:space="preserve"> </w:delText>
        </w:r>
      </w:del>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del w:id="4538" w:author="svcMRProcess" w:date="2020-02-20T23:16:00Z">
        <w:r>
          <w:delText xml:space="preserve"> </w:delText>
        </w:r>
      </w:del>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del w:id="4539" w:author="svcMRProcess" w:date="2020-02-20T23:16:00Z">
        <w:r>
          <w:delText xml:space="preserve"> </w:delText>
        </w:r>
      </w:del>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del w:id="4540" w:author="svcMRProcess" w:date="2020-02-20T23:16:00Z">
        <w:r>
          <w:delText xml:space="preserve"> </w:delText>
        </w:r>
      </w:del>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del w:id="4541" w:author="svcMRProcess" w:date="2020-02-20T23:16:00Z">
        <w:r>
          <w:delText xml:space="preserve"> </w:delText>
        </w:r>
      </w:del>
    </w:p>
    <w:p>
      <w:pPr>
        <w:pStyle w:val="nzIndenta"/>
      </w:pPr>
      <w:r>
        <w:tab/>
        <w:t>(b)</w:t>
      </w:r>
      <w:r>
        <w:tab/>
        <w:t>any requirement to pay interest on an amount of tax determined in the action to have been overpaid applies and may be enforced;</w:t>
      </w:r>
      <w:del w:id="4542" w:author="svcMRProcess" w:date="2020-02-20T23:16:00Z">
        <w:r>
          <w:delText xml:space="preserve"> </w:delText>
        </w:r>
      </w:del>
    </w:p>
    <w:p>
      <w:pPr>
        <w:pStyle w:val="nzIndenta"/>
      </w:pPr>
      <w:r>
        <w:tab/>
        <w:t>(c)</w:t>
      </w:r>
      <w:r>
        <w:tab/>
        <w:t>any penalty may be imposed and enforced; and</w:t>
      </w:r>
      <w:del w:id="4543" w:author="svcMRProcess" w:date="2020-02-20T23:16:00Z">
        <w:r>
          <w:delText xml:space="preserve"> </w:delText>
        </w:r>
      </w:del>
    </w:p>
    <w:p>
      <w:pPr>
        <w:pStyle w:val="nzIndenta"/>
      </w:pPr>
      <w:r>
        <w:tab/>
        <w:t>(d)</w:t>
      </w:r>
      <w:r>
        <w:tab/>
        <w:t>any decision, order or determination made in the action has effect, and may be enforced,</w:t>
      </w:r>
      <w:del w:id="4544" w:author="svcMRProcess" w:date="2020-02-20T23:16:00Z">
        <w:r>
          <w:delText xml:space="preserve"> </w:delText>
        </w:r>
      </w:del>
    </w:p>
    <w:p>
      <w:pPr>
        <w:pStyle w:val="nzSubsection"/>
      </w:pPr>
      <w:r>
        <w:tab/>
      </w:r>
      <w:r>
        <w:tab/>
        <w:t>as if this Act and the taxation Acts had not commenced.</w:t>
      </w:r>
      <w:del w:id="4545" w:author="svcMRProcess" w:date="2020-02-20T23:16:00Z">
        <w:r>
          <w:delText xml:space="preserve"> </w:delText>
        </w:r>
      </w:del>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del w:id="4546" w:author="svcMRProcess" w:date="2020-02-20T23:16:00Z">
        <w:r>
          <w:delText xml:space="preserve"> </w:delText>
        </w:r>
      </w:del>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del w:id="4547" w:author="svcMRProcess" w:date="2020-02-20T23:16:00Z">
        <w:r>
          <w:delText xml:space="preserve"> </w:delText>
        </w:r>
      </w:del>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del w:id="4548" w:author="svcMRProcess" w:date="2020-02-20T23:16:00Z">
        <w:r>
          <w:delText xml:space="preserve"> </w:delText>
        </w:r>
      </w:del>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del w:id="4549" w:author="svcMRProcess" w:date="2020-02-20T23:16:00Z">
        <w:r>
          <w:delText xml:space="preserve"> </w:delText>
        </w:r>
      </w:del>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del w:id="4550" w:author="svcMRProcess" w:date="2020-02-20T23:16:00Z">
        <w:r>
          <w:delText xml:space="preserve"> </w:delText>
        </w:r>
      </w:del>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del w:id="4551" w:author="svcMRProcess" w:date="2020-02-20T23:16:00Z">
        <w:r>
          <w:delText xml:space="preserve"> </w:delText>
        </w:r>
      </w:del>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del w:id="4552" w:author="svcMRProcess" w:date="2020-02-20T23:16:00Z">
        <w:r>
          <w:delText xml:space="preserve"> </w:delText>
        </w:r>
      </w:del>
    </w:p>
    <w:p>
      <w:pPr>
        <w:pStyle w:val="nSubsection"/>
        <w:jc w:val="right"/>
        <w:rPr>
          <w:vertAlign w:val="superscript"/>
        </w:rPr>
      </w:pPr>
      <w:r>
        <w:rPr>
          <w:snapToGrid w:val="0"/>
        </w:rPr>
        <w:t>”.</w:t>
      </w:r>
    </w:p>
    <w:p>
      <w:pPr>
        <w:pStyle w:val="nSubsection"/>
      </w:pPr>
      <w:del w:id="4553" w:author="svcMRProcess" w:date="2020-02-20T23:16:00Z">
        <w:r>
          <w:rPr>
            <w:vertAlign w:val="superscript"/>
          </w:rPr>
          <w:delText>42</w:delText>
        </w:r>
      </w:del>
      <w:ins w:id="4554" w:author="svcMRProcess" w:date="2020-02-20T23:16:00Z">
        <w:r>
          <w:rPr>
            <w:vertAlign w:val="superscript"/>
          </w:rPr>
          <w:t>37</w:t>
        </w:r>
      </w:ins>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del w:id="4555" w:author="svcMRProcess" w:date="2020-02-20T23:16:00Z">
        <w:r>
          <w:rPr>
            <w:snapToGrid w:val="0"/>
          </w:rPr>
          <w:delText xml:space="preserve"> </w:delText>
        </w:r>
      </w:del>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bCs/>
        </w:rPr>
        <w:t>“</w:t>
      </w:r>
      <w:r>
        <w:rPr>
          <w:b/>
        </w:rPr>
        <w:t>FSR commencement time</w:t>
      </w:r>
      <w:r>
        <w:rPr>
          <w:b/>
          <w:bCs/>
        </w:rPr>
        <w:t>”</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del w:id="4556" w:author="svcMRProcess" w:date="2020-02-20T23:16:00Z">
        <w:r>
          <w:rPr>
            <w:snapToGrid w:val="0"/>
          </w:rPr>
          <w:delText xml:space="preserve"> </w:delText>
        </w:r>
      </w:del>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del w:id="4557" w:author="svcMRProcess" w:date="2020-02-20T23:16:00Z">
        <w:r>
          <w:rPr>
            <w:vertAlign w:val="superscript"/>
          </w:rPr>
          <w:delText>43</w:delText>
        </w:r>
      </w:del>
      <w:ins w:id="4558" w:author="svcMRProcess" w:date="2020-02-20T23:16:00Z">
        <w:r>
          <w:rPr>
            <w:vertAlign w:val="superscript"/>
          </w:rPr>
          <w:t>38</w:t>
        </w:r>
      </w:ins>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rPr>
          <w:ins w:id="4559" w:author="svcMRProcess" w:date="2020-02-20T23:16:00Z"/>
        </w:rPr>
      </w:pPr>
      <w:del w:id="4560" w:author="svcMRProcess" w:date="2020-02-20T23:16:00Z">
        <w:r>
          <w:rPr>
            <w:vertAlign w:val="superscript"/>
          </w:rPr>
          <w:delText>44</w:delText>
        </w:r>
      </w:del>
      <w:ins w:id="4561" w:author="svcMRProcess" w:date="2020-02-20T23:16:00Z">
        <w:r>
          <w:rPr>
            <w:vertAlign w:val="superscript"/>
          </w:rPr>
          <w:t>39</w:t>
        </w:r>
        <w:r>
          <w:tab/>
          <w:t xml:space="preserve">The </w:t>
        </w:r>
        <w:r>
          <w:rPr>
            <w:i/>
          </w:rPr>
          <w:t xml:space="preserve">Business Tax Review (Assessment) Act (No. 2) 2003 </w:t>
        </w:r>
        <w:r>
          <w:t>s. 16(2), 24(3), 25(2), 27(2), 40(3), 50(2), (11), (12), 89</w:t>
        </w:r>
        <w:r>
          <w:noBreakHyphen/>
          <w:t>94 and 98(2) read as follows:</w:t>
        </w:r>
      </w:ins>
    </w:p>
    <w:p>
      <w:pPr>
        <w:pStyle w:val="MiscOpen"/>
        <w:ind w:left="284"/>
        <w:rPr>
          <w:ins w:id="4562" w:author="svcMRProcess" w:date="2020-02-20T23:16:00Z"/>
        </w:rPr>
      </w:pPr>
      <w:ins w:id="4563" w:author="svcMRProcess" w:date="2020-02-20T23:16:00Z">
        <w:r>
          <w:t>“</w:t>
        </w:r>
      </w:ins>
    </w:p>
    <w:p>
      <w:pPr>
        <w:pStyle w:val="nzHeading5"/>
        <w:rPr>
          <w:ins w:id="4564" w:author="svcMRProcess" w:date="2020-02-20T23:16:00Z"/>
          <w:rStyle w:val="CharSectno"/>
        </w:rPr>
      </w:pPr>
      <w:ins w:id="4565" w:author="svcMRProcess" w:date="2020-02-20T23:16:00Z">
        <w:r>
          <w:rPr>
            <w:rStyle w:val="CharSectno"/>
          </w:rPr>
          <w:t>16.</w:t>
        </w:r>
        <w:r>
          <w:rPr>
            <w:rStyle w:val="CharSectno"/>
          </w:rPr>
          <w:tab/>
          <w:t>Part IIIA (s. 49</w:t>
        </w:r>
        <w:r>
          <w:rPr>
            <w:rStyle w:val="CharSectno"/>
          </w:rPr>
          <w:noBreakHyphen/>
          <w:t>50D) repealed and transitional</w:t>
        </w:r>
      </w:ins>
    </w:p>
    <w:p>
      <w:pPr>
        <w:pStyle w:val="nzSubsection"/>
        <w:rPr>
          <w:ins w:id="4566" w:author="svcMRProcess" w:date="2020-02-20T23:16:00Z"/>
        </w:rPr>
      </w:pPr>
      <w:ins w:id="4567" w:author="svcMRProcess" w:date="2020-02-20T23:16:00Z">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ins>
    </w:p>
    <w:p>
      <w:pPr>
        <w:pStyle w:val="nzHeading5"/>
        <w:rPr>
          <w:ins w:id="4568" w:author="svcMRProcess" w:date="2020-02-20T23:16:00Z"/>
        </w:rPr>
      </w:pPr>
      <w:ins w:id="4569" w:author="svcMRProcess" w:date="2020-02-20T23:16:00Z">
        <w:r>
          <w:rPr>
            <w:rStyle w:val="CharSectno"/>
          </w:rPr>
          <w:t>24</w:t>
        </w:r>
        <w:r>
          <w:t>.</w:t>
        </w:r>
        <w:r>
          <w:tab/>
          <w:t>Section 63AF amended and transitional</w:t>
        </w:r>
      </w:ins>
    </w:p>
    <w:p>
      <w:pPr>
        <w:pStyle w:val="nzSubsection"/>
        <w:rPr>
          <w:ins w:id="4570" w:author="svcMRProcess" w:date="2020-02-20T23:16:00Z"/>
        </w:rPr>
      </w:pPr>
      <w:ins w:id="4571" w:author="svcMRProcess" w:date="2020-02-20T23:16:00Z">
        <w:r>
          <w:tab/>
          <w:t>(3)</w:t>
        </w:r>
        <w:r>
          <w:tab/>
          <w:t xml:space="preserve">However, section 63AF(2) of the </w:t>
        </w:r>
        <w:r>
          <w:rPr>
            <w:i/>
            <w:iCs/>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ins>
    </w:p>
    <w:p>
      <w:pPr>
        <w:pStyle w:val="nzHeading5"/>
        <w:rPr>
          <w:ins w:id="4572" w:author="svcMRProcess" w:date="2020-02-20T23:16:00Z"/>
          <w:b w:val="0"/>
          <w:i/>
        </w:rPr>
      </w:pPr>
      <w:ins w:id="4573" w:author="svcMRProcess" w:date="2020-02-20T23:16:00Z">
        <w:r>
          <w:rPr>
            <w:rStyle w:val="CharSectno"/>
          </w:rPr>
          <w:t>25</w:t>
        </w:r>
        <w:r>
          <w:t>.</w:t>
        </w:r>
        <w:r>
          <w:tab/>
          <w:t>Sections 63AG to 63AJ inserted and transitional</w:t>
        </w:r>
      </w:ins>
    </w:p>
    <w:p>
      <w:pPr>
        <w:pStyle w:val="nzSubsection"/>
        <w:rPr>
          <w:ins w:id="4574" w:author="svcMRProcess" w:date="2020-02-20T23:16:00Z"/>
        </w:rPr>
      </w:pPr>
      <w:ins w:id="4575" w:author="svcMRProcess" w:date="2020-02-20T23:16:00Z">
        <w:r>
          <w:tab/>
          <w:t>(2)</w:t>
        </w:r>
        <w:r>
          <w:tab/>
          <w:t xml:space="preserve">Section 63AG of the </w:t>
        </w:r>
        <w:r>
          <w:rPr>
            <w:i/>
          </w:rPr>
          <w:t>Stamp Act 1921</w:t>
        </w:r>
        <w:r>
          <w:t>, as inserted by subsection (1), does not apply to or in relation to a disposition referred to in that section —</w:t>
        </w:r>
      </w:ins>
    </w:p>
    <w:p>
      <w:pPr>
        <w:pStyle w:val="nzIndenta"/>
        <w:rPr>
          <w:ins w:id="4576" w:author="svcMRProcess" w:date="2020-02-20T23:16:00Z"/>
        </w:rPr>
      </w:pPr>
      <w:ins w:id="4577" w:author="svcMRProcess" w:date="2020-02-20T23:16:00Z">
        <w:r>
          <w:tab/>
          <w:t>(a)</w:t>
        </w:r>
        <w:r>
          <w:tab/>
          <w:t>made before the day on which this section comes into operation; or</w:t>
        </w:r>
      </w:ins>
    </w:p>
    <w:p>
      <w:pPr>
        <w:pStyle w:val="nzIndenta"/>
        <w:rPr>
          <w:ins w:id="4578" w:author="svcMRProcess" w:date="2020-02-20T23:16:00Z"/>
        </w:rPr>
      </w:pPr>
      <w:ins w:id="4579" w:author="svcMRProcess" w:date="2020-02-20T23:16:00Z">
        <w:r>
          <w:tab/>
          <w:t>(b)</w:t>
        </w:r>
        <w:r>
          <w:tab/>
          <w:t>made in response to an offer made or arrangement entered into before that day.</w:t>
        </w:r>
      </w:ins>
    </w:p>
    <w:p>
      <w:pPr>
        <w:pStyle w:val="nzHeading5"/>
        <w:rPr>
          <w:ins w:id="4580" w:author="svcMRProcess" w:date="2020-02-20T23:16:00Z"/>
          <w:rStyle w:val="CharSectno"/>
        </w:rPr>
      </w:pPr>
      <w:ins w:id="4581" w:author="svcMRProcess" w:date="2020-02-20T23:16:00Z">
        <w:r>
          <w:rPr>
            <w:rStyle w:val="CharSectno"/>
          </w:rPr>
          <w:t>27.</w:t>
        </w:r>
        <w:r>
          <w:rPr>
            <w:rStyle w:val="CharSectno"/>
          </w:rPr>
          <w:tab/>
          <w:t>Section 69 amended and transitional</w:t>
        </w:r>
      </w:ins>
    </w:p>
    <w:p>
      <w:pPr>
        <w:pStyle w:val="nzSubsection"/>
        <w:rPr>
          <w:ins w:id="4582" w:author="svcMRProcess" w:date="2020-02-20T23:16:00Z"/>
        </w:rPr>
      </w:pPr>
      <w:ins w:id="4583" w:author="svcMRProcess" w:date="2020-02-20T23:16:00Z">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ins>
    </w:p>
    <w:p>
      <w:pPr>
        <w:pStyle w:val="nzHeading5"/>
        <w:rPr>
          <w:ins w:id="4584" w:author="svcMRProcess" w:date="2020-02-20T23:16:00Z"/>
        </w:rPr>
      </w:pPr>
      <w:ins w:id="4585" w:author="svcMRProcess" w:date="2020-02-20T23:16:00Z">
        <w:r>
          <w:rPr>
            <w:rStyle w:val="CharSectno"/>
          </w:rPr>
          <w:t>40</w:t>
        </w:r>
        <w:r>
          <w:t>.</w:t>
        </w:r>
        <w:r>
          <w:tab/>
          <w:t>Section 75AG amended and transitional</w:t>
        </w:r>
      </w:ins>
    </w:p>
    <w:p>
      <w:pPr>
        <w:pStyle w:val="nzSubsection"/>
        <w:rPr>
          <w:ins w:id="4586" w:author="svcMRProcess" w:date="2020-02-20T23:16:00Z"/>
        </w:rPr>
      </w:pPr>
      <w:ins w:id="4587" w:author="svcMRProcess" w:date="2020-02-20T23:16:00Z">
        <w:r>
          <w:tab/>
          <w:t>(3)</w:t>
        </w:r>
        <w:r>
          <w:tab/>
          <w:t>The amendments effected by this section do not apply in relation to —</w:t>
        </w:r>
      </w:ins>
    </w:p>
    <w:p>
      <w:pPr>
        <w:pStyle w:val="nzIndenta"/>
        <w:rPr>
          <w:ins w:id="4588" w:author="svcMRProcess" w:date="2020-02-20T23:16:00Z"/>
        </w:rPr>
      </w:pPr>
      <w:ins w:id="4589" w:author="svcMRProcess" w:date="2020-02-20T23:16:00Z">
        <w:r>
          <w:tab/>
          <w:t>(a)</w:t>
        </w:r>
        <w:r>
          <w:tab/>
          <w:t>an agreement for the conveyance or transfer of residential property executed before this section came into operation regardless of when any instrument of conveyance or transfer entered into in accordance with the agreement is executed; or</w:t>
        </w:r>
      </w:ins>
    </w:p>
    <w:p>
      <w:pPr>
        <w:pStyle w:val="nzIndenta"/>
        <w:rPr>
          <w:ins w:id="4590" w:author="svcMRProcess" w:date="2020-02-20T23:16:00Z"/>
        </w:rPr>
      </w:pPr>
      <w:ins w:id="4591" w:author="svcMRProcess" w:date="2020-02-20T23:16:00Z">
        <w:r>
          <w:tab/>
          <w:t>(b)</w:t>
        </w:r>
        <w:r>
          <w:tab/>
          <w:t>an instrument of conveyance or transfer made in accordance with an agreement referred to in paragraph (a), regardless of when the instrument is executed.</w:t>
        </w:r>
      </w:ins>
    </w:p>
    <w:p>
      <w:pPr>
        <w:pStyle w:val="nzHeading5"/>
        <w:rPr>
          <w:ins w:id="4592" w:author="svcMRProcess" w:date="2020-02-20T23:16:00Z"/>
        </w:rPr>
      </w:pPr>
      <w:ins w:id="4593" w:author="svcMRProcess" w:date="2020-02-20T23:16:00Z">
        <w:r>
          <w:rPr>
            <w:rStyle w:val="CharSectno"/>
          </w:rPr>
          <w:t>50</w:t>
        </w:r>
        <w:r>
          <w:t>.</w:t>
        </w:r>
        <w:r>
          <w:tab/>
          <w:t>Section 75JB amended and transitional</w:t>
        </w:r>
      </w:ins>
    </w:p>
    <w:p>
      <w:pPr>
        <w:pStyle w:val="nzSubsection"/>
        <w:rPr>
          <w:ins w:id="4594" w:author="svcMRProcess" w:date="2020-02-20T23:16:00Z"/>
        </w:rPr>
      </w:pPr>
      <w:ins w:id="4595" w:author="svcMRProcess" w:date="2020-02-20T23:16:00Z">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ins>
    </w:p>
    <w:p>
      <w:pPr>
        <w:pStyle w:val="nzIndenta"/>
        <w:rPr>
          <w:ins w:id="4596" w:author="svcMRProcess" w:date="2020-02-20T23:16:00Z"/>
        </w:rPr>
      </w:pPr>
      <w:ins w:id="4597" w:author="svcMRProcess" w:date="2020-02-20T23:16:00Z">
        <w:r>
          <w:tab/>
          <w:t>(a)</w:t>
        </w:r>
        <w:r>
          <w:tab/>
          <w:t>the reference in section 75JB(1)(d)(i) to section 75JA(1a) is to be read as a reference to that subsection as in force from time to time prior to its repeal by this Act; and</w:t>
        </w:r>
      </w:ins>
    </w:p>
    <w:p>
      <w:pPr>
        <w:pStyle w:val="nzIndenta"/>
        <w:rPr>
          <w:ins w:id="4598" w:author="svcMRProcess" w:date="2020-02-20T23:16:00Z"/>
        </w:rPr>
      </w:pPr>
      <w:ins w:id="4599" w:author="svcMRProcess" w:date="2020-02-20T23:16:00Z">
        <w:r>
          <w:tab/>
          <w:t>(b)</w:t>
        </w:r>
        <w:r>
          <w:tab/>
          <w:t>any such pre</w:t>
        </w:r>
        <w:r>
          <w:noBreakHyphen/>
          <w:t>determination is as binding on the Commissioner after the commencement day as it was before that day.</w:t>
        </w:r>
      </w:ins>
    </w:p>
    <w:p>
      <w:pPr>
        <w:pStyle w:val="nzSubsection"/>
        <w:rPr>
          <w:ins w:id="4600" w:author="svcMRProcess" w:date="2020-02-20T23:16:00Z"/>
        </w:rPr>
      </w:pPr>
      <w:ins w:id="4601" w:author="svcMRProcess" w:date="2020-02-20T23:16:00Z">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ins>
    </w:p>
    <w:p>
      <w:pPr>
        <w:pStyle w:val="nzSubsection"/>
        <w:rPr>
          <w:ins w:id="4602" w:author="svcMRProcess" w:date="2020-02-20T23:16:00Z"/>
        </w:rPr>
      </w:pPr>
      <w:ins w:id="4603" w:author="svcMRProcess" w:date="2020-02-20T23:16:00Z">
        <w:r>
          <w:tab/>
          <w:t>(12)</w:t>
        </w:r>
        <w:r>
          <w:tab/>
          <w:t>In this section —</w:t>
        </w:r>
      </w:ins>
    </w:p>
    <w:p>
      <w:pPr>
        <w:pStyle w:val="nzDefstart"/>
        <w:rPr>
          <w:ins w:id="4604" w:author="svcMRProcess" w:date="2020-02-20T23:16:00Z"/>
        </w:rPr>
      </w:pPr>
      <w:ins w:id="4605" w:author="svcMRProcess" w:date="2020-02-20T23:16:00Z">
        <w:r>
          <w:rPr>
            <w:b/>
          </w:rPr>
          <w:tab/>
          <w:t>“</w:t>
        </w:r>
        <w:r>
          <w:rPr>
            <w:rStyle w:val="CharDefText"/>
          </w:rPr>
          <w:t>commencement day</w:t>
        </w:r>
        <w:r>
          <w:rPr>
            <w:b/>
          </w:rPr>
          <w:t>”</w:t>
        </w:r>
        <w:r>
          <w:t xml:space="preserve"> means the day on which this section came into operation.</w:t>
        </w:r>
      </w:ins>
    </w:p>
    <w:p>
      <w:pPr>
        <w:pStyle w:val="nzHeading3"/>
        <w:rPr>
          <w:ins w:id="4606" w:author="svcMRProcess" w:date="2020-02-20T23:16:00Z"/>
        </w:rPr>
      </w:pPr>
      <w:ins w:id="4607" w:author="svcMRProcess" w:date="2020-02-20T23:16:00Z">
        <w:r>
          <w:rPr>
            <w:rStyle w:val="CharDivNo"/>
          </w:rPr>
          <w:t>Division 2</w:t>
        </w:r>
        <w:r>
          <w:t> — </w:t>
        </w:r>
        <w:r>
          <w:rPr>
            <w:rStyle w:val="CharDivText"/>
          </w:rPr>
          <w:t>Transitional provisions</w:t>
        </w:r>
      </w:ins>
    </w:p>
    <w:p>
      <w:pPr>
        <w:pStyle w:val="nzHeading5"/>
        <w:rPr>
          <w:ins w:id="4608" w:author="svcMRProcess" w:date="2020-02-20T23:16:00Z"/>
        </w:rPr>
      </w:pPr>
      <w:ins w:id="4609" w:author="svcMRProcess" w:date="2020-02-20T23:16:00Z">
        <w:r>
          <w:rPr>
            <w:rStyle w:val="CharSectno"/>
          </w:rPr>
          <w:t>89</w:t>
        </w:r>
        <w:r>
          <w:t>.</w:t>
        </w:r>
        <w:r>
          <w:tab/>
          <w:t>Registered pooled investment trusts</w:t>
        </w:r>
      </w:ins>
    </w:p>
    <w:p>
      <w:pPr>
        <w:pStyle w:val="nzSubsection"/>
        <w:rPr>
          <w:ins w:id="4610" w:author="svcMRProcess" w:date="2020-02-20T23:16:00Z"/>
        </w:rPr>
      </w:pPr>
      <w:ins w:id="4611" w:author="svcMRProcess" w:date="2020-02-20T23:16:00Z">
        <w:r>
          <w:tab/>
          <w:t>(1)</w:t>
        </w:r>
        <w:r>
          <w:tab/>
          <w:t>In this section —</w:t>
        </w:r>
      </w:ins>
    </w:p>
    <w:p>
      <w:pPr>
        <w:pStyle w:val="nzDefstart"/>
        <w:rPr>
          <w:ins w:id="4612" w:author="svcMRProcess" w:date="2020-02-20T23:16:00Z"/>
        </w:rPr>
      </w:pPr>
      <w:ins w:id="4613" w:author="svcMRProcess" w:date="2020-02-20T23:16:00Z">
        <w:r>
          <w:rPr>
            <w:b/>
          </w:rPr>
          <w:tab/>
          <w:t>“</w:t>
        </w:r>
        <w:r>
          <w:rPr>
            <w:rStyle w:val="CharDefText"/>
          </w:rPr>
          <w:t>commencement day</w:t>
        </w:r>
        <w:r>
          <w:rPr>
            <w:b/>
          </w:rPr>
          <w:t>”</w:t>
        </w:r>
        <w:r>
          <w:t xml:space="preserve"> means the day on which this section came into operation;</w:t>
        </w:r>
      </w:ins>
    </w:p>
    <w:p>
      <w:pPr>
        <w:pStyle w:val="nzDefstart"/>
        <w:rPr>
          <w:ins w:id="4614" w:author="svcMRProcess" w:date="2020-02-20T23:16:00Z"/>
        </w:rPr>
      </w:pPr>
      <w:ins w:id="4615" w:author="svcMRProcess" w:date="2020-02-20T23:16:00Z">
        <w:r>
          <w:rPr>
            <w:b/>
          </w:rPr>
          <w:tab/>
          <w:t>“</w:t>
        </w:r>
        <w:r>
          <w:rPr>
            <w:rStyle w:val="CharDefText"/>
          </w:rPr>
          <w:t>former provisions</w:t>
        </w:r>
        <w:r>
          <w:rPr>
            <w:b/>
          </w:rPr>
          <w:t>”</w:t>
        </w:r>
        <w:r>
          <w:t xml:space="preserve"> means the </w:t>
        </w:r>
        <w:r>
          <w:rPr>
            <w:i/>
          </w:rPr>
          <w:t>Stamp Act 1921</w:t>
        </w:r>
        <w:r>
          <w:t>, as in force immediately before the commencement day;</w:t>
        </w:r>
      </w:ins>
    </w:p>
    <w:p>
      <w:pPr>
        <w:pStyle w:val="nzDefstart"/>
        <w:rPr>
          <w:ins w:id="4616" w:author="svcMRProcess" w:date="2020-02-20T23:16:00Z"/>
        </w:rPr>
      </w:pPr>
      <w:ins w:id="4617" w:author="svcMRProcess" w:date="2020-02-20T23:16:00Z">
        <w:r>
          <w:rPr>
            <w:b/>
          </w:rPr>
          <w:tab/>
          <w:t>“</w:t>
        </w:r>
        <w:r>
          <w:rPr>
            <w:rStyle w:val="CharDefText"/>
          </w:rPr>
          <w:t>new provisions</w:t>
        </w:r>
        <w:r>
          <w:rPr>
            <w:b/>
          </w:rPr>
          <w:t>”</w:t>
        </w:r>
        <w:r>
          <w:t xml:space="preserve"> means the </w:t>
        </w:r>
        <w:r>
          <w:rPr>
            <w:i/>
          </w:rPr>
          <w:t>Stamp Act 1921</w:t>
        </w:r>
        <w:r>
          <w:t>, as in force on the commencement day;</w:t>
        </w:r>
      </w:ins>
    </w:p>
    <w:p>
      <w:pPr>
        <w:pStyle w:val="nzDefstart"/>
        <w:rPr>
          <w:ins w:id="4618" w:author="svcMRProcess" w:date="2020-02-20T23:16:00Z"/>
        </w:rPr>
      </w:pPr>
      <w:ins w:id="4619" w:author="svcMRProcess" w:date="2020-02-20T23:16:00Z">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ins>
    </w:p>
    <w:p>
      <w:pPr>
        <w:pStyle w:val="nzSubsection"/>
        <w:rPr>
          <w:ins w:id="4620" w:author="svcMRProcess" w:date="2020-02-20T23:16:00Z"/>
        </w:rPr>
      </w:pPr>
      <w:ins w:id="4621" w:author="svcMRProcess" w:date="2020-02-20T23:16:00Z">
        <w:r>
          <w:tab/>
          <w:t>(2)</w:t>
        </w:r>
        <w:r>
          <w:tab/>
          <w:t>Without limiting sections 63AD and 63AE of the new provisions, a disqualifying event occurs for the purposes of those sections if —</w:t>
        </w:r>
      </w:ins>
    </w:p>
    <w:p>
      <w:pPr>
        <w:pStyle w:val="nzIndenta"/>
        <w:rPr>
          <w:ins w:id="4622" w:author="svcMRProcess" w:date="2020-02-20T23:16:00Z"/>
        </w:rPr>
      </w:pPr>
      <w:ins w:id="4623" w:author="svcMRProcess" w:date="2020-02-20T23:16:00Z">
        <w:r>
          <w:tab/>
          <w:t>(a)</w:t>
        </w:r>
        <w:r>
          <w:tab/>
          <w:t>on the commencement day, a pooled investment trust registered under section 63AA(2) of the former provisions; or</w:t>
        </w:r>
      </w:ins>
    </w:p>
    <w:p>
      <w:pPr>
        <w:pStyle w:val="nzIndenta"/>
        <w:rPr>
          <w:ins w:id="4624" w:author="svcMRProcess" w:date="2020-02-20T23:16:00Z"/>
        </w:rPr>
      </w:pPr>
      <w:ins w:id="4625" w:author="svcMRProcess" w:date="2020-02-20T23:16:00Z">
        <w:r>
          <w:tab/>
          <w:t>(b)</w:t>
        </w:r>
        <w:r>
          <w:tab/>
          <w:t>on the day on which the start up period ends, a pooled investment trust granted interim registration under section 63AC(2) of the former provisions,</w:t>
        </w:r>
      </w:ins>
    </w:p>
    <w:p>
      <w:pPr>
        <w:pStyle w:val="nzSubsection"/>
        <w:rPr>
          <w:ins w:id="4626" w:author="svcMRProcess" w:date="2020-02-20T23:16:00Z"/>
        </w:rPr>
      </w:pPr>
      <w:ins w:id="4627" w:author="svcMRProcess" w:date="2020-02-20T23:16:00Z">
        <w:r>
          <w:tab/>
        </w:r>
        <w:r>
          <w:tab/>
          <w:t>does not comply with section 63AB(2) of the new provisions.</w:t>
        </w:r>
      </w:ins>
    </w:p>
    <w:p>
      <w:pPr>
        <w:pStyle w:val="nzSubsection"/>
        <w:rPr>
          <w:ins w:id="4628" w:author="svcMRProcess" w:date="2020-02-20T23:16:00Z"/>
        </w:rPr>
      </w:pPr>
      <w:ins w:id="4629" w:author="svcMRProcess" w:date="2020-02-20T23:16:00Z">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ins>
    </w:p>
    <w:p>
      <w:pPr>
        <w:pStyle w:val="nzHeading5"/>
        <w:rPr>
          <w:ins w:id="4630" w:author="svcMRProcess" w:date="2020-02-20T23:16:00Z"/>
        </w:rPr>
      </w:pPr>
      <w:ins w:id="4631" w:author="svcMRProcess" w:date="2020-02-20T23:16:00Z">
        <w:r>
          <w:rPr>
            <w:rStyle w:val="CharSectno"/>
          </w:rPr>
          <w:t>90</w:t>
        </w:r>
        <w:r>
          <w:t>.</w:t>
        </w:r>
        <w:r>
          <w:tab/>
          <w:t>Determinations under section 75JBA or 75JC</w:t>
        </w:r>
      </w:ins>
    </w:p>
    <w:p>
      <w:pPr>
        <w:pStyle w:val="nzSubsection"/>
        <w:rPr>
          <w:ins w:id="4632" w:author="svcMRProcess" w:date="2020-02-20T23:16:00Z"/>
        </w:rPr>
      </w:pPr>
      <w:ins w:id="4633" w:author="svcMRProcess" w:date="2020-02-20T23:16:00Z">
        <w:r>
          <w:tab/>
          <w:t>(1)</w:t>
        </w:r>
        <w:r>
          <w:tab/>
          <w:t>In this section —</w:t>
        </w:r>
      </w:ins>
    </w:p>
    <w:p>
      <w:pPr>
        <w:pStyle w:val="nzDefstart"/>
        <w:rPr>
          <w:ins w:id="4634" w:author="svcMRProcess" w:date="2020-02-20T23:16:00Z"/>
        </w:rPr>
      </w:pPr>
      <w:ins w:id="4635" w:author="svcMRProcess" w:date="2020-02-20T23:16:00Z">
        <w:r>
          <w:rPr>
            <w:b/>
          </w:rPr>
          <w:tab/>
          <w:t>“</w:t>
        </w:r>
        <w:r>
          <w:rPr>
            <w:rStyle w:val="CharDefText"/>
          </w:rPr>
          <w:t>commencement day</w:t>
        </w:r>
        <w:r>
          <w:rPr>
            <w:b/>
          </w:rPr>
          <w:t>”</w:t>
        </w:r>
        <w:r>
          <w:t xml:space="preserve"> means the day on which this section came into operation.</w:t>
        </w:r>
      </w:ins>
    </w:p>
    <w:p>
      <w:pPr>
        <w:pStyle w:val="nzSubsection"/>
        <w:rPr>
          <w:ins w:id="4636" w:author="svcMRProcess" w:date="2020-02-20T23:16:00Z"/>
        </w:rPr>
      </w:pPr>
      <w:ins w:id="4637" w:author="svcMRProcess" w:date="2020-02-20T23:16:00Z">
        <w:r>
          <w:tab/>
          <w:t>(2)</w:t>
        </w:r>
        <w:r>
          <w:tab/>
          <w:t>If, before the commencement day, the Commissioner made a determination —</w:t>
        </w:r>
      </w:ins>
    </w:p>
    <w:p>
      <w:pPr>
        <w:pStyle w:val="nzIndenta"/>
        <w:rPr>
          <w:ins w:id="4638" w:author="svcMRProcess" w:date="2020-02-20T23:16:00Z"/>
        </w:rPr>
      </w:pPr>
      <w:ins w:id="4639" w:author="svcMRProcess" w:date="2020-02-20T23:16:00Z">
        <w:r>
          <w:tab/>
          <w:t>(a)</w:t>
        </w:r>
        <w:r>
          <w:tab/>
          <w:t>under section 75JBA that a controlling body would be approved and the claw</w:t>
        </w:r>
        <w:r>
          <w:noBreakHyphen/>
          <w:t>back waived; or</w:t>
        </w:r>
      </w:ins>
    </w:p>
    <w:p>
      <w:pPr>
        <w:pStyle w:val="nzIndenta"/>
        <w:rPr>
          <w:ins w:id="4640" w:author="svcMRProcess" w:date="2020-02-20T23:16:00Z"/>
        </w:rPr>
      </w:pPr>
      <w:ins w:id="4641" w:author="svcMRProcess" w:date="2020-02-20T23:16:00Z">
        <w:r>
          <w:tab/>
          <w:t>(b)</w:t>
        </w:r>
        <w:r>
          <w:tab/>
          <w:t>under section 75JC that an exemption would be granted,</w:t>
        </w:r>
      </w:ins>
    </w:p>
    <w:p>
      <w:pPr>
        <w:pStyle w:val="nzSubsection"/>
        <w:rPr>
          <w:ins w:id="4642" w:author="svcMRProcess" w:date="2020-02-20T23:16:00Z"/>
        </w:rPr>
      </w:pPr>
      <w:ins w:id="4643" w:author="svcMRProcess" w:date="2020-02-20T23:16:00Z">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ins>
    </w:p>
    <w:p>
      <w:pPr>
        <w:pStyle w:val="nzHeading5"/>
        <w:rPr>
          <w:ins w:id="4644" w:author="svcMRProcess" w:date="2020-02-20T23:16:00Z"/>
        </w:rPr>
      </w:pPr>
      <w:ins w:id="4645" w:author="svcMRProcess" w:date="2020-02-20T23:16:00Z">
        <w:r>
          <w:rPr>
            <w:rStyle w:val="CharSectno"/>
          </w:rPr>
          <w:t>91</w:t>
        </w:r>
        <w:r>
          <w:t>.</w:t>
        </w:r>
        <w:r>
          <w:tab/>
          <w:t>Agreements for lease</w:t>
        </w:r>
      </w:ins>
    </w:p>
    <w:p>
      <w:pPr>
        <w:pStyle w:val="nzSubsection"/>
        <w:rPr>
          <w:ins w:id="4646" w:author="svcMRProcess" w:date="2020-02-20T23:16:00Z"/>
        </w:rPr>
      </w:pPr>
      <w:ins w:id="4647" w:author="svcMRProcess" w:date="2020-02-20T23:16:00Z">
        <w:r>
          <w:tab/>
        </w:r>
        <w:r>
          <w:tab/>
          <w:t>The amendments effected by sections 5, 77, 78 and 87(6) do not</w:t>
        </w:r>
        <w:r>
          <w:rPr>
            <w:b/>
          </w:rPr>
          <w:t xml:space="preserve"> </w:t>
        </w:r>
        <w:r>
          <w:t>apply in relation to —</w:t>
        </w:r>
      </w:ins>
    </w:p>
    <w:p>
      <w:pPr>
        <w:pStyle w:val="nzIndenta"/>
        <w:rPr>
          <w:ins w:id="4648" w:author="svcMRProcess" w:date="2020-02-20T23:16:00Z"/>
        </w:rPr>
      </w:pPr>
      <w:ins w:id="4649" w:author="svcMRProcess" w:date="2020-02-20T23:16:00Z">
        <w:r>
          <w:tab/>
          <w:t>(a)</w:t>
        </w:r>
        <w:r>
          <w:tab/>
          <w:t>an agreement for lease executed before this section came into operation regardless of when any lease entered into in accordance with the agreement is executed; or</w:t>
        </w:r>
      </w:ins>
    </w:p>
    <w:p>
      <w:pPr>
        <w:pStyle w:val="nzIndenta"/>
        <w:rPr>
          <w:ins w:id="4650" w:author="svcMRProcess" w:date="2020-02-20T23:16:00Z"/>
        </w:rPr>
      </w:pPr>
      <w:ins w:id="4651" w:author="svcMRProcess" w:date="2020-02-20T23:16:00Z">
        <w:r>
          <w:tab/>
          <w:t>(b)</w:t>
        </w:r>
        <w:r>
          <w:tab/>
          <w:t>any such lease, regardless of when it is executed.</w:t>
        </w:r>
      </w:ins>
    </w:p>
    <w:p>
      <w:pPr>
        <w:pStyle w:val="nzHeading5"/>
        <w:rPr>
          <w:ins w:id="4652" w:author="svcMRProcess" w:date="2020-02-20T23:16:00Z"/>
        </w:rPr>
      </w:pPr>
      <w:ins w:id="4653" w:author="svcMRProcess" w:date="2020-02-20T23:16:00Z">
        <w:r>
          <w:rPr>
            <w:rStyle w:val="CharSectno"/>
          </w:rPr>
          <w:t>92</w:t>
        </w:r>
        <w:r>
          <w:t>.</w:t>
        </w:r>
        <w:r>
          <w:tab/>
          <w:t>Mortgages</w:t>
        </w:r>
      </w:ins>
    </w:p>
    <w:p>
      <w:pPr>
        <w:pStyle w:val="nzSubsection"/>
        <w:rPr>
          <w:ins w:id="4654" w:author="svcMRProcess" w:date="2020-02-20T23:16:00Z"/>
        </w:rPr>
      </w:pPr>
      <w:ins w:id="4655" w:author="svcMRProcess" w:date="2020-02-20T23:16:00Z">
        <w:r>
          <w:tab/>
          <w:t>(1)</w:t>
        </w:r>
        <w:r>
          <w:tab/>
          <w:t>In this section —</w:t>
        </w:r>
      </w:ins>
    </w:p>
    <w:p>
      <w:pPr>
        <w:pStyle w:val="nzDefstart"/>
        <w:rPr>
          <w:ins w:id="4656" w:author="svcMRProcess" w:date="2020-02-20T23:16:00Z"/>
        </w:rPr>
      </w:pPr>
      <w:ins w:id="4657" w:author="svcMRProcess" w:date="2020-02-20T23:16:00Z">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ins>
    </w:p>
    <w:p>
      <w:pPr>
        <w:pStyle w:val="nzDefstart"/>
        <w:rPr>
          <w:ins w:id="4658" w:author="svcMRProcess" w:date="2020-02-20T23:16:00Z"/>
        </w:rPr>
      </w:pPr>
      <w:ins w:id="4659" w:author="svcMRProcess" w:date="2020-02-20T23:16:00Z">
        <w:r>
          <w:rPr>
            <w:b/>
          </w:rPr>
          <w:tab/>
          <w:t>“</w:t>
        </w:r>
        <w:r>
          <w:rPr>
            <w:rStyle w:val="CharDefText"/>
          </w:rPr>
          <w:t>commencement day</w:t>
        </w:r>
        <w:r>
          <w:rPr>
            <w:b/>
          </w:rPr>
          <w:t>”</w:t>
        </w:r>
        <w:r>
          <w:t xml:space="preserve"> means the day on which section 79 came into operation;</w:t>
        </w:r>
      </w:ins>
    </w:p>
    <w:p>
      <w:pPr>
        <w:pStyle w:val="nzDefstart"/>
        <w:rPr>
          <w:ins w:id="4660" w:author="svcMRProcess" w:date="2020-02-20T23:16:00Z"/>
        </w:rPr>
      </w:pPr>
      <w:ins w:id="4661" w:author="svcMRProcess" w:date="2020-02-20T23:16:00Z">
        <w:r>
          <w:rPr>
            <w:b/>
          </w:rPr>
          <w:tab/>
          <w:t>“</w:t>
        </w:r>
        <w:r>
          <w:rPr>
            <w:rStyle w:val="CharDefText"/>
          </w:rPr>
          <w:t>former Act</w:t>
        </w:r>
        <w:r>
          <w:rPr>
            <w:b/>
          </w:rPr>
          <w:t>”</w:t>
        </w:r>
        <w:r>
          <w:t xml:space="preserve"> means the </w:t>
        </w:r>
        <w:r>
          <w:rPr>
            <w:i/>
          </w:rPr>
          <w:t>Stamp Act 1921</w:t>
        </w:r>
        <w:r>
          <w:t xml:space="preserve"> as in force from time to time before the commencement day.</w:t>
        </w:r>
      </w:ins>
    </w:p>
    <w:p>
      <w:pPr>
        <w:pStyle w:val="nzSubsection"/>
        <w:rPr>
          <w:ins w:id="4662" w:author="svcMRProcess" w:date="2020-02-20T23:16:00Z"/>
        </w:rPr>
      </w:pPr>
      <w:ins w:id="4663" w:author="svcMRProcess" w:date="2020-02-20T23:16:00Z">
        <w:r>
          <w:tab/>
          <w:t>(2)</w:t>
        </w:r>
        <w:r>
          <w:tab/>
          <w:t>The amended Act does not apply to a mortgage or other security on which duty was payable under Part IIIE of the former Act if the amount secured by the mortgage does not increase on or after the commencement day.</w:t>
        </w:r>
      </w:ins>
    </w:p>
    <w:p>
      <w:pPr>
        <w:pStyle w:val="nzSubsection"/>
        <w:rPr>
          <w:ins w:id="4664" w:author="svcMRProcess" w:date="2020-02-20T23:16:00Z"/>
        </w:rPr>
      </w:pPr>
      <w:ins w:id="4665" w:author="svcMRProcess" w:date="2020-02-20T23:16:00Z">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ins>
    </w:p>
    <w:p>
      <w:pPr>
        <w:pStyle w:val="nzHeading5"/>
        <w:rPr>
          <w:ins w:id="4666" w:author="svcMRProcess" w:date="2020-02-20T23:16:00Z"/>
        </w:rPr>
      </w:pPr>
      <w:ins w:id="4667" w:author="svcMRProcess" w:date="2020-02-20T23:16:00Z">
        <w:r>
          <w:rPr>
            <w:rStyle w:val="CharSectno"/>
          </w:rPr>
          <w:t>93</w:t>
        </w:r>
        <w:r>
          <w:t>.</w:t>
        </w:r>
        <w:r>
          <w:tab/>
          <w:t>Life insurance</w:t>
        </w:r>
      </w:ins>
    </w:p>
    <w:p>
      <w:pPr>
        <w:pStyle w:val="nzSubsection"/>
        <w:rPr>
          <w:ins w:id="4668" w:author="svcMRProcess" w:date="2020-02-20T23:16:00Z"/>
        </w:rPr>
      </w:pPr>
      <w:ins w:id="4669" w:author="svcMRProcess" w:date="2020-02-20T23:16:00Z">
        <w:r>
          <w:tab/>
        </w:r>
        <w:r>
          <w:tab/>
          <w:t>The amendments effected by sections 80, 81, 82, 83 and 87(9) do not apply in relation to a policy of life insurance where the period for which the insurance is effected commenced before this section came into operation.</w:t>
        </w:r>
      </w:ins>
    </w:p>
    <w:p>
      <w:pPr>
        <w:pStyle w:val="nzHeading5"/>
        <w:rPr>
          <w:ins w:id="4670" w:author="svcMRProcess" w:date="2020-02-20T23:16:00Z"/>
        </w:rPr>
      </w:pPr>
      <w:ins w:id="4671" w:author="svcMRProcess" w:date="2020-02-20T23:16:00Z">
        <w:r>
          <w:rPr>
            <w:rStyle w:val="CharSectno"/>
          </w:rPr>
          <w:t>94</w:t>
        </w:r>
        <w:r>
          <w:t>.</w:t>
        </w:r>
        <w:r>
          <w:tab/>
          <w:t>Hire of goods</w:t>
        </w:r>
      </w:ins>
    </w:p>
    <w:p>
      <w:pPr>
        <w:pStyle w:val="nzSubsection"/>
        <w:rPr>
          <w:ins w:id="4672" w:author="svcMRProcess" w:date="2020-02-20T23:16:00Z"/>
        </w:rPr>
      </w:pPr>
      <w:ins w:id="4673" w:author="svcMRProcess" w:date="2020-02-20T23:16:00Z">
        <w:r>
          <w:tab/>
          <w:t>(1)</w:t>
        </w:r>
        <w:r>
          <w:tab/>
          <w:t>In this section —</w:t>
        </w:r>
      </w:ins>
    </w:p>
    <w:p>
      <w:pPr>
        <w:pStyle w:val="nzDefstart"/>
        <w:rPr>
          <w:ins w:id="4674" w:author="svcMRProcess" w:date="2020-02-20T23:16:00Z"/>
        </w:rPr>
      </w:pPr>
      <w:ins w:id="4675" w:author="svcMRProcess" w:date="2020-02-20T23:16:00Z">
        <w:r>
          <w:rPr>
            <w:b/>
          </w:rPr>
          <w:tab/>
          <w:t>“</w:t>
        </w:r>
        <w:r>
          <w:rPr>
            <w:rStyle w:val="CharDefText"/>
          </w:rPr>
          <w:t>commencement</w:t>
        </w:r>
        <w:r>
          <w:rPr>
            <w:b/>
          </w:rPr>
          <w:t>”</w:t>
        </w:r>
        <w:r>
          <w:t xml:space="preserve"> means the time at which section 85 came into operation;</w:t>
        </w:r>
      </w:ins>
    </w:p>
    <w:p>
      <w:pPr>
        <w:pStyle w:val="nzDefstart"/>
        <w:rPr>
          <w:ins w:id="4676" w:author="svcMRProcess" w:date="2020-02-20T23:16:00Z"/>
        </w:rPr>
      </w:pPr>
      <w:ins w:id="4677" w:author="svcMRProcess" w:date="2020-02-20T23:16:00Z">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ins>
    </w:p>
    <w:p>
      <w:pPr>
        <w:pStyle w:val="nzDefstart"/>
        <w:rPr>
          <w:ins w:id="4678" w:author="svcMRProcess" w:date="2020-02-20T23:16:00Z"/>
        </w:rPr>
      </w:pPr>
      <w:ins w:id="4679" w:author="svcMRProcess" w:date="2020-02-20T23:16:00Z">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ins>
    </w:p>
    <w:p>
      <w:pPr>
        <w:pStyle w:val="nzSubsection"/>
        <w:rPr>
          <w:ins w:id="4680" w:author="svcMRProcess" w:date="2020-02-20T23:16:00Z"/>
        </w:rPr>
      </w:pPr>
      <w:ins w:id="4681" w:author="svcMRProcess" w:date="2020-02-20T23:16:00Z">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ins>
    </w:p>
    <w:p>
      <w:pPr>
        <w:pStyle w:val="nzSubsection"/>
        <w:rPr>
          <w:ins w:id="4682" w:author="svcMRProcess" w:date="2020-02-20T23:16:00Z"/>
        </w:rPr>
      </w:pPr>
      <w:ins w:id="4683" w:author="svcMRProcess" w:date="2020-02-20T23:16:00Z">
        <w:r>
          <w:tab/>
          <w:t>(3)</w:t>
        </w:r>
        <w:r>
          <w:tab/>
          <w:t>On commencement, a person who was registered under old Part IVB immediately before commencement is taken, for all purposes, to have been registered under section 112JA of new Part IVB.</w:t>
        </w:r>
      </w:ins>
    </w:p>
    <w:p>
      <w:pPr>
        <w:pStyle w:val="nzSubsection"/>
        <w:rPr>
          <w:ins w:id="4684" w:author="svcMRProcess" w:date="2020-02-20T23:16:00Z"/>
        </w:rPr>
      </w:pPr>
      <w:ins w:id="4685" w:author="svcMRProcess" w:date="2020-02-20T23:16:00Z">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ins>
    </w:p>
    <w:p>
      <w:pPr>
        <w:pStyle w:val="nzSubsection"/>
        <w:rPr>
          <w:ins w:id="4686" w:author="svcMRProcess" w:date="2020-02-20T23:16:00Z"/>
        </w:rPr>
      </w:pPr>
      <w:ins w:id="4687" w:author="svcMRProcess" w:date="2020-02-20T23:16:00Z">
        <w:r>
          <w:tab/>
          <w:t>(5)</w:t>
        </w:r>
        <w:r>
          <w:tab/>
          <w:t>On commencement, a designation made by the Minister under section 112N(1)(fa)(ii) of old Part IVB and in force immediately before commencement is taken, for all purposes, to have been made under section 112IC(2) of new Part IVB.</w:t>
        </w:r>
      </w:ins>
    </w:p>
    <w:p>
      <w:pPr>
        <w:pStyle w:val="nzSubsection"/>
        <w:rPr>
          <w:ins w:id="4688" w:author="svcMRProcess" w:date="2020-02-20T23:16:00Z"/>
        </w:rPr>
      </w:pPr>
      <w:ins w:id="4689" w:author="svcMRProcess" w:date="2020-02-20T23:16:00Z">
        <w:r>
          <w:tab/>
          <w:t>(6)</w:t>
        </w:r>
        <w:r>
          <w:tab/>
          <w:t>New Part IVB applies to hiring charges received under a hire of goods entered into after commencement.</w:t>
        </w:r>
      </w:ins>
    </w:p>
    <w:p>
      <w:pPr>
        <w:pStyle w:val="nzSubsection"/>
        <w:rPr>
          <w:ins w:id="4690" w:author="svcMRProcess" w:date="2020-02-20T23:16:00Z"/>
        </w:rPr>
      </w:pPr>
      <w:ins w:id="4691" w:author="svcMRProcess" w:date="2020-02-20T23:16:00Z">
        <w:r>
          <w:tab/>
          <w:t>(7)</w:t>
        </w:r>
        <w:r>
          <w:tab/>
          <w:t>Despite the repeal of old Part IVB, it continues to apply —</w:t>
        </w:r>
      </w:ins>
    </w:p>
    <w:p>
      <w:pPr>
        <w:pStyle w:val="nzIndenta"/>
        <w:rPr>
          <w:ins w:id="4692" w:author="svcMRProcess" w:date="2020-02-20T23:16:00Z"/>
        </w:rPr>
      </w:pPr>
      <w:ins w:id="4693" w:author="svcMRProcess" w:date="2020-02-20T23:16:00Z">
        <w:r>
          <w:tab/>
          <w:t>(a)</w:t>
        </w:r>
        <w:r>
          <w:tab/>
          <w:t>in relation to the conduct of a rental business before commencement; and</w:t>
        </w:r>
      </w:ins>
    </w:p>
    <w:p>
      <w:pPr>
        <w:pStyle w:val="nzIndenta"/>
        <w:rPr>
          <w:ins w:id="4694" w:author="svcMRProcess" w:date="2020-02-20T23:16:00Z"/>
        </w:rPr>
      </w:pPr>
      <w:ins w:id="4695" w:author="svcMRProcess" w:date="2020-02-20T23:16:00Z">
        <w:r>
          <w:tab/>
          <w:t>(b)</w:t>
        </w:r>
        <w:r>
          <w:tab/>
          <w:t>in relation to the conduct of a rental business after commencement to the extent that the conduct of the rental business relates to rights, granted before commencement, to which old Part IVB applied before commencement.</w:t>
        </w:r>
      </w:ins>
    </w:p>
    <w:p>
      <w:pPr>
        <w:pStyle w:val="nzSubsection"/>
        <w:rPr>
          <w:ins w:id="4696" w:author="svcMRProcess" w:date="2020-02-20T23:16:00Z"/>
        </w:rPr>
      </w:pPr>
      <w:ins w:id="4697" w:author="svcMRProcess" w:date="2020-02-20T23:16:00Z">
        <w:r>
          <w:tab/>
          <w:t>(8)</w:t>
        </w:r>
        <w:r>
          <w:tab/>
          <w:t xml:space="preserve">To the extent that section 112O of old Part IVB has effect after commencement in relation to the conduct of a rental business, it has effect subject to the </w:t>
        </w:r>
        <w:r>
          <w:rPr>
            <w:i/>
          </w:rPr>
          <w:t>Taxation Administration Act 2003</w:t>
        </w:r>
        <w:r>
          <w:t>.</w:t>
        </w:r>
      </w:ins>
    </w:p>
    <w:p>
      <w:pPr>
        <w:pStyle w:val="nzHeading5"/>
        <w:rPr>
          <w:ins w:id="4698" w:author="svcMRProcess" w:date="2020-02-20T23:16:00Z"/>
        </w:rPr>
      </w:pPr>
      <w:ins w:id="4699" w:author="svcMRProcess" w:date="2020-02-20T23:16:00Z">
        <w:r>
          <w:rPr>
            <w:rStyle w:val="CharSectno"/>
          </w:rPr>
          <w:t>98</w:t>
        </w:r>
        <w:r>
          <w:t>.</w:t>
        </w:r>
        <w:r>
          <w:tab/>
          <w:t>Section 92 amended and transitional</w:t>
        </w:r>
      </w:ins>
    </w:p>
    <w:p>
      <w:pPr>
        <w:pStyle w:val="nzSubsection"/>
        <w:rPr>
          <w:ins w:id="4700" w:author="svcMRProcess" w:date="2020-02-20T23:16:00Z"/>
        </w:rPr>
      </w:pPr>
      <w:ins w:id="4701" w:author="svcMRProcess" w:date="2020-02-20T23:16:00Z">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ins>
    </w:p>
    <w:p>
      <w:pPr>
        <w:pStyle w:val="MiscClose"/>
        <w:rPr>
          <w:ins w:id="4702" w:author="svcMRProcess" w:date="2020-02-20T23:16:00Z"/>
        </w:rPr>
      </w:pPr>
      <w:ins w:id="4703" w:author="svcMRProcess" w:date="2020-02-20T23:16:00Z">
        <w:r>
          <w:t>”.</w:t>
        </w:r>
      </w:ins>
    </w:p>
    <w:p>
      <w:pPr>
        <w:pStyle w:val="nSubsection"/>
      </w:pPr>
      <w:ins w:id="4704" w:author="svcMRProcess" w:date="2020-02-20T23:16:00Z">
        <w:r>
          <w:rPr>
            <w:vertAlign w:val="superscript"/>
          </w:rPr>
          <w:t>40</w:t>
        </w:r>
      </w:ins>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rPr>
          <w:ins w:id="4705" w:author="svcMRProcess" w:date="2020-02-20T23:16:00Z"/>
        </w:rPr>
      </w:pPr>
      <w:del w:id="4706" w:author="svcMRProcess" w:date="2020-02-20T23:16:00Z">
        <w:r>
          <w:rPr>
            <w:vertAlign w:val="superscript"/>
          </w:rPr>
          <w:delText>45</w:delText>
        </w:r>
      </w:del>
      <w:ins w:id="4707" w:author="svcMRProcess" w:date="2020-02-20T23:16:00Z">
        <w:r>
          <w:rPr>
            <w:vertAlign w:val="superscript"/>
          </w:rPr>
          <w:t>41</w:t>
        </w:r>
        <w:r>
          <w:tab/>
          <w:t xml:space="preserve">The </w:t>
        </w:r>
        <w:r>
          <w:rPr>
            <w:i/>
          </w:rPr>
          <w:t xml:space="preserve">Revenue Laws Amendment Act 2004 </w:t>
        </w:r>
        <w:r>
          <w:t>s. 8 reads as follows:</w:t>
        </w:r>
      </w:ins>
    </w:p>
    <w:p>
      <w:pPr>
        <w:pStyle w:val="MiscOpen"/>
        <w:rPr>
          <w:ins w:id="4708" w:author="svcMRProcess" w:date="2020-02-20T23:16:00Z"/>
        </w:rPr>
      </w:pPr>
      <w:ins w:id="4709" w:author="svcMRProcess" w:date="2020-02-20T23:16:00Z">
        <w:r>
          <w:t>“</w:t>
        </w:r>
      </w:ins>
    </w:p>
    <w:p>
      <w:pPr>
        <w:pStyle w:val="nzHeading5"/>
        <w:ind w:right="717"/>
        <w:rPr>
          <w:ins w:id="4710" w:author="svcMRProcess" w:date="2020-02-20T23:16:00Z"/>
        </w:rPr>
      </w:pPr>
      <w:ins w:id="4711" w:author="svcMRProcess" w:date="2020-02-20T23:16:00Z">
        <w:r>
          <w:rPr>
            <w:rStyle w:val="CharSectno"/>
          </w:rPr>
          <w:t>8</w:t>
        </w:r>
        <w:r>
          <w:t>.</w:t>
        </w:r>
        <w:r>
          <w:tab/>
          <w:t>Transitional provision</w:t>
        </w:r>
      </w:ins>
    </w:p>
    <w:p>
      <w:pPr>
        <w:pStyle w:val="nzSubsection"/>
        <w:ind w:right="717"/>
        <w:rPr>
          <w:ins w:id="4712" w:author="svcMRProcess" w:date="2020-02-20T23:16:00Z"/>
        </w:rPr>
      </w:pPr>
      <w:ins w:id="4713" w:author="svcMRProcess" w:date="2020-02-20T23:16:00Z">
        <w:r>
          <w:tab/>
        </w:r>
        <w:r>
          <w:tab/>
          <w:t xml:space="preserve">Despite the amendments made by this Division, the </w:t>
        </w:r>
        <w:r>
          <w:rPr>
            <w:i/>
          </w:rPr>
          <w:t>Stamp Act 1921</w:t>
        </w:r>
        <w:r>
          <w:t xml:space="preserve"> as in force immediately before the commencement of this Division applies to and in relation to —</w:t>
        </w:r>
      </w:ins>
    </w:p>
    <w:p>
      <w:pPr>
        <w:pStyle w:val="nzIndenta"/>
        <w:ind w:right="717"/>
        <w:rPr>
          <w:ins w:id="4714" w:author="svcMRProcess" w:date="2020-02-20T23:16:00Z"/>
        </w:rPr>
      </w:pPr>
      <w:ins w:id="4715" w:author="svcMRProcess" w:date="2020-02-20T23:16:00Z">
        <w:r>
          <w:tab/>
          <w:t>(a)</w:t>
        </w:r>
        <w:r>
          <w:tab/>
          <w:t>an instrument that was first executed before 1 July 2004;</w:t>
        </w:r>
      </w:ins>
    </w:p>
    <w:p>
      <w:pPr>
        <w:pStyle w:val="nzIndenta"/>
        <w:ind w:right="717"/>
        <w:rPr>
          <w:ins w:id="4716" w:author="svcMRProcess" w:date="2020-02-20T23:16:00Z"/>
        </w:rPr>
      </w:pPr>
      <w:ins w:id="4717" w:author="svcMRProcess" w:date="2020-02-20T23:16:00Z">
        <w:r>
          <w:tab/>
          <w:t>(b)</w:t>
        </w:r>
        <w:r>
          <w:tab/>
          <w:t>an instrument of conveyance or transfer that replaces another instrument for the conveyance or transfer of the same property where the replaced instrument was first executed before 1 July 2004;</w:t>
        </w:r>
      </w:ins>
    </w:p>
    <w:p>
      <w:pPr>
        <w:pStyle w:val="nzIndenta"/>
        <w:ind w:right="717"/>
        <w:rPr>
          <w:ins w:id="4718" w:author="svcMRProcess" w:date="2020-02-20T23:16:00Z"/>
        </w:rPr>
      </w:pPr>
      <w:ins w:id="4719" w:author="svcMRProcess" w:date="2020-02-20T23:16:00Z">
        <w:r>
          <w:tab/>
          <w:t>(c)</w:t>
        </w:r>
        <w:r>
          <w:tab/>
          <w:t>an instrument of conveyance or transfer of property where —</w:t>
        </w:r>
      </w:ins>
    </w:p>
    <w:p>
      <w:pPr>
        <w:pStyle w:val="nzIndenti"/>
        <w:ind w:right="717"/>
        <w:rPr>
          <w:ins w:id="4720" w:author="svcMRProcess" w:date="2020-02-20T23:16:00Z"/>
        </w:rPr>
      </w:pPr>
      <w:ins w:id="4721" w:author="svcMRProcess" w:date="2020-02-20T23:16:00Z">
        <w:r>
          <w:tab/>
          <w:t>(i)</w:t>
        </w:r>
        <w:r>
          <w:tab/>
          <w:t>the person to whom the property is conveyed or transferred (the transferee) had an option to purchase the property, or the person who conveys or transfers the property had an option to require the transferee to purchase the property; and</w:t>
        </w:r>
      </w:ins>
    </w:p>
    <w:p>
      <w:pPr>
        <w:pStyle w:val="nzIndenti"/>
        <w:ind w:right="717"/>
        <w:rPr>
          <w:ins w:id="4722" w:author="svcMRProcess" w:date="2020-02-20T23:16:00Z"/>
        </w:rPr>
      </w:pPr>
      <w:ins w:id="4723" w:author="svcMRProcess" w:date="2020-02-20T23:16:00Z">
        <w:r>
          <w:tab/>
          <w:t>(ii)</w:t>
        </w:r>
        <w:r>
          <w:tab/>
          <w:t>in either case, the option was granted on or after 6 May 2004 but before 1 July 2004;</w:t>
        </w:r>
      </w:ins>
    </w:p>
    <w:p>
      <w:pPr>
        <w:pStyle w:val="nzIndenta"/>
        <w:ind w:right="717"/>
        <w:rPr>
          <w:ins w:id="4724" w:author="svcMRProcess" w:date="2020-02-20T23:16:00Z"/>
        </w:rPr>
      </w:pPr>
      <w:ins w:id="4725" w:author="svcMRProcess" w:date="2020-02-20T23:16:00Z">
        <w:r>
          <w:tab/>
        </w:r>
        <w:r>
          <w:tab/>
          <w:t>and</w:t>
        </w:r>
      </w:ins>
    </w:p>
    <w:p>
      <w:pPr>
        <w:pStyle w:val="nzIndenta"/>
        <w:ind w:right="717"/>
        <w:rPr>
          <w:ins w:id="4726" w:author="svcMRProcess" w:date="2020-02-20T23:16:00Z"/>
        </w:rPr>
      </w:pPr>
      <w:ins w:id="4727" w:author="svcMRProcess" w:date="2020-02-20T23:16:00Z">
        <w:r>
          <w:tab/>
          <w:t>(d)</w:t>
        </w:r>
        <w:r>
          <w:tab/>
          <w:t>an instrument of conveyance or transfer where —</w:t>
        </w:r>
      </w:ins>
    </w:p>
    <w:p>
      <w:pPr>
        <w:pStyle w:val="nzIndenti"/>
        <w:ind w:right="717"/>
        <w:rPr>
          <w:ins w:id="4728" w:author="svcMRProcess" w:date="2020-02-20T23:16:00Z"/>
        </w:rPr>
      </w:pPr>
      <w:ins w:id="4729" w:author="svcMRProcess" w:date="2020-02-20T23:16:00Z">
        <w:r>
          <w:tab/>
          <w:t>(i)</w:t>
        </w:r>
        <w:r>
          <w:tab/>
          <w:t>the conveyance or transfer of property is made in accordance with an arrangement made on or after 6 May 2004; and</w:t>
        </w:r>
      </w:ins>
    </w:p>
    <w:p>
      <w:pPr>
        <w:pStyle w:val="nzIndenti"/>
        <w:ind w:right="717"/>
        <w:rPr>
          <w:ins w:id="4730" w:author="svcMRProcess" w:date="2020-02-20T23:16:00Z"/>
        </w:rPr>
      </w:pPr>
      <w:ins w:id="4731" w:author="svcMRProcess" w:date="2020-02-20T23:16:00Z">
        <w:r>
          <w:tab/>
          <w:t>(ii)</w:t>
        </w:r>
        <w:r>
          <w:tab/>
          <w:t>the sole or principal purpose of the arrangement was to defer the conveyance or transfer of the property until 1 July 2004 or later so that the rates of duty applicable on or after 1 July 2004 would apply to the instrument.</w:t>
        </w:r>
      </w:ins>
    </w:p>
    <w:p>
      <w:pPr>
        <w:pStyle w:val="MiscClose"/>
        <w:rPr>
          <w:ins w:id="4732" w:author="svcMRProcess" w:date="2020-02-20T23:16:00Z"/>
        </w:rPr>
      </w:pPr>
      <w:ins w:id="4733" w:author="svcMRProcess" w:date="2020-02-20T23:16:00Z">
        <w:r>
          <w:t>”.</w:t>
        </w:r>
      </w:ins>
    </w:p>
    <w:p>
      <w:pPr>
        <w:pStyle w:val="nSubsection"/>
        <w:rPr>
          <w:ins w:id="4734" w:author="svcMRProcess" w:date="2020-02-20T23:16:00Z"/>
        </w:rPr>
      </w:pPr>
      <w:ins w:id="4735" w:author="svcMRProcess" w:date="2020-02-20T23:16:00Z">
        <w:r>
          <w:rPr>
            <w:vertAlign w:val="superscript"/>
          </w:rPr>
          <w:t>42</w:t>
        </w:r>
        <w:r>
          <w:tab/>
          <w:t xml:space="preserve">The </w:t>
        </w:r>
        <w:r>
          <w:rPr>
            <w:i/>
          </w:rPr>
          <w:t>Revenue Laws Amendment and Repeal Act 2004</w:t>
        </w:r>
        <w:r>
          <w:t xml:space="preserve"> s. 19 and 32 read as follows:</w:t>
        </w:r>
      </w:ins>
    </w:p>
    <w:p>
      <w:pPr>
        <w:pStyle w:val="MiscOpen"/>
        <w:rPr>
          <w:ins w:id="4736" w:author="svcMRProcess" w:date="2020-02-20T23:16:00Z"/>
        </w:rPr>
      </w:pPr>
      <w:ins w:id="4737" w:author="svcMRProcess" w:date="2020-02-20T23:16:00Z">
        <w:r>
          <w:t>“</w:t>
        </w:r>
      </w:ins>
    </w:p>
    <w:p>
      <w:pPr>
        <w:pStyle w:val="nzHeading5"/>
        <w:rPr>
          <w:ins w:id="4738" w:author="svcMRProcess" w:date="2020-02-20T23:16:00Z"/>
        </w:rPr>
      </w:pPr>
      <w:ins w:id="4739" w:author="svcMRProcess" w:date="2020-02-20T23:16:00Z">
        <w:r>
          <w:rPr>
            <w:rStyle w:val="CharSectno"/>
          </w:rPr>
          <w:t>19</w:t>
        </w:r>
        <w:r>
          <w:t>.</w:t>
        </w:r>
        <w:r>
          <w:tab/>
          <w:t>Transitional provisions</w:t>
        </w:r>
      </w:ins>
    </w:p>
    <w:p>
      <w:pPr>
        <w:pStyle w:val="nzSubsection"/>
        <w:rPr>
          <w:ins w:id="4740" w:author="svcMRProcess" w:date="2020-02-20T23:16:00Z"/>
        </w:rPr>
      </w:pPr>
      <w:ins w:id="4741" w:author="svcMRProcess" w:date="2020-02-20T23:16:00Z">
        <w:r>
          <w:tab/>
          <w:t>(1)</w:t>
        </w:r>
        <w:r>
          <w:tab/>
          <w:t xml:space="preserve">The </w:t>
        </w:r>
        <w:r>
          <w:rPr>
            <w:i/>
          </w:rPr>
          <w:t>Stamp Act 1921</w:t>
        </w:r>
        <w:r>
          <w:t xml:space="preserve"> as amended by this Division applies in relation to instruments executed on or after 1 July 2004.</w:t>
        </w:r>
      </w:ins>
    </w:p>
    <w:p>
      <w:pPr>
        <w:pStyle w:val="nzSubsection"/>
        <w:rPr>
          <w:ins w:id="4742" w:author="svcMRProcess" w:date="2020-02-20T23:16:00Z"/>
        </w:rPr>
      </w:pPr>
      <w:ins w:id="4743" w:author="svcMRProcess" w:date="2020-02-20T23:16:00Z">
        <w:r>
          <w:tab/>
          <w:t>(2)</w:t>
        </w:r>
        <w:r>
          <w:tab/>
          <w:t xml:space="preserve">The </w:t>
        </w:r>
        <w:r>
          <w:rPr>
            <w:i/>
          </w:rPr>
          <w:t>Stamp Act 1921</w:t>
        </w:r>
        <w:r>
          <w:t xml:space="preserve"> as in force immediately before the commencement of this Division applies in relation to instruments executed before 1 July 2004.</w:t>
        </w:r>
      </w:ins>
    </w:p>
    <w:p>
      <w:pPr>
        <w:pStyle w:val="nzHeading5"/>
        <w:rPr>
          <w:ins w:id="4744" w:author="svcMRProcess" w:date="2020-02-20T23:16:00Z"/>
        </w:rPr>
      </w:pPr>
      <w:ins w:id="4745" w:author="svcMRProcess" w:date="2020-02-20T23:16:00Z">
        <w:r>
          <w:rPr>
            <w:rStyle w:val="CharSectno"/>
          </w:rPr>
          <w:t>32</w:t>
        </w:r>
        <w:r>
          <w:t>.</w:t>
        </w:r>
        <w:r>
          <w:tab/>
          <w:t>Section 91 amended and transitional provision</w:t>
        </w:r>
      </w:ins>
    </w:p>
    <w:p>
      <w:pPr>
        <w:pStyle w:val="nzSubsection"/>
        <w:rPr>
          <w:ins w:id="4746" w:author="svcMRProcess" w:date="2020-02-20T23:16:00Z"/>
        </w:rPr>
      </w:pPr>
      <w:ins w:id="4747" w:author="svcMRProcess" w:date="2020-02-20T23:16:00Z">
        <w:r>
          <w:tab/>
          <w:t>(1)</w:t>
        </w:r>
        <w:r>
          <w:tab/>
          <w:t>Section 91(2) is amended by inserting after “located in” —</w:t>
        </w:r>
      </w:ins>
    </w:p>
    <w:p>
      <w:pPr>
        <w:pStyle w:val="nzSubsection"/>
        <w:rPr>
          <w:ins w:id="4748" w:author="svcMRProcess" w:date="2020-02-20T23:16:00Z"/>
        </w:rPr>
      </w:pPr>
      <w:ins w:id="4749" w:author="svcMRProcess" w:date="2020-02-20T23:16:00Z">
        <w:r>
          <w:tab/>
        </w:r>
        <w:r>
          <w:tab/>
          <w:t>“    the State of Victoria or    ”.</w:t>
        </w:r>
      </w:ins>
    </w:p>
    <w:p>
      <w:pPr>
        <w:pStyle w:val="nzSubsection"/>
        <w:rPr>
          <w:ins w:id="4750" w:author="svcMRProcess" w:date="2020-02-20T23:16:00Z"/>
        </w:rPr>
      </w:pPr>
      <w:ins w:id="4751" w:author="svcMRProcess" w:date="2020-02-20T23:16:00Z">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ins>
    </w:p>
    <w:p>
      <w:pPr>
        <w:pStyle w:val="MiscClose"/>
        <w:rPr>
          <w:ins w:id="4752" w:author="svcMRProcess" w:date="2020-02-20T23:16:00Z"/>
        </w:rPr>
      </w:pPr>
      <w:ins w:id="4753" w:author="svcMRProcess" w:date="2020-02-20T23:16:00Z">
        <w:r>
          <w:t>”.</w:t>
        </w:r>
      </w:ins>
    </w:p>
    <w:p>
      <w:pPr>
        <w:pStyle w:val="nSubsection"/>
        <w:keepNext/>
      </w:pPr>
      <w:ins w:id="4754" w:author="svcMRProcess" w:date="2020-02-20T23:16:00Z">
        <w:r>
          <w:rPr>
            <w:vertAlign w:val="superscript"/>
          </w:rPr>
          <w:t>43</w:t>
        </w:r>
      </w:ins>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In this section —</w:t>
      </w:r>
      <w:del w:id="4755" w:author="svcMRProcess" w:date="2020-02-20T23:16:00Z">
        <w:r>
          <w:delText xml:space="preserve"> </w:delText>
        </w:r>
      </w:del>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del w:id="4756" w:author="svcMRProcess" w:date="2020-02-20T23:16:00Z">
        <w:r>
          <w:rPr>
            <w:vertAlign w:val="superscript"/>
          </w:rPr>
          <w:delText>46</w:delText>
        </w:r>
      </w:del>
      <w:ins w:id="4757" w:author="svcMRProcess" w:date="2020-02-20T23:16:00Z">
        <w:r>
          <w:rPr>
            <w:vertAlign w:val="superscript"/>
          </w:rPr>
          <w:t>44</w:t>
        </w:r>
      </w:ins>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del w:id="4758" w:author="svcMRProcess" w:date="2020-02-20T23:16:00Z">
        <w:r>
          <w:rPr>
            <w:vertAlign w:val="superscript"/>
          </w:rPr>
          <w:delText>47</w:delText>
        </w:r>
      </w:del>
      <w:ins w:id="4759" w:author="svcMRProcess" w:date="2020-02-20T23:16:00Z">
        <w:r>
          <w:rPr>
            <w:vertAlign w:val="superscript"/>
          </w:rPr>
          <w:t>45</w:t>
        </w:r>
      </w:ins>
      <w:r>
        <w:tab/>
        <w:t xml:space="preserve">The </w:t>
      </w:r>
      <w:r>
        <w:rPr>
          <w:i/>
        </w:rPr>
        <w:t xml:space="preserve">Revenue Laws Amendment Act 2005 </w:t>
      </w:r>
      <w:r>
        <w:t>s. 30 reads as follows:</w:t>
      </w:r>
    </w:p>
    <w:p>
      <w:pPr>
        <w:pStyle w:val="MiscOpen"/>
      </w:pPr>
      <w:r>
        <w:t>“</w:t>
      </w:r>
    </w:p>
    <w:p>
      <w:pPr>
        <w:pStyle w:val="nzHeading5"/>
      </w:pPr>
      <w:bookmarkStart w:id="4760" w:name="_Toc103160669"/>
      <w:bookmarkStart w:id="4761" w:name="_Toc112652971"/>
      <w:bookmarkStart w:id="4762" w:name="_Toc112658839"/>
      <w:r>
        <w:rPr>
          <w:rStyle w:val="CharSectno"/>
        </w:rPr>
        <w:t>30</w:t>
      </w:r>
      <w:r>
        <w:t>.</w:t>
      </w:r>
      <w:r>
        <w:tab/>
        <w:t>Saving and transitional provisions</w:t>
      </w:r>
      <w:bookmarkEnd w:id="4760"/>
      <w:bookmarkEnd w:id="4761"/>
      <w:bookmarkEnd w:id="4762"/>
    </w:p>
    <w:p>
      <w:pPr>
        <w:pStyle w:val="nzSubsection"/>
      </w:pPr>
      <w:r>
        <w:tab/>
        <w:t>(1)</w:t>
      </w:r>
      <w:r>
        <w:tab/>
        <w:t>In this section —</w:t>
      </w:r>
      <w:del w:id="4763" w:author="svcMRProcess" w:date="2020-02-20T23:16:00Z">
        <w:r>
          <w:delText xml:space="preserve"> </w:delText>
        </w:r>
      </w:del>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del w:id="4764" w:author="svcMRProcess" w:date="2020-02-20T23:16:00Z">
        <w:r>
          <w:delText xml:space="preserve"> </w:delText>
        </w:r>
      </w:del>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del w:id="4765" w:author="svcMRProcess" w:date="2020-02-20T23:16:00Z"/>
          <w:snapToGrid w:val="0"/>
        </w:rPr>
      </w:pPr>
      <w:del w:id="4766" w:author="svcMRProcess" w:date="2020-02-20T23:16:00Z">
        <w:r>
          <w:rPr>
            <w:snapToGrid w:val="0"/>
            <w:vertAlign w:val="superscript"/>
          </w:rPr>
          <w:delText>48</w:delText>
        </w:r>
        <w:r>
          <w:rPr>
            <w:snapToGrid w:val="0"/>
          </w:rPr>
          <w:tab/>
          <w:delText xml:space="preserve">On the date as at which this compilation was prepared, the </w:delText>
        </w:r>
        <w:r>
          <w:rPr>
            <w:i/>
            <w:snapToGrid w:val="0"/>
          </w:rPr>
          <w:delText xml:space="preserve">Housing Societies Repeal Act 2005 </w:delText>
        </w:r>
        <w:r>
          <w:rPr>
            <w:snapToGrid w:val="0"/>
          </w:rPr>
          <w:delText>s. 30 had not come into operation.  It reads as follows:</w:delText>
        </w:r>
      </w:del>
    </w:p>
    <w:p>
      <w:pPr>
        <w:pStyle w:val="MiscOpen"/>
        <w:rPr>
          <w:del w:id="4767" w:author="svcMRProcess" w:date="2020-02-20T23:16:00Z"/>
          <w:snapToGrid w:val="0"/>
        </w:rPr>
      </w:pPr>
      <w:del w:id="4768" w:author="svcMRProcess" w:date="2020-02-20T23:16:00Z">
        <w:r>
          <w:rPr>
            <w:snapToGrid w:val="0"/>
          </w:rPr>
          <w:delText>“</w:delText>
        </w:r>
      </w:del>
    </w:p>
    <w:p>
      <w:pPr>
        <w:pStyle w:val="nzHeading5"/>
        <w:rPr>
          <w:del w:id="4769" w:author="svcMRProcess" w:date="2020-02-20T23:16:00Z"/>
        </w:rPr>
      </w:pPr>
      <w:bookmarkStart w:id="4770" w:name="_Toc102877598"/>
      <w:bookmarkStart w:id="4771" w:name="_Toc115180712"/>
      <w:del w:id="4772" w:author="svcMRProcess" w:date="2020-02-20T23:16:00Z">
        <w:r>
          <w:rPr>
            <w:rStyle w:val="CharSectno"/>
          </w:rPr>
          <w:delText>30</w:delText>
        </w:r>
        <w:r>
          <w:delText>.</w:delText>
        </w:r>
        <w:r>
          <w:tab/>
        </w:r>
        <w:r>
          <w:rPr>
            <w:i/>
          </w:rPr>
          <w:delText xml:space="preserve">Stamp Act 1921 </w:delText>
        </w:r>
        <w:r>
          <w:delText>amended</w:delText>
        </w:r>
        <w:bookmarkEnd w:id="4770"/>
        <w:bookmarkEnd w:id="4771"/>
      </w:del>
    </w:p>
    <w:p>
      <w:pPr>
        <w:pStyle w:val="nzSubsection"/>
        <w:rPr>
          <w:del w:id="4773" w:author="svcMRProcess" w:date="2020-02-20T23:16:00Z"/>
        </w:rPr>
      </w:pPr>
      <w:del w:id="4774" w:author="svcMRProcess" w:date="2020-02-20T23:16:00Z">
        <w:r>
          <w:tab/>
          <w:delText>(1)</w:delText>
        </w:r>
        <w:r>
          <w:tab/>
          <w:delText xml:space="preserve">The amendments in this section are to the </w:delText>
        </w:r>
        <w:r>
          <w:rPr>
            <w:i/>
          </w:rPr>
          <w:delText>Stamp Act 1921</w:delText>
        </w:r>
        <w:r>
          <w:delText>.</w:delText>
        </w:r>
      </w:del>
    </w:p>
    <w:p>
      <w:pPr>
        <w:pStyle w:val="nzSubsection"/>
        <w:rPr>
          <w:del w:id="4775" w:author="svcMRProcess" w:date="2020-02-20T23:16:00Z"/>
        </w:rPr>
      </w:pPr>
      <w:del w:id="4776" w:author="svcMRProcess" w:date="2020-02-20T23:16:00Z">
        <w:r>
          <w:tab/>
          <w:delText>(2)</w:delText>
        </w:r>
        <w:r>
          <w:tab/>
          <w:delText>The Third Schedule is amended by deleting items 3(2) and 7(11).</w:delText>
        </w:r>
      </w:del>
    </w:p>
    <w:p>
      <w:pPr>
        <w:pStyle w:val="MiscClose"/>
        <w:rPr>
          <w:del w:id="4777" w:author="svcMRProcess" w:date="2020-02-20T23:16:00Z"/>
        </w:rPr>
      </w:pPr>
      <w:del w:id="4778" w:author="svcMRProcess" w:date="2020-02-20T23:16:00Z">
        <w:r>
          <w:delText>”.</w:delText>
        </w:r>
      </w:del>
    </w:p>
    <w:p>
      <w:pPr>
        <w:pStyle w:val="nSubsection"/>
        <w:rPr>
          <w:snapToGrid w:val="0"/>
        </w:rPr>
      </w:pPr>
      <w:del w:id="4779" w:author="svcMRProcess" w:date="2020-02-20T23:16:00Z">
        <w:r>
          <w:rPr>
            <w:vertAlign w:val="superscript"/>
          </w:rPr>
          <w:delText>49</w:delText>
        </w:r>
      </w:del>
      <w:ins w:id="4780" w:author="svcMRProcess" w:date="2020-02-20T23:16:00Z">
        <w:r>
          <w:rPr>
            <w:vertAlign w:val="superscript"/>
          </w:rPr>
          <w:t>46</w:t>
        </w:r>
      </w:ins>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4781" w:name="_Toc122241799"/>
      <w:bookmarkStart w:id="4782" w:name="_Toc122331087"/>
      <w:r>
        <w:rPr>
          <w:rStyle w:val="CharSectno"/>
        </w:rPr>
        <w:t>8</w:t>
      </w:r>
      <w:r>
        <w:t>.</w:t>
      </w:r>
      <w:r>
        <w:tab/>
        <w:t>Retrospective effect of certain provisions</w:t>
      </w:r>
      <w:bookmarkEnd w:id="4781"/>
      <w:bookmarkEnd w:id="4782"/>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del w:id="4783" w:author="svcMRProcess" w:date="2020-02-20T23:16:00Z">
        <w:r>
          <w:delText xml:space="preserve"> </w:delText>
        </w:r>
      </w:del>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del w:id="4784" w:author="svcMRProcess" w:date="2020-02-20T23:16:00Z">
        <w:r>
          <w:delText xml:space="preserve"> </w:delText>
        </w:r>
      </w:del>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del w:id="4785" w:author="svcMRProcess" w:date="2020-02-20T23:16:00Z">
        <w:r>
          <w:rPr>
            <w:vertAlign w:val="superscript"/>
          </w:rPr>
          <w:delText>50</w:delText>
        </w:r>
      </w:del>
      <w:ins w:id="4786" w:author="svcMRProcess" w:date="2020-02-20T23:16:00Z">
        <w:r>
          <w:rPr>
            <w:vertAlign w:val="superscript"/>
          </w:rPr>
          <w:t>47</w:t>
        </w:r>
      </w:ins>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rPr>
          <w:del w:id="4787" w:author="svcMRProcess" w:date="2020-02-20T23:16:00Z"/>
        </w:rPr>
      </w:pPr>
      <w:del w:id="4788" w:author="svcMRProcess" w:date="2020-02-20T23:16:00Z">
        <w:r>
          <w:rPr>
            <w:vertAlign w:val="superscript"/>
          </w:rPr>
          <w:delText>51</w:delText>
        </w:r>
        <w:r>
          <w:tab/>
          <w:delText>Footnote no longer applicable.</w:delText>
        </w:r>
      </w:del>
    </w:p>
    <w:p>
      <w:pPr>
        <w:pStyle w:val="nSubsection"/>
        <w:rPr>
          <w:snapToGrid w:val="0"/>
        </w:rPr>
      </w:pPr>
      <w:del w:id="4789" w:author="svcMRProcess" w:date="2020-02-20T23:16:00Z">
        <w:r>
          <w:rPr>
            <w:vertAlign w:val="superscript"/>
          </w:rPr>
          <w:delText>52</w:delText>
        </w:r>
      </w:del>
      <w:ins w:id="4790" w:author="svcMRProcess" w:date="2020-02-20T23:16:00Z">
        <w:r>
          <w:rPr>
            <w:vertAlign w:val="superscript"/>
          </w:rPr>
          <w:t>48</w:t>
        </w:r>
      </w:ins>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4791" w:name="_Toc85339015"/>
      <w:bookmarkStart w:id="4792" w:name="_Toc111349322"/>
      <w:bookmarkStart w:id="4793" w:name="_Toc111430349"/>
      <w:bookmarkStart w:id="4794" w:name="_Toc122240664"/>
      <w:bookmarkStart w:id="4795" w:name="_Toc122341085"/>
      <w:r>
        <w:rPr>
          <w:rStyle w:val="CharSectno"/>
        </w:rPr>
        <w:t>7</w:t>
      </w:r>
      <w:r>
        <w:t>.</w:t>
      </w:r>
      <w:r>
        <w:tab/>
        <w:t>Transitional provisions</w:t>
      </w:r>
      <w:bookmarkEnd w:id="4791"/>
      <w:r>
        <w:t> — offshore risk policies</w:t>
      </w:r>
      <w:bookmarkEnd w:id="4792"/>
      <w:bookmarkEnd w:id="4793"/>
      <w:bookmarkEnd w:id="4794"/>
      <w:bookmarkEnd w:id="4795"/>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del w:id="4796" w:author="svcMRProcess" w:date="2020-02-20T23:16:00Z">
        <w:r>
          <w:delText xml:space="preserve"> </w:delText>
        </w:r>
      </w:del>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w:t>
      </w:r>
      <w:del w:id="4797" w:author="svcMRProcess" w:date="2020-02-20T23:16:00Z">
        <w:r>
          <w:delText xml:space="preserve"> </w:delText>
        </w:r>
      </w:del>
      <w:ins w:id="4798" w:author="svcMRProcess" w:date="2020-02-20T23:16:00Z">
        <w:r>
          <w:t> </w:t>
        </w:r>
      </w:ins>
      <w:r>
        <w:t xml:space="preserve">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del w:id="4799" w:author="svcMRProcess" w:date="2020-02-20T23:16:00Z">
        <w:r>
          <w:delText xml:space="preserve"> </w:delText>
        </w:r>
      </w:del>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ins w:id="4800" w:author="svcMRProcess" w:date="2020-02-20T23:16:00Z"/>
          <w:snapToGrid w:val="0"/>
        </w:rPr>
      </w:pPr>
      <w:ins w:id="4801" w:author="svcMRProcess" w:date="2020-02-20T23:16:00Z">
        <w:r>
          <w:rPr>
            <w:snapToGrid w:val="0"/>
            <w:vertAlign w:val="superscript"/>
          </w:rPr>
          <w:t>49</w:t>
        </w:r>
        <w:r>
          <w:rPr>
            <w:snapToGrid w:val="0"/>
          </w:rPr>
          <w:tab/>
          <w:t xml:space="preserve">On the date as at which this reprint was prepared, the </w:t>
        </w:r>
        <w:r>
          <w:rPr>
            <w:i/>
            <w:snapToGrid w:val="0"/>
          </w:rPr>
          <w:t xml:space="preserve">Housing Societies Repeal Act 2005 </w:t>
        </w:r>
        <w:r>
          <w:rPr>
            <w:snapToGrid w:val="0"/>
          </w:rPr>
          <w:t>s. 30 had not come into operation.  It reads as follows:</w:t>
        </w:r>
      </w:ins>
    </w:p>
    <w:p>
      <w:pPr>
        <w:pStyle w:val="MiscOpen"/>
        <w:rPr>
          <w:ins w:id="4802" w:author="svcMRProcess" w:date="2020-02-20T23:16:00Z"/>
          <w:snapToGrid w:val="0"/>
        </w:rPr>
      </w:pPr>
      <w:ins w:id="4803" w:author="svcMRProcess" w:date="2020-02-20T23:16:00Z">
        <w:r>
          <w:rPr>
            <w:snapToGrid w:val="0"/>
          </w:rPr>
          <w:t>“</w:t>
        </w:r>
      </w:ins>
    </w:p>
    <w:p>
      <w:pPr>
        <w:pStyle w:val="nzHeading5"/>
        <w:rPr>
          <w:ins w:id="4804" w:author="svcMRProcess" w:date="2020-02-20T23:16:00Z"/>
        </w:rPr>
      </w:pPr>
      <w:ins w:id="4805" w:author="svcMRProcess" w:date="2020-02-20T23:16:00Z">
        <w:r>
          <w:rPr>
            <w:rStyle w:val="CharSectno"/>
          </w:rPr>
          <w:t>30</w:t>
        </w:r>
        <w:r>
          <w:t>.</w:t>
        </w:r>
        <w:r>
          <w:tab/>
        </w:r>
        <w:r>
          <w:rPr>
            <w:i/>
          </w:rPr>
          <w:t xml:space="preserve">Stamp Act 1921 </w:t>
        </w:r>
        <w:r>
          <w:t>amended</w:t>
        </w:r>
      </w:ins>
    </w:p>
    <w:p>
      <w:pPr>
        <w:pStyle w:val="nzSubsection"/>
        <w:rPr>
          <w:ins w:id="4806" w:author="svcMRProcess" w:date="2020-02-20T23:16:00Z"/>
        </w:rPr>
      </w:pPr>
      <w:ins w:id="4807" w:author="svcMRProcess" w:date="2020-02-20T23:16:00Z">
        <w:r>
          <w:tab/>
          <w:t>(1)</w:t>
        </w:r>
        <w:r>
          <w:tab/>
          <w:t xml:space="preserve">The amendments in this section are to the </w:t>
        </w:r>
        <w:r>
          <w:rPr>
            <w:i/>
          </w:rPr>
          <w:t>Stamp Act 1921</w:t>
        </w:r>
        <w:r>
          <w:t>.</w:t>
        </w:r>
      </w:ins>
    </w:p>
    <w:p>
      <w:pPr>
        <w:pStyle w:val="nzSubsection"/>
        <w:rPr>
          <w:ins w:id="4808" w:author="svcMRProcess" w:date="2020-02-20T23:16:00Z"/>
        </w:rPr>
      </w:pPr>
      <w:ins w:id="4809" w:author="svcMRProcess" w:date="2020-02-20T23:16:00Z">
        <w:r>
          <w:tab/>
          <w:t>(2)</w:t>
        </w:r>
        <w:r>
          <w:tab/>
          <w:t>The Third Schedule is amended by deleting items 3(2) and 7(11).</w:t>
        </w:r>
      </w:ins>
    </w:p>
    <w:p>
      <w:pPr>
        <w:pStyle w:val="MiscClose"/>
        <w:rPr>
          <w:ins w:id="4810" w:author="svcMRProcess" w:date="2020-02-20T23:16:00Z"/>
        </w:rPr>
      </w:pPr>
      <w:ins w:id="4811" w:author="svcMRProcess" w:date="2020-02-20T23:16:00Z">
        <w:r>
          <w:t>”.</w:t>
        </w:r>
      </w:ins>
    </w:p>
    <w:p/>
    <w:p>
      <w:pPr>
        <w:spacing w:after="40"/>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sectPr>
      <w:headerReference w:type="even" r:id="rId47"/>
      <w:headerReference w:type="default" r:id="rId4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rPr>
              <w:noProof/>
            </w:rPr>
            <w:fldChar w:fldCharType="end"/>
          </w:r>
        </w:p>
      </w:tc>
      <w:tc>
        <w:tcPr>
          <w:tcW w:w="5390" w:type="dxa"/>
        </w:tcPr>
        <w:p>
          <w:pPr>
            <w:pStyle w:val="HeaderTextLeft"/>
          </w:pPr>
          <w:r>
            <w:fldChar w:fldCharType="begin"/>
          </w:r>
          <w:r>
            <w:instrText xml:space="preserve"> styleref CharSchText </w:instrText>
          </w:r>
          <w:r>
            <w:rPr>
              <w:noProof/>
            </w:rPr>
            <w:fldChar w:fldCharType="end"/>
          </w:r>
        </w:p>
      </w:tc>
    </w:tr>
    <w:tr>
      <w:tc>
        <w:tcPr>
          <w:tcW w:w="1873"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13.wmf"/><Relationship Id="rId39" Type="http://schemas.openxmlformats.org/officeDocument/2006/relationships/image" Target="media/image20.wmf"/><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5.xml"/><Relationship Id="rId42" Type="http://schemas.openxmlformats.org/officeDocument/2006/relationships/header" Target="header8.xml"/><Relationship Id="rId47" Type="http://schemas.openxmlformats.org/officeDocument/2006/relationships/header" Target="header1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4.xml"/><Relationship Id="rId38" Type="http://schemas.openxmlformats.org/officeDocument/2006/relationships/footer" Target="footer6.xml"/><Relationship Id="rId46"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16.wmf"/><Relationship Id="rId41"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9.wmf"/><Relationship Id="rId37" Type="http://schemas.openxmlformats.org/officeDocument/2006/relationships/header" Target="header6.xml"/><Relationship Id="rId40" Type="http://schemas.openxmlformats.org/officeDocument/2006/relationships/image" Target="media/image21.wmf"/><Relationship Id="rId45"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wmf"/><Relationship Id="rId28" Type="http://schemas.openxmlformats.org/officeDocument/2006/relationships/image" Target="media/image15.wmf"/><Relationship Id="rId36" Type="http://schemas.openxmlformats.org/officeDocument/2006/relationships/footer" Target="footer5.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image" Target="media/image18.wmf"/><Relationship Id="rId44"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image" Target="media/image14.wmf"/><Relationship Id="rId30" Type="http://schemas.openxmlformats.org/officeDocument/2006/relationships/image" Target="media/image17.wmf"/><Relationship Id="rId35" Type="http://schemas.openxmlformats.org/officeDocument/2006/relationships/footer" Target="footer4.xml"/><Relationship Id="rId43" Type="http://schemas.openxmlformats.org/officeDocument/2006/relationships/header" Target="header9.xml"/><Relationship Id="rId48"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111727</Words>
  <Characters>524003</Characters>
  <Application>Microsoft Office Word</Application>
  <DocSecurity>0</DocSecurity>
  <Lines>14555</Lines>
  <Paragraphs>6986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628744</CharactersWithSpaces>
  <SharedDoc>false</SharedDoc>
  <HLinks>
    <vt:vector size="12" baseType="variant">
      <vt:variant>
        <vt:i4>3014716</vt:i4>
      </vt:variant>
      <vt:variant>
        <vt:i4>43829</vt:i4>
      </vt:variant>
      <vt:variant>
        <vt:i4>1025</vt:i4>
      </vt:variant>
      <vt:variant>
        <vt:i4>1</vt:i4>
      </vt:variant>
      <vt:variant>
        <vt:lpwstr>C:\Program Files\PCO DLL\Support\Crest.wpg</vt:lpwstr>
      </vt:variant>
      <vt:variant>
        <vt:lpwstr/>
      </vt:variant>
      <vt:variant>
        <vt:i4>3014716</vt:i4>
      </vt:variant>
      <vt:variant>
        <vt:i4>-1</vt:i4>
      </vt:variant>
      <vt:variant>
        <vt:i4>1043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15-k0-02 - 16-a0-03</dc:title>
  <dc:subject/>
  <dc:creator/>
  <cp:keywords/>
  <dc:description/>
  <cp:lastModifiedBy>svcMRProcess</cp:lastModifiedBy>
  <cp:revision>2</cp:revision>
  <cp:lastPrinted>2006-05-11T04:59:00Z</cp:lastPrinted>
  <dcterms:created xsi:type="dcterms:W3CDTF">2020-02-20T15:16:00Z</dcterms:created>
  <dcterms:modified xsi:type="dcterms:W3CDTF">2020-02-20T15:16:00Z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20060512</vt:lpwstr>
  </property>
  <property fmtid="{D5CDD505-2E9C-101B-9397-08002B2CF9AE}" pid="4" name="DocumentType">
    <vt:lpwstr>Act</vt:lpwstr>
  </property>
  <property fmtid="{D5CDD505-2E9C-101B-9397-08002B2CF9AE}" pid="5" name="OwlsUID">
    <vt:i4>770</vt:i4>
  </property>
  <property fmtid="{D5CDD505-2E9C-101B-9397-08002B2CF9AE}" pid="6" name="ReprintNo">
    <vt:lpwstr>16</vt:lpwstr>
  </property>
  <property fmtid="{D5CDD505-2E9C-101B-9397-08002B2CF9AE}" pid="7" name="FromSuffix">
    <vt:lpwstr>15-k0-02</vt:lpwstr>
  </property>
  <property fmtid="{D5CDD505-2E9C-101B-9397-08002B2CF9AE}" pid="8" name="FromAsAtDate">
    <vt:lpwstr>09 Apr 2006</vt:lpwstr>
  </property>
  <property fmtid="{D5CDD505-2E9C-101B-9397-08002B2CF9AE}" pid="9" name="ToSuffix">
    <vt:lpwstr>16-a0-03</vt:lpwstr>
  </property>
  <property fmtid="{D5CDD505-2E9C-101B-9397-08002B2CF9AE}" pid="10" name="ToAsAtDate">
    <vt:lpwstr>12 May 2006</vt:lpwstr>
  </property>
</Properties>
</file>