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Apr 2011</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1:40:00Z"/>
        </w:trPr>
        <w:tc>
          <w:tcPr>
            <w:tcW w:w="2434" w:type="dxa"/>
            <w:vMerge w:val="restart"/>
          </w:tcPr>
          <w:p>
            <w:pPr>
              <w:rPr>
                <w:ins w:id="1" w:author="Master Repository Process" w:date="2021-08-01T11:40:00Z"/>
              </w:rPr>
            </w:pPr>
          </w:p>
        </w:tc>
        <w:tc>
          <w:tcPr>
            <w:tcW w:w="2434" w:type="dxa"/>
            <w:vMerge w:val="restart"/>
          </w:tcPr>
          <w:p>
            <w:pPr>
              <w:jc w:val="center"/>
              <w:rPr>
                <w:ins w:id="2" w:author="Master Repository Process" w:date="2021-08-01T11:40:00Z"/>
              </w:rPr>
            </w:pPr>
            <w:ins w:id="3" w:author="Master Repository Process" w:date="2021-08-01T11:40:00Z">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ins>
          </w:p>
        </w:tc>
        <w:tc>
          <w:tcPr>
            <w:tcW w:w="2434" w:type="dxa"/>
          </w:tcPr>
          <w:p>
            <w:pPr>
              <w:rPr>
                <w:ins w:id="4" w:author="Master Repository Process" w:date="2021-08-01T11:40:00Z"/>
              </w:rPr>
            </w:pPr>
            <w:ins w:id="5" w:author="Master Repository Process" w:date="2021-08-01T11:40: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1:40:00Z"/>
        </w:trPr>
        <w:tc>
          <w:tcPr>
            <w:tcW w:w="2434" w:type="dxa"/>
            <w:vMerge/>
          </w:tcPr>
          <w:p>
            <w:pPr>
              <w:rPr>
                <w:ins w:id="7" w:author="Master Repository Process" w:date="2021-08-01T11:40:00Z"/>
              </w:rPr>
            </w:pPr>
          </w:p>
        </w:tc>
        <w:tc>
          <w:tcPr>
            <w:tcW w:w="2434" w:type="dxa"/>
            <w:vMerge/>
          </w:tcPr>
          <w:p>
            <w:pPr>
              <w:jc w:val="center"/>
              <w:rPr>
                <w:ins w:id="8" w:author="Master Repository Process" w:date="2021-08-01T11:40:00Z"/>
              </w:rPr>
            </w:pPr>
          </w:p>
        </w:tc>
        <w:tc>
          <w:tcPr>
            <w:tcW w:w="2434" w:type="dxa"/>
          </w:tcPr>
          <w:p>
            <w:pPr>
              <w:keepNext/>
              <w:rPr>
                <w:ins w:id="9" w:author="Master Repository Process" w:date="2021-08-01T11:40:00Z"/>
                <w:b/>
                <w:sz w:val="22"/>
              </w:rPr>
            </w:pPr>
            <w:ins w:id="10" w:author="Master Repository Process" w:date="2021-08-01T11:40:00Z">
              <w:r>
                <w:rPr>
                  <w:b/>
                  <w:sz w:val="22"/>
                </w:rPr>
                <w:t>at 1</w:t>
              </w:r>
              <w:r>
                <w:rPr>
                  <w:b/>
                  <w:snapToGrid w:val="0"/>
                  <w:sz w:val="22"/>
                </w:rPr>
                <w:t xml:space="preserve"> April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11" w:name="_Toc156291561"/>
      <w:bookmarkStart w:id="12" w:name="_Toc193529490"/>
      <w:bookmarkStart w:id="13" w:name="_Toc196016936"/>
      <w:bookmarkStart w:id="14" w:name="_Toc196016959"/>
      <w:bookmarkStart w:id="15" w:name="_Toc196017178"/>
      <w:bookmarkStart w:id="16" w:name="_Toc197159661"/>
      <w:bookmarkStart w:id="17" w:name="_Toc197161332"/>
      <w:bookmarkStart w:id="18" w:name="_Toc254272906"/>
      <w:bookmarkStart w:id="19" w:name="_Toc271807769"/>
      <w:bookmarkStart w:id="20" w:name="_Toc279141909"/>
      <w:bookmarkStart w:id="21" w:name="_Toc286742339"/>
      <w:bookmarkStart w:id="22" w:name="_Toc289430144"/>
      <w:bookmarkStart w:id="23" w:name="_Toc289676128"/>
      <w:bookmarkStart w:id="24" w:name="_Toc290890529"/>
      <w:bookmarkStart w:id="25" w:name="_Toc290892201"/>
      <w:bookmarkStart w:id="26" w:name="_Toc423332722"/>
      <w:bookmarkStart w:id="27" w:name="_Toc425219441"/>
      <w:bookmarkStart w:id="28" w:name="_Toc426249308"/>
      <w:bookmarkStart w:id="29" w:name="_Toc449924704"/>
      <w:bookmarkStart w:id="30" w:name="_Toc449947722"/>
      <w:bookmarkStart w:id="31" w:name="_Toc454185713"/>
      <w:bookmarkStart w:id="32" w:name="_Toc515958686"/>
      <w:r>
        <w:rPr>
          <w:rStyle w:val="CharPartNo"/>
        </w:rPr>
        <w:t>P</w:t>
      </w:r>
      <w:bookmarkStart w:id="33" w:name="_GoBack"/>
      <w:bookmarkEnd w:id="33"/>
      <w:r>
        <w:rPr>
          <w:rStyle w:val="CharPartNo"/>
        </w:rPr>
        <w:t>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 in Gazette 12 Jan 2007 p. 50.]</w:t>
      </w:r>
    </w:p>
    <w:p>
      <w:pPr>
        <w:pStyle w:val="Heading5"/>
      </w:pPr>
      <w:bookmarkStart w:id="34" w:name="_Toc196017179"/>
      <w:bookmarkStart w:id="35" w:name="_Toc290892202"/>
      <w:bookmarkStart w:id="36" w:name="_Toc279141910"/>
      <w:r>
        <w:rPr>
          <w:rStyle w:val="CharSectno"/>
        </w:rPr>
        <w:t>1</w:t>
      </w:r>
      <w:r>
        <w:t>.</w:t>
      </w:r>
      <w:r>
        <w:tab/>
        <w:t>Citation</w:t>
      </w:r>
      <w:bookmarkEnd w:id="26"/>
      <w:bookmarkEnd w:id="27"/>
      <w:bookmarkEnd w:id="28"/>
      <w:bookmarkEnd w:id="29"/>
      <w:bookmarkEnd w:id="30"/>
      <w:bookmarkEnd w:id="31"/>
      <w:bookmarkEnd w:id="32"/>
      <w:bookmarkEnd w:id="34"/>
      <w:bookmarkEnd w:id="35"/>
      <w:bookmarkEnd w:id="36"/>
    </w:p>
    <w:p>
      <w:pPr>
        <w:pStyle w:val="Subsection"/>
        <w:ind w:right="282"/>
        <w:rPr>
          <w:i/>
        </w:rPr>
      </w:pPr>
      <w:r>
        <w:tab/>
      </w:r>
      <w:r>
        <w:tab/>
      </w:r>
      <w:bookmarkStart w:id="37" w:name="Start_Cursor"/>
      <w:bookmarkEnd w:id="37"/>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38" w:name="_Toc156291563"/>
      <w:bookmarkStart w:id="39" w:name="_Toc193529492"/>
      <w:bookmarkStart w:id="40" w:name="_Toc196016938"/>
      <w:bookmarkStart w:id="41" w:name="_Toc196016961"/>
      <w:bookmarkStart w:id="42" w:name="_Toc196017180"/>
      <w:bookmarkStart w:id="43" w:name="_Toc197159663"/>
      <w:bookmarkStart w:id="44" w:name="_Toc197161334"/>
      <w:bookmarkStart w:id="45" w:name="_Toc254272908"/>
      <w:bookmarkStart w:id="46" w:name="_Toc271807771"/>
      <w:bookmarkStart w:id="47" w:name="_Toc279141911"/>
      <w:bookmarkStart w:id="48" w:name="_Toc286742341"/>
      <w:bookmarkStart w:id="49" w:name="_Toc289430146"/>
      <w:bookmarkStart w:id="50" w:name="_Toc289676130"/>
      <w:bookmarkStart w:id="51" w:name="_Toc290890531"/>
      <w:bookmarkStart w:id="52" w:name="_Toc290892203"/>
      <w:r>
        <w:rPr>
          <w:rStyle w:val="CharPartNo"/>
        </w:rPr>
        <w:lastRenderedPageBreak/>
        <w:t>Part 2</w:t>
      </w:r>
      <w:r>
        <w:t> — </w:t>
      </w:r>
      <w:r>
        <w:rPr>
          <w:rStyle w:val="CharPartText"/>
        </w:rPr>
        <w:t>The State Emergency Management Committee</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12 Jan 2007 p. 50.]</w:t>
      </w:r>
    </w:p>
    <w:p>
      <w:pPr>
        <w:pStyle w:val="Heading5"/>
      </w:pPr>
      <w:bookmarkStart w:id="53" w:name="_Toc196017181"/>
      <w:bookmarkStart w:id="54" w:name="_Toc279141912"/>
      <w:bookmarkStart w:id="55" w:name="_Toc290892204"/>
      <w:r>
        <w:rPr>
          <w:rStyle w:val="CharSectno"/>
        </w:rPr>
        <w:t>2</w:t>
      </w:r>
      <w:r>
        <w:t>.</w:t>
      </w:r>
      <w:r>
        <w:tab/>
      </w:r>
      <w:del w:id="56" w:author="Master Repository Process" w:date="2021-08-01T11:40:00Z">
        <w:r>
          <w:delText xml:space="preserve">Membership of the </w:delText>
        </w:r>
      </w:del>
      <w:r>
        <w:t>SEMC</w:t>
      </w:r>
      <w:bookmarkEnd w:id="53"/>
      <w:bookmarkEnd w:id="54"/>
      <w:ins w:id="57" w:author="Master Repository Process" w:date="2021-08-01T11:40:00Z">
        <w:r>
          <w:t>, other members (Act s. 13(2))</w:t>
        </w:r>
      </w:ins>
      <w:bookmarkEnd w:id="55"/>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ins w:id="58" w:author="Master Repository Process" w:date="2021-08-01T11:40:00Z">
        <w:r>
          <w:t xml:space="preserve"> and</w:t>
        </w:r>
      </w:ins>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59" w:name="_Toc196017182"/>
      <w:bookmarkStart w:id="60" w:name="_Toc290892205"/>
      <w:bookmarkStart w:id="61" w:name="_Toc279141913"/>
      <w:r>
        <w:rPr>
          <w:rStyle w:val="CharSectno"/>
        </w:rPr>
        <w:t>3</w:t>
      </w:r>
      <w:r>
        <w:t>.</w:t>
      </w:r>
      <w:r>
        <w:tab/>
        <w:t>Term of office</w:t>
      </w:r>
      <w:bookmarkEnd w:id="59"/>
      <w:bookmarkEnd w:id="60"/>
      <w:bookmarkEnd w:id="61"/>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62" w:name="_Toc196017183"/>
      <w:bookmarkStart w:id="63" w:name="_Toc290892206"/>
      <w:bookmarkStart w:id="64" w:name="_Toc279141914"/>
      <w:r>
        <w:rPr>
          <w:rStyle w:val="CharSectno"/>
        </w:rPr>
        <w:t>4</w:t>
      </w:r>
      <w:r>
        <w:t>.</w:t>
      </w:r>
      <w:r>
        <w:tab/>
        <w:t>Vacancies</w:t>
      </w:r>
      <w:bookmarkEnd w:id="62"/>
      <w:bookmarkEnd w:id="63"/>
      <w:bookmarkEnd w:id="64"/>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w:t>
      </w:r>
      <w:ins w:id="65" w:author="Master Repository Process" w:date="2021-08-01T11:40:00Z">
        <w:r>
          <w:t xml:space="preserve"> or</w:t>
        </w:r>
      </w:ins>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ins w:id="66" w:author="Master Repository Process" w:date="2021-08-01T11:40:00Z">
        <w:r>
          <w:t xml:space="preserve"> or</w:t>
        </w:r>
      </w:ins>
    </w:p>
    <w:p>
      <w:pPr>
        <w:pStyle w:val="Indenta"/>
      </w:pPr>
      <w:r>
        <w:tab/>
        <w:t>(b)</w:t>
      </w:r>
      <w:r>
        <w:tab/>
        <w:t>has misbehaved;</w:t>
      </w:r>
      <w:ins w:id="67" w:author="Master Repository Process" w:date="2021-08-01T11:40:00Z">
        <w:r>
          <w:t xml:space="preserve"> or</w:t>
        </w:r>
      </w:ins>
    </w:p>
    <w:p>
      <w:pPr>
        <w:pStyle w:val="Indenta"/>
      </w:pPr>
      <w:r>
        <w:tab/>
        <w:t>(c)</w:t>
      </w:r>
      <w:r>
        <w:tab/>
        <w:t>is incompetent;</w:t>
      </w:r>
      <w:ins w:id="68" w:author="Master Repository Process" w:date="2021-08-01T11:40:00Z">
        <w:r>
          <w:t xml:space="preserve"> or</w:t>
        </w:r>
      </w:ins>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69" w:name="_Toc196017184"/>
      <w:bookmarkStart w:id="70" w:name="_Toc290892207"/>
      <w:bookmarkStart w:id="71" w:name="_Toc279141915"/>
      <w:r>
        <w:rPr>
          <w:rStyle w:val="CharSectno"/>
        </w:rPr>
        <w:t>5</w:t>
      </w:r>
      <w:r>
        <w:t>.</w:t>
      </w:r>
      <w:r>
        <w:tab/>
        <w:t>Leave of absence</w:t>
      </w:r>
      <w:bookmarkEnd w:id="69"/>
      <w:bookmarkEnd w:id="70"/>
      <w:bookmarkEnd w:id="71"/>
    </w:p>
    <w:p>
      <w:pPr>
        <w:pStyle w:val="Subsection"/>
      </w:pPr>
      <w:r>
        <w:tab/>
      </w:r>
      <w:r>
        <w:tab/>
        <w:t>The SEMC may grant leave of absence to a member on any terms and conditions it thinks fit.</w:t>
      </w:r>
    </w:p>
    <w:p>
      <w:pPr>
        <w:pStyle w:val="Heading5"/>
      </w:pPr>
      <w:bookmarkStart w:id="72" w:name="_Toc196017185"/>
      <w:bookmarkStart w:id="73" w:name="_Toc290892208"/>
      <w:bookmarkStart w:id="74" w:name="_Toc279141916"/>
      <w:r>
        <w:rPr>
          <w:rStyle w:val="CharSectno"/>
        </w:rPr>
        <w:t>6</w:t>
      </w:r>
      <w:r>
        <w:t>.</w:t>
      </w:r>
      <w:r>
        <w:tab/>
        <w:t>Chairman unable to act</w:t>
      </w:r>
      <w:bookmarkEnd w:id="72"/>
      <w:bookmarkEnd w:id="73"/>
      <w:bookmarkEnd w:id="74"/>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75" w:name="_Toc196017186"/>
      <w:bookmarkStart w:id="76" w:name="_Toc290892209"/>
      <w:bookmarkStart w:id="77" w:name="_Toc279141917"/>
      <w:r>
        <w:rPr>
          <w:rStyle w:val="CharSectno"/>
        </w:rPr>
        <w:t>7</w:t>
      </w:r>
      <w:r>
        <w:t>.</w:t>
      </w:r>
      <w:r>
        <w:tab/>
        <w:t>Deputy members</w:t>
      </w:r>
      <w:bookmarkEnd w:id="75"/>
      <w:bookmarkEnd w:id="76"/>
      <w:bookmarkEnd w:id="7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78" w:name="_Toc196017187"/>
      <w:bookmarkStart w:id="79" w:name="_Toc279141918"/>
      <w:bookmarkStart w:id="80" w:name="_Toc290892210"/>
      <w:r>
        <w:rPr>
          <w:rStyle w:val="CharSectno"/>
        </w:rPr>
        <w:t>8</w:t>
      </w:r>
      <w:r>
        <w:t>.</w:t>
      </w:r>
      <w:r>
        <w:tab/>
        <w:t>Saving</w:t>
      </w:r>
      <w:bookmarkEnd w:id="78"/>
      <w:bookmarkEnd w:id="79"/>
      <w:ins w:id="81" w:author="Master Repository Process" w:date="2021-08-01T11:40:00Z">
        <w:r>
          <w:t xml:space="preserve"> for acts etc. of deputies</w:t>
        </w:r>
      </w:ins>
      <w:bookmarkEnd w:id="80"/>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82" w:name="_Toc279141919"/>
      <w:bookmarkStart w:id="83" w:name="_Toc196017188"/>
      <w:bookmarkStart w:id="84" w:name="_Toc290892211"/>
      <w:r>
        <w:rPr>
          <w:rStyle w:val="CharSectno"/>
        </w:rPr>
        <w:t>9</w:t>
      </w:r>
      <w:r>
        <w:t>.</w:t>
      </w:r>
      <w:r>
        <w:tab/>
        <w:t xml:space="preserve">Calling </w:t>
      </w:r>
      <w:del w:id="85" w:author="Master Repository Process" w:date="2021-08-01T11:40:00Z">
        <w:r>
          <w:delText>of meeting</w:delText>
        </w:r>
      </w:del>
      <w:bookmarkEnd w:id="82"/>
      <w:ins w:id="86" w:author="Master Repository Process" w:date="2021-08-01T11:40:00Z">
        <w:r>
          <w:t>meeting</w:t>
        </w:r>
        <w:bookmarkEnd w:id="83"/>
        <w:r>
          <w:t>s</w:t>
        </w:r>
      </w:ins>
      <w:bookmarkEnd w:id="84"/>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87" w:name="_Toc196017189"/>
      <w:bookmarkStart w:id="88" w:name="_Toc290892212"/>
      <w:bookmarkStart w:id="89" w:name="_Toc279141920"/>
      <w:r>
        <w:rPr>
          <w:rStyle w:val="CharSectno"/>
        </w:rPr>
        <w:t>10</w:t>
      </w:r>
      <w:r>
        <w:t>.</w:t>
      </w:r>
      <w:r>
        <w:tab/>
        <w:t>Quorum</w:t>
      </w:r>
      <w:bookmarkEnd w:id="87"/>
      <w:bookmarkEnd w:id="88"/>
      <w:bookmarkEnd w:id="89"/>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90" w:name="_Toc196017190"/>
      <w:bookmarkStart w:id="91" w:name="_Toc290892213"/>
      <w:bookmarkStart w:id="92" w:name="_Toc279141921"/>
      <w:r>
        <w:rPr>
          <w:rStyle w:val="CharSectno"/>
        </w:rPr>
        <w:t>11</w:t>
      </w:r>
      <w:r>
        <w:t>.</w:t>
      </w:r>
      <w:r>
        <w:tab/>
        <w:t>Minutes</w:t>
      </w:r>
      <w:bookmarkEnd w:id="90"/>
      <w:bookmarkEnd w:id="91"/>
      <w:bookmarkEnd w:id="92"/>
    </w:p>
    <w:p>
      <w:pPr>
        <w:pStyle w:val="Subsection"/>
      </w:pPr>
      <w:r>
        <w:tab/>
      </w:r>
      <w:r>
        <w:tab/>
        <w:t>The SEMC must cause accurate minutes to be kept of the proceedings at its meetings and of each resolution passed by the SEMC.</w:t>
      </w:r>
    </w:p>
    <w:p>
      <w:pPr>
        <w:pStyle w:val="Heading5"/>
      </w:pPr>
      <w:bookmarkStart w:id="93" w:name="_Toc196017191"/>
      <w:bookmarkStart w:id="94" w:name="_Toc279141922"/>
      <w:bookmarkStart w:id="95" w:name="_Toc290892214"/>
      <w:r>
        <w:rPr>
          <w:rStyle w:val="CharSectno"/>
        </w:rPr>
        <w:t>12</w:t>
      </w:r>
      <w:r>
        <w:t>.</w:t>
      </w:r>
      <w:r>
        <w:tab/>
        <w:t xml:space="preserve">Holding meetings </w:t>
      </w:r>
      <w:del w:id="96" w:author="Master Repository Process" w:date="2021-08-01T11:40:00Z">
        <w:r>
          <w:delText>remotely</w:delText>
        </w:r>
      </w:del>
      <w:bookmarkEnd w:id="93"/>
      <w:bookmarkEnd w:id="94"/>
      <w:ins w:id="97" w:author="Master Repository Process" w:date="2021-08-01T11:40:00Z">
        <w:r>
          <w:t>by telephone etc.</w:t>
        </w:r>
      </w:ins>
      <w:bookmarkEnd w:id="95"/>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98" w:name="_Toc196017192"/>
      <w:bookmarkStart w:id="99" w:name="_Toc290892215"/>
      <w:bookmarkStart w:id="100" w:name="_Toc279141923"/>
      <w:r>
        <w:rPr>
          <w:rStyle w:val="CharSectno"/>
        </w:rPr>
        <w:t>13</w:t>
      </w:r>
      <w:r>
        <w:t>.</w:t>
      </w:r>
      <w:r>
        <w:tab/>
        <w:t>Resolution without meeting</w:t>
      </w:r>
      <w:bookmarkEnd w:id="98"/>
      <w:bookmarkEnd w:id="99"/>
      <w:bookmarkEnd w:id="100"/>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101" w:name="_Toc156291576"/>
      <w:bookmarkStart w:id="102" w:name="_Toc193529505"/>
      <w:bookmarkStart w:id="103" w:name="_Toc196016951"/>
      <w:bookmarkStart w:id="104" w:name="_Toc196016974"/>
      <w:bookmarkStart w:id="105" w:name="_Toc196017193"/>
      <w:bookmarkStart w:id="106" w:name="_Toc197159676"/>
      <w:bookmarkStart w:id="107" w:name="_Toc197161347"/>
      <w:bookmarkStart w:id="108" w:name="_Toc254272921"/>
      <w:bookmarkStart w:id="109" w:name="_Toc271807784"/>
      <w:bookmarkStart w:id="110" w:name="_Toc279141924"/>
      <w:bookmarkStart w:id="111" w:name="_Toc286742354"/>
      <w:bookmarkStart w:id="112" w:name="_Toc289430159"/>
      <w:bookmarkStart w:id="113" w:name="_Toc289676143"/>
      <w:bookmarkStart w:id="114" w:name="_Toc290890544"/>
      <w:bookmarkStart w:id="115" w:name="_Toc290892216"/>
      <w:r>
        <w:rPr>
          <w:rStyle w:val="CharPartNo"/>
        </w:rPr>
        <w:t>Part 3</w:t>
      </w:r>
      <w:r>
        <w:rPr>
          <w:b w:val="0"/>
        </w:rPr>
        <w:t> </w:t>
      </w:r>
      <w:r>
        <w:t>—</w:t>
      </w:r>
      <w:r>
        <w:rPr>
          <w:b w:val="0"/>
        </w:rPr>
        <w:t> </w:t>
      </w:r>
      <w:r>
        <w:rPr>
          <w:rStyle w:val="CharPartText"/>
        </w:rPr>
        <w:t>Hazard management</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in Gazette 12 Jan 2007 p. 50.]</w:t>
      </w:r>
    </w:p>
    <w:p>
      <w:pPr>
        <w:pStyle w:val="Heading5"/>
        <w:rPr>
          <w:del w:id="116" w:author="Master Repository Process" w:date="2021-08-01T11:40:00Z"/>
        </w:rPr>
      </w:pPr>
      <w:bookmarkStart w:id="117" w:name="_Toc279141925"/>
      <w:bookmarkStart w:id="118" w:name="_Toc196017194"/>
      <w:bookmarkStart w:id="119" w:name="_Toc290892217"/>
      <w:del w:id="120" w:author="Master Repository Process" w:date="2021-08-01T11:40:00Z">
        <w:r>
          <w:rPr>
            <w:rStyle w:val="CharSectno"/>
          </w:rPr>
          <w:delText>14</w:delText>
        </w:r>
        <w:r>
          <w:delText>.</w:delText>
        </w:r>
        <w:r>
          <w:tab/>
          <w:delText>Meaning of terms in this Part</w:delText>
        </w:r>
        <w:bookmarkEnd w:id="117"/>
      </w:del>
    </w:p>
    <w:p>
      <w:pPr>
        <w:pStyle w:val="Heading5"/>
        <w:rPr>
          <w:ins w:id="121" w:author="Master Repository Process" w:date="2021-08-01T11:40:00Z"/>
        </w:rPr>
      </w:pPr>
      <w:ins w:id="122" w:author="Master Repository Process" w:date="2021-08-01T11:40:00Z">
        <w:r>
          <w:rPr>
            <w:rStyle w:val="CharSectno"/>
          </w:rPr>
          <w:t>14</w:t>
        </w:r>
        <w:r>
          <w:t>.</w:t>
        </w:r>
        <w:r>
          <w:tab/>
        </w:r>
        <w:bookmarkEnd w:id="118"/>
        <w:r>
          <w:t>Terms used</w:t>
        </w:r>
        <w:bookmarkEnd w:id="119"/>
      </w:ins>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rPr>
          <w:b/>
        </w:rPr>
        <w:tab/>
      </w:r>
      <w:r>
        <w:rPr>
          <w:rStyle w:val="CharDefText"/>
        </w:rPr>
        <w:t>preparedness</w:t>
      </w:r>
      <w:r>
        <w:t xml:space="preserve"> has the meaning given in paragraph (b) of the definition of </w:t>
      </w:r>
      <w:del w:id="123" w:author="Master Repository Process" w:date="2021-08-01T11:40:00Z">
        <w:r>
          <w:delText>“</w:delText>
        </w:r>
      </w:del>
      <w:r>
        <w:rPr>
          <w:b/>
          <w:i/>
        </w:rPr>
        <w:t>emergency management</w:t>
      </w:r>
      <w:del w:id="124" w:author="Master Repository Process" w:date="2021-08-01T11:40:00Z">
        <w:r>
          <w:delText>”</w:delText>
        </w:r>
      </w:del>
      <w:r>
        <w:t xml:space="preserve"> in section 3 of the Act;</w:t>
      </w:r>
    </w:p>
    <w:p>
      <w:pPr>
        <w:pStyle w:val="Defstart"/>
      </w:pPr>
      <w:r>
        <w:tab/>
      </w:r>
      <w:r>
        <w:rPr>
          <w:rStyle w:val="CharDefText"/>
          <w:bCs/>
          <w:iCs/>
        </w:rPr>
        <w:t>prevention</w:t>
      </w:r>
      <w:r>
        <w:t xml:space="preserve"> has the meaning given in paragraph (a) of the definition of </w:t>
      </w:r>
      <w:del w:id="125" w:author="Master Repository Process" w:date="2021-08-01T11:40:00Z">
        <w:r>
          <w:delText>“</w:delText>
        </w:r>
      </w:del>
      <w:r>
        <w:rPr>
          <w:b/>
          <w:i/>
        </w:rPr>
        <w:t>emergency management</w:t>
      </w:r>
      <w:del w:id="126" w:author="Master Repository Process" w:date="2021-08-01T11:40:00Z">
        <w:r>
          <w:delText>”</w:delText>
        </w:r>
      </w:del>
      <w:r>
        <w:t xml:space="preserve"> in section 3 of the Act;</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rPr>
          <w:b/>
        </w:rPr>
        <w:tab/>
      </w:r>
      <w:r>
        <w:rPr>
          <w:rStyle w:val="CharDefText"/>
        </w:rPr>
        <w:t>response</w:t>
      </w:r>
      <w:r>
        <w:t xml:space="preserve"> has the meaning given in paragraph (c) of the definition of </w:t>
      </w:r>
      <w:del w:id="127" w:author="Master Repository Process" w:date="2021-08-01T11:40:00Z">
        <w:r>
          <w:delText>“</w:delText>
        </w:r>
      </w:del>
      <w:r>
        <w:rPr>
          <w:b/>
          <w:i/>
        </w:rPr>
        <w:t>emergency management</w:t>
      </w:r>
      <w:del w:id="128" w:author="Master Repository Process" w:date="2021-08-01T11:40:00Z">
        <w:r>
          <w:delText>”</w:delText>
        </w:r>
      </w:del>
      <w:r>
        <w:t xml:space="preserve"> in section 3 of the Act;</w:t>
      </w:r>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 in Gazette 12 Jan 2007 p. 50</w:t>
      </w:r>
      <w:r>
        <w:noBreakHyphen/>
        <w:t>1; amended in Gazette 18 Mar 2008 p. 867; 13 Jan 2009 p. 55</w:t>
      </w:r>
      <w:r>
        <w:noBreakHyphen/>
        <w:t>6; 10 Sep 2010 p. 4345.]</w:t>
      </w:r>
    </w:p>
    <w:p>
      <w:pPr>
        <w:pStyle w:val="Heading5"/>
      </w:pPr>
      <w:bookmarkStart w:id="129" w:name="_Toc196017195"/>
      <w:bookmarkStart w:id="130" w:name="_Toc290892218"/>
      <w:bookmarkStart w:id="131" w:name="_Toc279141926"/>
      <w:r>
        <w:rPr>
          <w:rStyle w:val="CharSectno"/>
        </w:rPr>
        <w:t>15</w:t>
      </w:r>
      <w:r>
        <w:t>.</w:t>
      </w:r>
      <w:r>
        <w:tab/>
        <w:t>Events, situations and conditions prescribed as hazards</w:t>
      </w:r>
      <w:bookmarkEnd w:id="129"/>
      <w:bookmarkEnd w:id="130"/>
      <w:bookmarkEnd w:id="131"/>
    </w:p>
    <w:p>
      <w:pPr>
        <w:pStyle w:val="Subsection"/>
      </w:pPr>
      <w:r>
        <w:tab/>
      </w:r>
      <w:r>
        <w:tab/>
        <w:t xml:space="preserve">In addition to the events prescribed in paragraphs (a) to (e) of the definition of </w:t>
      </w:r>
      <w:del w:id="132" w:author="Master Repository Process" w:date="2021-08-01T11:40:00Z">
        <w:r>
          <w:delText>“</w:delText>
        </w:r>
      </w:del>
      <w:r>
        <w:rPr>
          <w:b/>
          <w:i/>
        </w:rPr>
        <w:t>hazard</w:t>
      </w:r>
      <w:del w:id="133" w:author="Master Repository Process" w:date="2021-08-01T11:40:00Z">
        <w:r>
          <w:delText>”</w:delText>
        </w:r>
      </w:del>
      <w:r>
        <w:rPr>
          <w:b/>
          <w:i/>
        </w:rPr>
        <w:t xml:space="preserve">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Footnotesection"/>
      </w:pPr>
      <w:r>
        <w:tab/>
        <w:t>[Regulation 15 inserted in Gazette 12 Jan 2007 p. 51; amended in Gazette 18 Mar 2008 p. 867; 29 Apr 2008 p. 1577</w:t>
      </w:r>
      <w:del w:id="134" w:author="Master Repository Process" w:date="2021-08-01T11:40:00Z">
        <w:r>
          <w:delText>-</w:delText>
        </w:r>
      </w:del>
      <w:ins w:id="135" w:author="Master Repository Process" w:date="2021-08-01T11:40:00Z">
        <w:r>
          <w:noBreakHyphen/>
        </w:r>
      </w:ins>
      <w:r>
        <w:t>8; 10 Sep 2010 p. 4345; 3 Dec</w:t>
      </w:r>
      <w:del w:id="136" w:author="Master Repository Process" w:date="2021-08-01T11:40:00Z">
        <w:r>
          <w:delText xml:space="preserve"> </w:delText>
        </w:r>
      </w:del>
      <w:ins w:id="137" w:author="Master Repository Process" w:date="2021-08-01T11:40:00Z">
        <w:r>
          <w:t> </w:t>
        </w:r>
      </w:ins>
      <w:r>
        <w:t>2010 p. 6056.]</w:t>
      </w:r>
    </w:p>
    <w:p>
      <w:pPr>
        <w:pStyle w:val="Heading5"/>
        <w:keepLines w:val="0"/>
      </w:pPr>
      <w:bookmarkStart w:id="138" w:name="_Toc196017196"/>
      <w:bookmarkStart w:id="139" w:name="_Toc290892219"/>
      <w:bookmarkStart w:id="140" w:name="_Toc279141927"/>
      <w:r>
        <w:rPr>
          <w:rStyle w:val="CharSectno"/>
        </w:rPr>
        <w:t>16</w:t>
      </w:r>
      <w:r>
        <w:t>.</w:t>
      </w:r>
      <w:r>
        <w:tab/>
        <w:t>Hazard management agency — Commissioner of Police</w:t>
      </w:r>
      <w:bookmarkEnd w:id="138"/>
      <w:bookmarkEnd w:id="139"/>
      <w:bookmarkEnd w:id="140"/>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The Commissioner of Police is the hazard management agency for the hazards set out in subregulation (1)(a) to (f) —</w:t>
      </w:r>
    </w:p>
    <w:p>
      <w:pPr>
        <w:pStyle w:val="Indenta"/>
      </w:pPr>
      <w:r>
        <w:tab/>
        <w:t>(a)</w:t>
      </w:r>
      <w:r>
        <w:tab/>
        <w:t>for the aspects of preparedness and response; and</w:t>
      </w:r>
    </w:p>
    <w:p>
      <w:pPr>
        <w:pStyle w:val="Indenta"/>
      </w:pPr>
      <w:r>
        <w:tab/>
        <w:t>(b)</w:t>
      </w:r>
      <w:r>
        <w:tab/>
        <w:t>for the whole of the State.</w:t>
      </w:r>
    </w:p>
    <w:p>
      <w:pPr>
        <w:pStyle w:val="Subsection"/>
      </w:pPr>
      <w:r>
        <w:tab/>
        <w:t>(3)</w:t>
      </w:r>
      <w:r>
        <w:tab/>
        <w:t xml:space="preserve">The Commissioner of Police is the hazard management agency for the hazards set out in subregulation (1)(g) — </w:t>
      </w:r>
    </w:p>
    <w:p>
      <w:pPr>
        <w:pStyle w:val="Indenta"/>
      </w:pPr>
      <w:r>
        <w:tab/>
        <w:t>(a)</w:t>
      </w:r>
      <w:r>
        <w:tab/>
        <w:t>for the aspects of preparedness, prevention and response; and</w:t>
      </w:r>
    </w:p>
    <w:p>
      <w:pPr>
        <w:pStyle w:val="Indenta"/>
      </w:pPr>
      <w:r>
        <w:tab/>
        <w:t>(b)</w:t>
      </w:r>
      <w:r>
        <w:tab/>
        <w:t>for the whole of the State.</w:t>
      </w:r>
    </w:p>
    <w:p>
      <w:pPr>
        <w:pStyle w:val="Footnotesection"/>
      </w:pPr>
      <w:r>
        <w:tab/>
        <w:t>[Regulation 16 inserted in Gazette 12 Jan 2007 p. 51</w:t>
      </w:r>
      <w:r>
        <w:noBreakHyphen/>
        <w:t>2; amended in Gazette 13 Jan 2009 p. 56.]</w:t>
      </w:r>
    </w:p>
    <w:p>
      <w:pPr>
        <w:pStyle w:val="Heading5"/>
      </w:pPr>
      <w:bookmarkStart w:id="141" w:name="_Toc196017197"/>
      <w:bookmarkStart w:id="142" w:name="_Toc290892220"/>
      <w:bookmarkStart w:id="143" w:name="_Toc279141928"/>
      <w:r>
        <w:rPr>
          <w:rStyle w:val="CharSectno"/>
        </w:rPr>
        <w:t>17</w:t>
      </w:r>
      <w:r>
        <w:t>.</w:t>
      </w:r>
      <w:r>
        <w:tab/>
        <w:t>Hazard management agency — FESA</w:t>
      </w:r>
      <w:bookmarkEnd w:id="141"/>
      <w:bookmarkEnd w:id="142"/>
      <w:bookmarkEnd w:id="143"/>
    </w:p>
    <w:p>
      <w:pPr>
        <w:pStyle w:val="Subsection"/>
        <w:keepNext/>
        <w:keepLines/>
      </w:pPr>
      <w:r>
        <w:tab/>
        <w:t>(1)</w:t>
      </w:r>
      <w:r>
        <w:tab/>
        <w:t xml:space="preserve">In this regulation — </w:t>
      </w:r>
    </w:p>
    <w:p>
      <w:pPr>
        <w:pStyle w:val="Defstart"/>
      </w:pPr>
      <w:r>
        <w:rPr>
          <w:b/>
        </w:rPr>
        <w:tab/>
      </w:r>
      <w:r>
        <w:rPr>
          <w:rStyle w:val="CharDefText"/>
        </w:rPr>
        <w:t>FESA</w:t>
      </w:r>
      <w:r>
        <w:t xml:space="preserve"> means the Fire and Emergency Services Authority of Western Australia established by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Subsection"/>
      </w:pPr>
      <w:r>
        <w:tab/>
        <w:t>(4)</w:t>
      </w:r>
      <w:r>
        <w:tab/>
        <w:t xml:space="preserve">FESA is the hazard management agency for the hazard of fire — </w:t>
      </w:r>
    </w:p>
    <w:p>
      <w:pPr>
        <w:pStyle w:val="Indenta"/>
      </w:pPr>
      <w:r>
        <w:tab/>
        <w:t>(a)</w:t>
      </w:r>
      <w:r>
        <w:tab/>
        <w:t>for the emergency management aspect of response; and</w:t>
      </w:r>
    </w:p>
    <w:p>
      <w:pPr>
        <w:pStyle w:val="Indenta"/>
      </w:pPr>
      <w:r>
        <w:tab/>
        <w:t>(b)</w:t>
      </w:r>
      <w:r>
        <w:tab/>
        <w:t>for the whole of the State.</w:t>
      </w:r>
    </w:p>
    <w:p>
      <w:pPr>
        <w:pStyle w:val="Footnotesection"/>
      </w:pPr>
      <w:r>
        <w:tab/>
        <w:t>[Regulation 17 inserted in Gazette 12 Jan 2007 p. 52; amended in Gazette 3 Dec</w:t>
      </w:r>
      <w:del w:id="144" w:author="Master Repository Process" w:date="2021-08-01T11:40:00Z">
        <w:r>
          <w:delText xml:space="preserve"> </w:delText>
        </w:r>
      </w:del>
      <w:ins w:id="145" w:author="Master Repository Process" w:date="2021-08-01T11:40:00Z">
        <w:r>
          <w:t> </w:t>
        </w:r>
      </w:ins>
      <w:r>
        <w:t>2010 p. 6057.]</w:t>
      </w:r>
    </w:p>
    <w:p>
      <w:pPr>
        <w:pStyle w:val="Heading5"/>
      </w:pPr>
      <w:bookmarkStart w:id="146" w:name="_Toc196017198"/>
      <w:bookmarkStart w:id="147" w:name="_Toc290892221"/>
      <w:bookmarkStart w:id="148" w:name="_Toc279141929"/>
      <w:r>
        <w:rPr>
          <w:rStyle w:val="CharSectno"/>
        </w:rPr>
        <w:t>18</w:t>
      </w:r>
      <w:r>
        <w:t>.</w:t>
      </w:r>
      <w:r>
        <w:tab/>
        <w:t>Hazard management agency —</w:t>
      </w:r>
      <w:ins w:id="149" w:author="Master Repository Process" w:date="2021-08-01T11:40:00Z">
        <w:r>
          <w:t> </w:t>
        </w:r>
      </w:ins>
      <w:r>
        <w:t>State Human Epidemic Controller</w:t>
      </w:r>
      <w:bookmarkEnd w:id="146"/>
      <w:bookmarkEnd w:id="147"/>
      <w:bookmarkEnd w:id="148"/>
    </w:p>
    <w:p>
      <w:pPr>
        <w:pStyle w:val="Subsection"/>
      </w:pPr>
      <w:r>
        <w:tab/>
      </w:r>
      <w:r>
        <w:tab/>
        <w:t xml:space="preserve">The State Human Epidemic Controller, Department of Health, is the hazard management agency of the hazard of human epidemic — </w:t>
      </w:r>
    </w:p>
    <w:p>
      <w:pPr>
        <w:pStyle w:val="Indenta"/>
      </w:pPr>
      <w:r>
        <w:tab/>
        <w:t>(a)</w:t>
      </w:r>
      <w:r>
        <w:tab/>
        <w:t>for the emergency management aspects of preparedness, prevention and response; and</w:t>
      </w:r>
    </w:p>
    <w:p>
      <w:pPr>
        <w:pStyle w:val="Indenta"/>
      </w:pPr>
      <w:r>
        <w:tab/>
        <w:t>(b)</w:t>
      </w:r>
      <w:r>
        <w:tab/>
        <w:t>for the whole of the State.</w:t>
      </w:r>
    </w:p>
    <w:p>
      <w:pPr>
        <w:pStyle w:val="Footnotesection"/>
      </w:pPr>
      <w:r>
        <w:tab/>
        <w:t>[Regulation 18 inserted in Gazette 18 Mar 2008 p. 867; amended in Gazette 13 Jan</w:t>
      </w:r>
      <w:del w:id="150" w:author="Master Repository Process" w:date="2021-08-01T11:40:00Z">
        <w:r>
          <w:delText xml:space="preserve"> </w:delText>
        </w:r>
      </w:del>
      <w:ins w:id="151" w:author="Master Repository Process" w:date="2021-08-01T11:40:00Z">
        <w:r>
          <w:t> </w:t>
        </w:r>
      </w:ins>
      <w:r>
        <w:t>2009 p. 56.]</w:t>
      </w:r>
    </w:p>
    <w:p>
      <w:pPr>
        <w:pStyle w:val="Heading5"/>
      </w:pPr>
      <w:bookmarkStart w:id="152" w:name="_Toc290892222"/>
      <w:bookmarkStart w:id="153" w:name="_Toc279141930"/>
      <w:r>
        <w:rPr>
          <w:rStyle w:val="CharSectno"/>
        </w:rPr>
        <w:t>19</w:t>
      </w:r>
      <w:r>
        <w:t>.</w:t>
      </w:r>
      <w:r>
        <w:tab/>
        <w:t>Hazard management agency — Agriculture Director General</w:t>
      </w:r>
      <w:bookmarkEnd w:id="152"/>
      <w:bookmarkEnd w:id="153"/>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w:t>
      </w:r>
      <w:del w:id="154" w:author="Master Repository Process" w:date="2021-08-01T11:40:00Z">
        <w:r>
          <w:rPr>
            <w:i/>
            <w:iCs/>
          </w:rPr>
          <w:delText xml:space="preserve"> </w:delText>
        </w:r>
      </w:del>
      <w:ins w:id="155" w:author="Master Repository Process" w:date="2021-08-01T11:40:00Z">
        <w:r>
          <w:rPr>
            <w:i/>
            <w:iCs/>
          </w:rPr>
          <w:t> </w:t>
        </w:r>
      </w:ins>
      <w:r>
        <w:rPr>
          <w:i/>
          <w:iCs/>
        </w:rPr>
        <w:t>2007</w:t>
      </w:r>
      <w:r>
        <w:t xml:space="preserve"> section</w:t>
      </w:r>
      <w:del w:id="156" w:author="Master Repository Process" w:date="2021-08-01T11:40:00Z">
        <w:r>
          <w:delText xml:space="preserve"> </w:delText>
        </w:r>
      </w:del>
      <w:ins w:id="157" w:author="Master Repository Process" w:date="2021-08-01T11:40:00Z">
        <w:r>
          <w:t> </w:t>
        </w:r>
      </w:ins>
      <w:r>
        <w:t>6.</w:t>
      </w:r>
    </w:p>
    <w:p>
      <w:pPr>
        <w:pStyle w:val="Subsection"/>
      </w:pPr>
      <w:r>
        <w:tab/>
        <w:t>(2)</w:t>
      </w:r>
      <w:r>
        <w:tab/>
        <w:t>The Agriculture Director General is the hazard management agency of the hazard set out in regulation</w:t>
      </w:r>
      <w:del w:id="158" w:author="Master Repository Process" w:date="2021-08-01T11:40:00Z">
        <w:r>
          <w:delText xml:space="preserve"> </w:delText>
        </w:r>
      </w:del>
      <w:ins w:id="159" w:author="Master Repository Process" w:date="2021-08-01T11:40:00Z">
        <w:r>
          <w:t> </w:t>
        </w:r>
      </w:ins>
      <w:r>
        <w:t xml:space="preserve">15(h)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w:t>
      </w:r>
      <w:del w:id="160" w:author="Master Repository Process" w:date="2021-08-01T11:40:00Z">
        <w:r>
          <w:delText xml:space="preserve"> </w:delText>
        </w:r>
      </w:del>
      <w:ins w:id="161" w:author="Master Repository Process" w:date="2021-08-01T11:40:00Z">
        <w:r>
          <w:t> </w:t>
        </w:r>
      </w:ins>
      <w:r>
        <w:t>19 inserted in Gazette 29 Apr 2008 p. 1578.]</w:t>
      </w:r>
    </w:p>
    <w:p>
      <w:pPr>
        <w:pStyle w:val="Heading5"/>
      </w:pPr>
      <w:bookmarkStart w:id="162" w:name="_Toc290892223"/>
      <w:bookmarkStart w:id="163" w:name="_Toc279141931"/>
      <w:r>
        <w:rPr>
          <w:rStyle w:val="CharSectno"/>
        </w:rPr>
        <w:t>20</w:t>
      </w:r>
      <w:r>
        <w:t>.</w:t>
      </w:r>
      <w:r>
        <w:tab/>
        <w:t>Hazard management agency — Public Transport Authority</w:t>
      </w:r>
      <w:bookmarkEnd w:id="162"/>
      <w:bookmarkEnd w:id="163"/>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w:t>
      </w:r>
      <w:del w:id="164" w:author="Master Repository Process" w:date="2021-08-01T11:40:00Z">
        <w:r>
          <w:delText xml:space="preserve"> </w:delText>
        </w:r>
      </w:del>
      <w:ins w:id="165" w:author="Master Repository Process" w:date="2021-08-01T11:40:00Z">
        <w:r>
          <w:t> </w:t>
        </w:r>
      </w:ins>
      <w:r>
        <w:t>20 inserted in Gazette 13 Jan 2009 p. 56</w:t>
      </w:r>
      <w:r>
        <w:noBreakHyphen/>
        <w:t>7.]</w:t>
      </w:r>
    </w:p>
    <w:p>
      <w:pPr>
        <w:pStyle w:val="Heading5"/>
      </w:pPr>
      <w:bookmarkStart w:id="166" w:name="_Toc279141932"/>
      <w:bookmarkStart w:id="167" w:name="_Toc290892224"/>
      <w:r>
        <w:rPr>
          <w:rStyle w:val="CharSectno"/>
        </w:rPr>
        <w:t>21</w:t>
      </w:r>
      <w:r>
        <w:t>.</w:t>
      </w:r>
      <w:r>
        <w:tab/>
        <w:t xml:space="preserve">Hazard management agency — WestNet Rail Pty </w:t>
      </w:r>
      <w:del w:id="168" w:author="Master Repository Process" w:date="2021-08-01T11:40:00Z">
        <w:r>
          <w:delText>Limited</w:delText>
        </w:r>
      </w:del>
      <w:bookmarkEnd w:id="166"/>
      <w:ins w:id="169" w:author="Master Repository Process" w:date="2021-08-01T11:40:00Z">
        <w:r>
          <w:t>Ltd</w:t>
        </w:r>
      </w:ins>
      <w:bookmarkEnd w:id="167"/>
    </w:p>
    <w:p>
      <w:pPr>
        <w:pStyle w:val="Subsection"/>
      </w:pPr>
      <w:r>
        <w:tab/>
      </w:r>
      <w:r>
        <w:tab/>
        <w:t>WestNet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WestNet Rail Pty Limited is situated.</w:t>
      </w:r>
    </w:p>
    <w:p>
      <w:pPr>
        <w:pStyle w:val="Footnotesection"/>
      </w:pPr>
      <w:r>
        <w:tab/>
        <w:t>[Regulation</w:t>
      </w:r>
      <w:del w:id="170" w:author="Master Repository Process" w:date="2021-08-01T11:40:00Z">
        <w:r>
          <w:delText xml:space="preserve"> </w:delText>
        </w:r>
      </w:del>
      <w:ins w:id="171" w:author="Master Repository Process" w:date="2021-08-01T11:40:00Z">
        <w:r>
          <w:t> </w:t>
        </w:r>
      </w:ins>
      <w:r>
        <w:t>21 inserted in Gazette 13 Jan 2009 p. 57.]</w:t>
      </w:r>
    </w:p>
    <w:p>
      <w:pPr>
        <w:pStyle w:val="Heading5"/>
      </w:pPr>
      <w:bookmarkStart w:id="172" w:name="_Toc290892225"/>
      <w:bookmarkStart w:id="173" w:name="_Toc279141933"/>
      <w:r>
        <w:rPr>
          <w:rStyle w:val="CharSectno"/>
        </w:rPr>
        <w:t>22</w:t>
      </w:r>
      <w:r>
        <w:t>.</w:t>
      </w:r>
      <w:r>
        <w:tab/>
        <w:t>Hazard management agency — State Health Coordinator</w:t>
      </w:r>
      <w:bookmarkEnd w:id="172"/>
      <w:bookmarkEnd w:id="173"/>
    </w:p>
    <w:p>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pPr>
        <w:pStyle w:val="Indenta"/>
      </w:pPr>
      <w:r>
        <w:tab/>
        <w:t>(a)</w:t>
      </w:r>
      <w:r>
        <w:tab/>
        <w:t>for the emergency management aspects of prevention, preparedness and response; and</w:t>
      </w:r>
    </w:p>
    <w:p>
      <w:pPr>
        <w:pStyle w:val="Indenta"/>
      </w:pPr>
      <w:r>
        <w:tab/>
        <w:t>(b)</w:t>
      </w:r>
      <w:r>
        <w:tab/>
        <w:t>for the whole of the State.</w:t>
      </w:r>
    </w:p>
    <w:p>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pPr>
        <w:pStyle w:val="Indenta"/>
      </w:pPr>
      <w:r>
        <w:tab/>
        <w:t>(a)</w:t>
      </w:r>
      <w:r>
        <w:tab/>
        <w:t>for the emergency management aspect of prevention; and</w:t>
      </w:r>
    </w:p>
    <w:p>
      <w:pPr>
        <w:pStyle w:val="Indenta"/>
        <w:keepNext/>
      </w:pPr>
      <w:r>
        <w:tab/>
        <w:t>(b)</w:t>
      </w:r>
      <w:r>
        <w:tab/>
        <w:t>for the whole of the State.</w:t>
      </w:r>
    </w:p>
    <w:p>
      <w:pPr>
        <w:pStyle w:val="Footnotesection"/>
      </w:pPr>
      <w:r>
        <w:tab/>
        <w:t>[Regulation</w:t>
      </w:r>
      <w:del w:id="174" w:author="Master Repository Process" w:date="2021-08-01T11:40:00Z">
        <w:r>
          <w:delText xml:space="preserve"> </w:delText>
        </w:r>
      </w:del>
      <w:ins w:id="175" w:author="Master Repository Process" w:date="2021-08-01T11:40:00Z">
        <w:r>
          <w:t> </w:t>
        </w:r>
      </w:ins>
      <w:r>
        <w:t>22 inserted in Gazette 13 Jan 2009 p. 57.]</w:t>
      </w:r>
    </w:p>
    <w:p>
      <w:pPr>
        <w:pStyle w:val="Heading5"/>
      </w:pPr>
      <w:bookmarkStart w:id="176" w:name="_Toc290892226"/>
      <w:bookmarkStart w:id="177" w:name="_Toc279141934"/>
      <w:bookmarkStart w:id="178" w:name="_Toc254272931"/>
      <w:r>
        <w:rPr>
          <w:rStyle w:val="CharSectno"/>
        </w:rPr>
        <w:t>23A</w:t>
      </w:r>
      <w:r>
        <w:t>.</w:t>
      </w:r>
      <w:r>
        <w:tab/>
        <w:t>Hazard management agency — Marine Safety, General Manager</w:t>
      </w:r>
      <w:bookmarkEnd w:id="176"/>
      <w:bookmarkEnd w:id="177"/>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17(3), the Marine Safety, General Manager, Department of Transport is the hazard management agency of the hazard set out in regulation 15(j)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w:t>
      </w:r>
      <w:del w:id="179" w:author="Master Repository Process" w:date="2021-08-01T11:40:00Z">
        <w:r>
          <w:delText xml:space="preserve"> </w:delText>
        </w:r>
      </w:del>
      <w:ins w:id="180" w:author="Master Repository Process" w:date="2021-08-01T11:40:00Z">
        <w:r>
          <w:t> </w:t>
        </w:r>
      </w:ins>
      <w:r>
        <w:t>23A inserted in Gazette 10 Sep 2010 p. 4345</w:t>
      </w:r>
      <w:del w:id="181" w:author="Master Repository Process" w:date="2021-08-01T11:40:00Z">
        <w:r>
          <w:delText>-</w:delText>
        </w:r>
      </w:del>
      <w:ins w:id="182" w:author="Master Repository Process" w:date="2021-08-01T11:40:00Z">
        <w:r>
          <w:noBreakHyphen/>
        </w:r>
      </w:ins>
      <w:r>
        <w:t>6.]</w:t>
      </w:r>
    </w:p>
    <w:p>
      <w:pPr>
        <w:pStyle w:val="Heading5"/>
      </w:pPr>
      <w:bookmarkStart w:id="183" w:name="_Toc290892227"/>
      <w:bookmarkStart w:id="184" w:name="_Toc279141935"/>
      <w:bookmarkStart w:id="185" w:name="_Toc271807795"/>
      <w:r>
        <w:rPr>
          <w:rStyle w:val="CharSectno"/>
        </w:rPr>
        <w:t>23B</w:t>
      </w:r>
      <w:r>
        <w:t>.</w:t>
      </w:r>
      <w:r>
        <w:tab/>
        <w:t>Hazard management agency — Coordinator of Energy</w:t>
      </w:r>
      <w:bookmarkEnd w:id="183"/>
      <w:bookmarkEnd w:id="184"/>
    </w:p>
    <w:p>
      <w:pPr>
        <w:pStyle w:val="Subsection"/>
      </w:pPr>
      <w:r>
        <w:tab/>
      </w:r>
      <w:r>
        <w:tab/>
        <w:t xml:space="preserve">The Coordinator as defined in the </w:t>
      </w:r>
      <w:r>
        <w:rPr>
          <w:i/>
        </w:rPr>
        <w:t>Energy Coordination Act 1994</w:t>
      </w:r>
      <w:r>
        <w:t xml:space="preserve"> section 3(1) is the hazard management agency of the hazards set out in regulation 15(k) — </w:t>
      </w:r>
    </w:p>
    <w:p>
      <w:pPr>
        <w:pStyle w:val="Indenta"/>
      </w:pPr>
      <w:r>
        <w:tab/>
        <w:t>(a)</w:t>
      </w:r>
      <w:r>
        <w:tab/>
        <w:t>for the aspects of preparedness and response; and</w:t>
      </w:r>
    </w:p>
    <w:p>
      <w:pPr>
        <w:pStyle w:val="Indenta"/>
      </w:pPr>
      <w:r>
        <w:tab/>
        <w:t>(b)</w:t>
      </w:r>
      <w:r>
        <w:tab/>
        <w:t>for the whole State.</w:t>
      </w:r>
    </w:p>
    <w:p>
      <w:pPr>
        <w:pStyle w:val="Footnotesection"/>
      </w:pPr>
      <w:r>
        <w:tab/>
        <w:t>[Regulation 23B inserted in Gazette 3</w:t>
      </w:r>
      <w:del w:id="186" w:author="Master Repository Process" w:date="2021-08-01T11:40:00Z">
        <w:r>
          <w:delText xml:space="preserve"> </w:delText>
        </w:r>
      </w:del>
      <w:ins w:id="187" w:author="Master Repository Process" w:date="2021-08-01T11:40:00Z">
        <w:r>
          <w:t> </w:t>
        </w:r>
      </w:ins>
      <w:r>
        <w:t>Dec</w:t>
      </w:r>
      <w:del w:id="188" w:author="Master Repository Process" w:date="2021-08-01T11:40:00Z">
        <w:r>
          <w:delText xml:space="preserve"> </w:delText>
        </w:r>
      </w:del>
      <w:ins w:id="189" w:author="Master Repository Process" w:date="2021-08-01T11:40:00Z">
        <w:r>
          <w:t> </w:t>
        </w:r>
      </w:ins>
      <w:r>
        <w:t>2010 p. 6056.]</w:t>
      </w:r>
    </w:p>
    <w:p>
      <w:pPr>
        <w:pStyle w:val="Heading2"/>
      </w:pPr>
      <w:bookmarkStart w:id="190" w:name="_Toc279141936"/>
      <w:bookmarkStart w:id="191" w:name="_Toc286742366"/>
      <w:bookmarkStart w:id="192" w:name="_Toc289430171"/>
      <w:bookmarkStart w:id="193" w:name="_Toc289676155"/>
      <w:bookmarkStart w:id="194" w:name="_Toc290890556"/>
      <w:bookmarkStart w:id="195" w:name="_Toc290892228"/>
      <w:r>
        <w:rPr>
          <w:rStyle w:val="CharPartNo"/>
        </w:rPr>
        <w:t>Part 4</w:t>
      </w:r>
      <w:r>
        <w:rPr>
          <w:b w:val="0"/>
        </w:rPr>
        <w:t> </w:t>
      </w:r>
      <w:r>
        <w:t>—</w:t>
      </w:r>
      <w:r>
        <w:rPr>
          <w:b w:val="0"/>
        </w:rPr>
        <w:t> </w:t>
      </w:r>
      <w:r>
        <w:rPr>
          <w:rStyle w:val="CharPartText"/>
        </w:rPr>
        <w:t>Exchange of information</w:t>
      </w:r>
      <w:bookmarkEnd w:id="178"/>
      <w:bookmarkEnd w:id="185"/>
      <w:bookmarkEnd w:id="190"/>
      <w:bookmarkEnd w:id="191"/>
      <w:bookmarkEnd w:id="192"/>
      <w:bookmarkEnd w:id="193"/>
      <w:bookmarkEnd w:id="194"/>
      <w:bookmarkEnd w:id="195"/>
    </w:p>
    <w:p>
      <w:pPr>
        <w:pStyle w:val="Footnoteheading"/>
      </w:pPr>
      <w:r>
        <w:tab/>
        <w:t>[Heading inserted in Gazette 19 Feb 2010 p. 661.]</w:t>
      </w:r>
    </w:p>
    <w:p>
      <w:pPr>
        <w:pStyle w:val="Heading5"/>
      </w:pPr>
      <w:bookmarkStart w:id="196" w:name="_Toc279141937"/>
      <w:bookmarkStart w:id="197" w:name="_Toc290892229"/>
      <w:r>
        <w:rPr>
          <w:rStyle w:val="CharSectno"/>
        </w:rPr>
        <w:t>23</w:t>
      </w:r>
      <w:r>
        <w:t>.</w:t>
      </w:r>
      <w:r>
        <w:tab/>
        <w:t>Prescribed relevant information</w:t>
      </w:r>
      <w:bookmarkEnd w:id="196"/>
      <w:ins w:id="198" w:author="Master Repository Process" w:date="2021-08-01T11:40:00Z">
        <w:r>
          <w:t xml:space="preserve"> (Act s. 72)</w:t>
        </w:r>
      </w:ins>
      <w:bookmarkEnd w:id="197"/>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w:t>
      </w:r>
      <w:del w:id="199" w:author="Master Repository Process" w:date="2021-08-01T11:40:00Z">
        <w:r>
          <w:delText xml:space="preserve"> </w:delText>
        </w:r>
      </w:del>
      <w:ins w:id="200" w:author="Master Repository Process" w:date="2021-08-01T11:40:00Z">
        <w:r>
          <w:t> </w:t>
        </w:r>
      </w:ins>
      <w:r>
        <w:t>23 inserted in Gazette 19 Feb 2010 p. 661</w:t>
      </w:r>
      <w:del w:id="201" w:author="Master Repository Process" w:date="2021-08-01T11:40:00Z">
        <w:r>
          <w:delText>-</w:delText>
        </w:r>
      </w:del>
      <w:ins w:id="202" w:author="Master Repository Process" w:date="2021-08-01T11:40:00Z">
        <w:r>
          <w:noBreakHyphen/>
        </w:r>
      </w:ins>
      <w:r>
        <w:t>2.]</w:t>
      </w:r>
    </w:p>
    <w:p>
      <w:pPr>
        <w:pStyle w:val="Heading5"/>
      </w:pPr>
      <w:bookmarkStart w:id="203" w:name="_Toc279141938"/>
      <w:bookmarkStart w:id="204" w:name="_Toc290892230"/>
      <w:r>
        <w:rPr>
          <w:rStyle w:val="CharSectno"/>
        </w:rPr>
        <w:t>24</w:t>
      </w:r>
      <w:r>
        <w:t>.</w:t>
      </w:r>
      <w:r>
        <w:tab/>
        <w:t>Disclosure of relevant information</w:t>
      </w:r>
      <w:bookmarkEnd w:id="203"/>
      <w:ins w:id="205" w:author="Master Repository Process" w:date="2021-08-01T11:40:00Z">
        <w:r>
          <w:t xml:space="preserve"> (Act s. 72(2))</w:t>
        </w:r>
      </w:ins>
      <w:bookmarkEnd w:id="204"/>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w:t>
      </w:r>
      <w:del w:id="206" w:author="Master Repository Process" w:date="2021-08-01T11:40:00Z">
        <w:r>
          <w:delText xml:space="preserve"> </w:delText>
        </w:r>
      </w:del>
      <w:ins w:id="207" w:author="Master Repository Process" w:date="2021-08-01T11:40:00Z">
        <w:r>
          <w:t> </w:t>
        </w:r>
      </w:ins>
      <w:r>
        <w:t>24 inserted in Gazette 19 Feb 2010 p. 662.]</w:t>
      </w:r>
    </w:p>
    <w:p>
      <w:pPr>
        <w:pStyle w:val="Heading5"/>
      </w:pPr>
      <w:bookmarkStart w:id="208" w:name="_Toc279141939"/>
      <w:bookmarkStart w:id="209" w:name="_Toc290892231"/>
      <w:r>
        <w:rPr>
          <w:rStyle w:val="CharSectno"/>
        </w:rPr>
        <w:t>25</w:t>
      </w:r>
      <w:r>
        <w:t>.</w:t>
      </w:r>
      <w:r>
        <w:tab/>
        <w:t xml:space="preserve">Storing </w:t>
      </w:r>
      <w:ins w:id="210" w:author="Master Repository Process" w:date="2021-08-01T11:40:00Z">
        <w:r>
          <w:t xml:space="preserve">disclosed </w:t>
        </w:r>
      </w:ins>
      <w:r>
        <w:t>relevant information</w:t>
      </w:r>
      <w:bookmarkEnd w:id="208"/>
      <w:ins w:id="211" w:author="Master Repository Process" w:date="2021-08-01T11:40:00Z">
        <w:r>
          <w:t xml:space="preserve"> (Act s. 72(2))</w:t>
        </w:r>
      </w:ins>
      <w:bookmarkEnd w:id="209"/>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w:t>
      </w:r>
      <w:del w:id="212" w:author="Master Repository Process" w:date="2021-08-01T11:40:00Z">
        <w:r>
          <w:delText xml:space="preserve"> </w:delText>
        </w:r>
      </w:del>
      <w:ins w:id="213" w:author="Master Repository Process" w:date="2021-08-01T11:40:00Z">
        <w:r>
          <w:t> </w:t>
        </w:r>
      </w:ins>
      <w:r>
        <w:t>25 inserted in Gazette 19 Feb 2010 p. 662.]</w:t>
      </w:r>
    </w:p>
    <w:p>
      <w:pPr>
        <w:pStyle w:val="CentredBaseLine"/>
        <w:jc w:val="center"/>
        <w:rPr>
          <w:ins w:id="214" w:author="Master Repository Process" w:date="2021-08-01T11:40:00Z"/>
        </w:rPr>
      </w:pPr>
      <w:ins w:id="215" w:author="Master Repository Process" w:date="2021-08-01T11:40: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16" w:name="_Toc113695922"/>
      <w:bookmarkStart w:id="217" w:name="_Toc133291507"/>
      <w:bookmarkStart w:id="218" w:name="_Toc133316008"/>
      <w:bookmarkStart w:id="219" w:name="_Toc156291581"/>
      <w:bookmarkStart w:id="220" w:name="_Toc193529511"/>
      <w:bookmarkStart w:id="221" w:name="_Toc196016957"/>
      <w:bookmarkStart w:id="222" w:name="_Toc196016980"/>
      <w:bookmarkStart w:id="223" w:name="_Toc196017199"/>
      <w:bookmarkStart w:id="224" w:name="_Toc197159683"/>
      <w:bookmarkStart w:id="225" w:name="_Toc197161354"/>
      <w:bookmarkStart w:id="226" w:name="_Toc254272935"/>
      <w:bookmarkStart w:id="227" w:name="_Toc271807799"/>
      <w:bookmarkStart w:id="228" w:name="_Toc279141940"/>
      <w:bookmarkStart w:id="229" w:name="_Toc286742370"/>
      <w:bookmarkStart w:id="230" w:name="_Toc289430175"/>
      <w:bookmarkStart w:id="231" w:name="_Toc289676159"/>
      <w:bookmarkStart w:id="232" w:name="_Toc290890560"/>
      <w:bookmarkStart w:id="233" w:name="_Toc290892232"/>
      <w:r>
        <w:t>Notes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nSubsection"/>
        <w:rPr>
          <w:snapToGrid w:val="0"/>
        </w:rPr>
      </w:pPr>
      <w:r>
        <w:rPr>
          <w:snapToGrid w:val="0"/>
          <w:vertAlign w:val="superscript"/>
        </w:rPr>
        <w:t>1</w:t>
      </w:r>
      <w:r>
        <w:rPr>
          <w:snapToGrid w:val="0"/>
        </w:rPr>
        <w:tab/>
        <w:t xml:space="preserve">This </w:t>
      </w:r>
      <w:ins w:id="234" w:author="Master Repository Process" w:date="2021-08-01T11:40:00Z">
        <w:r>
          <w:rPr>
            <w:snapToGrid w:val="0"/>
          </w:rPr>
          <w:t xml:space="preserve">reprint </w:t>
        </w:r>
      </w:ins>
      <w:r>
        <w:rPr>
          <w:snapToGrid w:val="0"/>
        </w:rPr>
        <w:t>is a compilation</w:t>
      </w:r>
      <w:ins w:id="235" w:author="Master Repository Process" w:date="2021-08-01T11:40:00Z">
        <w:r>
          <w:rPr>
            <w:snapToGrid w:val="0"/>
          </w:rPr>
          <w:t xml:space="preserve"> as at 1 April 2011</w:t>
        </w:r>
      </w:ins>
      <w:r>
        <w:rPr>
          <w:snapToGrid w:val="0"/>
        </w:rPr>
        <w:t xml:space="preserve">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36" w:name="_Toc290892233"/>
      <w:bookmarkStart w:id="237" w:name="_Toc196017200"/>
      <w:bookmarkStart w:id="238" w:name="_Toc279141941"/>
      <w:r>
        <w:t>Compilation table</w:t>
      </w:r>
      <w:bookmarkEnd w:id="236"/>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w:t>
            </w:r>
            <w:bookmarkStart w:id="239" w:name="UpToHere"/>
            <w:bookmarkEnd w:id="239"/>
            <w:r>
              <w:rPr>
                <w:i/>
                <w:noProof/>
                <w:snapToGrid w:val="0"/>
                <w:sz w:val="19"/>
              </w:rPr>
              <w:t>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w:t>
            </w:r>
            <w:del w:id="240" w:author="Master Repository Process" w:date="2021-08-01T11:40:00Z">
              <w:r>
                <w:rPr>
                  <w:b/>
                  <w:bCs/>
                  <w:sz w:val="19"/>
                </w:rPr>
                <w:delText xml:space="preserve"> </w:delText>
              </w:r>
            </w:del>
            <w:ins w:id="241" w:author="Master Repository Process" w:date="2021-08-01T11:40:00Z">
              <w:r>
                <w:rPr>
                  <w:b/>
                  <w:bCs/>
                  <w:sz w:val="19"/>
                </w:rPr>
                <w:t> </w:t>
              </w:r>
            </w:ins>
            <w:r>
              <w:rPr>
                <w:b/>
                <w:bCs/>
                <w:sz w:val="19"/>
              </w:rPr>
              <w:t>Apr</w:t>
            </w:r>
            <w:del w:id="242" w:author="Master Repository Process" w:date="2021-08-01T11:40:00Z">
              <w:r>
                <w:rPr>
                  <w:b/>
                  <w:bCs/>
                  <w:sz w:val="19"/>
                </w:rPr>
                <w:delText xml:space="preserve"> </w:delText>
              </w:r>
            </w:del>
            <w:ins w:id="243" w:author="Master Repository Process" w:date="2021-08-01T11:40:00Z">
              <w:r>
                <w:rPr>
                  <w:b/>
                  <w:bCs/>
                  <w:sz w:val="19"/>
                </w:rPr>
                <w:t> </w:t>
              </w:r>
            </w:ins>
            <w:r>
              <w:rPr>
                <w:b/>
                <w:bCs/>
                <w:sz w:val="19"/>
              </w:rPr>
              <w:t>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w:t>
            </w:r>
            <w:del w:id="244" w:author="Master Repository Process" w:date="2021-08-01T11:40:00Z">
              <w:r>
                <w:rPr>
                  <w:sz w:val="19"/>
                </w:rPr>
                <w:delText xml:space="preserve"> </w:delText>
              </w:r>
            </w:del>
            <w:ins w:id="245" w:author="Master Repository Process" w:date="2021-08-01T11:40:00Z">
              <w:r>
                <w:rPr>
                  <w:sz w:val="19"/>
                </w:rPr>
                <w:t> </w:t>
              </w:r>
            </w:ins>
            <w:r>
              <w:rPr>
                <w:sz w:val="19"/>
              </w:rPr>
              <w:t>Jan 2009 p. 55</w:t>
            </w:r>
            <w:r>
              <w:rPr>
                <w:sz w:val="19"/>
              </w:rPr>
              <w:noBreakHyphen/>
              <w:t>7</w:t>
            </w:r>
          </w:p>
        </w:tc>
        <w:tc>
          <w:tcPr>
            <w:tcW w:w="2693" w:type="dxa"/>
          </w:tcPr>
          <w:p>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tc>
          <w:tcPr>
            <w:tcW w:w="3118" w:type="dxa"/>
          </w:tcPr>
          <w:p>
            <w:pPr>
              <w:pStyle w:val="nTable"/>
              <w:spacing w:after="40"/>
              <w:rPr>
                <w:i/>
                <w:noProof/>
                <w:snapToGrid w:val="0"/>
                <w:sz w:val="19"/>
              </w:rPr>
            </w:pPr>
            <w:r>
              <w:rPr>
                <w:i/>
                <w:noProof/>
                <w:snapToGrid w:val="0"/>
                <w:sz w:val="19"/>
              </w:rPr>
              <w:t>Emergency Management Amendment Regulations (No. 2) 2009</w:t>
            </w:r>
          </w:p>
        </w:tc>
        <w:tc>
          <w:tcPr>
            <w:tcW w:w="1276" w:type="dxa"/>
          </w:tcPr>
          <w:p>
            <w:pPr>
              <w:pStyle w:val="nTable"/>
              <w:spacing w:after="40"/>
              <w:rPr>
                <w:sz w:val="19"/>
              </w:rPr>
            </w:pPr>
            <w:r>
              <w:rPr>
                <w:sz w:val="19"/>
              </w:rPr>
              <w:t>19 Feb 2010 p. 661</w:t>
            </w:r>
            <w:del w:id="246" w:author="Master Repository Process" w:date="2021-08-01T11:40:00Z">
              <w:r>
                <w:rPr>
                  <w:sz w:val="19"/>
                </w:rPr>
                <w:delText>-</w:delText>
              </w:r>
            </w:del>
            <w:ins w:id="247" w:author="Master Repository Process" w:date="2021-08-01T11:40:00Z">
              <w:r>
                <w:rPr>
                  <w:sz w:val="19"/>
                </w:rPr>
                <w:noBreakHyphen/>
              </w:r>
            </w:ins>
            <w:r>
              <w:rPr>
                <w:sz w:val="19"/>
              </w:rPr>
              <w:t>2</w:t>
            </w:r>
          </w:p>
        </w:tc>
        <w:tc>
          <w:tcPr>
            <w:tcW w:w="2693" w:type="dxa"/>
          </w:tcPr>
          <w:p>
            <w:pPr>
              <w:pStyle w:val="nTable"/>
              <w:spacing w:after="40"/>
              <w:rPr>
                <w:snapToGrid w:val="0"/>
                <w:spacing w:val="-2"/>
                <w:sz w:val="19"/>
                <w:lang w:val="en-US"/>
              </w:rPr>
            </w:pPr>
            <w:r>
              <w:rPr>
                <w:snapToGrid w:val="0"/>
                <w:spacing w:val="-2"/>
                <w:sz w:val="19"/>
                <w:lang w:val="en-US"/>
              </w:rPr>
              <w:t>r. 1 and 2: 19 Feb 2010 (see</w:t>
            </w:r>
            <w:del w:id="248" w:author="Master Repository Process" w:date="2021-08-01T11:40:00Z">
              <w:r>
                <w:rPr>
                  <w:snapToGrid w:val="0"/>
                  <w:spacing w:val="-2"/>
                  <w:sz w:val="19"/>
                  <w:lang w:val="en-US"/>
                </w:rPr>
                <w:delText xml:space="preserve"> </w:delText>
              </w:r>
            </w:del>
            <w:ins w:id="249" w:author="Master Repository Process" w:date="2021-08-01T11:40: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20 Feb</w:t>
            </w:r>
            <w:del w:id="250" w:author="Master Repository Process" w:date="2021-08-01T11:40:00Z">
              <w:r>
                <w:rPr>
                  <w:snapToGrid w:val="0"/>
                  <w:spacing w:val="-2"/>
                  <w:sz w:val="19"/>
                  <w:lang w:val="en-US"/>
                </w:rPr>
                <w:delText xml:space="preserve"> </w:delText>
              </w:r>
            </w:del>
            <w:ins w:id="251" w:author="Master Repository Process" w:date="2021-08-01T11:40:00Z">
              <w:r>
                <w:rPr>
                  <w:snapToGrid w:val="0"/>
                  <w:spacing w:val="-2"/>
                  <w:sz w:val="19"/>
                  <w:lang w:val="en-US"/>
                </w:rPr>
                <w:t> </w:t>
              </w:r>
            </w:ins>
            <w:r>
              <w:rPr>
                <w:snapToGrid w:val="0"/>
                <w:spacing w:val="-2"/>
                <w:sz w:val="19"/>
                <w:lang w:val="en-US"/>
              </w:rPr>
              <w:t>2010 (see r. 2(b))</w:t>
            </w:r>
          </w:p>
        </w:tc>
      </w:tr>
      <w:tr>
        <w:tc>
          <w:tcPr>
            <w:tcW w:w="3118" w:type="dxa"/>
          </w:tcPr>
          <w:p>
            <w:pPr>
              <w:pStyle w:val="nTable"/>
              <w:spacing w:after="40"/>
              <w:rPr>
                <w:i/>
                <w:noProof/>
                <w:snapToGrid w:val="0"/>
                <w:sz w:val="19"/>
              </w:rPr>
            </w:pPr>
            <w:r>
              <w:rPr>
                <w:i/>
                <w:noProof/>
                <w:snapToGrid w:val="0"/>
                <w:sz w:val="19"/>
              </w:rPr>
              <w:t>Emergency Management Amendment Regulations 2010</w:t>
            </w:r>
          </w:p>
        </w:tc>
        <w:tc>
          <w:tcPr>
            <w:tcW w:w="1276" w:type="dxa"/>
          </w:tcPr>
          <w:p>
            <w:pPr>
              <w:pStyle w:val="nTable"/>
              <w:spacing w:after="40"/>
              <w:rPr>
                <w:sz w:val="19"/>
              </w:rPr>
            </w:pPr>
            <w:r>
              <w:rPr>
                <w:sz w:val="19"/>
              </w:rPr>
              <w:t>10 Sep 2010 p. 4344</w:t>
            </w:r>
            <w:del w:id="252" w:author="Master Repository Process" w:date="2021-08-01T11:40:00Z">
              <w:r>
                <w:rPr>
                  <w:sz w:val="19"/>
                </w:rPr>
                <w:delText>-</w:delText>
              </w:r>
            </w:del>
            <w:ins w:id="253" w:author="Master Repository Process" w:date="2021-08-01T11:40:00Z">
              <w:r>
                <w:rPr>
                  <w:sz w:val="19"/>
                </w:rPr>
                <w:noBreakHyphen/>
              </w:r>
            </w:ins>
            <w:r>
              <w:rPr>
                <w:sz w:val="19"/>
              </w:rPr>
              <w:t>6</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c>
          <w:tcPr>
            <w:tcW w:w="3118" w:type="dxa"/>
          </w:tcPr>
          <w:p>
            <w:pPr>
              <w:pStyle w:val="nTable"/>
              <w:spacing w:after="40"/>
              <w:rPr>
                <w:i/>
                <w:noProof/>
                <w:snapToGrid w:val="0"/>
                <w:sz w:val="19"/>
              </w:rPr>
            </w:pPr>
            <w:r>
              <w:rPr>
                <w:i/>
                <w:noProof/>
                <w:snapToGrid w:val="0"/>
                <w:sz w:val="19"/>
              </w:rPr>
              <w:t>Emergency Management Amendment Regulations (No. 2) 2010</w:t>
            </w:r>
          </w:p>
        </w:tc>
        <w:tc>
          <w:tcPr>
            <w:tcW w:w="1276" w:type="dxa"/>
          </w:tcPr>
          <w:p>
            <w:pPr>
              <w:pStyle w:val="nTable"/>
              <w:spacing w:after="40"/>
              <w:rPr>
                <w:sz w:val="19"/>
              </w:rPr>
            </w:pPr>
            <w:r>
              <w:rPr>
                <w:sz w:val="19"/>
              </w:rPr>
              <w:t>3 Dec</w:t>
            </w:r>
            <w:del w:id="254" w:author="Master Repository Process" w:date="2021-08-01T11:40:00Z">
              <w:r>
                <w:rPr>
                  <w:sz w:val="19"/>
                </w:rPr>
                <w:delText xml:space="preserve"> </w:delText>
              </w:r>
            </w:del>
            <w:ins w:id="255" w:author="Master Repository Process" w:date="2021-08-01T11:40:00Z">
              <w:r>
                <w:rPr>
                  <w:sz w:val="19"/>
                </w:rPr>
                <w:t> </w:t>
              </w:r>
            </w:ins>
            <w:r>
              <w:rPr>
                <w:sz w:val="19"/>
              </w:rPr>
              <w:t>2010 p. 6055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(No. 3) 2010</w:t>
            </w:r>
          </w:p>
        </w:tc>
        <w:tc>
          <w:tcPr>
            <w:tcW w:w="1276" w:type="dxa"/>
            <w:shd w:val="clear" w:color="auto" w:fill="auto"/>
          </w:tcPr>
          <w:p>
            <w:pPr>
              <w:pStyle w:val="nTable"/>
              <w:spacing w:after="40"/>
              <w:rPr>
                <w:sz w:val="19"/>
              </w:rPr>
            </w:pPr>
            <w:r>
              <w:rPr>
                <w:sz w:val="19"/>
              </w:rPr>
              <w:t>3 Dec</w:t>
            </w:r>
            <w:del w:id="256" w:author="Master Repository Process" w:date="2021-08-01T11:40:00Z">
              <w:r>
                <w:rPr>
                  <w:sz w:val="19"/>
                </w:rPr>
                <w:delText xml:space="preserve"> </w:delText>
              </w:r>
            </w:del>
            <w:ins w:id="257" w:author="Master Repository Process" w:date="2021-08-01T11:40:00Z">
              <w:r>
                <w:rPr>
                  <w:sz w:val="19"/>
                </w:rPr>
                <w:t> </w:t>
              </w:r>
            </w:ins>
            <w:r>
              <w:rPr>
                <w:sz w:val="19"/>
              </w:rPr>
              <w:t>2010 p. 6056</w:t>
            </w:r>
            <w:r>
              <w:rPr>
                <w:sz w:val="19"/>
              </w:rPr>
              <w:noBreakHyphen/>
              <w:t>7</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ins w:id="258" w:author="Master Repository Process" w:date="2021-08-01T11:40:00Z"/>
        </w:trPr>
        <w:tc>
          <w:tcPr>
            <w:tcW w:w="7087" w:type="dxa"/>
            <w:gridSpan w:val="3"/>
            <w:tcBorders>
              <w:bottom w:val="single" w:sz="8" w:space="0" w:color="auto"/>
            </w:tcBorders>
            <w:shd w:val="clear" w:color="auto" w:fill="auto"/>
          </w:tcPr>
          <w:p>
            <w:pPr>
              <w:pStyle w:val="nTable"/>
              <w:spacing w:after="40"/>
              <w:rPr>
                <w:ins w:id="259" w:author="Master Repository Process" w:date="2021-08-01T11:40:00Z"/>
                <w:snapToGrid w:val="0"/>
                <w:spacing w:val="-2"/>
                <w:sz w:val="19"/>
                <w:lang w:val="en-US"/>
              </w:rPr>
            </w:pPr>
            <w:ins w:id="260" w:author="Master Repository Process" w:date="2021-08-01T11:40:00Z">
              <w:r>
                <w:rPr>
                  <w:b/>
                  <w:bCs/>
                  <w:sz w:val="19"/>
                </w:rPr>
                <w:t xml:space="preserve">Reprint 2:  The </w:t>
              </w:r>
              <w:r>
                <w:rPr>
                  <w:b/>
                  <w:bCs/>
                  <w:i/>
                  <w:noProof/>
                  <w:snapToGrid w:val="0"/>
                  <w:sz w:val="19"/>
                </w:rPr>
                <w:t>Emergency Management Regulations 2006</w:t>
              </w:r>
              <w:r>
                <w:rPr>
                  <w:b/>
                  <w:bCs/>
                  <w:sz w:val="19"/>
                </w:rPr>
                <w:t xml:space="preserve"> as at 1 Apr 2011</w:t>
              </w:r>
              <w:r>
                <w:rPr>
                  <w:sz w:val="19"/>
                </w:rPr>
                <w:t xml:space="preserve"> (includes amendments listed above)</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ins w:id="261" w:author="Master Repository Process" w:date="2021-08-01T11:40:00Z"/>
        </w:rPr>
      </w:pPr>
    </w:p>
    <w:p>
      <w:pPr>
        <w:rPr>
          <w:ins w:id="262" w:author="Master Repository Process" w:date="2021-08-01T11:40:00Z"/>
        </w:rPr>
      </w:pPr>
    </w:p>
    <w:p>
      <w:pPr>
        <w:rPr>
          <w:ins w:id="263" w:author="Master Repository Process" w:date="2021-08-01T11:40:00Z"/>
        </w:rPr>
      </w:pPr>
    </w:p>
    <w:p>
      <w:pPr>
        <w:rPr>
          <w:ins w:id="264" w:author="Master Repository Process" w:date="2021-08-01T11:40:00Z"/>
        </w:r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448E241-D232-47FE-B165-40101AE1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3267</Words>
  <Characters>15750</Characters>
  <Application>Microsoft Office Word</Application>
  <DocSecurity>0</DocSecurity>
  <Lines>477</Lines>
  <Paragraphs>283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Notes</vt:lpstr>
      <vt:lpstr>    Defined Terms</vt:lpstr>
    </vt:vector>
  </TitlesOfParts>
  <Manager/>
  <Company/>
  <LinksUpToDate>false</LinksUpToDate>
  <CharactersWithSpaces>18734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01-f0-02 - 02-a0-01</dc:title>
  <dc:subject/>
  <dc:creator/>
  <cp:keywords/>
  <dc:description/>
  <cp:lastModifiedBy>Master Repository Process</cp:lastModifiedBy>
  <cp:revision>2</cp:revision>
  <cp:lastPrinted>2011-04-18T04:15:00Z</cp:lastPrinted>
  <dcterms:created xsi:type="dcterms:W3CDTF">2021-08-01T03:40:00Z</dcterms:created>
  <dcterms:modified xsi:type="dcterms:W3CDTF">2021-08-01T03:40:00Z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20110401</vt:lpwstr>
  </property>
  <property fmtid="{D5CDD505-2E9C-101B-9397-08002B2CF9AE}" pid="4" name="DocumentType">
    <vt:lpwstr>Reg</vt:lpwstr>
  </property>
  <property fmtid="{D5CDD505-2E9C-101B-9397-08002B2CF9AE}" pid="5" name="OwlsUID">
    <vt:i4>38333</vt:i4>
  </property>
  <property fmtid="{D5CDD505-2E9C-101B-9397-08002B2CF9AE}" pid="6" name="ReprintNo">
    <vt:lpwstr>2</vt:lpwstr>
  </property>
  <property fmtid="{D5CDD505-2E9C-101B-9397-08002B2CF9AE}" pid="7" name="ReprintedAsAt">
    <vt:filetime>2011-03-31T16:00:00Z</vt:filetime>
  </property>
  <property fmtid="{D5CDD505-2E9C-101B-9397-08002B2CF9AE}" pid="8" name="FromSuffix">
    <vt:lpwstr>01-f0-02</vt:lpwstr>
  </property>
  <property fmtid="{D5CDD505-2E9C-101B-9397-08002B2CF9AE}" pid="9" name="FromAsAtDate">
    <vt:lpwstr>04 Dec 2010</vt:lpwstr>
  </property>
  <property fmtid="{D5CDD505-2E9C-101B-9397-08002B2CF9AE}" pid="10" name="ToSuffix">
    <vt:lpwstr>02-a0-01</vt:lpwstr>
  </property>
  <property fmtid="{D5CDD505-2E9C-101B-9397-08002B2CF9AE}" pid="11" name="ToAsAtDate">
    <vt:lpwstr>01 Apr 2011</vt:lpwstr>
  </property>
</Properties>
</file>