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11 May 2011</w:t>
      </w:r>
      <w:r>
        <w:fldChar w:fldCharType="end"/>
      </w:r>
      <w:r>
        <w:t xml:space="preserve">, </w:t>
      </w:r>
      <w:r>
        <w:fldChar w:fldCharType="begin"/>
      </w:r>
      <w:r>
        <w:instrText xml:space="preserve"> DocProperty ToSuffix</w:instrText>
      </w:r>
      <w:r>
        <w:fldChar w:fldCharType="separate"/>
      </w:r>
      <w:r>
        <w:t>05-d0-04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0" w:name="_Toc87686199"/>
      <w:bookmarkStart w:id="1" w:name="_Toc87687062"/>
      <w:bookmarkStart w:id="2" w:name="_Toc87687165"/>
      <w:bookmarkStart w:id="3" w:name="_Toc87781936"/>
      <w:bookmarkStart w:id="4" w:name="_Toc131826835"/>
      <w:bookmarkStart w:id="5" w:name="_Toc150227845"/>
      <w:bookmarkStart w:id="6" w:name="_Toc156279596"/>
      <w:bookmarkStart w:id="7" w:name="_Toc156618893"/>
      <w:bookmarkStart w:id="8" w:name="_Toc159752772"/>
      <w:bookmarkStart w:id="9" w:name="_Toc161741858"/>
      <w:bookmarkStart w:id="10" w:name="_Toc162157754"/>
      <w:bookmarkStart w:id="11" w:name="_Toc162159390"/>
      <w:bookmarkStart w:id="12" w:name="_Toc162162609"/>
      <w:bookmarkStart w:id="13" w:name="_Toc162233131"/>
      <w:bookmarkStart w:id="14" w:name="_Toc229555701"/>
      <w:bookmarkStart w:id="15" w:name="_Toc237315209"/>
      <w:bookmarkStart w:id="16" w:name="_Toc241984132"/>
      <w:bookmarkStart w:id="17" w:name="_Toc241992614"/>
      <w:bookmarkStart w:id="18" w:name="_Toc244326794"/>
      <w:bookmarkStart w:id="19" w:name="_Toc246301892"/>
      <w:bookmarkStart w:id="20" w:name="_Toc246301993"/>
      <w:bookmarkStart w:id="21" w:name="_Toc254084524"/>
      <w:bookmarkStart w:id="22" w:name="_Toc255480922"/>
      <w:bookmarkStart w:id="23" w:name="_Toc281483136"/>
      <w:bookmarkStart w:id="24" w:name="_Toc292719863"/>
      <w:r>
        <w:rPr>
          <w:rStyle w:val="CharPartNo"/>
        </w:rPr>
        <w:t>P</w:t>
      </w:r>
      <w:bookmarkStart w:id="25" w:name="_GoBack"/>
      <w:bookmarkEnd w:id="25"/>
      <w:r>
        <w:rPr>
          <w:rStyle w:val="CharPartNo"/>
        </w:rPr>
        <w:t>art I</w:t>
      </w:r>
      <w:r>
        <w:t xml:space="preserve">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pPr>
      <w:r>
        <w:tab/>
        <w:t>[Heading inserted in Gazette 30 May 2000 p. 2567.]</w:t>
      </w:r>
    </w:p>
    <w:p>
      <w:pPr>
        <w:pStyle w:val="Heading5"/>
      </w:pPr>
      <w:bookmarkStart w:id="26" w:name="_Toc484337590"/>
      <w:bookmarkStart w:id="27" w:name="_Toc87687063"/>
      <w:bookmarkStart w:id="28" w:name="_Toc131826836"/>
      <w:bookmarkStart w:id="29" w:name="_Toc161741859"/>
      <w:bookmarkStart w:id="30" w:name="_Toc292719864"/>
      <w:bookmarkStart w:id="31" w:name="_Toc281483137"/>
      <w:r>
        <w:rPr>
          <w:rStyle w:val="CharSectno"/>
        </w:rPr>
        <w:t>1</w:t>
      </w:r>
      <w:r>
        <w:t>.</w:t>
      </w:r>
      <w:r>
        <w:tab/>
        <w:t>Citation</w:t>
      </w:r>
      <w:bookmarkEnd w:id="26"/>
      <w:bookmarkEnd w:id="27"/>
      <w:bookmarkEnd w:id="28"/>
      <w:bookmarkEnd w:id="29"/>
      <w:bookmarkEnd w:id="30"/>
      <w:bookmarkEnd w:id="31"/>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32" w:name="_Toc484337591"/>
      <w:bookmarkStart w:id="33" w:name="_Toc87687064"/>
      <w:bookmarkStart w:id="34" w:name="_Toc131826837"/>
      <w:bookmarkStart w:id="35" w:name="_Toc161741860"/>
      <w:bookmarkStart w:id="36" w:name="_Toc292719865"/>
      <w:bookmarkStart w:id="37" w:name="_Toc281483138"/>
      <w:r>
        <w:rPr>
          <w:rStyle w:val="CharSectno"/>
        </w:rPr>
        <w:t>2</w:t>
      </w:r>
      <w:r>
        <w:t>.</w:t>
      </w:r>
      <w:r>
        <w:tab/>
      </w:r>
      <w:bookmarkEnd w:id="32"/>
      <w:bookmarkEnd w:id="33"/>
      <w:bookmarkEnd w:id="34"/>
      <w:r>
        <w:t>Terms used</w:t>
      </w:r>
      <w:bookmarkEnd w:id="35"/>
      <w:bookmarkEnd w:id="36"/>
      <w:bookmarkEnd w:id="37"/>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w:t>
      </w:r>
      <w:r>
        <w:noBreakHyphen/>
        <w:t>3; 5 Mar 2010 p. 841.]</w:t>
      </w:r>
    </w:p>
    <w:p>
      <w:pPr>
        <w:pStyle w:val="Heading2"/>
      </w:pPr>
      <w:bookmarkStart w:id="38" w:name="_Toc87686202"/>
      <w:bookmarkStart w:id="39" w:name="_Toc87687065"/>
      <w:bookmarkStart w:id="40" w:name="_Toc87687168"/>
      <w:bookmarkStart w:id="41" w:name="_Toc87781939"/>
      <w:bookmarkStart w:id="42" w:name="_Toc131826838"/>
      <w:bookmarkStart w:id="43" w:name="_Toc150227848"/>
      <w:bookmarkStart w:id="44" w:name="_Toc156279599"/>
      <w:bookmarkStart w:id="45" w:name="_Toc156618896"/>
      <w:bookmarkStart w:id="46" w:name="_Toc159752775"/>
      <w:bookmarkStart w:id="47" w:name="_Toc161741861"/>
      <w:bookmarkStart w:id="48" w:name="_Toc162157757"/>
      <w:bookmarkStart w:id="49" w:name="_Toc162159393"/>
      <w:bookmarkStart w:id="50" w:name="_Toc162162612"/>
      <w:bookmarkStart w:id="51" w:name="_Toc162233134"/>
      <w:bookmarkStart w:id="52" w:name="_Toc229555704"/>
      <w:bookmarkStart w:id="53" w:name="_Toc237315212"/>
      <w:bookmarkStart w:id="54" w:name="_Toc241984135"/>
      <w:bookmarkStart w:id="55" w:name="_Toc241992617"/>
      <w:bookmarkStart w:id="56" w:name="_Toc244326797"/>
      <w:bookmarkStart w:id="57" w:name="_Toc246301895"/>
      <w:bookmarkStart w:id="58" w:name="_Toc246301996"/>
      <w:bookmarkStart w:id="59" w:name="_Toc254084527"/>
      <w:bookmarkStart w:id="60" w:name="_Toc255480925"/>
      <w:bookmarkStart w:id="61" w:name="_Toc281483139"/>
      <w:bookmarkStart w:id="62" w:name="_Toc292719866"/>
      <w:bookmarkStart w:id="63" w:name="_Toc435342770"/>
      <w:r>
        <w:rPr>
          <w:rStyle w:val="CharPartNo"/>
        </w:rPr>
        <w:lastRenderedPageBreak/>
        <w:t>Part II</w:t>
      </w:r>
      <w:r>
        <w:t xml:space="preserve"> — </w:t>
      </w:r>
      <w:r>
        <w:rPr>
          <w:rStyle w:val="CharPartText"/>
        </w:rPr>
        <w:t>Energy efficiency labelling</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pPr>
      <w:r>
        <w:tab/>
        <w:t>[Heading inserted in Gazette 30 May 2000 p. 2568.]</w:t>
      </w:r>
    </w:p>
    <w:p>
      <w:pPr>
        <w:pStyle w:val="Heading5"/>
      </w:pPr>
      <w:bookmarkStart w:id="64" w:name="_Toc484337592"/>
      <w:bookmarkStart w:id="65" w:name="_Toc87687066"/>
      <w:bookmarkStart w:id="66" w:name="_Toc131826839"/>
      <w:bookmarkStart w:id="67" w:name="_Toc161741862"/>
      <w:bookmarkStart w:id="68" w:name="_Toc292719867"/>
      <w:bookmarkStart w:id="69" w:name="_Toc281483140"/>
      <w:r>
        <w:rPr>
          <w:rStyle w:val="CharSectno"/>
        </w:rPr>
        <w:t>3</w:t>
      </w:r>
      <w:r>
        <w:t>.</w:t>
      </w:r>
      <w:r>
        <w:tab/>
        <w:t>Application</w:t>
      </w:r>
      <w:bookmarkEnd w:id="63"/>
      <w:bookmarkEnd w:id="64"/>
      <w:r>
        <w:t xml:space="preserve"> of this Part</w:t>
      </w:r>
      <w:bookmarkEnd w:id="65"/>
      <w:bookmarkEnd w:id="66"/>
      <w:bookmarkEnd w:id="67"/>
      <w:bookmarkEnd w:id="68"/>
      <w:bookmarkEnd w:id="69"/>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70" w:name="_Toc435342771"/>
      <w:r>
        <w:tab/>
        <w:t>[Regulation 3 inserted in Gazette 30 May 2000 p. 2568.]</w:t>
      </w:r>
    </w:p>
    <w:p>
      <w:pPr>
        <w:pStyle w:val="Heading5"/>
      </w:pPr>
      <w:bookmarkStart w:id="71" w:name="_Toc484337593"/>
      <w:bookmarkStart w:id="72" w:name="_Toc87687067"/>
      <w:bookmarkStart w:id="73" w:name="_Toc131826840"/>
      <w:bookmarkStart w:id="74" w:name="_Toc161741863"/>
      <w:bookmarkStart w:id="75" w:name="_Toc292719868"/>
      <w:bookmarkStart w:id="76" w:name="_Toc281483141"/>
      <w:r>
        <w:rPr>
          <w:rStyle w:val="CharSectno"/>
        </w:rPr>
        <w:t>4</w:t>
      </w:r>
      <w:r>
        <w:t>.</w:t>
      </w:r>
      <w:r>
        <w:tab/>
        <w:t>Energy efficiency label to be displayed</w:t>
      </w:r>
      <w:bookmarkEnd w:id="70"/>
      <w:bookmarkEnd w:id="71"/>
      <w:bookmarkEnd w:id="72"/>
      <w:bookmarkEnd w:id="73"/>
      <w:bookmarkEnd w:id="74"/>
      <w:bookmarkEnd w:id="75"/>
      <w:bookmarkEnd w:id="76"/>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77"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78" w:name="_Toc484337594"/>
      <w:bookmarkStart w:id="79" w:name="_Toc87687068"/>
      <w:bookmarkStart w:id="80" w:name="_Toc131826841"/>
      <w:bookmarkStart w:id="81" w:name="_Toc161741864"/>
      <w:bookmarkStart w:id="82" w:name="_Toc292719869"/>
      <w:bookmarkStart w:id="83" w:name="_Toc281483142"/>
      <w:r>
        <w:rPr>
          <w:rStyle w:val="CharSectno"/>
        </w:rPr>
        <w:t>5</w:t>
      </w:r>
      <w:r>
        <w:t>.</w:t>
      </w:r>
      <w:r>
        <w:tab/>
        <w:t>Display fronts</w:t>
      </w:r>
      <w:bookmarkEnd w:id="77"/>
      <w:bookmarkEnd w:id="78"/>
      <w:bookmarkEnd w:id="79"/>
      <w:bookmarkEnd w:id="80"/>
      <w:bookmarkEnd w:id="81"/>
      <w:bookmarkEnd w:id="82"/>
      <w:bookmarkEnd w:id="83"/>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84" w:name="_Toc435342773"/>
      <w:r>
        <w:tab/>
        <w:t>[Regulation 5 inserted in Gazette 30 May 2000 p. 2568.]</w:t>
      </w:r>
    </w:p>
    <w:p>
      <w:pPr>
        <w:pStyle w:val="Heading5"/>
      </w:pPr>
      <w:bookmarkStart w:id="85" w:name="_Toc484337595"/>
      <w:bookmarkStart w:id="86" w:name="_Toc87687069"/>
      <w:bookmarkStart w:id="87" w:name="_Toc131826842"/>
      <w:bookmarkStart w:id="88" w:name="_Toc161741865"/>
      <w:bookmarkStart w:id="89" w:name="_Toc292719870"/>
      <w:bookmarkStart w:id="90" w:name="_Toc281483143"/>
      <w:r>
        <w:rPr>
          <w:rStyle w:val="CharSectno"/>
        </w:rPr>
        <w:t>6</w:t>
      </w:r>
      <w:r>
        <w:t>.</w:t>
      </w:r>
      <w:r>
        <w:tab/>
        <w:t>Director may grant temporary exemptions</w:t>
      </w:r>
      <w:bookmarkEnd w:id="84"/>
      <w:bookmarkEnd w:id="85"/>
      <w:bookmarkEnd w:id="86"/>
      <w:bookmarkEnd w:id="87"/>
      <w:bookmarkEnd w:id="88"/>
      <w:bookmarkEnd w:id="89"/>
      <w:bookmarkEnd w:id="90"/>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91" w:name="_Toc435342774"/>
      <w:r>
        <w:tab/>
        <w:t>[Regulation 6 inserted in Gazette 30 May 2000 p. 2568.]</w:t>
      </w:r>
    </w:p>
    <w:p>
      <w:pPr>
        <w:pStyle w:val="Heading5"/>
      </w:pPr>
      <w:bookmarkStart w:id="92" w:name="_Toc484337596"/>
      <w:bookmarkStart w:id="93" w:name="_Toc87687070"/>
      <w:bookmarkStart w:id="94" w:name="_Toc131826843"/>
      <w:bookmarkStart w:id="95" w:name="_Toc161741866"/>
      <w:bookmarkStart w:id="96" w:name="_Toc292719871"/>
      <w:bookmarkStart w:id="97" w:name="_Toc281483144"/>
      <w:r>
        <w:rPr>
          <w:rStyle w:val="CharSectno"/>
        </w:rPr>
        <w:t>7</w:t>
      </w:r>
      <w:r>
        <w:t>.</w:t>
      </w:r>
      <w:r>
        <w:tab/>
        <w:t>Misleading information</w:t>
      </w:r>
      <w:bookmarkEnd w:id="91"/>
      <w:bookmarkEnd w:id="92"/>
      <w:bookmarkEnd w:id="93"/>
      <w:bookmarkEnd w:id="94"/>
      <w:bookmarkEnd w:id="95"/>
      <w:bookmarkEnd w:id="96"/>
      <w:bookmarkEnd w:id="97"/>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98" w:name="_Toc435342775"/>
      <w:r>
        <w:tab/>
        <w:t>[Regulation 7 inserted in Gazette 30 May 2000 p. 2569; amended in Gazette 27 Oct 2009 p. 4211.]</w:t>
      </w:r>
    </w:p>
    <w:p>
      <w:pPr>
        <w:pStyle w:val="Heading5"/>
      </w:pPr>
      <w:bookmarkStart w:id="99" w:name="_Toc484337597"/>
      <w:bookmarkStart w:id="100" w:name="_Toc87687071"/>
      <w:bookmarkStart w:id="101" w:name="_Toc131826844"/>
      <w:bookmarkStart w:id="102" w:name="_Toc161741867"/>
      <w:bookmarkStart w:id="103" w:name="_Toc292719872"/>
      <w:bookmarkStart w:id="104" w:name="_Toc281483145"/>
      <w:r>
        <w:rPr>
          <w:rStyle w:val="CharSectno"/>
        </w:rPr>
        <w:t>8</w:t>
      </w:r>
      <w:r>
        <w:t>.</w:t>
      </w:r>
      <w:r>
        <w:tab/>
        <w:t>Use of unregistered labels</w:t>
      </w:r>
      <w:bookmarkEnd w:id="98"/>
      <w:bookmarkEnd w:id="99"/>
      <w:bookmarkEnd w:id="100"/>
      <w:bookmarkEnd w:id="101"/>
      <w:bookmarkEnd w:id="102"/>
      <w:bookmarkEnd w:id="103"/>
      <w:bookmarkEnd w:id="104"/>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105" w:name="_Toc87686209"/>
      <w:bookmarkStart w:id="106" w:name="_Toc87687072"/>
      <w:bookmarkStart w:id="107" w:name="_Toc87687175"/>
      <w:bookmarkStart w:id="108" w:name="_Toc87781946"/>
      <w:bookmarkStart w:id="109" w:name="_Toc131826845"/>
      <w:bookmarkStart w:id="110" w:name="_Toc150227855"/>
      <w:bookmarkStart w:id="111" w:name="_Toc156279606"/>
      <w:bookmarkStart w:id="112" w:name="_Toc156618903"/>
      <w:bookmarkStart w:id="113" w:name="_Toc159752782"/>
      <w:bookmarkStart w:id="114" w:name="_Toc161741868"/>
      <w:bookmarkStart w:id="115" w:name="_Toc162157764"/>
      <w:bookmarkStart w:id="116" w:name="_Toc162159400"/>
      <w:bookmarkStart w:id="117" w:name="_Toc162162619"/>
      <w:bookmarkStart w:id="118" w:name="_Toc162233141"/>
      <w:bookmarkStart w:id="119" w:name="_Toc229555711"/>
      <w:bookmarkStart w:id="120" w:name="_Toc237315219"/>
      <w:bookmarkStart w:id="121" w:name="_Toc241984142"/>
      <w:bookmarkStart w:id="122" w:name="_Toc241992624"/>
      <w:bookmarkStart w:id="123" w:name="_Toc244326804"/>
      <w:bookmarkStart w:id="124" w:name="_Toc246301902"/>
      <w:bookmarkStart w:id="125" w:name="_Toc246302003"/>
      <w:bookmarkStart w:id="126" w:name="_Toc254084534"/>
      <w:bookmarkStart w:id="127" w:name="_Toc255480932"/>
      <w:bookmarkStart w:id="128" w:name="_Toc281483146"/>
      <w:bookmarkStart w:id="129" w:name="_Toc292719873"/>
      <w:r>
        <w:rPr>
          <w:rStyle w:val="CharPartNo"/>
        </w:rPr>
        <w:t>Part III</w:t>
      </w:r>
      <w:r>
        <w:t xml:space="preserve"> — </w:t>
      </w:r>
      <w:r>
        <w:rPr>
          <w:rStyle w:val="CharPartText"/>
        </w:rPr>
        <w:t>Minimum energy performance standards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pPr>
      <w:r>
        <w:tab/>
        <w:t>[Heading inserted in Gazette 30 May 2000 p. 2570.]</w:t>
      </w:r>
    </w:p>
    <w:p>
      <w:pPr>
        <w:pStyle w:val="Heading5"/>
      </w:pPr>
      <w:bookmarkStart w:id="130" w:name="_Toc484337598"/>
      <w:bookmarkStart w:id="131" w:name="_Toc87687073"/>
      <w:bookmarkStart w:id="132" w:name="_Toc131826846"/>
      <w:bookmarkStart w:id="133" w:name="_Toc161741869"/>
      <w:bookmarkStart w:id="134" w:name="_Toc292719874"/>
      <w:bookmarkStart w:id="135" w:name="_Toc281483147"/>
      <w:r>
        <w:rPr>
          <w:rStyle w:val="CharSectno"/>
        </w:rPr>
        <w:t>9</w:t>
      </w:r>
      <w:r>
        <w:t>.</w:t>
      </w:r>
      <w:r>
        <w:tab/>
        <w:t>Application</w:t>
      </w:r>
      <w:bookmarkEnd w:id="130"/>
      <w:r>
        <w:t xml:space="preserve"> of this Part</w:t>
      </w:r>
      <w:bookmarkEnd w:id="131"/>
      <w:bookmarkEnd w:id="132"/>
      <w:bookmarkEnd w:id="133"/>
      <w:bookmarkEnd w:id="134"/>
      <w:bookmarkEnd w:id="135"/>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36" w:name="_Toc484337599"/>
      <w:bookmarkStart w:id="137" w:name="_Toc87687074"/>
      <w:bookmarkStart w:id="138" w:name="_Toc131826847"/>
      <w:bookmarkStart w:id="139" w:name="_Toc161741870"/>
      <w:bookmarkStart w:id="140" w:name="_Toc292719875"/>
      <w:bookmarkStart w:id="141" w:name="_Toc281483148"/>
      <w:r>
        <w:rPr>
          <w:rStyle w:val="CharSectno"/>
        </w:rPr>
        <w:t>10</w:t>
      </w:r>
      <w:r>
        <w:t>.</w:t>
      </w:r>
      <w:r>
        <w:tab/>
        <w:t>Minimum standards for energy efficiency</w:t>
      </w:r>
      <w:bookmarkEnd w:id="136"/>
      <w:bookmarkEnd w:id="137"/>
      <w:bookmarkEnd w:id="138"/>
      <w:bookmarkEnd w:id="139"/>
      <w:bookmarkEnd w:id="140"/>
      <w:bookmarkEnd w:id="141"/>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42" w:name="_Toc484337600"/>
      <w:bookmarkStart w:id="143" w:name="_Toc87687075"/>
      <w:bookmarkStart w:id="144" w:name="_Toc131826848"/>
      <w:bookmarkStart w:id="145" w:name="_Toc161741871"/>
      <w:bookmarkStart w:id="146" w:name="_Toc292719876"/>
      <w:bookmarkStart w:id="147" w:name="_Toc281483149"/>
      <w:r>
        <w:rPr>
          <w:rStyle w:val="CharSectno"/>
        </w:rPr>
        <w:t>11</w:t>
      </w:r>
      <w:r>
        <w:t>.</w:t>
      </w:r>
      <w:r>
        <w:tab/>
        <w:t>Director may grant temporary exemptions</w:t>
      </w:r>
      <w:bookmarkEnd w:id="142"/>
      <w:bookmarkEnd w:id="143"/>
      <w:bookmarkEnd w:id="144"/>
      <w:bookmarkEnd w:id="145"/>
      <w:bookmarkEnd w:id="146"/>
      <w:bookmarkEnd w:id="147"/>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48" w:name="_Toc237315223"/>
      <w:bookmarkStart w:id="149" w:name="_Toc241984146"/>
      <w:bookmarkStart w:id="150" w:name="_Toc241992628"/>
      <w:bookmarkStart w:id="151" w:name="_Toc244326808"/>
      <w:bookmarkStart w:id="152" w:name="_Toc246301906"/>
      <w:bookmarkStart w:id="153" w:name="_Toc246302007"/>
      <w:bookmarkStart w:id="154" w:name="_Toc254084538"/>
      <w:bookmarkStart w:id="155" w:name="_Toc255480936"/>
      <w:bookmarkStart w:id="156" w:name="_Toc281483150"/>
      <w:bookmarkStart w:id="157" w:name="_Toc292719877"/>
      <w:r>
        <w:rPr>
          <w:rStyle w:val="CharPartNo"/>
        </w:rPr>
        <w:t>Part IV</w:t>
      </w:r>
      <w:r>
        <w:rPr>
          <w:rStyle w:val="CharDivNo"/>
        </w:rPr>
        <w:t> </w:t>
      </w:r>
      <w:r>
        <w:t>—</w:t>
      </w:r>
      <w:r>
        <w:rPr>
          <w:rStyle w:val="CharDivText"/>
        </w:rPr>
        <w:t> </w:t>
      </w:r>
      <w:r>
        <w:rPr>
          <w:rStyle w:val="CharPartText"/>
        </w:rPr>
        <w:t>Residual current devices</w:t>
      </w:r>
      <w:bookmarkEnd w:id="148"/>
      <w:bookmarkEnd w:id="149"/>
      <w:bookmarkEnd w:id="150"/>
      <w:bookmarkEnd w:id="151"/>
      <w:bookmarkEnd w:id="152"/>
      <w:bookmarkEnd w:id="153"/>
      <w:bookmarkEnd w:id="154"/>
      <w:bookmarkEnd w:id="155"/>
      <w:bookmarkEnd w:id="156"/>
      <w:bookmarkEnd w:id="157"/>
    </w:p>
    <w:p>
      <w:pPr>
        <w:pStyle w:val="Footnoteheading"/>
      </w:pPr>
      <w:r>
        <w:tab/>
        <w:t>[Heading inserted in Gazette 8 May 2009 p. 1493.]</w:t>
      </w:r>
    </w:p>
    <w:p>
      <w:pPr>
        <w:pStyle w:val="Heading5"/>
      </w:pPr>
      <w:bookmarkStart w:id="158" w:name="_Toc292719878"/>
      <w:bookmarkStart w:id="159" w:name="_Toc281483151"/>
      <w:r>
        <w:rPr>
          <w:rStyle w:val="CharSectno"/>
        </w:rPr>
        <w:t>12</w:t>
      </w:r>
      <w:r>
        <w:t>.</w:t>
      </w:r>
      <w:r>
        <w:tab/>
        <w:t>Terms used</w:t>
      </w:r>
      <w:bookmarkEnd w:id="158"/>
      <w:bookmarkEnd w:id="159"/>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rPr>
          <w:ins w:id="160" w:author="Master Repository Process" w:date="2021-08-01T13:30:00Z"/>
        </w:rPr>
      </w:pPr>
      <w:ins w:id="161" w:author="Master Repository Process" w:date="2021-08-01T13:30:00Z">
        <w:r>
          <w:tab/>
        </w:r>
        <w:r>
          <w:rPr>
            <w:rStyle w:val="CharDefText"/>
          </w:rPr>
          <w:t>new owner</w:t>
        </w:r>
        <w:r>
          <w:t>, in relation to transferred residential premises, means the person to whom the title was transferred;</w:t>
        </w:r>
      </w:ins>
    </w:p>
    <w:p>
      <w:pPr>
        <w:pStyle w:val="Defstart"/>
        <w:rPr>
          <w:ins w:id="162" w:author="Master Repository Process" w:date="2021-08-01T13:30:00Z"/>
        </w:rPr>
      </w:pPr>
      <w:ins w:id="163" w:author="Master Repository Process" w:date="2021-08-01T13:30:00Z">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ins>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rPr>
          <w:ins w:id="164" w:author="Master Repository Process" w:date="2021-08-01T13:30:00Z"/>
        </w:rPr>
      </w:pPr>
      <w:ins w:id="165" w:author="Master Repository Process" w:date="2021-08-01T13:30:00Z">
        <w:r>
          <w:rPr>
            <w:rStyle w:val="CharDefText"/>
          </w:rPr>
          <w:tab/>
          <w:t>prior owner</w:t>
        </w:r>
        <w:r>
          <w:t>, in relation to transferred residential premises, means the person from whom the title was transferred;</w:t>
        </w:r>
      </w:ins>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del w:id="166" w:author="Master Repository Process" w:date="2021-08-01T13:30:00Z">
        <w:r>
          <w:delText>.</w:delText>
        </w:r>
      </w:del>
      <w:ins w:id="167" w:author="Master Repository Process" w:date="2021-08-01T13:30:00Z">
        <w:r>
          <w:t>;</w:t>
        </w:r>
      </w:ins>
    </w:p>
    <w:p>
      <w:pPr>
        <w:pStyle w:val="Defstart"/>
        <w:rPr>
          <w:ins w:id="168" w:author="Master Repository Process" w:date="2021-08-01T13:30:00Z"/>
        </w:rPr>
      </w:pPr>
      <w:ins w:id="169" w:author="Master Repository Process" w:date="2021-08-01T13:30:00Z">
        <w:r>
          <w:tab/>
        </w:r>
        <w:r>
          <w:rPr>
            <w:rStyle w:val="CharDefText"/>
          </w:rPr>
          <w:t>transferred residential premises</w:t>
        </w:r>
        <w:r>
          <w:t xml:space="preserve"> means residential premises the title to which has been transferred.</w:t>
        </w:r>
      </w:ins>
    </w:p>
    <w:p>
      <w:pPr>
        <w:pStyle w:val="Footnotesection"/>
      </w:pPr>
      <w:r>
        <w:tab/>
        <w:t>[Regulation 12 inserted in Gazette 8 May 2009 p. 1493</w:t>
      </w:r>
      <w:r>
        <w:noBreakHyphen/>
        <w:t>4; amended in Gazette 5 Mar 2010 p. 842</w:t>
      </w:r>
      <w:ins w:id="170" w:author="Master Repository Process" w:date="2021-08-01T13:30:00Z">
        <w:r>
          <w:t>; 10 May 2011 p. 1663</w:t>
        </w:r>
      </w:ins>
      <w:r>
        <w:t>.]</w:t>
      </w:r>
    </w:p>
    <w:p>
      <w:pPr>
        <w:pStyle w:val="Heading5"/>
      </w:pPr>
      <w:bookmarkStart w:id="171" w:name="_Toc292719879"/>
      <w:bookmarkStart w:id="172" w:name="_Toc281483152"/>
      <w:r>
        <w:rPr>
          <w:rStyle w:val="CharSectno"/>
        </w:rPr>
        <w:t>13</w:t>
      </w:r>
      <w:r>
        <w:t>.</w:t>
      </w:r>
      <w:r>
        <w:tab/>
        <w:t>Residential premises occupied by an owner</w:t>
      </w:r>
      <w:bookmarkEnd w:id="171"/>
      <w:bookmarkEnd w:id="172"/>
    </w:p>
    <w:p>
      <w:pPr>
        <w:pStyle w:val="Subsection"/>
      </w:pPr>
      <w:del w:id="173" w:author="Master Repository Process" w:date="2021-08-01T13:30:00Z">
        <w:r>
          <w:tab/>
        </w:r>
        <w:r>
          <w:tab/>
          <w:delText>Except as provided in regulations 16(1) and 17</w:delText>
        </w:r>
      </w:del>
      <w:ins w:id="174" w:author="Master Repository Process" w:date="2021-08-01T13:30:00Z">
        <w:r>
          <w:tab/>
        </w:r>
        <w:r>
          <w:tab/>
          <w:t>Subject to any exemption under regulation 18</w:t>
        </w:r>
      </w:ins>
      <w:r>
        <w:t>,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w:t>
      </w:r>
      <w:del w:id="175" w:author="Master Repository Process" w:date="2021-08-01T13:30:00Z">
        <w:r>
          <w:delText>1494</w:delText>
        </w:r>
      </w:del>
      <w:ins w:id="176" w:author="Master Repository Process" w:date="2021-08-01T13:30:00Z">
        <w:r>
          <w:t>1494; amended in Gazette 10 May 2011 p. 1663</w:t>
        </w:r>
      </w:ins>
      <w:r>
        <w:t>.]</w:t>
      </w:r>
    </w:p>
    <w:p>
      <w:pPr>
        <w:pStyle w:val="Heading5"/>
      </w:pPr>
      <w:bookmarkStart w:id="177" w:name="_Toc292719880"/>
      <w:bookmarkStart w:id="178" w:name="_Toc281483153"/>
      <w:r>
        <w:rPr>
          <w:rStyle w:val="CharSectno"/>
        </w:rPr>
        <w:t>14</w:t>
      </w:r>
      <w:r>
        <w:t>.</w:t>
      </w:r>
      <w:r>
        <w:tab/>
        <w:t>Residential premises not occupied by an owner</w:t>
      </w:r>
      <w:bookmarkEnd w:id="177"/>
      <w:bookmarkEnd w:id="178"/>
    </w:p>
    <w:p>
      <w:pPr>
        <w:pStyle w:val="Subsection"/>
      </w:pPr>
      <w:del w:id="179" w:author="Master Repository Process" w:date="2021-08-01T13:30:00Z">
        <w:r>
          <w:tab/>
        </w:r>
        <w:r>
          <w:tab/>
          <w:delText>Except as provided in regulations 16(1) and (3) and 17</w:delText>
        </w:r>
      </w:del>
      <w:ins w:id="180" w:author="Master Repository Process" w:date="2021-08-01T13:30:00Z">
        <w:r>
          <w:tab/>
        </w:r>
        <w:r>
          <w:tab/>
          <w:t>Subject to any exemption under regulation 18</w:t>
        </w:r>
      </w:ins>
      <w:r>
        <w:t>,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w:t>
      </w:r>
      <w:del w:id="181" w:author="Master Repository Process" w:date="2021-08-01T13:30:00Z">
        <w:r>
          <w:delText>1494</w:delText>
        </w:r>
      </w:del>
      <w:ins w:id="182" w:author="Master Repository Process" w:date="2021-08-01T13:30:00Z">
        <w:r>
          <w:t>1494; amended in Gazette 10 May 2011 p. 1663</w:t>
        </w:r>
      </w:ins>
      <w:r>
        <w:t>.]</w:t>
      </w:r>
    </w:p>
    <w:p>
      <w:pPr>
        <w:pStyle w:val="Heading5"/>
        <w:rPr>
          <w:ins w:id="183" w:author="Master Repository Process" w:date="2021-08-01T13:30:00Z"/>
        </w:rPr>
      </w:pPr>
      <w:bookmarkStart w:id="184" w:name="_Toc292719881"/>
      <w:ins w:id="185" w:author="Master Repository Process" w:date="2021-08-01T13:30:00Z">
        <w:r>
          <w:rPr>
            <w:rStyle w:val="CharSectno"/>
          </w:rPr>
          <w:t>15A</w:t>
        </w:r>
        <w:r>
          <w:t>.</w:t>
        </w:r>
        <w:r>
          <w:tab/>
          <w:t>New owner’s obligation to install residual current devices and right to recover costs</w:t>
        </w:r>
        <w:bookmarkEnd w:id="184"/>
      </w:ins>
    </w:p>
    <w:p>
      <w:pPr>
        <w:pStyle w:val="Subsection"/>
        <w:rPr>
          <w:ins w:id="186" w:author="Master Repository Process" w:date="2021-08-01T13:30:00Z"/>
        </w:rPr>
      </w:pPr>
      <w:ins w:id="187" w:author="Master Repository Process" w:date="2021-08-01T13:30:00Z">
        <w:r>
          <w:tab/>
          <w:t>(1)</w:t>
        </w:r>
        <w:r>
          <w:tab/>
          <w:t>In this regulation —</w:t>
        </w:r>
      </w:ins>
    </w:p>
    <w:p>
      <w:pPr>
        <w:pStyle w:val="Defstart"/>
        <w:rPr>
          <w:ins w:id="188" w:author="Master Repository Process" w:date="2021-08-01T13:30:00Z"/>
        </w:rPr>
      </w:pPr>
      <w:ins w:id="189" w:author="Master Repository Process" w:date="2021-08-01T13:30:00Z">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ins>
    </w:p>
    <w:p>
      <w:pPr>
        <w:pStyle w:val="Defpara"/>
        <w:rPr>
          <w:ins w:id="190" w:author="Master Repository Process" w:date="2021-08-01T13:30:00Z"/>
        </w:rPr>
      </w:pPr>
      <w:ins w:id="191" w:author="Master Repository Process" w:date="2021-08-01T13:30:00Z">
        <w:r>
          <w:tab/>
          <w:t>(a)</w:t>
        </w:r>
        <w:r>
          <w:tab/>
          <w:t>if the new owner has given a notice of intended demolition — 6 months after the transfer;</w:t>
        </w:r>
      </w:ins>
    </w:p>
    <w:p>
      <w:pPr>
        <w:pStyle w:val="Defpara"/>
        <w:rPr>
          <w:ins w:id="192" w:author="Master Repository Process" w:date="2021-08-01T13:30:00Z"/>
        </w:rPr>
      </w:pPr>
      <w:ins w:id="193" w:author="Master Repository Process" w:date="2021-08-01T13:30:00Z">
        <w:r>
          <w:tab/>
          <w:t>(b)</w:t>
        </w:r>
        <w:r>
          <w:tab/>
          <w:t>if the new owner has not given a notice of intended demolition — 2 months after the transfer.</w:t>
        </w:r>
      </w:ins>
    </w:p>
    <w:p>
      <w:pPr>
        <w:pStyle w:val="Subsection"/>
        <w:rPr>
          <w:ins w:id="194" w:author="Master Repository Process" w:date="2021-08-01T13:30:00Z"/>
        </w:rPr>
      </w:pPr>
      <w:ins w:id="195" w:author="Master Repository Process" w:date="2021-08-01T13:30:00Z">
        <w:r>
          <w:tab/>
          <w:t>(2)</w:t>
        </w:r>
        <w:r>
          <w:tab/>
          <w:t>If —</w:t>
        </w:r>
      </w:ins>
    </w:p>
    <w:p>
      <w:pPr>
        <w:pStyle w:val="Indenta"/>
        <w:rPr>
          <w:ins w:id="196" w:author="Master Repository Process" w:date="2021-08-01T13:30:00Z"/>
        </w:rPr>
      </w:pPr>
      <w:ins w:id="197" w:author="Master Repository Process" w:date="2021-08-01T13:30:00Z">
        <w:r>
          <w:tab/>
          <w:t>(a)</w:t>
        </w:r>
        <w:r>
          <w:tab/>
          <w:t>the title to residential premises is transferred; and</w:t>
        </w:r>
      </w:ins>
    </w:p>
    <w:p>
      <w:pPr>
        <w:pStyle w:val="Indenta"/>
        <w:rPr>
          <w:ins w:id="198" w:author="Master Repository Process" w:date="2021-08-01T13:30:00Z"/>
        </w:rPr>
      </w:pPr>
      <w:ins w:id="199" w:author="Master Repository Process" w:date="2021-08-01T13:30:00Z">
        <w:r>
          <w:tab/>
          <w:t>(b)</w:t>
        </w:r>
        <w:r>
          <w:tab/>
          <w:t>the prior owner has not complied with regulation 13(a) or 14(a); and</w:t>
        </w:r>
      </w:ins>
    </w:p>
    <w:p>
      <w:pPr>
        <w:pStyle w:val="Indenta"/>
        <w:rPr>
          <w:ins w:id="200" w:author="Master Repository Process" w:date="2021-08-01T13:30:00Z"/>
        </w:rPr>
      </w:pPr>
      <w:ins w:id="201" w:author="Master Repository Process" w:date="2021-08-01T13:30:00Z">
        <w:r>
          <w:tab/>
          <w:t>(c)</w:t>
        </w:r>
        <w:r>
          <w:tab/>
          <w:t>demolition of the premises has not commenced within the post</w:t>
        </w:r>
        <w:r>
          <w:noBreakHyphen/>
          <w:t>transfer period,</w:t>
        </w:r>
      </w:ins>
    </w:p>
    <w:p>
      <w:pPr>
        <w:pStyle w:val="Subsection"/>
        <w:rPr>
          <w:ins w:id="202" w:author="Master Repository Process" w:date="2021-08-01T13:30:00Z"/>
        </w:rPr>
      </w:pPr>
      <w:ins w:id="203" w:author="Master Repository Process" w:date="2021-08-01T13:30:00Z">
        <w:r>
          <w:tab/>
        </w:r>
        <w:r>
          <w:tab/>
          <w:t>the new owner must, on or before the expiry of the post</w:t>
        </w:r>
        <w:r>
          <w:noBreakHyphen/>
          <w:t>transfer period, ensure that at least 2 residual current devices are installed in relation to the premises.</w:t>
        </w:r>
      </w:ins>
    </w:p>
    <w:p>
      <w:pPr>
        <w:pStyle w:val="Penstart"/>
        <w:rPr>
          <w:ins w:id="204" w:author="Master Repository Process" w:date="2021-08-01T13:30:00Z"/>
        </w:rPr>
      </w:pPr>
      <w:ins w:id="205" w:author="Master Repository Process" w:date="2021-08-01T13:30:00Z">
        <w:r>
          <w:tab/>
          <w:t xml:space="preserve">Penalty: </w:t>
        </w:r>
      </w:ins>
    </w:p>
    <w:p>
      <w:pPr>
        <w:pStyle w:val="Penpara"/>
        <w:rPr>
          <w:ins w:id="206" w:author="Master Repository Process" w:date="2021-08-01T13:30:00Z"/>
        </w:rPr>
      </w:pPr>
      <w:ins w:id="207" w:author="Master Repository Process" w:date="2021-08-01T13:30:00Z">
        <w:r>
          <w:tab/>
          <w:t>(a)</w:t>
        </w:r>
        <w:r>
          <w:tab/>
          <w:t>in the case of an individual — a fine of $15 000;</w:t>
        </w:r>
      </w:ins>
    </w:p>
    <w:p>
      <w:pPr>
        <w:pStyle w:val="Penpara"/>
        <w:rPr>
          <w:ins w:id="208" w:author="Master Repository Process" w:date="2021-08-01T13:30:00Z"/>
        </w:rPr>
      </w:pPr>
      <w:ins w:id="209" w:author="Master Repository Process" w:date="2021-08-01T13:30:00Z">
        <w:r>
          <w:tab/>
          <w:t>(b)</w:t>
        </w:r>
        <w:r>
          <w:tab/>
          <w:t>in the case of a body corporate — a fine of $100 000.</w:t>
        </w:r>
      </w:ins>
    </w:p>
    <w:p>
      <w:pPr>
        <w:pStyle w:val="Subsection"/>
        <w:rPr>
          <w:ins w:id="210" w:author="Master Repository Process" w:date="2021-08-01T13:30:00Z"/>
        </w:rPr>
      </w:pPr>
      <w:ins w:id="211" w:author="Master Repository Process" w:date="2021-08-01T13:30:00Z">
        <w:r>
          <w:tab/>
          <w:t>(3)</w:t>
        </w:r>
        <w:r>
          <w:tab/>
          <w:t>If the new owner has not given a notice of intended demolition, the new owner’s reasonable costs of complying with subregulation (2) —</w:t>
        </w:r>
      </w:ins>
    </w:p>
    <w:p>
      <w:pPr>
        <w:pStyle w:val="Indenta"/>
        <w:rPr>
          <w:ins w:id="212" w:author="Master Repository Process" w:date="2021-08-01T13:30:00Z"/>
        </w:rPr>
      </w:pPr>
      <w:ins w:id="213" w:author="Master Repository Process" w:date="2021-08-01T13:30:00Z">
        <w:r>
          <w:tab/>
          <w:t>(a)</w:t>
        </w:r>
        <w:r>
          <w:tab/>
          <w:t>are a debt due by the prior owner to the new owner; and</w:t>
        </w:r>
      </w:ins>
    </w:p>
    <w:p>
      <w:pPr>
        <w:pStyle w:val="Indenta"/>
        <w:rPr>
          <w:ins w:id="214" w:author="Master Repository Process" w:date="2021-08-01T13:30:00Z"/>
        </w:rPr>
      </w:pPr>
      <w:ins w:id="215" w:author="Master Repository Process" w:date="2021-08-01T13:30:00Z">
        <w:r>
          <w:tab/>
          <w:t>(b)</w:t>
        </w:r>
        <w:r>
          <w:tab/>
          <w:t>may be recovered in a court of competent jurisdiction.</w:t>
        </w:r>
      </w:ins>
    </w:p>
    <w:p>
      <w:pPr>
        <w:pStyle w:val="Footnotesection"/>
        <w:ind w:left="890" w:hanging="890"/>
        <w:rPr>
          <w:ins w:id="216" w:author="Master Repository Process" w:date="2021-08-01T13:30:00Z"/>
        </w:rPr>
      </w:pPr>
      <w:ins w:id="217" w:author="Master Repository Process" w:date="2021-08-01T13:30:00Z">
        <w:r>
          <w:tab/>
          <w:t>[Regulation 15A inserted in Gazette 10 May 2011 p. 1664.]</w:t>
        </w:r>
      </w:ins>
    </w:p>
    <w:p>
      <w:pPr>
        <w:pStyle w:val="Heading5"/>
      </w:pPr>
      <w:bookmarkStart w:id="218" w:name="_Toc292719882"/>
      <w:bookmarkStart w:id="219" w:name="_Toc281483154"/>
      <w:r>
        <w:rPr>
          <w:rStyle w:val="CharSectno"/>
        </w:rPr>
        <w:t>15</w:t>
      </w:r>
      <w:r>
        <w:t>.</w:t>
      </w:r>
      <w:r>
        <w:tab/>
        <w:t>Common property relating to residential premises</w:t>
      </w:r>
      <w:bookmarkEnd w:id="218"/>
      <w:bookmarkEnd w:id="219"/>
    </w:p>
    <w:p>
      <w:pPr>
        <w:pStyle w:val="Subsection"/>
      </w:pPr>
      <w:r>
        <w:tab/>
      </w:r>
      <w:r>
        <w:tab/>
      </w:r>
      <w:del w:id="220" w:author="Master Repository Process" w:date="2021-08-01T13:30:00Z">
        <w:r>
          <w:delText>Except as provided in</w:delText>
        </w:r>
      </w:del>
      <w:ins w:id="221" w:author="Master Repository Process" w:date="2021-08-01T13:30:00Z">
        <w:r>
          <w:t>Subject to any exemption under</w:t>
        </w:r>
      </w:ins>
      <w:r>
        <w:t xml:space="preserve"> regulation </w:t>
      </w:r>
      <w:del w:id="222" w:author="Master Repository Process" w:date="2021-08-01T13:30:00Z">
        <w:r>
          <w:delText>16(4),</w:delText>
        </w:r>
      </w:del>
      <w:ins w:id="223" w:author="Master Repository Process" w:date="2021-08-01T13:30:00Z">
        <w:r>
          <w:t>18,</w:t>
        </w:r>
      </w:ins>
      <w:r>
        <w:t xml:space="preserve">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w:t>
      </w:r>
      <w:ins w:id="224" w:author="Master Repository Process" w:date="2021-08-01T13:30:00Z">
        <w:r>
          <w:t>; 10 May 2011 p. 1664</w:t>
        </w:r>
      </w:ins>
      <w:r>
        <w:t>.]</w:t>
      </w:r>
    </w:p>
    <w:p>
      <w:pPr>
        <w:pStyle w:val="Heading5"/>
      </w:pPr>
      <w:bookmarkStart w:id="225" w:name="_Toc292719883"/>
      <w:bookmarkStart w:id="226" w:name="_Toc281483155"/>
      <w:r>
        <w:rPr>
          <w:rStyle w:val="CharSectno"/>
        </w:rPr>
        <w:t>16</w:t>
      </w:r>
      <w:r>
        <w:t>.</w:t>
      </w:r>
      <w:r>
        <w:tab/>
      </w:r>
      <w:del w:id="227" w:author="Master Repository Process" w:date="2021-08-01T13:30:00Z">
        <w:r>
          <w:delText>Exception</w:delText>
        </w:r>
      </w:del>
      <w:ins w:id="228" w:author="Master Repository Process" w:date="2021-08-01T13:30:00Z">
        <w:r>
          <w:t>Defences</w:t>
        </w:r>
      </w:ins>
      <w:r>
        <w:t xml:space="preserve"> in case of demolition</w:t>
      </w:r>
      <w:bookmarkEnd w:id="225"/>
      <w:bookmarkEnd w:id="226"/>
    </w:p>
    <w:p>
      <w:pPr>
        <w:pStyle w:val="Subsection"/>
        <w:rPr>
          <w:del w:id="229" w:author="Master Repository Process" w:date="2021-08-01T13:30:00Z"/>
        </w:rPr>
      </w:pPr>
      <w:r>
        <w:tab/>
        <w:t>(1)</w:t>
      </w:r>
      <w:r>
        <w:tab/>
      </w:r>
      <w:del w:id="230" w:author="Master Repository Process" w:date="2021-08-01T13:30:00Z">
        <w:r>
          <w:delText xml:space="preserve">An owner of residential premises </w:delText>
        </w:r>
      </w:del>
      <w:ins w:id="231" w:author="Master Repository Process" w:date="2021-08-01T13:30:00Z">
        <w:r>
          <w:t xml:space="preserve">It </w:t>
        </w:r>
      </w:ins>
      <w:r>
        <w:t xml:space="preserve">is </w:t>
      </w:r>
      <w:del w:id="232" w:author="Master Repository Process" w:date="2021-08-01T13:30:00Z">
        <w:r>
          <w:delText>not required</w:delText>
        </w:r>
      </w:del>
      <w:ins w:id="233" w:author="Master Repository Process" w:date="2021-08-01T13:30:00Z">
        <w:r>
          <w:t>a defence</w:t>
        </w:r>
      </w:ins>
      <w:r>
        <w:t xml:space="preserve"> to </w:t>
      </w:r>
      <w:del w:id="234" w:author="Master Repository Process" w:date="2021-08-01T13:30:00Z">
        <w:r>
          <w:delText xml:space="preserve">comply with </w:delText>
        </w:r>
      </w:del>
      <w:ins w:id="235" w:author="Master Repository Process" w:date="2021-08-01T13:30:00Z">
        <w:r>
          <w:t xml:space="preserve">a charge of an offence under </w:t>
        </w:r>
      </w:ins>
      <w:r>
        <w:t xml:space="preserve">regulation 13(a) or 14(a) </w:t>
      </w:r>
      <w:del w:id="236" w:author="Master Repository Process" w:date="2021-08-01T13:30:00Z">
        <w:r>
          <w:delText>if</w:delText>
        </w:r>
      </w:del>
      <w:ins w:id="237" w:author="Master Repository Process" w:date="2021-08-01T13:30:00Z">
        <w:r>
          <w:t>for</w:t>
        </w:r>
      </w:ins>
      <w:r>
        <w:t xml:space="preserve"> the </w:t>
      </w:r>
      <w:del w:id="238" w:author="Master Repository Process" w:date="2021-08-01T13:30:00Z">
        <w:r>
          <w:delText>owner gives</w:delText>
        </w:r>
      </w:del>
      <w:ins w:id="239" w:author="Master Repository Process" w:date="2021-08-01T13:30:00Z">
        <w:r>
          <w:t>person charged</w:t>
        </w:r>
      </w:ins>
      <w:r>
        <w:t xml:space="preserve"> to </w:t>
      </w:r>
      <w:del w:id="240" w:author="Master Repository Process" w:date="2021-08-01T13:30:00Z">
        <w:r>
          <w:delText>the Director a written statement, signed by the person to whom the premises are to be transferred,</w:delText>
        </w:r>
      </w:del>
      <w:ins w:id="241" w:author="Master Repository Process" w:date="2021-08-01T13:30:00Z">
        <w:r>
          <w:t>prove</w:t>
        </w:r>
      </w:ins>
      <w:r>
        <w:t xml:space="preserve"> that the </w:t>
      </w:r>
      <w:del w:id="242" w:author="Master Repository Process" w:date="2021-08-01T13:30:00Z">
        <w:r>
          <w:delText>premises are to be demolished by that person on or before a date specified in the statement.</w:delText>
        </w:r>
      </w:del>
    </w:p>
    <w:p>
      <w:pPr>
        <w:pStyle w:val="Subsection"/>
      </w:pPr>
      <w:del w:id="243" w:author="Master Repository Process" w:date="2021-08-01T13:30:00Z">
        <w:r>
          <w:tab/>
          <w:delText>(2)</w:delText>
        </w:r>
        <w:r>
          <w:tab/>
          <w:delText>The date specified in</w:delText>
        </w:r>
      </w:del>
      <w:ins w:id="244" w:author="Master Repository Process" w:date="2021-08-01T13:30:00Z">
        <w:r>
          <w:t>new owner gave</w:t>
        </w:r>
      </w:ins>
      <w:r>
        <w:t xml:space="preserve"> a </w:t>
      </w:r>
      <w:del w:id="245" w:author="Master Repository Process" w:date="2021-08-01T13:30:00Z">
        <w:r>
          <w:delText>statement under subregulation (1) must not be more than 6 months after the transfer of the premises</w:delText>
        </w:r>
      </w:del>
      <w:ins w:id="246" w:author="Master Repository Process" w:date="2021-08-01T13:30:00Z">
        <w:r>
          <w:t>notice of intended demolition</w:t>
        </w:r>
      </w:ins>
      <w:r>
        <w:t>.</w:t>
      </w:r>
    </w:p>
    <w:p>
      <w:pPr>
        <w:pStyle w:val="Subsection"/>
        <w:rPr>
          <w:del w:id="247" w:author="Master Repository Process" w:date="2021-08-01T13:30:00Z"/>
        </w:rPr>
      </w:pPr>
      <w:r>
        <w:tab/>
        <w:t>(</w:t>
      </w:r>
      <w:del w:id="248" w:author="Master Repository Process" w:date="2021-08-01T13:30:00Z">
        <w:r>
          <w:delText>3)</w:delText>
        </w:r>
        <w:r>
          <w:tab/>
          <w:delText>An owner of residential premises</w:delText>
        </w:r>
      </w:del>
      <w:ins w:id="249" w:author="Master Repository Process" w:date="2021-08-01T13:30:00Z">
        <w:r>
          <w:t>2)</w:t>
        </w:r>
        <w:r>
          <w:tab/>
          <w:t>It</w:t>
        </w:r>
      </w:ins>
      <w:r>
        <w:t xml:space="preserve"> is </w:t>
      </w:r>
      <w:del w:id="250" w:author="Master Repository Process" w:date="2021-08-01T13:30:00Z">
        <w:r>
          <w:delText>not required</w:delText>
        </w:r>
      </w:del>
      <w:ins w:id="251" w:author="Master Repository Process" w:date="2021-08-01T13:30:00Z">
        <w:r>
          <w:t>a defence</w:t>
        </w:r>
      </w:ins>
      <w:r>
        <w:t xml:space="preserve"> to </w:t>
      </w:r>
      <w:del w:id="252" w:author="Master Repository Process" w:date="2021-08-01T13:30:00Z">
        <w:r>
          <w:delText>comply with</w:delText>
        </w:r>
      </w:del>
      <w:ins w:id="253" w:author="Master Repository Process" w:date="2021-08-01T13:30:00Z">
        <w:r>
          <w:t>a charge of an offence under</w:t>
        </w:r>
      </w:ins>
      <w:r>
        <w:t xml:space="preserve"> regulation 14(d) </w:t>
      </w:r>
      <w:del w:id="254" w:author="Master Repository Process" w:date="2021-08-01T13:30:00Z">
        <w:r>
          <w:delText xml:space="preserve">if the owner gives to the Director a written statement </w:delText>
        </w:r>
      </w:del>
      <w:ins w:id="255" w:author="Master Repository Process" w:date="2021-08-01T13:30:00Z">
        <w:r>
          <w:t xml:space="preserve">or 15 for the person charged to prove that the person had, before the charge was laid, arranged for the demolition of the premises on or before a date </w:t>
        </w:r>
      </w:ins>
      <w:r>
        <w:t xml:space="preserve">that </w:t>
      </w:r>
      <w:del w:id="256" w:author="Master Repository Process" w:date="2021-08-01T13:30:00Z">
        <w:r>
          <w:delText>the premises are to be demolished on or before a date specified in the statement.</w:delText>
        </w:r>
      </w:del>
    </w:p>
    <w:p>
      <w:pPr>
        <w:pStyle w:val="Subsection"/>
        <w:rPr>
          <w:del w:id="257" w:author="Master Repository Process" w:date="2021-08-01T13:30:00Z"/>
        </w:rPr>
      </w:pPr>
      <w:del w:id="258" w:author="Master Repository Process" w:date="2021-08-01T13:30:00Z">
        <w:r>
          <w:tab/>
          <w:delText>(4)</w:delText>
        </w:r>
        <w:r>
          <w:tab/>
          <w:delTex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delText>
        </w:r>
      </w:del>
    </w:p>
    <w:p>
      <w:pPr>
        <w:pStyle w:val="Subsection"/>
      </w:pPr>
      <w:del w:id="259" w:author="Master Repository Process" w:date="2021-08-01T13:30:00Z">
        <w:r>
          <w:tab/>
          <w:delText>(5)</w:delText>
        </w:r>
        <w:r>
          <w:tab/>
          <w:delText>The date specified in a statement under subregulation (3) or (4) must not be</w:delText>
        </w:r>
      </w:del>
      <w:ins w:id="260" w:author="Master Repository Process" w:date="2021-08-01T13:30:00Z">
        <w:r>
          <w:t>is not</w:t>
        </w:r>
      </w:ins>
      <w:r>
        <w:t xml:space="preserve"> more than 6 months after the second anniversary of the commencement day.</w:t>
      </w:r>
    </w:p>
    <w:p>
      <w:pPr>
        <w:pStyle w:val="Subsection"/>
        <w:rPr>
          <w:del w:id="261" w:author="Master Repository Process" w:date="2021-08-01T13:30:00Z"/>
        </w:rPr>
      </w:pPr>
      <w:del w:id="262" w:author="Master Repository Process" w:date="2021-08-01T13:30:00Z">
        <w:r>
          <w:tab/>
          <w:delText>(6)</w:delText>
        </w:r>
        <w:r>
          <w:tab/>
          <w:delTex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delText>
        </w:r>
      </w:del>
    </w:p>
    <w:p>
      <w:pPr>
        <w:pStyle w:val="Penstart"/>
        <w:rPr>
          <w:del w:id="263" w:author="Master Repository Process" w:date="2021-08-01T13:30:00Z"/>
        </w:rPr>
      </w:pPr>
      <w:del w:id="264" w:author="Master Repository Process" w:date="2021-08-01T13:30:00Z">
        <w:r>
          <w:tab/>
          <w:delText>Penalty:</w:delText>
        </w:r>
      </w:del>
    </w:p>
    <w:p>
      <w:pPr>
        <w:pStyle w:val="Penpara"/>
        <w:rPr>
          <w:del w:id="265" w:author="Master Repository Process" w:date="2021-08-01T13:30:00Z"/>
        </w:rPr>
      </w:pPr>
      <w:del w:id="266" w:author="Master Repository Process" w:date="2021-08-01T13:30:00Z">
        <w:r>
          <w:tab/>
          <w:delText>(a)</w:delText>
        </w:r>
        <w:r>
          <w:tab/>
          <w:delText>in the case of an individual — a fine of $15 000;</w:delText>
        </w:r>
      </w:del>
    </w:p>
    <w:p>
      <w:pPr>
        <w:pStyle w:val="Penpara"/>
        <w:rPr>
          <w:del w:id="267" w:author="Master Repository Process" w:date="2021-08-01T13:30:00Z"/>
        </w:rPr>
      </w:pPr>
      <w:del w:id="268" w:author="Master Repository Process" w:date="2021-08-01T13:30:00Z">
        <w:r>
          <w:tab/>
          <w:delText>(b)</w:delText>
        </w:r>
        <w:r>
          <w:tab/>
          <w:delText>in the case of a body corporate — a fine of $100 000.</w:delText>
        </w:r>
      </w:del>
    </w:p>
    <w:p>
      <w:pPr>
        <w:pStyle w:val="Subsection"/>
        <w:rPr>
          <w:del w:id="269" w:author="Master Repository Process" w:date="2021-08-01T13:30:00Z"/>
        </w:rPr>
      </w:pPr>
      <w:del w:id="270" w:author="Master Repository Process" w:date="2021-08-01T13:30:00Z">
        <w:r>
          <w:tab/>
          <w:delText>(7)</w:delText>
        </w:r>
        <w:r>
          <w:tab/>
          <w:delTex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delText>
        </w:r>
      </w:del>
    </w:p>
    <w:p>
      <w:pPr>
        <w:pStyle w:val="Penstart"/>
        <w:rPr>
          <w:del w:id="271" w:author="Master Repository Process" w:date="2021-08-01T13:30:00Z"/>
        </w:rPr>
      </w:pPr>
      <w:del w:id="272" w:author="Master Repository Process" w:date="2021-08-01T13:30:00Z">
        <w:r>
          <w:tab/>
          <w:delText>Penalty:</w:delText>
        </w:r>
      </w:del>
    </w:p>
    <w:p>
      <w:pPr>
        <w:pStyle w:val="Penpara"/>
        <w:rPr>
          <w:del w:id="273" w:author="Master Repository Process" w:date="2021-08-01T13:30:00Z"/>
        </w:rPr>
      </w:pPr>
      <w:del w:id="274" w:author="Master Repository Process" w:date="2021-08-01T13:30:00Z">
        <w:r>
          <w:tab/>
          <w:delText>(a)</w:delText>
        </w:r>
        <w:r>
          <w:tab/>
          <w:delText>in the case of an individual — a fine of $15 000;</w:delText>
        </w:r>
      </w:del>
    </w:p>
    <w:p>
      <w:pPr>
        <w:pStyle w:val="Penpara"/>
        <w:rPr>
          <w:del w:id="275" w:author="Master Repository Process" w:date="2021-08-01T13:30:00Z"/>
        </w:rPr>
      </w:pPr>
      <w:del w:id="276" w:author="Master Repository Process" w:date="2021-08-01T13:30:00Z">
        <w:r>
          <w:tab/>
          <w:delText>(b)</w:delText>
        </w:r>
        <w:r>
          <w:tab/>
          <w:delText>in the case of a body corporate — a fine of $100 000.</w:delText>
        </w:r>
      </w:del>
    </w:p>
    <w:p>
      <w:pPr>
        <w:pStyle w:val="Footnotesection"/>
      </w:pPr>
      <w:r>
        <w:tab/>
        <w:t>[Regulation</w:t>
      </w:r>
      <w:del w:id="277" w:author="Master Repository Process" w:date="2021-08-01T13:30:00Z">
        <w:r>
          <w:delText> </w:delText>
        </w:r>
      </w:del>
      <w:ins w:id="278" w:author="Master Repository Process" w:date="2021-08-01T13:30:00Z">
        <w:r>
          <w:t xml:space="preserve"> </w:t>
        </w:r>
      </w:ins>
      <w:r>
        <w:t xml:space="preserve">16 inserted in Gazette </w:t>
      </w:r>
      <w:del w:id="279" w:author="Master Repository Process" w:date="2021-08-01T13:30:00Z">
        <w:r>
          <w:delText>8</w:delText>
        </w:r>
      </w:del>
      <w:ins w:id="280" w:author="Master Repository Process" w:date="2021-08-01T13:30:00Z">
        <w:r>
          <w:t>10</w:t>
        </w:r>
      </w:ins>
      <w:r>
        <w:t> May</w:t>
      </w:r>
      <w:del w:id="281" w:author="Master Repository Process" w:date="2021-08-01T13:30:00Z">
        <w:r>
          <w:delText> 2009</w:delText>
        </w:r>
      </w:del>
      <w:ins w:id="282" w:author="Master Repository Process" w:date="2021-08-01T13:30:00Z">
        <w:r>
          <w:t xml:space="preserve"> 2011</w:t>
        </w:r>
      </w:ins>
      <w:r>
        <w:t xml:space="preserve"> p. </w:t>
      </w:r>
      <w:del w:id="283" w:author="Master Repository Process" w:date="2021-08-01T13:30:00Z">
        <w:r>
          <w:delText>1495</w:delText>
        </w:r>
        <w:r>
          <w:noBreakHyphen/>
          <w:delText>6</w:delText>
        </w:r>
      </w:del>
      <w:ins w:id="284" w:author="Master Repository Process" w:date="2021-08-01T13:30:00Z">
        <w:r>
          <w:t>1665</w:t>
        </w:r>
      </w:ins>
      <w:r>
        <w:t>.]</w:t>
      </w:r>
    </w:p>
    <w:p>
      <w:pPr>
        <w:pStyle w:val="Heading5"/>
        <w:rPr>
          <w:del w:id="285" w:author="Master Repository Process" w:date="2021-08-01T13:30:00Z"/>
        </w:rPr>
      </w:pPr>
      <w:bookmarkStart w:id="286" w:name="_Toc281483156"/>
      <w:del w:id="287" w:author="Master Repository Process" w:date="2021-08-01T13:30:00Z">
        <w:r>
          <w:rPr>
            <w:rStyle w:val="CharSectno"/>
          </w:rPr>
          <w:delText>17</w:delText>
        </w:r>
        <w:r>
          <w:delText>.</w:delText>
        </w:r>
        <w:r>
          <w:tab/>
          <w:delText>Exception in case of lack of appropriate switchboard</w:delText>
        </w:r>
        <w:bookmarkEnd w:id="286"/>
      </w:del>
    </w:p>
    <w:p>
      <w:pPr>
        <w:pStyle w:val="Subsection"/>
        <w:rPr>
          <w:del w:id="288" w:author="Master Repository Process" w:date="2021-08-01T13:30:00Z"/>
        </w:rPr>
      </w:pPr>
      <w:del w:id="289" w:author="Master Repository Process" w:date="2021-08-01T13:30:00Z">
        <w:r>
          <w:tab/>
        </w:r>
        <w:r>
          <w:tab/>
          <w:delText xml:space="preserve">An owner of residential premises is not required to comply with regulation 13, 14 or 16(6) if — </w:delText>
        </w:r>
      </w:del>
    </w:p>
    <w:p>
      <w:pPr>
        <w:pStyle w:val="Indenta"/>
        <w:rPr>
          <w:del w:id="290" w:author="Master Repository Process" w:date="2021-08-01T13:30:00Z"/>
        </w:rPr>
      </w:pPr>
      <w:del w:id="291" w:author="Master Repository Process" w:date="2021-08-01T13:30:00Z">
        <w:r>
          <w:tab/>
          <w:delText>(a)</w:delText>
        </w:r>
        <w:r>
          <w:tab/>
          <w:delText>the premises do not have —</w:delText>
        </w:r>
      </w:del>
    </w:p>
    <w:p>
      <w:pPr>
        <w:pStyle w:val="Indenti"/>
        <w:rPr>
          <w:del w:id="292" w:author="Master Repository Process" w:date="2021-08-01T13:30:00Z"/>
        </w:rPr>
      </w:pPr>
      <w:del w:id="293" w:author="Master Repository Process" w:date="2021-08-01T13:30:00Z">
        <w:r>
          <w:tab/>
          <w:delText>(i)</w:delText>
        </w:r>
        <w:r>
          <w:tab/>
          <w:delText>a switchboard; or</w:delText>
        </w:r>
      </w:del>
    </w:p>
    <w:p>
      <w:pPr>
        <w:pStyle w:val="Indenti"/>
        <w:rPr>
          <w:del w:id="294" w:author="Master Repository Process" w:date="2021-08-01T13:30:00Z"/>
        </w:rPr>
      </w:pPr>
      <w:del w:id="295" w:author="Master Repository Process" w:date="2021-08-01T13:30:00Z">
        <w:r>
          <w:tab/>
          <w:delText>(ii)</w:delText>
        </w:r>
        <w:r>
          <w:tab/>
          <w:delText>a switchboard that can accommodate 2 residual current devices,</w:delText>
        </w:r>
      </w:del>
    </w:p>
    <w:p>
      <w:pPr>
        <w:pStyle w:val="Indenta"/>
        <w:rPr>
          <w:del w:id="296" w:author="Master Repository Process" w:date="2021-08-01T13:30:00Z"/>
        </w:rPr>
      </w:pPr>
      <w:del w:id="297" w:author="Master Repository Process" w:date="2021-08-01T13:30:00Z">
        <w:r>
          <w:tab/>
        </w:r>
        <w:r>
          <w:tab/>
          <w:delText>located on those premises; and</w:delText>
        </w:r>
      </w:del>
    </w:p>
    <w:p>
      <w:pPr>
        <w:pStyle w:val="Indenta"/>
        <w:rPr>
          <w:del w:id="298" w:author="Master Repository Process" w:date="2021-08-01T13:30:00Z"/>
        </w:rPr>
      </w:pPr>
      <w:del w:id="299" w:author="Master Repository Process" w:date="2021-08-01T13:30:00Z">
        <w:r>
          <w:tab/>
          <w:delText>(b)</w:delText>
        </w:r>
        <w:r>
          <w:tab/>
          <w:delText>an inspector is of the opinion that it is impractical to install 2 residual current devices in relation to the premises and gives written notice of that opinion to the owner; and</w:delText>
        </w:r>
      </w:del>
    </w:p>
    <w:p>
      <w:pPr>
        <w:pStyle w:val="Indenta"/>
        <w:rPr>
          <w:del w:id="300" w:author="Master Repository Process" w:date="2021-08-01T13:30:00Z"/>
        </w:rPr>
      </w:pPr>
      <w:del w:id="301" w:author="Master Repository Process" w:date="2021-08-01T13:30:00Z">
        <w:r>
          <w:tab/>
          <w:delText>(c)</w:delText>
        </w:r>
        <w:r>
          <w:tab/>
          <w:delText>the owner installs one residual current device in relation to the premises.</w:delText>
        </w:r>
      </w:del>
    </w:p>
    <w:p>
      <w:pPr>
        <w:pStyle w:val="Ednotesection"/>
      </w:pPr>
      <w:del w:id="302" w:author="Master Repository Process" w:date="2021-08-01T13:30:00Z">
        <w:r>
          <w:tab/>
          <w:delText>[Regulation 17 inserted</w:delText>
        </w:r>
      </w:del>
      <w:ins w:id="303" w:author="Master Repository Process" w:date="2021-08-01T13:30:00Z">
        <w:r>
          <w:t>[</w:t>
        </w:r>
        <w:r>
          <w:rPr>
            <w:b/>
          </w:rPr>
          <w:t>17.</w:t>
        </w:r>
        <w:r>
          <w:tab/>
          <w:t>Deleted</w:t>
        </w:r>
      </w:ins>
      <w:r>
        <w:t xml:space="preserve"> in Gazette </w:t>
      </w:r>
      <w:del w:id="304" w:author="Master Repository Process" w:date="2021-08-01T13:30:00Z">
        <w:r>
          <w:delText>8</w:delText>
        </w:r>
      </w:del>
      <w:ins w:id="305" w:author="Master Repository Process" w:date="2021-08-01T13:30:00Z">
        <w:r>
          <w:t>10</w:t>
        </w:r>
      </w:ins>
      <w:r>
        <w:t> May</w:t>
      </w:r>
      <w:del w:id="306" w:author="Master Repository Process" w:date="2021-08-01T13:30:00Z">
        <w:r>
          <w:delText> 2009</w:delText>
        </w:r>
      </w:del>
      <w:ins w:id="307" w:author="Master Repository Process" w:date="2021-08-01T13:30:00Z">
        <w:r>
          <w:t xml:space="preserve"> 2011</w:t>
        </w:r>
      </w:ins>
      <w:r>
        <w:t xml:space="preserve"> p. </w:t>
      </w:r>
      <w:del w:id="308" w:author="Master Repository Process" w:date="2021-08-01T13:30:00Z">
        <w:r>
          <w:delText>1496</w:delText>
        </w:r>
      </w:del>
      <w:ins w:id="309" w:author="Master Repository Process" w:date="2021-08-01T13:30:00Z">
        <w:r>
          <w:t>1665</w:t>
        </w:r>
      </w:ins>
      <w:r>
        <w:t>.]</w:t>
      </w:r>
    </w:p>
    <w:p>
      <w:pPr>
        <w:pStyle w:val="Heading5"/>
      </w:pPr>
      <w:bookmarkStart w:id="310" w:name="_Toc292719884"/>
      <w:bookmarkStart w:id="311" w:name="_Toc281483157"/>
      <w:r>
        <w:rPr>
          <w:rStyle w:val="CharSectno"/>
        </w:rPr>
        <w:t>18</w:t>
      </w:r>
      <w:r>
        <w:t>.</w:t>
      </w:r>
      <w:r>
        <w:tab/>
        <w:t>Director may grant temporary exemptions</w:t>
      </w:r>
      <w:bookmarkEnd w:id="310"/>
      <w:bookmarkEnd w:id="311"/>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Ednotesection"/>
      </w:pPr>
      <w:r>
        <w:t>[</w:t>
      </w:r>
      <w:r>
        <w:rPr>
          <w:b/>
          <w:bCs/>
        </w:rPr>
        <w:t>19</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w:t>
      </w:r>
      <w:r>
        <w:noBreakHyphen/>
        <w:t>VII (r. 143</w:t>
      </w:r>
      <w:r>
        <w:noBreakHyphen/>
        <w:t>236) deleted in Gazette 14 Oct 1991 p. 5294.]</w:t>
      </w:r>
    </w:p>
    <w:p>
      <w:pPr>
        <w:pStyle w:val="Heading2"/>
      </w:pPr>
      <w:bookmarkStart w:id="312" w:name="_Toc87686213"/>
      <w:bookmarkStart w:id="313" w:name="_Toc87687076"/>
      <w:bookmarkStart w:id="314" w:name="_Toc87687179"/>
      <w:bookmarkStart w:id="315" w:name="_Toc87781950"/>
      <w:bookmarkStart w:id="316" w:name="_Toc131826849"/>
      <w:bookmarkStart w:id="317" w:name="_Toc150227859"/>
      <w:bookmarkStart w:id="318" w:name="_Toc156279610"/>
      <w:bookmarkStart w:id="319" w:name="_Toc156618907"/>
      <w:bookmarkStart w:id="320" w:name="_Toc159752786"/>
      <w:bookmarkStart w:id="321" w:name="_Toc161741872"/>
      <w:bookmarkStart w:id="322" w:name="_Toc162157768"/>
      <w:bookmarkStart w:id="323" w:name="_Toc162159404"/>
      <w:bookmarkStart w:id="324" w:name="_Toc162162623"/>
      <w:bookmarkStart w:id="325" w:name="_Toc162233145"/>
      <w:bookmarkStart w:id="326" w:name="_Toc229555715"/>
      <w:bookmarkStart w:id="327" w:name="_Toc237315231"/>
      <w:bookmarkStart w:id="328" w:name="_Toc241984154"/>
      <w:bookmarkStart w:id="329" w:name="_Toc241992635"/>
      <w:bookmarkStart w:id="330" w:name="_Toc244326815"/>
      <w:bookmarkStart w:id="331" w:name="_Toc246301913"/>
      <w:bookmarkStart w:id="332" w:name="_Toc246302014"/>
      <w:bookmarkStart w:id="333" w:name="_Toc254084545"/>
      <w:bookmarkStart w:id="334" w:name="_Toc255480944"/>
      <w:bookmarkStart w:id="335" w:name="_Toc281483158"/>
      <w:bookmarkStart w:id="336" w:name="_Toc292719885"/>
      <w:r>
        <w:rPr>
          <w:rStyle w:val="CharPartNo"/>
        </w:rPr>
        <w:t>Part VIII</w:t>
      </w:r>
      <w:r>
        <w:t xml:space="preserve"> — </w:t>
      </w:r>
      <w:r>
        <w:rPr>
          <w:rStyle w:val="CharPartText"/>
        </w:rPr>
        <w:t>Supply of electricity to consumers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pPr>
      <w:r>
        <w:tab/>
        <w:t>[Heading inserted in Gazette 30 May 2000 p. 2571.]</w:t>
      </w:r>
    </w:p>
    <w:p>
      <w:pPr>
        <w:pStyle w:val="Ednotesection"/>
      </w:pPr>
      <w:bookmarkStart w:id="337" w:name="_Toc484337602"/>
      <w:bookmarkStart w:id="338"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339" w:name="_Toc161741873"/>
      <w:bookmarkStart w:id="340" w:name="_Toc292719886"/>
      <w:bookmarkStart w:id="341" w:name="_Toc281483159"/>
      <w:bookmarkStart w:id="342" w:name="_Toc484337606"/>
      <w:bookmarkStart w:id="343" w:name="_Toc87687082"/>
      <w:bookmarkStart w:id="344" w:name="_Toc131826855"/>
      <w:bookmarkEnd w:id="337"/>
      <w:bookmarkEnd w:id="338"/>
      <w:r>
        <w:rPr>
          <w:rStyle w:val="CharSectno"/>
        </w:rPr>
        <w:t>241</w:t>
      </w:r>
      <w:r>
        <w:t>.</w:t>
      </w:r>
      <w:r>
        <w:tab/>
        <w:t>Term used</w:t>
      </w:r>
      <w:bookmarkEnd w:id="339"/>
      <w:r>
        <w:t>: network operator</w:t>
      </w:r>
      <w:bookmarkEnd w:id="340"/>
      <w:bookmarkEnd w:id="341"/>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345" w:name="_Toc161741874"/>
      <w:bookmarkStart w:id="346" w:name="_Toc292719887"/>
      <w:bookmarkStart w:id="347" w:name="_Toc281483160"/>
      <w:r>
        <w:rPr>
          <w:rStyle w:val="CharSectno"/>
        </w:rPr>
        <w:t>242</w:t>
      </w:r>
      <w:r>
        <w:rPr>
          <w:snapToGrid w:val="0"/>
        </w:rPr>
        <w:t>.</w:t>
      </w:r>
      <w:r>
        <w:rPr>
          <w:snapToGrid w:val="0"/>
        </w:rPr>
        <w:tab/>
        <w:t>Connection of supply</w:t>
      </w:r>
      <w:bookmarkEnd w:id="342"/>
      <w:bookmarkEnd w:id="343"/>
      <w:bookmarkEnd w:id="344"/>
      <w:bookmarkEnd w:id="345"/>
      <w:bookmarkEnd w:id="346"/>
      <w:bookmarkEnd w:id="347"/>
    </w:p>
    <w:p>
      <w:pPr>
        <w:pStyle w:val="Subsection"/>
        <w:rPr>
          <w:ins w:id="348" w:author="Master Repository Process" w:date="2021-08-01T13:30:00Z"/>
        </w:rPr>
      </w:pPr>
      <w:ins w:id="349" w:author="Master Repository Process" w:date="2021-08-01T13:30:00Z">
        <w:r>
          <w:tab/>
          <w:t>(1A)</w:t>
        </w:r>
        <w:r>
          <w:tab/>
          <w:t>In this regulation —</w:t>
        </w:r>
      </w:ins>
    </w:p>
    <w:p>
      <w:pPr>
        <w:pStyle w:val="Defstart"/>
        <w:rPr>
          <w:ins w:id="350" w:author="Master Repository Process" w:date="2021-08-01T13:30:00Z"/>
        </w:rPr>
      </w:pPr>
      <w:ins w:id="351" w:author="Master Repository Process" w:date="2021-08-01T13:30:00Z">
        <w:r>
          <w:tab/>
        </w:r>
        <w:r>
          <w:rPr>
            <w:rStyle w:val="CharDefText"/>
          </w:rPr>
          <w:t>inspection plan</w:t>
        </w:r>
        <w:r>
          <w:t xml:space="preserve"> means a plan or policy statement approved by the Director under regulation 253;</w:t>
        </w:r>
      </w:ins>
    </w:p>
    <w:p>
      <w:pPr>
        <w:pStyle w:val="Defstart"/>
        <w:rPr>
          <w:ins w:id="352" w:author="Master Repository Process" w:date="2021-08-01T13:30:00Z"/>
        </w:rPr>
      </w:pPr>
      <w:ins w:id="353" w:author="Master Repository Process" w:date="2021-08-01T13:30:00Z">
        <w:r>
          <w:tab/>
        </w:r>
        <w:r>
          <w:rPr>
            <w:rStyle w:val="CharDefText"/>
          </w:rPr>
          <w:t>notice of completion</w:t>
        </w:r>
        <w:r>
          <w:t xml:space="preserve"> means a notice of completion required under the </w:t>
        </w:r>
        <w:r>
          <w:rPr>
            <w:i/>
            <w:iCs/>
          </w:rPr>
          <w:t>Electricity (Licensing) Regulations 1991</w:t>
        </w:r>
        <w:r>
          <w:t xml:space="preserve"> regulations 52 and 53.</w:t>
        </w:r>
      </w:ins>
    </w:p>
    <w:p>
      <w:pPr>
        <w:pStyle w:val="Subsection"/>
      </w:pPr>
      <w:r>
        <w:tab/>
        <w:t>(1)</w:t>
      </w:r>
      <w:r>
        <w:tab/>
        <w:t>A</w:t>
      </w:r>
      <w:del w:id="354" w:author="Master Repository Process" w:date="2021-08-01T13:30:00Z">
        <w:r>
          <w:rPr>
            <w:snapToGrid w:val="0"/>
          </w:rPr>
          <w:delText> </w:delText>
        </w:r>
      </w:del>
      <w:ins w:id="355" w:author="Master Repository Process" w:date="2021-08-01T13:30:00Z">
        <w:r>
          <w:t xml:space="preserve"> </w:t>
        </w:r>
      </w:ins>
      <w:r>
        <w:t xml:space="preserve">network operator </w:t>
      </w:r>
      <w:del w:id="356" w:author="Master Repository Process" w:date="2021-08-01T13:30:00Z">
        <w:r>
          <w:delText>shall</w:delText>
        </w:r>
      </w:del>
      <w:ins w:id="357" w:author="Master Repository Process" w:date="2021-08-01T13:30:00Z">
        <w:r>
          <w:t>must</w:t>
        </w:r>
      </w:ins>
      <w:r>
        <w:t xml:space="preserve"> not supply electricity to any </w:t>
      </w:r>
      <w:del w:id="358" w:author="Master Repository Process" w:date="2021-08-01T13:30:00Z">
        <w:r>
          <w:rPr>
            <w:snapToGrid w:val="0"/>
          </w:rPr>
          <w:delText xml:space="preserve">place, building or </w:delText>
        </w:r>
      </w:del>
      <w:r>
        <w:t>premises unless —</w:t>
      </w:r>
    </w:p>
    <w:p>
      <w:pPr>
        <w:pStyle w:val="Ednotepara"/>
        <w:spacing w:before="80"/>
        <w:rPr>
          <w:del w:id="359" w:author="Master Repository Process" w:date="2021-08-01T13:30:00Z"/>
          <w:snapToGrid w:val="0"/>
        </w:rPr>
      </w:pPr>
      <w:del w:id="360" w:author="Master Repository Process" w:date="2021-08-01T13:30:00Z">
        <w:r>
          <w:rPr>
            <w:snapToGrid w:val="0"/>
          </w:rPr>
          <w:tab/>
          <w:delText>[(a)</w:delText>
        </w:r>
        <w:r>
          <w:rPr>
            <w:snapToGrid w:val="0"/>
          </w:rPr>
          <w:tab/>
          <w:delText>deleted]</w:delText>
        </w:r>
      </w:del>
    </w:p>
    <w:p>
      <w:pPr>
        <w:pStyle w:val="Indenta"/>
        <w:rPr>
          <w:del w:id="361" w:author="Master Repository Process" w:date="2021-08-01T13:30:00Z"/>
          <w:snapToGrid w:val="0"/>
        </w:rPr>
      </w:pPr>
      <w:del w:id="362" w:author="Master Repository Process" w:date="2021-08-01T13:30:00Z">
        <w:r>
          <w:rPr>
            <w:snapToGrid w:val="0"/>
          </w:rPr>
          <w:tab/>
          <w:delText>(b)</w:delText>
        </w:r>
        <w:r>
          <w:rPr>
            <w:snapToGrid w:val="0"/>
          </w:rPr>
          <w:tab/>
          <w:delText xml:space="preserve">there has been produced to the </w:delText>
        </w:r>
        <w:r>
          <w:delText xml:space="preserve">network operator a </w:delText>
        </w:r>
        <w:r>
          <w:rPr>
            <w:snapToGrid w:val="0"/>
          </w:rPr>
          <w:delText>notice of completion, in a form approved by the Director and duly completed as required under the Act, from a person licensed under the Act as an electrical contractor, or who is the holder of an in</w:delText>
        </w:r>
        <w:r>
          <w:rPr>
            <w:snapToGrid w:val="0"/>
          </w:rPr>
          <w:noBreakHyphen/>
          <w:delText>house electrical work licence under the Act, certifying that the electric installations and electric fittings on the premises to be supplied have been installed and fitted properly and as required by the Act.</w:delText>
        </w:r>
      </w:del>
    </w:p>
    <w:p>
      <w:pPr>
        <w:pStyle w:val="Indenta"/>
        <w:rPr>
          <w:ins w:id="363" w:author="Master Repository Process" w:date="2021-08-01T13:30:00Z"/>
        </w:rPr>
      </w:pPr>
      <w:ins w:id="364" w:author="Master Repository Process" w:date="2021-08-01T13:30:00Z">
        <w:r>
          <w:tab/>
          <w:t>(a)</w:t>
        </w:r>
        <w:r>
          <w:tab/>
          <w:t>the network operator has ensured that all the network operator’s service apparatus that will be used for supplying electricity to the premises is installed and maintained in accordance with this Act and is safe to use; and</w:t>
        </w:r>
      </w:ins>
    </w:p>
    <w:p>
      <w:pPr>
        <w:pStyle w:val="Indenta"/>
        <w:rPr>
          <w:ins w:id="365" w:author="Master Repository Process" w:date="2021-08-01T13:30:00Z"/>
        </w:rPr>
      </w:pPr>
      <w:ins w:id="366" w:author="Master Repository Process" w:date="2021-08-01T13:30:00Z">
        <w:r>
          <w:tab/>
          <w:t>(b)</w:t>
        </w:r>
        <w:r>
          <w:tab/>
          <w:t>the connection of the supply of electricity to the premises does not cause, or is unlikely to cause, any consumers’ electric installations to become unsafe; and</w:t>
        </w:r>
      </w:ins>
    </w:p>
    <w:p>
      <w:pPr>
        <w:pStyle w:val="Indenta"/>
        <w:rPr>
          <w:ins w:id="367" w:author="Master Repository Process" w:date="2021-08-01T13:30:00Z"/>
        </w:rPr>
      </w:pPr>
      <w:ins w:id="368" w:author="Master Repository Process" w:date="2021-08-01T13:30:00Z">
        <w:r>
          <w:tab/>
          <w:t>(c)</w:t>
        </w:r>
        <w:r>
          <w:tab/>
          <w:t>any notice of completion in relation to that supply of electricity has been produced to the network operator.</w:t>
        </w:r>
      </w:ins>
    </w:p>
    <w:p>
      <w:pPr>
        <w:pStyle w:val="Subsection"/>
      </w:pPr>
      <w:r>
        <w:tab/>
        <w:t>(2)</w:t>
      </w:r>
      <w:r>
        <w:tab/>
        <w:t>The Director may, in a particular case or class of case, exempt a network operator from subregulation (1)(</w:t>
      </w:r>
      <w:del w:id="369" w:author="Master Repository Process" w:date="2021-08-01T13:30:00Z">
        <w:r>
          <w:delText>b</w:delText>
        </w:r>
      </w:del>
      <w:ins w:id="370" w:author="Master Repository Process" w:date="2021-08-01T13:30:00Z">
        <w:r>
          <w:t>c</w:t>
        </w:r>
      </w:ins>
      <w:r>
        <w:t>).</w:t>
      </w:r>
    </w:p>
    <w:p>
      <w:pPr>
        <w:pStyle w:val="Subsection"/>
        <w:rPr>
          <w:ins w:id="371" w:author="Master Repository Process" w:date="2021-08-01T13:30:00Z"/>
        </w:rPr>
      </w:pPr>
      <w:ins w:id="372" w:author="Master Repository Process" w:date="2021-08-01T13:30:00Z">
        <w:r>
          <w:tab/>
          <w:t>(3)</w:t>
        </w:r>
        <w:r>
          <w:tab/>
          <w:t>Subregulation (1)(c) does not apply to a connection of the premises to the network operator’s network before the network operator receives a notice of completion if —</w:t>
        </w:r>
      </w:ins>
    </w:p>
    <w:p>
      <w:pPr>
        <w:pStyle w:val="Indenta"/>
        <w:rPr>
          <w:ins w:id="373" w:author="Master Repository Process" w:date="2021-08-01T13:30:00Z"/>
        </w:rPr>
      </w:pPr>
      <w:ins w:id="374" w:author="Master Repository Process" w:date="2021-08-01T13:30:00Z">
        <w:r>
          <w:tab/>
          <w:t>(a)</w:t>
        </w:r>
        <w:r>
          <w:tab/>
          <w:t>the network operator’s inspection plan sets out a process for managing such a connection; and</w:t>
        </w:r>
      </w:ins>
    </w:p>
    <w:p>
      <w:pPr>
        <w:pStyle w:val="Indenta"/>
        <w:rPr>
          <w:ins w:id="375" w:author="Master Repository Process" w:date="2021-08-01T13:30:00Z"/>
        </w:rPr>
      </w:pPr>
      <w:ins w:id="376" w:author="Master Repository Process" w:date="2021-08-01T13:30:00Z">
        <w:r>
          <w:tab/>
          <w:t>(b)</w:t>
        </w:r>
        <w:r>
          <w:tab/>
          <w:t>the connection is made in accordance with the inspection plan.</w:t>
        </w:r>
      </w:ins>
    </w:p>
    <w:p>
      <w:pPr>
        <w:pStyle w:val="Footnotesection"/>
      </w:pPr>
      <w:r>
        <w:tab/>
        <w:t>[Regulation 242 inserted in Gazette 23 Dec 1994 p. 7125; amended in Gazette 19 Dec 2000 p. 7274; 31 Oct 2006 p. 4598</w:t>
      </w:r>
      <w:ins w:id="377" w:author="Master Repository Process" w:date="2021-08-01T13:30:00Z">
        <w:r>
          <w:t>; 10 May 2011 p. 1665</w:t>
        </w:r>
        <w:r>
          <w:noBreakHyphen/>
          <w:t>6</w:t>
        </w:r>
      </w:ins>
      <w:r>
        <w:t>.]</w:t>
      </w:r>
    </w:p>
    <w:p>
      <w:pPr>
        <w:pStyle w:val="Ednotesection"/>
      </w:pPr>
      <w:r>
        <w:t>[</w:t>
      </w:r>
      <w:r>
        <w:rPr>
          <w:b/>
          <w:bCs/>
        </w:rPr>
        <w:t>243.</w:t>
      </w:r>
      <w:r>
        <w:rPr>
          <w:b/>
          <w:bCs/>
        </w:rPr>
        <w:tab/>
      </w:r>
      <w:r>
        <w:t>Deleted in Gazette 31 Oct 2006 p. 4598.]</w:t>
      </w:r>
    </w:p>
    <w:p>
      <w:pPr>
        <w:pStyle w:val="Heading5"/>
      </w:pPr>
      <w:bookmarkStart w:id="378" w:name="_Toc161741875"/>
      <w:bookmarkStart w:id="379" w:name="_Toc292719888"/>
      <w:bookmarkStart w:id="380" w:name="_Toc281483161"/>
      <w:r>
        <w:rPr>
          <w:rStyle w:val="CharSectno"/>
        </w:rPr>
        <w:t>244</w:t>
      </w:r>
      <w:r>
        <w:t>.</w:t>
      </w:r>
      <w:r>
        <w:tab/>
        <w:t>Damage by overloading to network operator’s apparatus</w:t>
      </w:r>
      <w:bookmarkEnd w:id="378"/>
      <w:bookmarkEnd w:id="379"/>
      <w:bookmarkEnd w:id="380"/>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381" w:name="_Toc484337613"/>
      <w:bookmarkStart w:id="382" w:name="_Toc87687085"/>
      <w:bookmarkStart w:id="383" w:name="_Toc131826858"/>
      <w:bookmarkStart w:id="384" w:name="_Toc161741876"/>
      <w:bookmarkStart w:id="385" w:name="_Toc292719889"/>
      <w:bookmarkStart w:id="386" w:name="_Toc281483162"/>
      <w:r>
        <w:rPr>
          <w:rStyle w:val="CharSectno"/>
        </w:rPr>
        <w:t>249</w:t>
      </w:r>
      <w:r>
        <w:rPr>
          <w:snapToGrid w:val="0"/>
        </w:rPr>
        <w:t>.</w:t>
      </w:r>
      <w:r>
        <w:rPr>
          <w:snapToGrid w:val="0"/>
        </w:rPr>
        <w:tab/>
        <w:t xml:space="preserve">Fixing leads in fuses, meters </w:t>
      </w:r>
      <w:bookmarkEnd w:id="381"/>
      <w:r>
        <w:rPr>
          <w:snapToGrid w:val="0"/>
        </w:rPr>
        <w:t>etc.</w:t>
      </w:r>
      <w:bookmarkEnd w:id="382"/>
      <w:bookmarkEnd w:id="383"/>
      <w:bookmarkEnd w:id="384"/>
      <w:bookmarkEnd w:id="385"/>
      <w:bookmarkEnd w:id="386"/>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387" w:name="_Toc484337617"/>
      <w:bookmarkStart w:id="388" w:name="_Toc87687088"/>
      <w:bookmarkStart w:id="389" w:name="_Toc131826861"/>
      <w:bookmarkStart w:id="390" w:name="_Toc161741877"/>
      <w:bookmarkStart w:id="391" w:name="_Toc292719890"/>
      <w:bookmarkStart w:id="392" w:name="_Toc281483163"/>
      <w:r>
        <w:rPr>
          <w:rStyle w:val="CharSectno"/>
        </w:rPr>
        <w:t>253</w:t>
      </w:r>
      <w:r>
        <w:rPr>
          <w:snapToGrid w:val="0"/>
        </w:rPr>
        <w:t>.</w:t>
      </w:r>
      <w:r>
        <w:rPr>
          <w:snapToGrid w:val="0"/>
        </w:rPr>
        <w:tab/>
        <w:t>Systems of inspection</w:t>
      </w:r>
      <w:bookmarkEnd w:id="387"/>
      <w:bookmarkEnd w:id="388"/>
      <w:bookmarkEnd w:id="389"/>
      <w:bookmarkEnd w:id="390"/>
      <w:bookmarkEnd w:id="391"/>
      <w:bookmarkEnd w:id="392"/>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pPr>
      <w:r>
        <w:tab/>
        <w:t>[Regulation 253 inserted in Gazette 23 Dec 1994 p. 7126</w:t>
      </w:r>
      <w:r>
        <w:noBreakHyphen/>
        <w:t>8; amended in Gazette 31 Oct 2006 p. 4599; 27 Oct 2009 p. 4211</w:t>
      </w:r>
      <w:r>
        <w:noBreakHyphen/>
        <w:t>12.]</w:t>
      </w:r>
    </w:p>
    <w:p>
      <w:pPr>
        <w:pStyle w:val="Heading5"/>
      </w:pPr>
      <w:bookmarkStart w:id="393" w:name="_Toc161741878"/>
      <w:bookmarkStart w:id="394" w:name="_Toc292719891"/>
      <w:bookmarkStart w:id="395" w:name="_Toc281483164"/>
      <w:bookmarkStart w:id="396" w:name="_Toc484337619"/>
      <w:bookmarkStart w:id="397" w:name="_Toc87687090"/>
      <w:bookmarkStart w:id="398" w:name="_Toc131826863"/>
      <w:r>
        <w:rPr>
          <w:rStyle w:val="CharSectno"/>
        </w:rPr>
        <w:t>254</w:t>
      </w:r>
      <w:r>
        <w:t>.</w:t>
      </w:r>
      <w:r>
        <w:tab/>
        <w:t>Individual inspection and reporting for electric installation</w:t>
      </w:r>
      <w:bookmarkEnd w:id="393"/>
      <w:bookmarkEnd w:id="394"/>
      <w:bookmarkEnd w:id="395"/>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bookmarkEnd w:id="396"/>
    <w:bookmarkEnd w:id="397"/>
    <w:bookmarkEnd w:id="398"/>
    <w:p>
      <w:pPr>
        <w:pStyle w:val="Ednotesection"/>
      </w:pPr>
      <w:r>
        <w:t>[</w:t>
      </w:r>
      <w:r>
        <w:rPr>
          <w:b/>
          <w:bCs/>
        </w:rPr>
        <w:t>255.</w:t>
      </w:r>
      <w:r>
        <w:rPr>
          <w:b/>
          <w:bCs/>
        </w:rPr>
        <w:tab/>
      </w:r>
      <w:r>
        <w:t>Deleted in Gazette 31 Oct 2006 p. 4600.]</w:t>
      </w:r>
    </w:p>
    <w:p>
      <w:pPr>
        <w:pStyle w:val="Ednotesection"/>
        <w:rPr>
          <w:b/>
        </w:rPr>
      </w:pPr>
      <w:bookmarkStart w:id="399" w:name="_Toc484337621"/>
      <w:r>
        <w:t>[</w:t>
      </w:r>
      <w:r>
        <w:rPr>
          <w:b/>
        </w:rPr>
        <w:t>256.</w:t>
      </w:r>
      <w:r>
        <w:rPr>
          <w:b/>
        </w:rPr>
        <w:tab/>
      </w:r>
      <w:r>
        <w:t>Deleted in Gazette 19 Dec 2000 p. 7274.]</w:t>
      </w:r>
    </w:p>
    <w:p>
      <w:pPr>
        <w:pStyle w:val="Heading5"/>
        <w:rPr>
          <w:snapToGrid w:val="0"/>
        </w:rPr>
      </w:pPr>
      <w:bookmarkStart w:id="400" w:name="_Toc87687091"/>
      <w:bookmarkStart w:id="401" w:name="_Toc131826864"/>
      <w:bookmarkStart w:id="402" w:name="_Toc161741879"/>
      <w:bookmarkStart w:id="403" w:name="_Toc292719892"/>
      <w:bookmarkStart w:id="404" w:name="_Toc281483165"/>
      <w:r>
        <w:rPr>
          <w:rStyle w:val="CharSectno"/>
        </w:rPr>
        <w:t>257</w:t>
      </w:r>
      <w:r>
        <w:rPr>
          <w:snapToGrid w:val="0"/>
        </w:rPr>
        <w:t>.</w:t>
      </w:r>
      <w:r>
        <w:rPr>
          <w:snapToGrid w:val="0"/>
        </w:rPr>
        <w:tab/>
        <w:t>Supply to large premises</w:t>
      </w:r>
      <w:bookmarkEnd w:id="399"/>
      <w:bookmarkEnd w:id="400"/>
      <w:bookmarkEnd w:id="401"/>
      <w:bookmarkEnd w:id="402"/>
      <w:bookmarkEnd w:id="403"/>
      <w:bookmarkEnd w:id="404"/>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405" w:name="_Toc484337629"/>
      <w:r>
        <w:t>[</w:t>
      </w:r>
      <w:r>
        <w:rPr>
          <w:b/>
        </w:rPr>
        <w:t>258</w:t>
      </w:r>
      <w:r>
        <w:rPr>
          <w:b/>
        </w:rPr>
        <w:noBreakHyphen/>
        <w:t>264.</w:t>
      </w:r>
      <w:r>
        <w:rPr>
          <w:b/>
        </w:rPr>
        <w:tab/>
      </w:r>
      <w:r>
        <w:t>Deleted in Gazette 19 Dec 2000 p. 7274.]</w:t>
      </w:r>
    </w:p>
    <w:p>
      <w:pPr>
        <w:pStyle w:val="Heading5"/>
        <w:rPr>
          <w:snapToGrid w:val="0"/>
        </w:rPr>
      </w:pPr>
      <w:bookmarkStart w:id="406" w:name="_Toc87687092"/>
      <w:bookmarkStart w:id="407" w:name="_Toc131826865"/>
      <w:bookmarkStart w:id="408" w:name="_Toc161741880"/>
      <w:bookmarkStart w:id="409" w:name="_Toc292719893"/>
      <w:bookmarkStart w:id="410" w:name="_Toc281483166"/>
      <w:r>
        <w:rPr>
          <w:rStyle w:val="CharSectno"/>
        </w:rPr>
        <w:t>265</w:t>
      </w:r>
      <w:r>
        <w:rPr>
          <w:snapToGrid w:val="0"/>
        </w:rPr>
        <w:t>.</w:t>
      </w:r>
      <w:r>
        <w:rPr>
          <w:snapToGrid w:val="0"/>
        </w:rPr>
        <w:tab/>
      </w:r>
      <w:bookmarkEnd w:id="405"/>
      <w:bookmarkEnd w:id="406"/>
      <w:bookmarkEnd w:id="407"/>
      <w:bookmarkEnd w:id="408"/>
      <w:r>
        <w:rPr>
          <w:snapToGrid w:val="0"/>
        </w:rPr>
        <w:t>Interference with supply to other consumers</w:t>
      </w:r>
      <w:bookmarkEnd w:id="409"/>
      <w:bookmarkEnd w:id="410"/>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411" w:name="_Toc484337633"/>
      <w:bookmarkStart w:id="412" w:name="_Toc87687094"/>
      <w:bookmarkStart w:id="413" w:name="_Toc131826867"/>
      <w:bookmarkStart w:id="414" w:name="_Toc161741881"/>
      <w:bookmarkStart w:id="415" w:name="_Toc292719894"/>
      <w:bookmarkStart w:id="416" w:name="_Toc281483167"/>
      <w:r>
        <w:rPr>
          <w:rStyle w:val="CharSectno"/>
        </w:rPr>
        <w:t>271</w:t>
      </w:r>
      <w:r>
        <w:t>.</w:t>
      </w:r>
      <w:r>
        <w:tab/>
        <w:t>Apparatus, interruptions, responsibility</w:t>
      </w:r>
      <w:bookmarkEnd w:id="411"/>
      <w:bookmarkEnd w:id="412"/>
      <w:bookmarkEnd w:id="413"/>
      <w:bookmarkEnd w:id="414"/>
      <w:bookmarkEnd w:id="415"/>
      <w:bookmarkEnd w:id="416"/>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417" w:name="_Toc161741882"/>
      <w:bookmarkStart w:id="418" w:name="_Toc292719895"/>
      <w:bookmarkStart w:id="419" w:name="_Toc281483168"/>
      <w:bookmarkStart w:id="420" w:name="_Toc484337635"/>
      <w:bookmarkStart w:id="421" w:name="_Toc87687096"/>
      <w:bookmarkStart w:id="422" w:name="_Toc131826869"/>
      <w:r>
        <w:rPr>
          <w:rStyle w:val="CharSectno"/>
        </w:rPr>
        <w:t>272</w:t>
      </w:r>
      <w:r>
        <w:t>.</w:t>
      </w:r>
      <w:r>
        <w:tab/>
        <w:t>Disconnections</w:t>
      </w:r>
      <w:bookmarkEnd w:id="417"/>
      <w:bookmarkEnd w:id="418"/>
      <w:bookmarkEnd w:id="419"/>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420"/>
    <w:bookmarkEnd w:id="421"/>
    <w:bookmarkEnd w:id="422"/>
    <w:p>
      <w:pPr>
        <w:pStyle w:val="Ednotesection"/>
      </w:pPr>
      <w:r>
        <w:t>[</w:t>
      </w:r>
      <w:r>
        <w:rPr>
          <w:b/>
          <w:bCs/>
        </w:rPr>
        <w:t>273.</w:t>
      </w:r>
      <w:r>
        <w:rPr>
          <w:b/>
          <w:bCs/>
        </w:rPr>
        <w:tab/>
      </w:r>
      <w:r>
        <w:t>Deleted in Gazette 31 Oct 2006 p. 4602.]</w:t>
      </w:r>
    </w:p>
    <w:p>
      <w:pPr>
        <w:pStyle w:val="Heading5"/>
      </w:pPr>
      <w:bookmarkStart w:id="423" w:name="_Toc484337636"/>
      <w:bookmarkStart w:id="424" w:name="_Toc87687097"/>
      <w:bookmarkStart w:id="425" w:name="_Toc131826870"/>
      <w:bookmarkStart w:id="426" w:name="_Toc161741883"/>
      <w:bookmarkStart w:id="427" w:name="_Toc292719896"/>
      <w:bookmarkStart w:id="428" w:name="_Toc281483169"/>
      <w:r>
        <w:rPr>
          <w:rStyle w:val="CharSectno"/>
        </w:rPr>
        <w:t>274</w:t>
      </w:r>
      <w:r>
        <w:t>.</w:t>
      </w:r>
      <w:r>
        <w:tab/>
        <w:t>Consumer’s liability for loss</w:t>
      </w:r>
      <w:bookmarkEnd w:id="423"/>
      <w:bookmarkEnd w:id="424"/>
      <w:bookmarkEnd w:id="425"/>
      <w:bookmarkEnd w:id="426"/>
      <w:bookmarkEnd w:id="427"/>
      <w:bookmarkEnd w:id="428"/>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429" w:name="_Toc484337638"/>
      <w:bookmarkStart w:id="430" w:name="_Toc87687099"/>
      <w:bookmarkStart w:id="431" w:name="_Toc131826872"/>
      <w:bookmarkStart w:id="432" w:name="_Toc161741884"/>
      <w:bookmarkStart w:id="433" w:name="_Toc292719897"/>
      <w:bookmarkStart w:id="434" w:name="_Toc281483170"/>
      <w:r>
        <w:rPr>
          <w:rStyle w:val="CharSectno"/>
        </w:rPr>
        <w:t>276</w:t>
      </w:r>
      <w:r>
        <w:t>.</w:t>
      </w:r>
      <w:r>
        <w:tab/>
        <w:t>Alteration to system</w:t>
      </w:r>
      <w:bookmarkEnd w:id="429"/>
      <w:bookmarkEnd w:id="430"/>
      <w:bookmarkEnd w:id="431"/>
      <w:bookmarkEnd w:id="432"/>
      <w:bookmarkEnd w:id="433"/>
      <w:bookmarkEnd w:id="434"/>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435" w:name="_Toc484337641"/>
      <w:bookmarkStart w:id="436" w:name="_Toc87687102"/>
      <w:bookmarkStart w:id="437" w:name="_Toc131826875"/>
      <w:r>
        <w:t>[</w:t>
      </w:r>
      <w:r>
        <w:rPr>
          <w:b/>
          <w:bCs/>
        </w:rPr>
        <w:t>279.</w:t>
      </w:r>
      <w:r>
        <w:rPr>
          <w:b/>
          <w:bCs/>
        </w:rPr>
        <w:tab/>
      </w:r>
      <w:r>
        <w:t>Deleted in Gazette 31 Oct 2006 p. 4602.]</w:t>
      </w:r>
    </w:p>
    <w:p>
      <w:pPr>
        <w:pStyle w:val="Heading5"/>
      </w:pPr>
      <w:bookmarkStart w:id="438" w:name="_Toc161741885"/>
      <w:bookmarkStart w:id="439" w:name="_Toc292719898"/>
      <w:bookmarkStart w:id="440" w:name="_Toc281483171"/>
      <w:bookmarkStart w:id="441" w:name="_Toc87686240"/>
      <w:bookmarkStart w:id="442" w:name="_Toc87687103"/>
      <w:bookmarkStart w:id="443" w:name="_Toc87687206"/>
      <w:bookmarkStart w:id="444" w:name="_Toc87781977"/>
      <w:bookmarkStart w:id="445" w:name="_Toc131826876"/>
      <w:bookmarkEnd w:id="435"/>
      <w:bookmarkEnd w:id="436"/>
      <w:bookmarkEnd w:id="437"/>
      <w:r>
        <w:rPr>
          <w:rStyle w:val="CharSectno"/>
        </w:rPr>
        <w:t>280</w:t>
      </w:r>
      <w:r>
        <w:t>.</w:t>
      </w:r>
      <w:r>
        <w:tab/>
        <w:t>Charges for services</w:t>
      </w:r>
      <w:bookmarkEnd w:id="438"/>
      <w:bookmarkEnd w:id="439"/>
      <w:bookmarkEnd w:id="44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446" w:name="_Toc150227873"/>
      <w:bookmarkStart w:id="447" w:name="_Toc156279624"/>
      <w:bookmarkStart w:id="448" w:name="_Toc156618921"/>
      <w:bookmarkStart w:id="449" w:name="_Toc159752800"/>
      <w:bookmarkStart w:id="450" w:name="_Toc161741886"/>
      <w:bookmarkStart w:id="451" w:name="_Toc162157782"/>
      <w:bookmarkStart w:id="452" w:name="_Toc162159418"/>
      <w:bookmarkStart w:id="453" w:name="_Toc162162637"/>
      <w:bookmarkStart w:id="454" w:name="_Toc162233159"/>
      <w:bookmarkStart w:id="455" w:name="_Toc229555729"/>
      <w:bookmarkStart w:id="456" w:name="_Toc237315245"/>
      <w:bookmarkStart w:id="457" w:name="_Toc241984168"/>
      <w:bookmarkStart w:id="458" w:name="_Toc241992649"/>
      <w:bookmarkStart w:id="459" w:name="_Toc244326829"/>
      <w:bookmarkStart w:id="460" w:name="_Toc246301927"/>
      <w:bookmarkStart w:id="461" w:name="_Toc246302028"/>
      <w:bookmarkStart w:id="462" w:name="_Toc254084559"/>
      <w:bookmarkStart w:id="463" w:name="_Toc255480958"/>
      <w:bookmarkStart w:id="464" w:name="_Toc281483172"/>
      <w:bookmarkStart w:id="465" w:name="_Toc292719899"/>
      <w:r>
        <w:rPr>
          <w:rStyle w:val="CharPartNo"/>
        </w:rPr>
        <w:t>Part IX</w:t>
      </w:r>
      <w:r>
        <w:rPr>
          <w:b w:val="0"/>
        </w:rPr>
        <w:t> </w:t>
      </w:r>
      <w:r>
        <w:t>—</w:t>
      </w:r>
      <w:r>
        <w:rPr>
          <w:b w:val="0"/>
        </w:rPr>
        <w:t> </w:t>
      </w:r>
      <w:r>
        <w:rPr>
          <w:rStyle w:val="CharPartText"/>
        </w:rPr>
        <w:t>Vegetation control safety requirements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466" w:name="_Toc484337678"/>
      <w:bookmarkStart w:id="467" w:name="_Toc87687140"/>
      <w:bookmarkStart w:id="468" w:name="_Toc131826913"/>
      <w:bookmarkStart w:id="469" w:name="_Toc161741923"/>
      <w:bookmarkStart w:id="470" w:name="_Toc292719900"/>
      <w:bookmarkStart w:id="471" w:name="_Toc281483173"/>
      <w:r>
        <w:rPr>
          <w:rStyle w:val="CharSectno"/>
        </w:rPr>
        <w:t>316A</w:t>
      </w:r>
      <w:r>
        <w:rPr>
          <w:snapToGrid w:val="0"/>
        </w:rPr>
        <w:t>.</w:t>
      </w:r>
      <w:r>
        <w:rPr>
          <w:snapToGrid w:val="0"/>
        </w:rPr>
        <w:tab/>
        <w:t>Vegetation control work near overhead power lines</w:t>
      </w:r>
      <w:bookmarkEnd w:id="466"/>
      <w:bookmarkEnd w:id="467"/>
      <w:bookmarkEnd w:id="468"/>
      <w:bookmarkEnd w:id="469"/>
      <w:bookmarkEnd w:id="470"/>
      <w:bookmarkEnd w:id="471"/>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472" w:name="_Toc87686281"/>
      <w:bookmarkStart w:id="473" w:name="_Toc87687144"/>
      <w:bookmarkStart w:id="474" w:name="_Toc87687247"/>
      <w:bookmarkStart w:id="475" w:name="_Toc87782018"/>
      <w:bookmarkStart w:id="476" w:name="_Toc131826917"/>
      <w:bookmarkStart w:id="477" w:name="_Toc150227914"/>
      <w:bookmarkStart w:id="478" w:name="_Toc156279665"/>
      <w:bookmarkStart w:id="479" w:name="_Toc156618962"/>
      <w:bookmarkStart w:id="480" w:name="_Toc159752841"/>
      <w:bookmarkStart w:id="481" w:name="_Toc161741927"/>
      <w:bookmarkStart w:id="482" w:name="_Toc162157823"/>
      <w:bookmarkStart w:id="483" w:name="_Toc162159459"/>
      <w:bookmarkStart w:id="484" w:name="_Toc162162678"/>
      <w:bookmarkStart w:id="485" w:name="_Toc162233200"/>
      <w:bookmarkStart w:id="486" w:name="_Toc229555770"/>
      <w:bookmarkStart w:id="487" w:name="_Toc237315286"/>
      <w:bookmarkStart w:id="488" w:name="_Toc241984209"/>
      <w:bookmarkStart w:id="489" w:name="_Toc241992690"/>
      <w:bookmarkStart w:id="490" w:name="_Toc244326831"/>
      <w:bookmarkStart w:id="491" w:name="_Toc246301929"/>
      <w:bookmarkStart w:id="492" w:name="_Toc246302030"/>
      <w:bookmarkStart w:id="493" w:name="_Toc254084561"/>
      <w:bookmarkStart w:id="494" w:name="_Toc255480960"/>
      <w:bookmarkStart w:id="495" w:name="_Toc281483174"/>
      <w:bookmarkStart w:id="496" w:name="_Toc292719901"/>
      <w:r>
        <w:rPr>
          <w:rStyle w:val="CharPartNo"/>
        </w:rPr>
        <w:t>Part X</w:t>
      </w:r>
      <w:r>
        <w:rPr>
          <w:rStyle w:val="CharDivNo"/>
        </w:rPr>
        <w:t> </w:t>
      </w:r>
      <w:r>
        <w:t>—</w:t>
      </w:r>
      <w:r>
        <w:rPr>
          <w:rStyle w:val="CharDivText"/>
        </w:rPr>
        <w:t> </w:t>
      </w:r>
      <w:r>
        <w:rPr>
          <w:rStyle w:val="CharPartText"/>
        </w:rPr>
        <w:t>Approval of electrical appliances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497" w:name="_Toc484337682"/>
      <w:bookmarkStart w:id="498" w:name="_Toc87687145"/>
      <w:bookmarkStart w:id="499" w:name="_Toc131826918"/>
      <w:bookmarkStart w:id="500" w:name="_Toc161741928"/>
      <w:bookmarkStart w:id="501" w:name="_Toc292719902"/>
      <w:bookmarkStart w:id="502" w:name="_Toc281483175"/>
      <w:r>
        <w:rPr>
          <w:rStyle w:val="CharSectno"/>
        </w:rPr>
        <w:t>321</w:t>
      </w:r>
      <w:r>
        <w:t>.</w:t>
      </w:r>
      <w:r>
        <w:tab/>
      </w:r>
      <w:bookmarkEnd w:id="497"/>
      <w:bookmarkEnd w:id="498"/>
      <w:bookmarkEnd w:id="499"/>
      <w:r>
        <w:t>Terms used</w:t>
      </w:r>
      <w:bookmarkEnd w:id="500"/>
      <w:bookmarkEnd w:id="501"/>
      <w:bookmarkEnd w:id="502"/>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w:t>
      </w:r>
    </w:p>
    <w:p>
      <w:pPr>
        <w:pStyle w:val="Defpara"/>
      </w:pPr>
      <w:r>
        <w:tab/>
        <w:t>(c)</w:t>
      </w:r>
      <w:r>
        <w:tab/>
        <w:t>the Office of the Chief Electrical Inspector, Victoria;</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bookmarkStart w:id="503" w:name="endcomma"/>
      <w:bookmarkEnd w:id="503"/>
      <w:r>
        <w:rPr>
          <w:rStyle w:val="CharDefText"/>
        </w:rPr>
        <w:t>published specification</w:t>
      </w:r>
      <w:r>
        <w:t xml:space="preserve"> </w:t>
      </w:r>
      <w:bookmarkStart w:id="504" w:name="comma"/>
      <w:bookmarkEnd w:id="504"/>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505" w:name="_Toc484337683"/>
      <w:bookmarkStart w:id="506" w:name="_Toc87687146"/>
      <w:bookmarkStart w:id="507" w:name="_Toc131826919"/>
      <w:bookmarkStart w:id="508" w:name="_Toc161741929"/>
      <w:bookmarkStart w:id="509" w:name="_Toc292719903"/>
      <w:bookmarkStart w:id="510" w:name="_Toc281483176"/>
      <w:r>
        <w:rPr>
          <w:rStyle w:val="CharSectno"/>
        </w:rPr>
        <w:t>322</w:t>
      </w:r>
      <w:r>
        <w:rPr>
          <w:snapToGrid w:val="0"/>
        </w:rPr>
        <w:t>.</w:t>
      </w:r>
      <w:r>
        <w:rPr>
          <w:snapToGrid w:val="0"/>
        </w:rPr>
        <w:tab/>
        <w:t>Application for approval</w:t>
      </w:r>
      <w:bookmarkEnd w:id="505"/>
      <w:bookmarkEnd w:id="506"/>
      <w:bookmarkEnd w:id="507"/>
      <w:bookmarkEnd w:id="508"/>
      <w:bookmarkEnd w:id="509"/>
      <w:bookmarkEnd w:id="510"/>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spacing w:before="120"/>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spacing w:before="180"/>
        <w:rPr>
          <w:snapToGrid w:val="0"/>
        </w:rPr>
      </w:pPr>
      <w:bookmarkStart w:id="511" w:name="_Toc484337684"/>
      <w:bookmarkStart w:id="512" w:name="_Toc87687147"/>
      <w:bookmarkStart w:id="513" w:name="_Toc131826920"/>
      <w:bookmarkStart w:id="514" w:name="_Toc161741930"/>
      <w:bookmarkStart w:id="515" w:name="_Toc292719904"/>
      <w:bookmarkStart w:id="516" w:name="_Toc281483177"/>
      <w:r>
        <w:rPr>
          <w:rStyle w:val="CharSectno"/>
        </w:rPr>
        <w:t>323</w:t>
      </w:r>
      <w:r>
        <w:rPr>
          <w:snapToGrid w:val="0"/>
        </w:rPr>
        <w:t>.</w:t>
      </w:r>
      <w:r>
        <w:rPr>
          <w:snapToGrid w:val="0"/>
        </w:rPr>
        <w:tab/>
        <w:t>Further testing of electrical appliances approved</w:t>
      </w:r>
      <w:bookmarkEnd w:id="511"/>
      <w:bookmarkEnd w:id="512"/>
      <w:bookmarkEnd w:id="513"/>
      <w:bookmarkEnd w:id="514"/>
      <w:bookmarkEnd w:id="515"/>
      <w:bookmarkEnd w:id="516"/>
    </w:p>
    <w:p>
      <w:pPr>
        <w:pStyle w:val="Subsection"/>
        <w:spacing w:before="120"/>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spacing w:before="120"/>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517" w:name="_Toc484337685"/>
      <w:bookmarkStart w:id="518" w:name="_Toc87687148"/>
      <w:bookmarkStart w:id="519" w:name="_Toc131826921"/>
      <w:bookmarkStart w:id="520" w:name="_Toc161741931"/>
      <w:bookmarkStart w:id="521" w:name="_Toc292719905"/>
      <w:bookmarkStart w:id="522" w:name="_Toc281483178"/>
      <w:r>
        <w:rPr>
          <w:rStyle w:val="CharSectno"/>
        </w:rPr>
        <w:t>326</w:t>
      </w:r>
      <w:r>
        <w:rPr>
          <w:snapToGrid w:val="0"/>
        </w:rPr>
        <w:t>.</w:t>
      </w:r>
      <w:r>
        <w:rPr>
          <w:snapToGrid w:val="0"/>
        </w:rPr>
        <w:tab/>
        <w:t>Certificate of approval</w:t>
      </w:r>
      <w:bookmarkEnd w:id="517"/>
      <w:bookmarkEnd w:id="518"/>
      <w:bookmarkEnd w:id="519"/>
      <w:bookmarkEnd w:id="520"/>
      <w:bookmarkEnd w:id="521"/>
      <w:bookmarkEnd w:id="522"/>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 31 Dec 2010 p. 6888.]</w:t>
      </w:r>
    </w:p>
    <w:p>
      <w:pPr>
        <w:pStyle w:val="Heading5"/>
        <w:rPr>
          <w:snapToGrid w:val="0"/>
        </w:rPr>
      </w:pPr>
      <w:bookmarkStart w:id="523" w:name="_Toc484337686"/>
      <w:bookmarkStart w:id="524" w:name="_Toc87687149"/>
      <w:bookmarkStart w:id="525" w:name="_Toc131826922"/>
      <w:bookmarkStart w:id="526" w:name="_Toc161741932"/>
      <w:bookmarkStart w:id="527" w:name="_Toc292719906"/>
      <w:bookmarkStart w:id="528" w:name="_Toc281483179"/>
      <w:r>
        <w:rPr>
          <w:rStyle w:val="CharSectno"/>
        </w:rPr>
        <w:t>327</w:t>
      </w:r>
      <w:r>
        <w:rPr>
          <w:snapToGrid w:val="0"/>
        </w:rPr>
        <w:t>.</w:t>
      </w:r>
      <w:r>
        <w:rPr>
          <w:snapToGrid w:val="0"/>
        </w:rPr>
        <w:tab/>
        <w:t>Stamping and labelling of approved electrical appliances</w:t>
      </w:r>
      <w:bookmarkEnd w:id="523"/>
      <w:bookmarkEnd w:id="524"/>
      <w:bookmarkEnd w:id="525"/>
      <w:bookmarkEnd w:id="526"/>
      <w:bookmarkEnd w:id="527"/>
      <w:bookmarkEnd w:id="528"/>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w:t>
      </w:r>
      <w:r>
        <w:noBreakHyphen/>
        <w:t>8; amended in Gazette 23 Dec 1994 p. 7125.]</w:t>
      </w:r>
    </w:p>
    <w:p>
      <w:pPr>
        <w:pStyle w:val="Heading5"/>
        <w:rPr>
          <w:snapToGrid w:val="0"/>
        </w:rPr>
      </w:pPr>
      <w:bookmarkStart w:id="529" w:name="_Toc484337687"/>
      <w:bookmarkStart w:id="530" w:name="_Toc87687150"/>
      <w:bookmarkStart w:id="531" w:name="_Toc131826923"/>
      <w:bookmarkStart w:id="532" w:name="_Toc161741933"/>
      <w:bookmarkStart w:id="533" w:name="_Toc292719907"/>
      <w:bookmarkStart w:id="534" w:name="_Toc281483180"/>
      <w:r>
        <w:rPr>
          <w:rStyle w:val="CharSectno"/>
        </w:rPr>
        <w:t>328</w:t>
      </w:r>
      <w:r>
        <w:rPr>
          <w:snapToGrid w:val="0"/>
        </w:rPr>
        <w:t>.</w:t>
      </w:r>
      <w:r>
        <w:rPr>
          <w:snapToGrid w:val="0"/>
        </w:rPr>
        <w:tab/>
        <w:t>Modification of design or construction</w:t>
      </w:r>
      <w:bookmarkEnd w:id="529"/>
      <w:bookmarkEnd w:id="530"/>
      <w:bookmarkEnd w:id="531"/>
      <w:bookmarkEnd w:id="532"/>
      <w:bookmarkEnd w:id="533"/>
      <w:bookmarkEnd w:id="534"/>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535" w:name="_Toc484337688"/>
      <w:bookmarkStart w:id="536" w:name="_Toc87687151"/>
      <w:bookmarkStart w:id="537" w:name="_Toc131826924"/>
      <w:bookmarkStart w:id="538" w:name="_Toc161741934"/>
      <w:bookmarkStart w:id="539" w:name="_Toc292719908"/>
      <w:bookmarkStart w:id="540" w:name="_Toc281483181"/>
      <w:r>
        <w:rPr>
          <w:rStyle w:val="CharSectno"/>
        </w:rPr>
        <w:t>329</w:t>
      </w:r>
      <w:r>
        <w:rPr>
          <w:snapToGrid w:val="0"/>
        </w:rPr>
        <w:t>.</w:t>
      </w:r>
      <w:r>
        <w:rPr>
          <w:snapToGrid w:val="0"/>
        </w:rPr>
        <w:tab/>
        <w:t>Transfer of certificate of approval</w:t>
      </w:r>
      <w:bookmarkEnd w:id="535"/>
      <w:bookmarkEnd w:id="536"/>
      <w:bookmarkEnd w:id="537"/>
      <w:bookmarkEnd w:id="538"/>
      <w:bookmarkEnd w:id="539"/>
      <w:bookmarkEnd w:id="540"/>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541" w:name="_Toc484337689"/>
      <w:bookmarkStart w:id="542" w:name="_Toc87687152"/>
      <w:bookmarkStart w:id="543" w:name="_Toc131826925"/>
      <w:bookmarkStart w:id="544" w:name="_Toc161741935"/>
      <w:bookmarkStart w:id="545" w:name="_Toc292719909"/>
      <w:bookmarkStart w:id="546" w:name="_Toc281483182"/>
      <w:r>
        <w:rPr>
          <w:rStyle w:val="CharSectno"/>
        </w:rPr>
        <w:t>330</w:t>
      </w:r>
      <w:r>
        <w:rPr>
          <w:snapToGrid w:val="0"/>
        </w:rPr>
        <w:t>.</w:t>
      </w:r>
      <w:r>
        <w:rPr>
          <w:snapToGrid w:val="0"/>
        </w:rPr>
        <w:tab/>
        <w:t>Lost or destroyed certificates of approval</w:t>
      </w:r>
      <w:bookmarkEnd w:id="541"/>
      <w:bookmarkEnd w:id="542"/>
      <w:bookmarkEnd w:id="543"/>
      <w:bookmarkEnd w:id="544"/>
      <w:bookmarkEnd w:id="545"/>
      <w:bookmarkEnd w:id="546"/>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547" w:name="_Toc484337690"/>
      <w:bookmarkStart w:id="548" w:name="_Toc87687153"/>
      <w:bookmarkStart w:id="549" w:name="_Toc131826926"/>
      <w:bookmarkStart w:id="550" w:name="_Toc161741936"/>
      <w:bookmarkStart w:id="551" w:name="_Toc292719910"/>
      <w:bookmarkStart w:id="552" w:name="_Toc281483183"/>
      <w:r>
        <w:rPr>
          <w:rStyle w:val="CharSectno"/>
        </w:rPr>
        <w:t>331</w:t>
      </w:r>
      <w:r>
        <w:rPr>
          <w:snapToGrid w:val="0"/>
        </w:rPr>
        <w:t>.</w:t>
      </w:r>
      <w:r>
        <w:rPr>
          <w:snapToGrid w:val="0"/>
        </w:rPr>
        <w:tab/>
        <w:t>Delegation by the Director</w:t>
      </w:r>
      <w:bookmarkEnd w:id="547"/>
      <w:bookmarkEnd w:id="548"/>
      <w:bookmarkEnd w:id="549"/>
      <w:bookmarkEnd w:id="550"/>
      <w:bookmarkEnd w:id="551"/>
      <w:bookmarkEnd w:id="552"/>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553" w:name="_Toc484337691"/>
      <w:bookmarkStart w:id="554" w:name="_Toc87687154"/>
      <w:bookmarkStart w:id="555" w:name="_Toc131826927"/>
      <w:bookmarkStart w:id="556" w:name="_Toc161741937"/>
      <w:bookmarkStart w:id="557" w:name="_Toc292719911"/>
      <w:bookmarkStart w:id="558" w:name="_Toc281483184"/>
      <w:r>
        <w:rPr>
          <w:rStyle w:val="CharSectno"/>
        </w:rPr>
        <w:t>332</w:t>
      </w:r>
      <w:r>
        <w:rPr>
          <w:snapToGrid w:val="0"/>
        </w:rPr>
        <w:t>.</w:t>
      </w:r>
      <w:r>
        <w:rPr>
          <w:snapToGrid w:val="0"/>
        </w:rPr>
        <w:tab/>
        <w:t>Refusal or withdrawal of approval</w:t>
      </w:r>
      <w:bookmarkEnd w:id="553"/>
      <w:bookmarkEnd w:id="554"/>
      <w:bookmarkEnd w:id="555"/>
      <w:bookmarkEnd w:id="556"/>
      <w:bookmarkEnd w:id="557"/>
      <w:bookmarkEnd w:id="558"/>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559" w:name="_Toc484337692"/>
      <w:bookmarkStart w:id="560" w:name="_Toc87687155"/>
      <w:bookmarkStart w:id="561" w:name="_Toc131826928"/>
      <w:bookmarkStart w:id="562" w:name="_Toc161741938"/>
      <w:bookmarkStart w:id="563" w:name="_Toc292719912"/>
      <w:bookmarkStart w:id="564" w:name="_Toc281483185"/>
      <w:r>
        <w:rPr>
          <w:rStyle w:val="CharSectno"/>
        </w:rPr>
        <w:t>333</w:t>
      </w:r>
      <w:r>
        <w:rPr>
          <w:snapToGrid w:val="0"/>
        </w:rPr>
        <w:t>.</w:t>
      </w:r>
      <w:r>
        <w:rPr>
          <w:snapToGrid w:val="0"/>
        </w:rPr>
        <w:tab/>
        <w:t>Notification of withdrawal of approval</w:t>
      </w:r>
      <w:bookmarkEnd w:id="559"/>
      <w:bookmarkEnd w:id="560"/>
      <w:bookmarkEnd w:id="561"/>
      <w:bookmarkEnd w:id="562"/>
      <w:bookmarkEnd w:id="563"/>
      <w:bookmarkEnd w:id="56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565" w:name="_Toc484337693"/>
      <w:bookmarkStart w:id="566" w:name="_Toc87687156"/>
      <w:bookmarkStart w:id="567" w:name="_Toc131826929"/>
      <w:bookmarkStart w:id="568" w:name="_Toc161741939"/>
      <w:bookmarkStart w:id="569" w:name="_Toc292719913"/>
      <w:bookmarkStart w:id="570" w:name="_Toc281483186"/>
      <w:r>
        <w:rPr>
          <w:rStyle w:val="CharSectno"/>
        </w:rPr>
        <w:t>334</w:t>
      </w:r>
      <w:r>
        <w:rPr>
          <w:snapToGrid w:val="0"/>
        </w:rPr>
        <w:t>.</w:t>
      </w:r>
      <w:r>
        <w:rPr>
          <w:snapToGrid w:val="0"/>
        </w:rPr>
        <w:tab/>
        <w:t>Deferment of approval</w:t>
      </w:r>
      <w:bookmarkEnd w:id="565"/>
      <w:bookmarkEnd w:id="566"/>
      <w:bookmarkEnd w:id="567"/>
      <w:bookmarkEnd w:id="568"/>
      <w:bookmarkEnd w:id="569"/>
      <w:bookmarkEnd w:id="570"/>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571" w:name="_Toc484337694"/>
      <w:bookmarkStart w:id="572" w:name="_Toc87687157"/>
      <w:bookmarkStart w:id="573" w:name="_Toc131826930"/>
      <w:bookmarkStart w:id="574" w:name="_Toc161741940"/>
      <w:bookmarkStart w:id="575" w:name="_Toc292719914"/>
      <w:bookmarkStart w:id="576" w:name="_Toc281483187"/>
      <w:r>
        <w:rPr>
          <w:rStyle w:val="CharSectno"/>
        </w:rPr>
        <w:t>335</w:t>
      </w:r>
      <w:r>
        <w:rPr>
          <w:snapToGrid w:val="0"/>
        </w:rPr>
        <w:t>.</w:t>
      </w:r>
      <w:r>
        <w:rPr>
          <w:snapToGrid w:val="0"/>
        </w:rPr>
        <w:tab/>
        <w:t>Purchase of electrical appliances for inspection</w:t>
      </w:r>
      <w:bookmarkEnd w:id="571"/>
      <w:bookmarkEnd w:id="572"/>
      <w:bookmarkEnd w:id="573"/>
      <w:bookmarkEnd w:id="574"/>
      <w:bookmarkEnd w:id="575"/>
      <w:bookmarkEnd w:id="576"/>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577" w:name="_Toc484337695"/>
      <w:bookmarkStart w:id="578" w:name="_Toc87687158"/>
      <w:bookmarkStart w:id="579" w:name="_Toc131826931"/>
      <w:bookmarkStart w:id="580" w:name="_Toc161741941"/>
      <w:bookmarkStart w:id="581" w:name="_Toc292719915"/>
      <w:bookmarkStart w:id="582" w:name="_Toc281483188"/>
      <w:r>
        <w:rPr>
          <w:rStyle w:val="CharSectno"/>
        </w:rPr>
        <w:t>336</w:t>
      </w:r>
      <w:r>
        <w:rPr>
          <w:snapToGrid w:val="0"/>
        </w:rPr>
        <w:t>.</w:t>
      </w:r>
      <w:r>
        <w:rPr>
          <w:snapToGrid w:val="0"/>
        </w:rPr>
        <w:tab/>
        <w:t>Obstruction of officers</w:t>
      </w:r>
      <w:bookmarkEnd w:id="577"/>
      <w:bookmarkEnd w:id="578"/>
      <w:bookmarkEnd w:id="579"/>
      <w:bookmarkEnd w:id="580"/>
      <w:bookmarkEnd w:id="581"/>
      <w:bookmarkEnd w:id="582"/>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583" w:name="_Toc484337696"/>
      <w:bookmarkStart w:id="584" w:name="_Toc87687159"/>
      <w:bookmarkStart w:id="585" w:name="_Toc131826932"/>
      <w:bookmarkStart w:id="586" w:name="_Toc161741942"/>
      <w:bookmarkStart w:id="587" w:name="_Toc292719916"/>
      <w:bookmarkStart w:id="588" w:name="_Toc281483189"/>
      <w:r>
        <w:rPr>
          <w:rStyle w:val="CharSectno"/>
        </w:rPr>
        <w:t>337</w:t>
      </w:r>
      <w:r>
        <w:rPr>
          <w:snapToGrid w:val="0"/>
        </w:rPr>
        <w:t>.</w:t>
      </w:r>
      <w:r>
        <w:rPr>
          <w:snapToGrid w:val="0"/>
        </w:rPr>
        <w:tab/>
        <w:t>Register of Prescribed Electrical Appliances and Register of Approved Electrical Appliances</w:t>
      </w:r>
      <w:bookmarkEnd w:id="583"/>
      <w:bookmarkEnd w:id="584"/>
      <w:bookmarkEnd w:id="585"/>
      <w:bookmarkEnd w:id="586"/>
      <w:bookmarkEnd w:id="587"/>
      <w:bookmarkEnd w:id="588"/>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589" w:name="_Toc484337697"/>
      <w:bookmarkStart w:id="590" w:name="_Toc87687160"/>
      <w:bookmarkStart w:id="591" w:name="_Toc131826933"/>
      <w:bookmarkStart w:id="592" w:name="_Toc161741943"/>
      <w:bookmarkStart w:id="593" w:name="_Toc292719917"/>
      <w:bookmarkStart w:id="594" w:name="_Toc281483190"/>
      <w:r>
        <w:rPr>
          <w:rStyle w:val="CharSectno"/>
        </w:rPr>
        <w:t>338</w:t>
      </w:r>
      <w:r>
        <w:rPr>
          <w:snapToGrid w:val="0"/>
        </w:rPr>
        <w:t>.</w:t>
      </w:r>
      <w:r>
        <w:rPr>
          <w:snapToGrid w:val="0"/>
        </w:rPr>
        <w:tab/>
        <w:t>Change of address</w:t>
      </w:r>
      <w:bookmarkEnd w:id="589"/>
      <w:bookmarkEnd w:id="590"/>
      <w:bookmarkEnd w:id="591"/>
      <w:bookmarkEnd w:id="592"/>
      <w:bookmarkEnd w:id="593"/>
      <w:bookmarkEnd w:id="594"/>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595" w:name="_Toc87686298"/>
      <w:bookmarkStart w:id="596" w:name="_Toc87687161"/>
      <w:bookmarkStart w:id="597" w:name="_Toc87687264"/>
      <w:bookmarkStart w:id="598" w:name="_Toc87782035"/>
      <w:bookmarkStart w:id="599" w:name="_Toc131826934"/>
      <w:bookmarkStart w:id="600" w:name="_Toc150227931"/>
      <w:bookmarkStart w:id="601" w:name="_Toc156279682"/>
      <w:bookmarkStart w:id="602" w:name="_Toc156618979"/>
      <w:bookmarkStart w:id="603" w:name="_Toc159752858"/>
      <w:bookmarkStart w:id="604" w:name="_Toc161741944"/>
      <w:bookmarkStart w:id="605" w:name="_Toc162157840"/>
      <w:bookmarkStart w:id="606" w:name="_Toc162159476"/>
      <w:bookmarkStart w:id="607" w:name="_Toc162162695"/>
      <w:bookmarkStart w:id="608" w:name="_Toc162233217"/>
      <w:bookmarkStart w:id="609" w:name="_Toc229555787"/>
      <w:bookmarkStart w:id="610" w:name="_Toc237315303"/>
      <w:bookmarkStart w:id="611" w:name="_Toc241984226"/>
      <w:bookmarkStart w:id="612" w:name="_Toc241992707"/>
      <w:bookmarkStart w:id="613" w:name="_Toc244326848"/>
      <w:bookmarkStart w:id="614" w:name="_Toc246301946"/>
      <w:bookmarkStart w:id="615" w:name="_Toc246302047"/>
      <w:bookmarkStart w:id="616" w:name="_Toc254084578"/>
      <w:bookmarkStart w:id="617" w:name="_Toc255480977"/>
      <w:bookmarkStart w:id="618" w:name="_Toc281483191"/>
      <w:bookmarkStart w:id="619" w:name="_Toc292719918"/>
      <w:r>
        <w:rPr>
          <w:rStyle w:val="CharPartNo"/>
        </w:rPr>
        <w:t>Part XI</w:t>
      </w:r>
      <w:r>
        <w:rPr>
          <w:rStyle w:val="CharDivNo"/>
        </w:rPr>
        <w:t> </w:t>
      </w:r>
      <w:r>
        <w:t>—</w:t>
      </w:r>
      <w:r>
        <w:rPr>
          <w:rStyle w:val="CharDivText"/>
        </w:rPr>
        <w:t> </w:t>
      </w:r>
      <w:r>
        <w:rPr>
          <w:rStyle w:val="CharPartText"/>
        </w:rPr>
        <w:t>Penalties and enforcement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620" w:name="_Toc484337698"/>
      <w:bookmarkStart w:id="621" w:name="_Toc87687162"/>
      <w:bookmarkStart w:id="622" w:name="_Toc131826935"/>
      <w:bookmarkStart w:id="623" w:name="_Toc161741945"/>
      <w:bookmarkStart w:id="624" w:name="_Toc292719919"/>
      <w:bookmarkStart w:id="625" w:name="_Toc281483192"/>
      <w:r>
        <w:rPr>
          <w:rStyle w:val="CharSectno"/>
        </w:rPr>
        <w:t>340</w:t>
      </w:r>
      <w:r>
        <w:rPr>
          <w:snapToGrid w:val="0"/>
        </w:rPr>
        <w:t>.</w:t>
      </w:r>
      <w:r>
        <w:rPr>
          <w:snapToGrid w:val="0"/>
        </w:rPr>
        <w:tab/>
        <w:t>Penalties</w:t>
      </w:r>
      <w:bookmarkEnd w:id="620"/>
      <w:bookmarkEnd w:id="621"/>
      <w:bookmarkEnd w:id="622"/>
      <w:bookmarkEnd w:id="623"/>
      <w:bookmarkEnd w:id="624"/>
      <w:bookmarkEnd w:id="625"/>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626" w:name="_Toc484337699"/>
      <w:bookmarkStart w:id="627" w:name="_Toc87687163"/>
      <w:bookmarkStart w:id="628" w:name="_Toc131826936"/>
      <w:bookmarkStart w:id="629" w:name="_Toc161741946"/>
      <w:bookmarkStart w:id="630" w:name="_Toc292719920"/>
      <w:bookmarkStart w:id="631" w:name="_Toc281483193"/>
      <w:r>
        <w:rPr>
          <w:rStyle w:val="CharSectno"/>
        </w:rPr>
        <w:t>341</w:t>
      </w:r>
      <w:r>
        <w:rPr>
          <w:snapToGrid w:val="0"/>
        </w:rPr>
        <w:t>.</w:t>
      </w:r>
      <w:r>
        <w:rPr>
          <w:snapToGrid w:val="0"/>
        </w:rPr>
        <w:tab/>
        <w:t>Proceedings</w:t>
      </w:r>
      <w:bookmarkEnd w:id="626"/>
      <w:bookmarkEnd w:id="627"/>
      <w:bookmarkEnd w:id="628"/>
      <w:bookmarkEnd w:id="629"/>
      <w:bookmarkEnd w:id="630"/>
      <w:bookmarkEnd w:id="631"/>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632" w:name="_Toc292719921"/>
      <w:bookmarkStart w:id="633" w:name="_Toc281483194"/>
      <w:r>
        <w:rPr>
          <w:rStyle w:val="CharSectno"/>
        </w:rPr>
        <w:t>342</w:t>
      </w:r>
      <w:r>
        <w:t>.</w:t>
      </w:r>
      <w:r>
        <w:tab/>
        <w:t>Prescribed offences and modified penalties</w:t>
      </w:r>
      <w:bookmarkEnd w:id="632"/>
      <w:bookmarkEnd w:id="633"/>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634" w:name="_Toc292719922"/>
      <w:bookmarkStart w:id="635" w:name="_Toc281483195"/>
      <w:r>
        <w:rPr>
          <w:rStyle w:val="CharSectno"/>
        </w:rPr>
        <w:t>343</w:t>
      </w:r>
      <w:r>
        <w:t>.</w:t>
      </w:r>
      <w:r>
        <w:tab/>
        <w:t>Authorised officers and approved officers</w:t>
      </w:r>
      <w:bookmarkEnd w:id="634"/>
      <w:bookmarkEnd w:id="635"/>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636" w:name="_Toc292719923"/>
      <w:bookmarkStart w:id="637" w:name="_Toc281483196"/>
      <w:r>
        <w:rPr>
          <w:rStyle w:val="CharSectno"/>
        </w:rPr>
        <w:t>344</w:t>
      </w:r>
      <w:r>
        <w:t>.</w:t>
      </w:r>
      <w:r>
        <w:tab/>
        <w:t>Forms</w:t>
      </w:r>
      <w:bookmarkEnd w:id="636"/>
      <w:bookmarkEnd w:id="637"/>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38" w:name="_Toc281483197"/>
      <w:bookmarkStart w:id="639" w:name="_Toc292719924"/>
      <w:bookmarkStart w:id="640" w:name="_Toc87686301"/>
      <w:bookmarkStart w:id="641" w:name="_Toc87687164"/>
      <w:bookmarkStart w:id="642" w:name="_Toc87687267"/>
      <w:bookmarkStart w:id="643" w:name="_Toc87782038"/>
      <w:bookmarkStart w:id="644" w:name="_Toc131826937"/>
      <w:bookmarkStart w:id="645" w:name="_Toc150227934"/>
      <w:bookmarkStart w:id="646" w:name="_Toc156279685"/>
      <w:bookmarkStart w:id="647" w:name="_Toc156618982"/>
      <w:bookmarkStart w:id="648" w:name="_Toc159752861"/>
      <w:bookmarkStart w:id="649" w:name="_Toc161741947"/>
      <w:bookmarkStart w:id="650" w:name="_Toc162157846"/>
      <w:r>
        <w:rPr>
          <w:rStyle w:val="CharSchNo"/>
        </w:rPr>
        <w:t>Schedule 1</w:t>
      </w:r>
      <w:r>
        <w:rPr>
          <w:rStyle w:val="CharSDivNo"/>
        </w:rPr>
        <w:t> </w:t>
      </w:r>
      <w:r>
        <w:t>—</w:t>
      </w:r>
      <w:r>
        <w:rPr>
          <w:rStyle w:val="CharSDivText"/>
        </w:rPr>
        <w:t> </w:t>
      </w:r>
      <w:r>
        <w:rPr>
          <w:rStyle w:val="CharSchText"/>
        </w:rPr>
        <w:t>Prescribed offences and modified penalties</w:t>
      </w:r>
      <w:bookmarkEnd w:id="638"/>
      <w:bookmarkEnd w:id="639"/>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1900" w:type="dxa"/>
            <w:gridSpan w:val="2"/>
          </w:tcPr>
          <w:p>
            <w:pPr>
              <w:pStyle w:val="yTableNAm"/>
              <w:jc w:val="center"/>
              <w:rPr>
                <w:b/>
                <w:bCs/>
                <w:sz w:val="20"/>
              </w:rPr>
            </w:pPr>
            <w:r>
              <w:rPr>
                <w:b/>
                <w:bCs/>
                <w:sz w:val="20"/>
              </w:rPr>
              <w:t>Modified penalty</w:t>
            </w:r>
          </w:p>
        </w:tc>
      </w:tr>
      <w:tr>
        <w:trPr>
          <w:cantSplit/>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936"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247"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$50 000</w:t>
            </w:r>
          </w:p>
        </w:tc>
      </w:tr>
      <w:tr>
        <w:trPr>
          <w:cantSplit/>
        </w:trPr>
        <w:tc>
          <w:tcPr>
            <w:tcW w:w="1247"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r. 10 &amp; 340</w:t>
            </w:r>
          </w:p>
        </w:tc>
        <w:tc>
          <w:tcPr>
            <w:tcW w:w="3515" w:type="dxa"/>
            <w:tcBorders>
              <w:top w:val="double" w:sz="4" w:space="0" w:color="auto"/>
              <w:bottom w:val="single" w:sz="4" w:space="0" w:color="auto"/>
            </w:tcBorders>
          </w:tcPr>
          <w:p>
            <w:pPr>
              <w:pStyle w:val="yTableNAm"/>
              <w:spacing w:before="0"/>
              <w:rPr>
                <w:sz w:val="20"/>
              </w:rPr>
            </w:pPr>
            <w:r>
              <w:rPr>
                <w:sz w:val="20"/>
              </w:rPr>
              <w:t>Selling or hiring, or exposing or advertising for sale or hire apparatus or installation that does not comply with energy efficiency standards</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Pr>
          <w:p>
            <w:pPr>
              <w:pStyle w:val="yTableNAm"/>
              <w:spacing w:before="0"/>
              <w:rPr>
                <w:sz w:val="20"/>
              </w:rPr>
            </w:pPr>
            <w:r>
              <w:rPr>
                <w:sz w:val="20"/>
              </w:rPr>
              <w:t>r. 242(1)(b) &amp; 340</w:t>
            </w:r>
          </w:p>
        </w:tc>
        <w:tc>
          <w:tcPr>
            <w:tcW w:w="3515" w:type="dxa"/>
          </w:tcPr>
          <w:p>
            <w:pPr>
              <w:pStyle w:val="yTableNAm"/>
              <w:spacing w:before="0"/>
              <w:rPr>
                <w:sz w:val="20"/>
              </w:rPr>
            </w:pPr>
            <w:r>
              <w:rPr>
                <w:sz w:val="20"/>
              </w:rPr>
              <w:t>Supplying electricity without receiving notice certifying installation and fitting is proper and as required by Act</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$20 000</w:t>
            </w:r>
          </w:p>
        </w:tc>
      </w:tr>
      <w:tr>
        <w:trPr>
          <w:cantSplit/>
        </w:trPr>
        <w:tc>
          <w:tcPr>
            <w:tcW w:w="1247"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$3 000</w:t>
            </w:r>
          </w:p>
        </w:tc>
      </w:tr>
      <w:tr>
        <w:trPr>
          <w:cantSplit/>
        </w:trPr>
        <w:tc>
          <w:tcPr>
            <w:tcW w:w="1247"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$3 000</w:t>
            </w:r>
          </w:p>
        </w:tc>
      </w:tr>
      <w:tr>
        <w:trPr>
          <w:cantSplit/>
        </w:trPr>
        <w:tc>
          <w:tcPr>
            <w:tcW w:w="1247"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pPr>
      <w:bookmarkStart w:id="651" w:name="OLE_LINK1"/>
      <w:r>
        <w:t xml:space="preserve">Table 3 — </w:t>
      </w:r>
      <w:r>
        <w:rPr>
          <w:i/>
          <w:iCs/>
        </w:rPr>
        <w:t xml:space="preserve">Electricity (Licensing) Regulations 1991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(Licensing) Regulations 1991</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double" w:sz="4" w:space="0" w:color="auto"/>
              <w:bottom w:val="single" w:sz="4" w:space="0" w:color="auto"/>
            </w:tcBorders>
          </w:tcPr>
          <w:p>
            <w:pPr>
              <w:pStyle w:val="yTableNAm"/>
              <w:spacing w:before="0"/>
              <w:rPr>
                <w:sz w:val="20"/>
              </w:rPr>
            </w:pPr>
          </w:p>
        </w:tc>
      </w:tr>
      <w:bookmarkEnd w:id="651"/>
      <w:tr>
        <w:trPr>
          <w:cantSplit/>
        </w:trPr>
        <w:tc>
          <w:tcPr>
            <w:tcW w:w="1247"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give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52A(5)</w:t>
            </w:r>
          </w:p>
        </w:tc>
        <w:tc>
          <w:tcPr>
            <w:tcW w:w="3515" w:type="dxa"/>
            <w:tcBorders>
              <w:top w:val="single" w:sz="4" w:space="0" w:color="auto"/>
              <w:bottom w:val="single" w:sz="4" w:space="0" w:color="auto"/>
            </w:tcBorders>
          </w:tcPr>
          <w:p>
            <w:pPr>
              <w:pStyle w:val="yTableNAm"/>
              <w:spacing w:before="0"/>
              <w:rPr>
                <w:sz w:val="20"/>
              </w:rPr>
            </w:pPr>
            <w:r>
              <w:rPr>
                <w:sz w:val="20"/>
              </w:rPr>
              <w:t>Giving preliminary notice or notice of completion that is false or misleading</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certificate of compliance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certificate of compliance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52B(7)</w:t>
            </w:r>
          </w:p>
        </w:tc>
        <w:tc>
          <w:tcPr>
            <w:tcW w:w="3515" w:type="dxa"/>
            <w:tcBorders>
              <w:top w:val="single" w:sz="4" w:space="0" w:color="auto"/>
              <w:bottom w:val="single" w:sz="4" w:space="0" w:color="auto"/>
            </w:tcBorders>
          </w:tcPr>
          <w:p>
            <w:pPr>
              <w:pStyle w:val="yTableNAm"/>
              <w:spacing w:before="0"/>
              <w:rPr>
                <w:sz w:val="20"/>
              </w:rPr>
            </w:pPr>
            <w:r>
              <w:rPr>
                <w:sz w:val="20"/>
              </w:rPr>
              <w:t>Giving false or misleading certificate of compliance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iCs/>
        </w:rPr>
        <w:t xml:space="preserve">Electricity (Supply Standards and System Safety) Regulations 2001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p>
            <w:pPr>
              <w:pStyle w:val="yTableNAm"/>
              <w:rPr>
                <w:b/>
                <w:bCs/>
                <w:sz w:val="20"/>
              </w:rPr>
            </w:pPr>
            <w:r>
              <w:rPr>
                <w:b/>
                <w:bCs/>
                <w:sz w:val="20"/>
              </w:rPr>
              <w:t>[to be read with r. 46]</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pPr>
              <w:pStyle w:val="yTableNAm"/>
              <w:spacing w:before="0"/>
              <w:rPr>
                <w:sz w:val="20"/>
              </w:rPr>
            </w:pPr>
          </w:p>
        </w:tc>
        <w:tc>
          <w:tcPr>
            <w:tcW w:w="936"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30(2)</w:t>
            </w:r>
          </w:p>
        </w:tc>
        <w:tc>
          <w:tcPr>
            <w:tcW w:w="3515" w:type="dxa"/>
            <w:tcBorders>
              <w:top w:val="single" w:sz="4" w:space="0" w:color="auto"/>
              <w:bottom w:val="single" w:sz="4" w:space="0" w:color="auto"/>
            </w:tcBorders>
          </w:tcPr>
          <w:p>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33(4)</w:t>
            </w:r>
          </w:p>
        </w:tc>
        <w:tc>
          <w:tcPr>
            <w:tcW w:w="3515" w:type="dxa"/>
            <w:tcBorders>
              <w:top w:val="single" w:sz="4" w:space="0" w:color="auto"/>
              <w:bottom w:val="single" w:sz="4" w:space="0" w:color="auto"/>
            </w:tcBorders>
          </w:tcPr>
          <w:p>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35(1)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36(2)</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bl>
    <w:p>
      <w:pPr>
        <w:pStyle w:val="yFootnotesection"/>
      </w:pPr>
      <w:r>
        <w:tab/>
        <w:t>[Schedule 1 inserted in Gazette 31 Dec 2010 p. 6888-92.]</w:t>
      </w:r>
    </w:p>
    <w:p>
      <w:pPr>
        <w:pStyle w:val="yScheduleHeading"/>
      </w:pPr>
      <w:bookmarkStart w:id="652" w:name="_Toc162159483"/>
      <w:bookmarkStart w:id="653" w:name="_Toc162162702"/>
      <w:bookmarkStart w:id="654" w:name="_Toc162233224"/>
      <w:bookmarkStart w:id="655" w:name="_Toc229555794"/>
      <w:bookmarkStart w:id="656" w:name="_Toc237315310"/>
      <w:bookmarkStart w:id="657" w:name="_Toc241984233"/>
      <w:bookmarkStart w:id="658" w:name="_Toc241992714"/>
      <w:bookmarkStart w:id="659" w:name="_Toc244326855"/>
      <w:bookmarkStart w:id="660" w:name="_Toc246301953"/>
      <w:bookmarkStart w:id="661" w:name="_Toc246302054"/>
      <w:bookmarkStart w:id="662" w:name="_Toc254084585"/>
      <w:bookmarkStart w:id="663" w:name="_Toc255480984"/>
      <w:bookmarkStart w:id="664" w:name="_Toc281483198"/>
      <w:bookmarkStart w:id="665" w:name="_Toc292719925"/>
      <w:r>
        <w:rPr>
          <w:rStyle w:val="CharSchNo"/>
        </w:rPr>
        <w:t>Schedule 2</w:t>
      </w:r>
      <w:r>
        <w:t> — </w:t>
      </w:r>
      <w:r>
        <w:rPr>
          <w:rStyle w:val="CharSchText"/>
        </w:rPr>
        <w:t>Forms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sz w:val="28"/>
              </w:rPr>
            </w:pPr>
            <w:r>
              <w:rPr>
                <w:b/>
                <w:sz w:val="28"/>
              </w:rPr>
              <w:t>Infringement notice</w:t>
            </w:r>
          </w:p>
        </w:tc>
        <w:tc>
          <w:tcPr>
            <w:tcW w:w="1984" w:type="dxa"/>
            <w:tcBorders>
              <w:bottom w:val="single" w:sz="4" w:space="0" w:color="auto"/>
            </w:tcBorders>
          </w:tcPr>
          <w:p>
            <w:pPr>
              <w:pStyle w:val="yTableNAm"/>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clear" w:pos="567"/>
                <w:tab w:val="left" w:pos="634"/>
              </w:tabs>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634"/>
              </w:tabs>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154"/>
                <w:tab w:val="right" w:leader="underscore" w:pos="754"/>
              </w:tabs>
              <w:spacing w:before="0"/>
              <w:rPr>
                <w:sz w:val="20"/>
              </w:rPr>
            </w:pPr>
            <w:r>
              <w:rPr>
                <w:sz w:val="20"/>
              </w:rPr>
              <w:t>or          Company name ____________________________</w:t>
            </w:r>
            <w:r>
              <w:rPr>
                <w:sz w:val="20"/>
              </w:rPr>
              <w:tab/>
            </w:r>
            <w:r>
              <w:rPr>
                <w:sz w:val="20"/>
              </w:rPr>
              <w:tab/>
            </w:r>
          </w:p>
          <w:p>
            <w:pPr>
              <w:pStyle w:val="yTableNAm"/>
              <w:tabs>
                <w:tab w:val="clear" w:pos="567"/>
                <w:tab w:val="left" w:pos="3754"/>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w:t>
            </w:r>
          </w:p>
          <w:p>
            <w:pPr>
              <w:pStyle w:val="yTableNAm"/>
              <w:tabs>
                <w:tab w:val="clear" w:pos="567"/>
                <w:tab w:val="left" w:pos="3754"/>
              </w:tabs>
              <w:spacing w:before="0"/>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w:t>
            </w:r>
          </w:p>
          <w:p>
            <w:pPr>
              <w:pStyle w:val="yTableNAm"/>
              <w:spacing w:before="0"/>
              <w:rPr>
                <w:sz w:val="20"/>
              </w:rPr>
            </w:pP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spacing w:before="0"/>
              <w:ind w:left="567" w:hanging="567"/>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 xml:space="preserve">Date </w:t>
            </w:r>
          </w:p>
        </w:tc>
        <w:tc>
          <w:tcPr>
            <w:tcW w:w="5528" w:type="dxa"/>
            <w:gridSpan w:val="2"/>
            <w:tcBorders>
              <w:bottom w:val="single" w:sz="4" w:space="0" w:color="auto"/>
            </w:tcBorders>
          </w:tcPr>
          <w:p>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0"/>
              <w:rPr>
                <w:b/>
                <w:sz w:val="20"/>
              </w:rPr>
            </w:pPr>
            <w:r>
              <w:rPr>
                <w:b/>
                <w:sz w:val="20"/>
              </w:rPr>
              <w:t>Notice to alleged offender</w:t>
            </w:r>
          </w:p>
        </w:tc>
        <w:tc>
          <w:tcPr>
            <w:tcW w:w="5528"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NAm"/>
              <w:spacing w:before="0"/>
              <w:rPr>
                <w:b/>
                <w:sz w:val="20"/>
              </w:rPr>
            </w:pPr>
          </w:p>
        </w:tc>
        <w:tc>
          <w:tcPr>
            <w:tcW w:w="5528" w:type="dxa"/>
            <w:gridSpan w:val="2"/>
            <w:tcBorders>
              <w:top w:val="nil"/>
              <w:bottom w:val="nil"/>
            </w:tcBorders>
          </w:tcPr>
          <w:p>
            <w:pPr>
              <w:pStyle w:val="yTableNAm"/>
              <w:tabs>
                <w:tab w:val="clear" w:pos="567"/>
                <w:tab w:val="left" w:pos="274"/>
              </w:tabs>
              <w:spacing w:before="0"/>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s>
              <w:spacing w:before="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nil"/>
              <w:bottom w:val="single" w:sz="4" w:space="0" w:color="auto"/>
            </w:tcBorders>
          </w:tcPr>
          <w:p>
            <w:pPr>
              <w:pStyle w:val="yTableNAm"/>
              <w:spacing w:before="0"/>
              <w:rPr>
                <w:b/>
                <w:sz w:val="20"/>
              </w:rPr>
            </w:pPr>
          </w:p>
        </w:tc>
        <w:tc>
          <w:tcPr>
            <w:tcW w:w="5528" w:type="dxa"/>
            <w:gridSpan w:val="2"/>
            <w:tcBorders>
              <w:top w:val="nil"/>
              <w:bottom w:val="single" w:sz="4" w:space="0" w:color="auto"/>
            </w:tcBorders>
          </w:tcPr>
          <w:p>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2"/>
            <w:tcBorders>
              <w:top w:val="single" w:sz="4" w:space="0" w:color="auto"/>
              <w:bottom w:val="single" w:sz="4" w:space="0" w:color="auto"/>
            </w:tcBorders>
          </w:tcPr>
          <w:p>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pageBreakBefore/>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rPr>
            </w:pPr>
            <w:r>
              <w:rPr>
                <w:b/>
              </w:rPr>
              <w:t>Withdrawal of infringement notice</w:t>
            </w:r>
          </w:p>
        </w:tc>
        <w:tc>
          <w:tcPr>
            <w:tcW w:w="1984" w:type="dxa"/>
            <w:tcBorders>
              <w:bottom w:val="single" w:sz="4" w:space="0" w:color="auto"/>
            </w:tcBorders>
          </w:tcPr>
          <w:p>
            <w:pPr>
              <w:pStyle w:val="yTableNAm"/>
              <w:spacing w:before="0"/>
              <w:rPr>
                <w:sz w:val="20"/>
              </w:rPr>
            </w:pPr>
            <w:r>
              <w:rPr>
                <w:sz w:val="20"/>
              </w:rPr>
              <w:t>Withdrawal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or</w:t>
            </w:r>
            <w:r>
              <w:rPr>
                <w:sz w:val="20"/>
              </w:rPr>
              <w:tab/>
              <w:t xml:space="preserve"> Company name __________________________________</w:t>
            </w:r>
          </w:p>
          <w:p>
            <w:pPr>
              <w:pStyle w:val="yTableNAm"/>
              <w:tabs>
                <w:tab w:val="clear" w:pos="567"/>
                <w:tab w:val="left" w:pos="4045"/>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_____________________________________________________</w:t>
            </w:r>
          </w:p>
          <w:p>
            <w:pPr>
              <w:pStyle w:val="yTableNAm"/>
              <w:tabs>
                <w:tab w:val="clear" w:pos="567"/>
                <w:tab w:val="left" w:pos="4045"/>
              </w:tabs>
              <w:spacing w:before="0"/>
              <w:rPr>
                <w:sz w:val="20"/>
              </w:rPr>
            </w:pPr>
            <w:r>
              <w:rPr>
                <w:sz w:val="20"/>
              </w:rPr>
              <w:tab/>
              <w:t>Postcode</w:t>
            </w:r>
          </w:p>
        </w:tc>
      </w:tr>
      <w:tr>
        <w:trPr>
          <w:cantSplit/>
        </w:trPr>
        <w:tc>
          <w:tcPr>
            <w:tcW w:w="1276" w:type="dxa"/>
            <w:vMerge w:val="restart"/>
            <w:tcMar>
              <w:right w:w="57" w:type="dxa"/>
            </w:tcMar>
          </w:tcPr>
          <w:p>
            <w:pPr>
              <w:pStyle w:val="yTableNAm"/>
              <w:spacing w:before="0"/>
              <w:rPr>
                <w:b/>
                <w:sz w:val="20"/>
              </w:rPr>
            </w:pPr>
            <w:r>
              <w:rPr>
                <w:b/>
                <w:sz w:val="20"/>
              </w:rPr>
              <w:t>Infringement notice</w:t>
            </w:r>
          </w:p>
        </w:tc>
        <w:tc>
          <w:tcPr>
            <w:tcW w:w="5528" w:type="dxa"/>
            <w:gridSpan w:val="2"/>
          </w:tcPr>
          <w:p>
            <w:pPr>
              <w:pStyle w:val="yTableNAm"/>
              <w:spacing w:before="0"/>
              <w:rPr>
                <w:sz w:val="20"/>
              </w:rPr>
            </w:pPr>
            <w:r>
              <w:rPr>
                <w:sz w:val="20"/>
              </w:rPr>
              <w:t>Infringement notice no.</w:t>
            </w:r>
          </w:p>
        </w:tc>
      </w:tr>
      <w:tr>
        <w:trPr>
          <w:cantSplit/>
        </w:trPr>
        <w:tc>
          <w:tcPr>
            <w:tcW w:w="1276" w:type="dxa"/>
            <w:vMerge/>
          </w:tcPr>
          <w:p>
            <w:pPr>
              <w:pStyle w:val="yTableNAm"/>
              <w:spacing w:before="0"/>
              <w:rPr>
                <w:sz w:val="20"/>
              </w:rPr>
            </w:pPr>
          </w:p>
        </w:tc>
        <w:tc>
          <w:tcPr>
            <w:tcW w:w="5528" w:type="dxa"/>
            <w:gridSpan w:val="2"/>
          </w:tcPr>
          <w:p>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____________________________________</w:t>
            </w:r>
          </w:p>
          <w:p>
            <w:pPr>
              <w:pStyle w:val="yTableNAm"/>
              <w:spacing w:before="0"/>
              <w:rPr>
                <w:sz w:val="20"/>
              </w:rPr>
            </w:pP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NAm"/>
              <w:spacing w:before="0"/>
              <w:rPr>
                <w:b/>
                <w:sz w:val="20"/>
              </w:rPr>
            </w:pPr>
            <w:r>
              <w:rPr>
                <w:b/>
                <w:sz w:val="20"/>
              </w:rPr>
              <w:t>Officer withdrawing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Date</w:t>
            </w:r>
          </w:p>
        </w:tc>
        <w:tc>
          <w:tcPr>
            <w:tcW w:w="5528"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NAm"/>
              <w:spacing w:before="0"/>
              <w:rPr>
                <w:b/>
                <w:sz w:val="20"/>
              </w:rPr>
            </w:pPr>
            <w:r>
              <w:rPr>
                <w:b/>
                <w:sz w:val="20"/>
              </w:rPr>
              <w:t>Withdrawal of infringement notice</w:t>
            </w:r>
          </w:p>
          <w:p>
            <w:pPr>
              <w:pStyle w:val="yTableNAm"/>
              <w:spacing w:before="0"/>
              <w:rPr>
                <w:sz w:val="20"/>
              </w:rPr>
            </w:pP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25"/>
              </w:tabs>
              <w:spacing w:before="0"/>
              <w:rPr>
                <w:sz w:val="20"/>
              </w:rPr>
            </w:pPr>
            <w:r>
              <w:rPr>
                <w:sz w:val="20"/>
              </w:rPr>
              <w:t>*</w:t>
            </w:r>
            <w:r>
              <w:rPr>
                <w:sz w:val="20"/>
              </w:rPr>
              <w:tab/>
              <w:t>Your refund is enclosed.</w:t>
            </w:r>
          </w:p>
          <w:p>
            <w:pPr>
              <w:pStyle w:val="yTableNAm"/>
              <w:tabs>
                <w:tab w:val="clear" w:pos="567"/>
                <w:tab w:val="left" w:pos="325"/>
              </w:tabs>
              <w:spacing w:before="0"/>
              <w:rPr>
                <w:sz w:val="20"/>
              </w:rPr>
            </w:pPr>
            <w:r>
              <w:rPr>
                <w:sz w:val="20"/>
              </w:rPr>
              <w:t>or</w:t>
            </w:r>
          </w:p>
          <w:p>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325"/>
              </w:tabs>
              <w:spacing w:before="0"/>
              <w:rPr>
                <w:sz w:val="20"/>
              </w:rPr>
            </w:pPr>
            <w:r>
              <w:rPr>
                <w:sz w:val="20"/>
              </w:rPr>
              <w:tab/>
            </w:r>
            <w:r>
              <w:rPr>
                <w:sz w:val="20"/>
              </w:rPr>
              <w:tab/>
              <w:t>Director of Energy Safety</w:t>
            </w:r>
          </w:p>
          <w:p>
            <w:pPr>
              <w:pStyle w:val="yTableNAm"/>
              <w:tabs>
                <w:tab w:val="clear" w:pos="567"/>
                <w:tab w:val="left" w:pos="805"/>
              </w:tabs>
              <w:spacing w:before="0"/>
              <w:rPr>
                <w:i/>
                <w:iCs/>
                <w:sz w:val="20"/>
              </w:rPr>
            </w:pPr>
            <w:r>
              <w:rPr>
                <w:i/>
                <w:iCs/>
                <w:sz w:val="20"/>
              </w:rPr>
              <w:tab/>
              <w:t xml:space="preserve">   [Address]</w:t>
            </w:r>
          </w:p>
          <w:p>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666" w:name="UpToHere"/>
      <w:bookmarkEnd w:id="666"/>
    </w:p>
    <w:p>
      <w:pPr>
        <w:pStyle w:val="nHeading2"/>
      </w:pPr>
      <w:bookmarkStart w:id="667" w:name="_Toc162159484"/>
      <w:bookmarkStart w:id="668" w:name="_Toc162162703"/>
      <w:bookmarkStart w:id="669" w:name="_Toc162233225"/>
      <w:bookmarkStart w:id="670" w:name="_Toc229555795"/>
      <w:bookmarkStart w:id="671" w:name="_Toc237315311"/>
      <w:bookmarkStart w:id="672" w:name="_Toc241984234"/>
      <w:bookmarkStart w:id="673" w:name="_Toc241992715"/>
      <w:bookmarkStart w:id="674" w:name="_Toc244326856"/>
      <w:bookmarkStart w:id="675" w:name="_Toc246301954"/>
      <w:bookmarkStart w:id="676" w:name="_Toc246302055"/>
      <w:bookmarkStart w:id="677" w:name="_Toc254084586"/>
      <w:bookmarkStart w:id="678" w:name="_Toc255480985"/>
      <w:bookmarkStart w:id="679" w:name="_Toc281483199"/>
      <w:bookmarkStart w:id="680" w:name="_Toc292719926"/>
      <w:r>
        <w:t>Notes</w:t>
      </w:r>
      <w:bookmarkEnd w:id="640"/>
      <w:bookmarkEnd w:id="641"/>
      <w:bookmarkEnd w:id="642"/>
      <w:bookmarkEnd w:id="643"/>
      <w:bookmarkEnd w:id="644"/>
      <w:bookmarkEnd w:id="645"/>
      <w:bookmarkEnd w:id="646"/>
      <w:bookmarkEnd w:id="647"/>
      <w:bookmarkEnd w:id="648"/>
      <w:bookmarkEnd w:id="649"/>
      <w:bookmarkEnd w:id="650"/>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1" w:name="_Toc292719927"/>
      <w:bookmarkStart w:id="682" w:name="_Toc281483200"/>
      <w:r>
        <w:rPr>
          <w:snapToGrid w:val="0"/>
        </w:rPr>
        <w:t>Compilation table</w:t>
      </w:r>
      <w:bookmarkEnd w:id="681"/>
      <w:bookmarkEnd w:id="68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r>
              <w:rPr>
                <w:sz w:val="19"/>
              </w:rPr>
              <w:noBreakHyphen/>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sz w:val="19"/>
              </w:rPr>
              <w:t> </w:t>
            </w:r>
            <w:r>
              <w:rPr>
                <w:snapToGrid w:val="0"/>
                <w:sz w:val="19"/>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r>
              <w:rPr>
                <w:sz w:val="19"/>
              </w:rPr>
              <w:noBreakHyphen/>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ins w:id="683" w:author="Master Repository Process" w:date="2021-08-01T13:30:00Z">
              <w:r>
                <w:rPr>
                  <w:i/>
                  <w:sz w:val="19"/>
                </w:rPr>
                <w:t> </w:t>
              </w:r>
              <w:r>
                <w:rPr>
                  <w:sz w:val="19"/>
                  <w:vertAlign w:val="superscript"/>
                </w:rPr>
                <w:t>8</w:t>
              </w:r>
            </w:ins>
          </w:p>
        </w:tc>
        <w:tc>
          <w:tcPr>
            <w:tcW w:w="1276" w:type="dxa"/>
          </w:tcPr>
          <w:p>
            <w:pPr>
              <w:pStyle w:val="nTable"/>
              <w:spacing w:after="40"/>
              <w:rPr>
                <w:sz w:val="19"/>
              </w:rPr>
            </w:pPr>
            <w:r>
              <w:rPr>
                <w:sz w:val="19"/>
              </w:rPr>
              <w:t>20 Mar 2007 p. 1038</w:t>
            </w:r>
            <w:r>
              <w:rPr>
                <w:sz w:val="19"/>
              </w:rPr>
              <w:noBreakHyphen/>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r>
              <w:rPr>
                <w:sz w:val="19"/>
              </w:rPr>
              <w:noBreakHyphen/>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5) 2009</w:t>
            </w:r>
          </w:p>
        </w:tc>
        <w:tc>
          <w:tcPr>
            <w:tcW w:w="1276" w:type="dxa"/>
          </w:tcPr>
          <w:p>
            <w:pPr>
              <w:pStyle w:val="nTable"/>
              <w:spacing w:after="40"/>
              <w:rPr>
                <w:sz w:val="19"/>
              </w:rPr>
            </w:pPr>
            <w:r>
              <w:rPr>
                <w:sz w:val="19"/>
              </w:rPr>
              <w:t>5 Mar 2010 p. 841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trPr>
          <w:cantSplit/>
        </w:trPr>
        <w:tc>
          <w:tcPr>
            <w:tcW w:w="3118" w:type="dxa"/>
          </w:tcPr>
          <w:p>
            <w:pPr>
              <w:pStyle w:val="nTable"/>
              <w:spacing w:after="40"/>
              <w:ind w:right="170"/>
              <w:rPr>
                <w:i/>
                <w:sz w:val="19"/>
              </w:rPr>
            </w:pPr>
            <w:r>
              <w:rPr>
                <w:i/>
                <w:sz w:val="19"/>
              </w:rPr>
              <w:t>Electricity Amendment Regulations 2010</w:t>
            </w:r>
          </w:p>
        </w:tc>
        <w:tc>
          <w:tcPr>
            <w:tcW w:w="1276" w:type="dxa"/>
          </w:tcPr>
          <w:p>
            <w:pPr>
              <w:pStyle w:val="nTable"/>
              <w:spacing w:after="40"/>
              <w:rPr>
                <w:sz w:val="19"/>
              </w:rPr>
            </w:pPr>
            <w:r>
              <w:rPr>
                <w:sz w:val="19"/>
              </w:rPr>
              <w:t>31 Dec 2010 p. 6888-92</w:t>
            </w:r>
          </w:p>
        </w:tc>
        <w:tc>
          <w:tcPr>
            <w:tcW w:w="2693" w:type="dxa"/>
          </w:tcPr>
          <w:p>
            <w:pPr>
              <w:pStyle w:val="nTable"/>
              <w:spacing w:after="40"/>
              <w:rPr>
                <w:snapToGrid w:val="0"/>
                <w:spacing w:val="-2"/>
                <w:sz w:val="19"/>
                <w:lang w:val="en-US"/>
              </w:rPr>
            </w:pPr>
            <w:r>
              <w:rPr>
                <w:snapToGrid w:val="0"/>
                <w:spacing w:val="-2"/>
                <w:sz w:val="19"/>
                <w:lang w:val="en-US"/>
              </w:rPr>
              <w:t>r. 1 and 2: 31 Dec 2010 (see r. 2(a));</w:t>
            </w:r>
            <w:r>
              <w:rPr>
                <w:snapToGrid w:val="0"/>
                <w:spacing w:val="-2"/>
                <w:sz w:val="19"/>
                <w:lang w:val="en-US"/>
              </w:rPr>
              <w:br/>
              <w:t>Regulations other than r. 1 and 2: 1 Jan 2011 (see r. 2(b))</w:t>
            </w:r>
          </w:p>
        </w:tc>
      </w:tr>
      <w:tr>
        <w:trPr>
          <w:cantSplit/>
          <w:ins w:id="684" w:author="Master Repository Process" w:date="2021-08-01T13:30:00Z"/>
        </w:trPr>
        <w:tc>
          <w:tcPr>
            <w:tcW w:w="3118" w:type="dxa"/>
            <w:tcBorders>
              <w:bottom w:val="single" w:sz="4" w:space="0" w:color="auto"/>
            </w:tcBorders>
          </w:tcPr>
          <w:p>
            <w:pPr>
              <w:pStyle w:val="nTable"/>
              <w:spacing w:after="40"/>
              <w:ind w:right="170"/>
              <w:rPr>
                <w:ins w:id="685" w:author="Master Repository Process" w:date="2021-08-01T13:30:00Z"/>
                <w:i/>
                <w:sz w:val="19"/>
              </w:rPr>
            </w:pPr>
            <w:ins w:id="686" w:author="Master Repository Process" w:date="2021-08-01T13:30:00Z">
              <w:r>
                <w:rPr>
                  <w:i/>
                  <w:sz w:val="19"/>
                </w:rPr>
                <w:t>Electricity Amendment Regulations (No. 3) 2010</w:t>
              </w:r>
            </w:ins>
          </w:p>
        </w:tc>
        <w:tc>
          <w:tcPr>
            <w:tcW w:w="1276" w:type="dxa"/>
            <w:tcBorders>
              <w:bottom w:val="single" w:sz="4" w:space="0" w:color="auto"/>
            </w:tcBorders>
          </w:tcPr>
          <w:p>
            <w:pPr>
              <w:pStyle w:val="nTable"/>
              <w:spacing w:after="40"/>
              <w:rPr>
                <w:ins w:id="687" w:author="Master Repository Process" w:date="2021-08-01T13:30:00Z"/>
                <w:sz w:val="19"/>
              </w:rPr>
            </w:pPr>
            <w:ins w:id="688" w:author="Master Repository Process" w:date="2021-08-01T13:30:00Z">
              <w:r>
                <w:rPr>
                  <w:sz w:val="19"/>
                </w:rPr>
                <w:t>10 May 2011 p. 1662</w:t>
              </w:r>
              <w:r>
                <w:rPr>
                  <w:sz w:val="19"/>
                </w:rPr>
                <w:noBreakHyphen/>
                <w:t>6</w:t>
              </w:r>
            </w:ins>
          </w:p>
        </w:tc>
        <w:tc>
          <w:tcPr>
            <w:tcW w:w="2693" w:type="dxa"/>
            <w:tcBorders>
              <w:bottom w:val="single" w:sz="4" w:space="0" w:color="auto"/>
            </w:tcBorders>
          </w:tcPr>
          <w:p>
            <w:pPr>
              <w:pStyle w:val="nTable"/>
              <w:spacing w:after="40"/>
              <w:rPr>
                <w:ins w:id="689" w:author="Master Repository Process" w:date="2021-08-01T13:30:00Z"/>
                <w:snapToGrid w:val="0"/>
                <w:spacing w:val="-2"/>
                <w:sz w:val="19"/>
                <w:lang w:val="en-US"/>
              </w:rPr>
            </w:pPr>
            <w:ins w:id="690" w:author="Master Repository Process" w:date="2021-08-01T13:30:00Z">
              <w:r>
                <w:rPr>
                  <w:snapToGrid w:val="0"/>
                  <w:spacing w:val="-2"/>
                  <w:sz w:val="19"/>
                  <w:lang w:val="en-US"/>
                </w:rPr>
                <w:t>r. 1 and 2: 10 May 2011 (see r. 2(a));</w:t>
              </w:r>
              <w:r>
                <w:rPr>
                  <w:snapToGrid w:val="0"/>
                  <w:spacing w:val="-2"/>
                  <w:sz w:val="19"/>
                  <w:lang w:val="en-US"/>
                </w:rPr>
                <w:br/>
                <w:t>Regulations other than r. 1 and 2: 11 May  2011 (see r. 2(b))</w:t>
              </w:r>
            </w:ins>
          </w:p>
        </w:tc>
      </w:tr>
    </w:tbl>
    <w:p>
      <w:pPr>
        <w:pStyle w:val="nSubsection"/>
        <w:spacing w:before="160"/>
        <w:rPr>
          <w:snapToGrid w:val="0"/>
        </w:rPr>
      </w:pPr>
      <w:r>
        <w:rPr>
          <w:snapToGrid w:val="0"/>
          <w:vertAlign w:val="superscript"/>
        </w:rPr>
        <w:t>2</w:t>
      </w:r>
      <w:r>
        <w:rPr>
          <w:snapToGrid w:val="0"/>
        </w:rPr>
        <w:tab/>
        <w:t xml:space="preserve">The Standards Association of </w:t>
      </w:r>
      <w:smartTag w:uri="urn:schemas-microsoft-com:office:smarttags" w:element="country-region">
        <w:r>
          <w:rPr>
            <w:snapToGrid w:val="0"/>
          </w:rPr>
          <w:t>Australia</w:t>
        </w:r>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rPr>
          <w:ins w:id="691" w:author="Master Repository Process" w:date="2021-08-01T13:30:00Z"/>
        </w:rPr>
      </w:pPr>
      <w:ins w:id="692" w:author="Master Repository Process" w:date="2021-08-01T13:30:00Z">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ins>
    </w:p>
    <w:p>
      <w:pPr>
        <w:pStyle w:val="nSubsection"/>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345"/>
    <w:docVar w:name="WAFER_20151207122345" w:val="RemoveTrackChanges"/>
    <w:docVar w:name="WAFER_20151207122345_GUID" w:val="0a78596a-8342-4080-9bd9-2645b5aed4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71FC639-D3A6-47DE-BC49-E8BFD8B28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13945</Words>
  <Characters>69029</Characters>
  <Application>Microsoft Office Word</Application>
  <DocSecurity>0</DocSecurity>
  <Lines>2380</Lines>
  <Paragraphs>1276</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05-c0-02 - 05-d0-04</dc:title>
  <dc:subject/>
  <dc:creator/>
  <cp:keywords/>
  <dc:description/>
  <cp:lastModifiedBy>Master Repository Process</cp:lastModifiedBy>
  <cp:revision>2</cp:revision>
  <cp:lastPrinted>2010-02-16T04:34:00Z</cp:lastPrinted>
  <dcterms:created xsi:type="dcterms:W3CDTF">2021-08-01T05:30:00Z</dcterms:created>
  <dcterms:modified xsi:type="dcterms:W3CDTF">2021-08-01T05:30:00Z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20110511</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ReprintedAsAt">
    <vt:filetime>2010-02-18T16:00:00Z</vt:filetime>
  </property>
  <property fmtid="{D5CDD505-2E9C-101B-9397-08002B2CF9AE}" pid="8" name="FromSuffix">
    <vt:lpwstr>05-c0-02</vt:lpwstr>
  </property>
  <property fmtid="{D5CDD505-2E9C-101B-9397-08002B2CF9AE}" pid="9" name="FromAsAtDate">
    <vt:lpwstr>01 Jan 2011</vt:lpwstr>
  </property>
  <property fmtid="{D5CDD505-2E9C-101B-9397-08002B2CF9AE}" pid="10" name="ToSuffix">
    <vt:lpwstr>05-d0-04</vt:lpwstr>
  </property>
  <property fmtid="{D5CDD505-2E9C-101B-9397-08002B2CF9AE}" pid="11" name="ToAsAtDate">
    <vt:lpwstr>11 May 2011</vt:lpwstr>
  </property>
</Properties>
</file>