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2006</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4T21:54:00Z"/>
        </w:trPr>
        <w:tc>
          <w:tcPr>
            <w:tcW w:w="2434" w:type="dxa"/>
            <w:vMerge w:val="restart"/>
          </w:tcPr>
          <w:p>
            <w:pPr>
              <w:rPr>
                <w:del w:id="1" w:author="svcMRProcess" w:date="2015-12-14T21:54:00Z"/>
              </w:rPr>
            </w:pPr>
          </w:p>
        </w:tc>
        <w:tc>
          <w:tcPr>
            <w:tcW w:w="2434" w:type="dxa"/>
            <w:vMerge w:val="restart"/>
          </w:tcPr>
          <w:p>
            <w:pPr>
              <w:jc w:val="center"/>
              <w:rPr>
                <w:del w:id="2" w:author="svcMRProcess" w:date="2015-12-14T21:54:00Z"/>
              </w:rPr>
            </w:pPr>
            <w:del w:id="3" w:author="svcMRProcess" w:date="2015-12-14T21:5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4T21:54:00Z"/>
              </w:rPr>
            </w:pPr>
          </w:p>
        </w:tc>
      </w:tr>
      <w:tr>
        <w:trPr>
          <w:cantSplit/>
          <w:del w:id="5" w:author="svcMRProcess" w:date="2015-12-14T21:54:00Z"/>
        </w:trPr>
        <w:tc>
          <w:tcPr>
            <w:tcW w:w="2434" w:type="dxa"/>
            <w:vMerge/>
          </w:tcPr>
          <w:p>
            <w:pPr>
              <w:rPr>
                <w:del w:id="6" w:author="svcMRProcess" w:date="2015-12-14T21:54:00Z"/>
              </w:rPr>
            </w:pPr>
          </w:p>
        </w:tc>
        <w:tc>
          <w:tcPr>
            <w:tcW w:w="2434" w:type="dxa"/>
            <w:vMerge/>
          </w:tcPr>
          <w:p>
            <w:pPr>
              <w:jc w:val="center"/>
              <w:rPr>
                <w:del w:id="7" w:author="svcMRProcess" w:date="2015-12-14T21:54:00Z"/>
              </w:rPr>
            </w:pPr>
          </w:p>
        </w:tc>
        <w:tc>
          <w:tcPr>
            <w:tcW w:w="2434" w:type="dxa"/>
          </w:tcPr>
          <w:p>
            <w:pPr>
              <w:keepNext/>
              <w:rPr>
                <w:del w:id="8" w:author="svcMRProcess" w:date="2015-12-14T21:54:00Z"/>
                <w:b/>
                <w:sz w:val="22"/>
              </w:rPr>
            </w:pPr>
            <w:del w:id="9" w:author="svcMRProcess" w:date="2015-12-14T21:54: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xml:space="preserve"> August 2006</w:delText>
              </w:r>
            </w:del>
          </w:p>
        </w:tc>
      </w:tr>
    </w:tbl>
    <w:p>
      <w:pPr>
        <w:pStyle w:val="WA"/>
        <w:spacing w:before="120"/>
      </w:pPr>
      <w:r>
        <w:t>Western Australia</w:t>
      </w:r>
    </w:p>
    <w:p>
      <w:pPr>
        <w:pStyle w:val="NameofActReg"/>
        <w:keepLines/>
        <w:suppressLineNumbers/>
        <w:ind w:right="284"/>
      </w:pPr>
      <w:r>
        <w:t>State Superannuation Act 2000</w:t>
      </w:r>
    </w:p>
    <w:p>
      <w:pPr>
        <w:pStyle w:val="LongTitle"/>
        <w:keepLines/>
        <w:suppressLineNumbers/>
        <w:spacing w:before="600"/>
      </w:pPr>
      <w:r>
        <w:t>A</w:t>
      </w:r>
      <w:bookmarkStart w:id="10" w:name="_GoBack"/>
      <w:bookmarkEnd w:id="10"/>
      <w:r>
        <w:t>n Act to provide superannuation schemes for persons working for —</w:t>
      </w:r>
    </w:p>
    <w:p>
      <w:pPr>
        <w:pStyle w:val="LongTitle2"/>
      </w:pPr>
      <w:r>
        <w:tab/>
        <w:t>•</w:t>
      </w:r>
      <w:r>
        <w:tab/>
        <w:t>the Crown;</w:t>
      </w:r>
    </w:p>
    <w:p>
      <w:pPr>
        <w:pStyle w:val="LongTitle2"/>
      </w:pPr>
      <w:r>
        <w:tab/>
        <w:t>•</w:t>
      </w:r>
      <w:r>
        <w:tab/>
        <w:t>the Government of Western Australia;</w:t>
      </w:r>
    </w:p>
    <w:p>
      <w:pPr>
        <w:pStyle w:val="LongTitle2"/>
      </w:pPr>
      <w:r>
        <w:tab/>
        <w:t>•</w:t>
      </w:r>
      <w:r>
        <w:tab/>
        <w:t>Ministers of the Crown; or</w:t>
      </w:r>
    </w:p>
    <w:p>
      <w:pPr>
        <w:pStyle w:val="LongTitle2"/>
      </w:pPr>
      <w:r>
        <w:tab/>
        <w:t>•</w:t>
      </w:r>
      <w:r>
        <w:tab/>
      </w:r>
      <w:r>
        <w:tab/>
        <w:t>certain authorities, bodies and persons,</w:t>
      </w:r>
    </w:p>
    <w:p>
      <w:pPr>
        <w:pStyle w:val="LongTitle"/>
        <w:keepLines/>
        <w:suppressLineNumbers/>
        <w:tabs>
          <w:tab w:val="left" w:pos="709"/>
          <w:tab w:val="left" w:pos="1134"/>
        </w:tabs>
      </w:pPr>
      <w:r>
        <w:t xml:space="preserve">and certain other persons, to repeal the </w:t>
      </w:r>
      <w:r>
        <w:rPr>
          <w:i/>
        </w:rPr>
        <w:t>Government Employees Superannuation Act 1987</w:t>
      </w:r>
      <w:r>
        <w:t xml:space="preserve"> and the </w:t>
      </w:r>
      <w:r>
        <w:rPr>
          <w:i/>
        </w:rPr>
        <w:t>Superannuation and Family Benefits Act 1938</w:t>
      </w:r>
      <w:r>
        <w:t>, and for related purposes.</w:t>
      </w:r>
    </w:p>
    <w:p>
      <w:pPr>
        <w:pStyle w:val="Heading2"/>
        <w:keepLines/>
      </w:pPr>
      <w:bookmarkStart w:id="11" w:name="_Toc92706069"/>
      <w:bookmarkStart w:id="12" w:name="_Toc137013216"/>
      <w:bookmarkStart w:id="13" w:name="_Toc137013294"/>
      <w:bookmarkStart w:id="14" w:name="_Toc137013372"/>
      <w:bookmarkStart w:id="15" w:name="_Toc139707658"/>
      <w:bookmarkStart w:id="16" w:name="_Toc142898760"/>
      <w:bookmarkStart w:id="17" w:name="_Toc142899340"/>
      <w:bookmarkStart w:id="18" w:name="_Toc143582888"/>
      <w:bookmarkStart w:id="19" w:name="_Toc144012948"/>
      <w:bookmarkStart w:id="20" w:name="_Toc144780864"/>
      <w:bookmarkStart w:id="21" w:name="_Toc158007416"/>
      <w:r>
        <w:rPr>
          <w:rStyle w:val="CharPartNo"/>
        </w:rPr>
        <w:t>Part 1</w:t>
      </w:r>
      <w:r>
        <w:t xml:space="preserve"> — </w:t>
      </w:r>
      <w:r>
        <w:rPr>
          <w:rStyle w:val="CharPartText"/>
        </w:rPr>
        <w:t>Preliminary</w:t>
      </w:r>
      <w:bookmarkEnd w:id="11"/>
      <w:bookmarkEnd w:id="12"/>
      <w:bookmarkEnd w:id="13"/>
      <w:bookmarkEnd w:id="14"/>
      <w:bookmarkEnd w:id="15"/>
      <w:bookmarkEnd w:id="16"/>
      <w:bookmarkEnd w:id="17"/>
      <w:bookmarkEnd w:id="18"/>
      <w:bookmarkEnd w:id="19"/>
      <w:bookmarkEnd w:id="20"/>
      <w:bookmarkEnd w:id="21"/>
    </w:p>
    <w:p>
      <w:pPr>
        <w:pStyle w:val="Heading5"/>
        <w:suppressLineNumbers/>
      </w:pPr>
      <w:bookmarkStart w:id="22" w:name="_Toc496925275"/>
      <w:bookmarkStart w:id="23" w:name="_Toc520186352"/>
      <w:bookmarkStart w:id="24" w:name="_Toc137013295"/>
      <w:bookmarkStart w:id="25" w:name="_Toc158007417"/>
      <w:bookmarkStart w:id="26" w:name="_Toc144780865"/>
      <w:r>
        <w:rPr>
          <w:rStyle w:val="CharSectno"/>
        </w:rPr>
        <w:t>1</w:t>
      </w:r>
      <w:r>
        <w:t>.</w:t>
      </w:r>
      <w:r>
        <w:tab/>
        <w:t>Short title</w:t>
      </w:r>
      <w:bookmarkEnd w:id="22"/>
      <w:bookmarkEnd w:id="23"/>
      <w:bookmarkEnd w:id="24"/>
      <w:bookmarkEnd w:id="25"/>
      <w:bookmarkEnd w:id="26"/>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7" w:name="_Toc442678265"/>
      <w:bookmarkStart w:id="28" w:name="_Toc496925276"/>
      <w:bookmarkStart w:id="29" w:name="_Toc520186353"/>
      <w:bookmarkStart w:id="30" w:name="_Toc137013296"/>
      <w:bookmarkStart w:id="31" w:name="_Toc158007418"/>
      <w:bookmarkStart w:id="32" w:name="_Toc144780866"/>
      <w:r>
        <w:rPr>
          <w:rStyle w:val="CharSectno"/>
        </w:rPr>
        <w:t>2</w:t>
      </w:r>
      <w:r>
        <w:t>.</w:t>
      </w:r>
      <w:r>
        <w:tab/>
        <w:t>Commencement</w:t>
      </w:r>
      <w:bookmarkEnd w:id="27"/>
      <w:bookmarkEnd w:id="28"/>
      <w:bookmarkEnd w:id="29"/>
      <w:bookmarkEnd w:id="30"/>
      <w:bookmarkEnd w:id="31"/>
      <w:bookmarkEnd w:id="32"/>
    </w:p>
    <w:p>
      <w:pPr>
        <w:pStyle w:val="Subsection"/>
        <w:keepLines/>
      </w:pPr>
      <w:r>
        <w:tab/>
      </w:r>
      <w:r>
        <w:tab/>
        <w:t>This Act comes into operation on a day fixed by proclamation</w:t>
      </w:r>
      <w:r>
        <w:rPr>
          <w:vertAlign w:val="superscript"/>
        </w:rPr>
        <w:t> 1</w:t>
      </w:r>
      <w:r>
        <w:t>.</w:t>
      </w:r>
    </w:p>
    <w:p>
      <w:pPr>
        <w:pStyle w:val="Heading5"/>
      </w:pPr>
      <w:bookmarkStart w:id="33" w:name="_Toc442678266"/>
      <w:bookmarkStart w:id="34" w:name="_Toc496925277"/>
      <w:bookmarkStart w:id="35" w:name="_Toc520186354"/>
      <w:bookmarkStart w:id="36" w:name="_Toc137013297"/>
      <w:bookmarkStart w:id="37" w:name="_Toc158007419"/>
      <w:bookmarkStart w:id="38" w:name="_Toc144780867"/>
      <w:r>
        <w:rPr>
          <w:rStyle w:val="CharSectno"/>
        </w:rPr>
        <w:t>3</w:t>
      </w:r>
      <w:r>
        <w:t>.</w:t>
      </w:r>
      <w:r>
        <w:tab/>
      </w:r>
      <w:bookmarkEnd w:id="33"/>
      <w:r>
        <w:t>Interpretation</w:t>
      </w:r>
      <w:bookmarkEnd w:id="34"/>
      <w:bookmarkEnd w:id="35"/>
      <w:bookmarkEnd w:id="36"/>
      <w:bookmarkEnd w:id="37"/>
      <w:bookmarkEnd w:id="38"/>
    </w:p>
    <w:p>
      <w:pPr>
        <w:pStyle w:val="Subsection"/>
      </w:pPr>
      <w:r>
        <w:tab/>
        <w:t>(1)</w:t>
      </w:r>
      <w:r>
        <w:tab/>
        <w:t>In this Act — </w:t>
      </w:r>
    </w:p>
    <w:p>
      <w:pPr>
        <w:pStyle w:val="Defstart"/>
      </w:pPr>
      <w:r>
        <w:tab/>
      </w:r>
      <w:r>
        <w:rPr>
          <w:b/>
        </w:rPr>
        <w:t>“actuary”</w:t>
      </w:r>
      <w:r>
        <w:t xml:space="preserve"> means a fellow or accredited member of the Institute of Actuaries of Australia, or any other person with actuarial knowledge and experience who is approved by the Minister; </w:t>
      </w:r>
    </w:p>
    <w:p>
      <w:pPr>
        <w:pStyle w:val="Defstart"/>
      </w:pPr>
      <w:r>
        <w:tab/>
      </w:r>
      <w:r>
        <w:rPr>
          <w:b/>
        </w:rPr>
        <w:t>“benefit”</w:t>
      </w:r>
      <w:r>
        <w:t xml:space="preserve"> means a benefit paid or payable under a scheme, whether paid or payable as a lump sum, pension, allowance or annuity or in any other form;</w:t>
      </w:r>
    </w:p>
    <w:p>
      <w:pPr>
        <w:pStyle w:val="Defstart"/>
      </w:pPr>
      <w:r>
        <w:tab/>
      </w:r>
      <w:r>
        <w:rPr>
          <w:b/>
        </w:rPr>
        <w:t>“Board”</w:t>
      </w:r>
      <w:r>
        <w:t xml:space="preserve"> means the Government Employees Superannuation Board under section </w:t>
      </w:r>
      <w:bookmarkStart w:id="39" w:name="_Hlt463767899"/>
      <w:r>
        <w:t>5</w:t>
      </w:r>
      <w:bookmarkEnd w:id="39"/>
      <w:r>
        <w:t>;</w:t>
      </w:r>
    </w:p>
    <w:p>
      <w:pPr>
        <w:pStyle w:val="Defstart"/>
      </w:pPr>
      <w:r>
        <w:tab/>
      </w:r>
      <w:r>
        <w:rPr>
          <w:b/>
        </w:rPr>
        <w:t>“Employer”</w:t>
      </w:r>
      <w:r>
        <w:t xml:space="preserve"> means — </w:t>
      </w:r>
    </w:p>
    <w:p>
      <w:pPr>
        <w:pStyle w:val="Defpara"/>
      </w:pPr>
      <w:r>
        <w:tab/>
        <w:t>(a)</w:t>
      </w:r>
      <w:r>
        <w:tab/>
        <w:t>the Crown;</w:t>
      </w:r>
    </w:p>
    <w:p>
      <w:pPr>
        <w:pStyle w:val="Defpara"/>
      </w:pPr>
      <w:r>
        <w:tab/>
        <w:t>(b)</w:t>
      </w:r>
      <w:r>
        <w:tab/>
        <w:t>the Government of Western Australia;</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b/>
        </w:rPr>
        <w:t>“Fund”</w:t>
      </w:r>
      <w:r>
        <w:t xml:space="preserve"> means the Government Employees Superannuation Fund under section 14;</w:t>
      </w:r>
    </w:p>
    <w:p>
      <w:pPr>
        <w:pStyle w:val="Defstart"/>
      </w:pPr>
      <w:r>
        <w:tab/>
      </w:r>
      <w:r>
        <w:rPr>
          <w:b/>
        </w:rPr>
        <w:t>“GES Act”</w:t>
      </w:r>
      <w:r>
        <w:t xml:space="preserve"> means the </w:t>
      </w:r>
      <w:r>
        <w:rPr>
          <w:i/>
        </w:rPr>
        <w:t xml:space="preserve">Government Employees Superannuation Act 1987 </w:t>
      </w:r>
      <w:r>
        <w:t>as in force immediately before this Act came into operation;</w:t>
      </w:r>
    </w:p>
    <w:p>
      <w:pPr>
        <w:pStyle w:val="Defstart"/>
      </w:pPr>
      <w:r>
        <w:tab/>
      </w:r>
      <w:r>
        <w:rPr>
          <w:b/>
        </w:rPr>
        <w:t>“Member”</w:t>
      </w:r>
      <w:r>
        <w:t xml:space="preserve"> means a member of a scheme;</w:t>
      </w:r>
    </w:p>
    <w:p>
      <w:pPr>
        <w:pStyle w:val="Defstart"/>
        <w:rPr>
          <w:i/>
        </w:rPr>
      </w:pPr>
      <w:r>
        <w:tab/>
      </w:r>
      <w:r>
        <w:rPr>
          <w:b/>
        </w:rPr>
        <w:t>“S&amp;FB Act”</w:t>
      </w:r>
      <w:r>
        <w:t xml:space="preserve"> means the </w:t>
      </w:r>
      <w:r>
        <w:rPr>
          <w:i/>
        </w:rPr>
        <w:t xml:space="preserve">Superannuation and Family Benefits Act 1938 </w:t>
      </w:r>
      <w:r>
        <w:t>as in force immediately before this Act came into operation;</w:t>
      </w:r>
    </w:p>
    <w:p>
      <w:pPr>
        <w:pStyle w:val="Defstart"/>
      </w:pPr>
      <w:r>
        <w:tab/>
      </w:r>
      <w:r>
        <w:rPr>
          <w:b/>
        </w:rPr>
        <w:t>“scheme”</w:t>
      </w:r>
      <w:r>
        <w:t>, except in section 30, means a superannuation scheme established or continued under this Act;</w:t>
      </w:r>
    </w:p>
    <w:p>
      <w:pPr>
        <w:pStyle w:val="Defstart"/>
      </w:pPr>
      <w:r>
        <w:rPr>
          <w:b/>
        </w:rPr>
        <w:tab/>
        <w:t>“</w:t>
      </w:r>
      <w:r>
        <w:rPr>
          <w:rStyle w:val="CharDefText"/>
        </w:rPr>
        <w:t>subsidiary</w:t>
      </w:r>
      <w:r>
        <w:rPr>
          <w:b/>
        </w:rPr>
        <w:t>”</w:t>
      </w:r>
      <w:r>
        <w:t xml:space="preserve"> means a body determined under subsection (3) to be a subsidiary of the Board;</w:t>
      </w:r>
    </w:p>
    <w:p>
      <w:pPr>
        <w:pStyle w:val="Defstart"/>
      </w:pPr>
      <w:r>
        <w:tab/>
      </w:r>
      <w:r>
        <w:rPr>
          <w:b/>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 xml:space="preserve">Part 1.2 Division 6 of the </w:t>
      </w:r>
      <w:r>
        <w:rPr>
          <w:i/>
          <w:iCs/>
        </w:rPr>
        <w:t>Corporations Act 2001</w:t>
      </w:r>
      <w:r>
        <w:t xml:space="preserve"> of the Commonwealth applies for the purpose of determining whether a body is a subsidiary of the Board.</w:t>
      </w:r>
    </w:p>
    <w:p>
      <w:pPr>
        <w:pStyle w:val="Footnotesection"/>
      </w:pPr>
      <w:r>
        <w:tab/>
        <w:t>[Section 3 amended by No. 18 of 2006 s. 6.]</w:t>
      </w:r>
    </w:p>
    <w:p>
      <w:pPr>
        <w:pStyle w:val="Heading5"/>
      </w:pPr>
      <w:bookmarkStart w:id="40" w:name="_Toc496925278"/>
      <w:bookmarkStart w:id="41" w:name="_Toc520186355"/>
      <w:bookmarkStart w:id="42" w:name="_Toc137013298"/>
      <w:bookmarkStart w:id="43" w:name="_Toc158007420"/>
      <w:bookmarkStart w:id="44" w:name="_Toc144780868"/>
      <w:r>
        <w:rPr>
          <w:rStyle w:val="CharSectno"/>
        </w:rPr>
        <w:t>4</w:t>
      </w:r>
      <w:r>
        <w:t>.</w:t>
      </w:r>
      <w:r>
        <w:tab/>
        <w:t>Act binds the Crown</w:t>
      </w:r>
      <w:bookmarkEnd w:id="40"/>
      <w:bookmarkEnd w:id="41"/>
      <w:bookmarkEnd w:id="42"/>
      <w:bookmarkEnd w:id="43"/>
      <w:bookmarkEnd w:id="44"/>
    </w:p>
    <w:p>
      <w:pPr>
        <w:pStyle w:val="Subsection"/>
      </w:pPr>
      <w:r>
        <w:tab/>
      </w:r>
      <w:r>
        <w:tab/>
        <w:t>This Act binds the Crown.</w:t>
      </w:r>
    </w:p>
    <w:p>
      <w:pPr>
        <w:pStyle w:val="Heading2"/>
        <w:keepLines/>
      </w:pPr>
      <w:bookmarkStart w:id="45" w:name="_Toc92706074"/>
      <w:bookmarkStart w:id="46" w:name="_Toc137013221"/>
      <w:bookmarkStart w:id="47" w:name="_Toc137013299"/>
      <w:bookmarkStart w:id="48" w:name="_Toc137013377"/>
      <w:bookmarkStart w:id="49" w:name="_Toc139707663"/>
      <w:bookmarkStart w:id="50" w:name="_Toc142898765"/>
      <w:bookmarkStart w:id="51" w:name="_Toc142899345"/>
      <w:bookmarkStart w:id="52" w:name="_Toc143582893"/>
      <w:bookmarkStart w:id="53" w:name="_Toc144012953"/>
      <w:bookmarkStart w:id="54" w:name="_Toc144780869"/>
      <w:bookmarkStart w:id="55" w:name="_Toc158007421"/>
      <w:r>
        <w:rPr>
          <w:rStyle w:val="CharPartNo"/>
        </w:rPr>
        <w:t>Part 2</w:t>
      </w:r>
      <w:r>
        <w:t xml:space="preserve"> — </w:t>
      </w:r>
      <w:r>
        <w:rPr>
          <w:rStyle w:val="CharPartText"/>
        </w:rPr>
        <w:t>Government Employees Superannuation Board</w:t>
      </w:r>
      <w:bookmarkEnd w:id="45"/>
      <w:bookmarkEnd w:id="46"/>
      <w:bookmarkEnd w:id="47"/>
      <w:bookmarkEnd w:id="48"/>
      <w:bookmarkEnd w:id="49"/>
      <w:bookmarkEnd w:id="50"/>
      <w:bookmarkEnd w:id="51"/>
      <w:bookmarkEnd w:id="52"/>
      <w:bookmarkEnd w:id="53"/>
      <w:bookmarkEnd w:id="54"/>
      <w:bookmarkEnd w:id="55"/>
      <w:r>
        <w:t xml:space="preserve"> </w:t>
      </w:r>
    </w:p>
    <w:p>
      <w:pPr>
        <w:pStyle w:val="Heading5"/>
      </w:pPr>
      <w:bookmarkStart w:id="56" w:name="_Toc435930233"/>
      <w:bookmarkStart w:id="57" w:name="_Toc438262818"/>
      <w:bookmarkStart w:id="58" w:name="_Toc442678267"/>
      <w:bookmarkStart w:id="59" w:name="_Toc496925279"/>
      <w:bookmarkStart w:id="60" w:name="_Toc520186356"/>
      <w:bookmarkStart w:id="61" w:name="_Toc137013300"/>
      <w:bookmarkStart w:id="62" w:name="_Toc158007422"/>
      <w:bookmarkStart w:id="63" w:name="_Toc144780870"/>
      <w:r>
        <w:rPr>
          <w:rStyle w:val="CharSectno"/>
        </w:rPr>
        <w:t>5</w:t>
      </w:r>
      <w:r>
        <w:t>.</w:t>
      </w:r>
      <w:r>
        <w:tab/>
      </w:r>
      <w:bookmarkEnd w:id="56"/>
      <w:bookmarkEnd w:id="57"/>
      <w:bookmarkEnd w:id="58"/>
      <w:r>
        <w:t>Government Employees Superannuation Board</w:t>
      </w:r>
      <w:bookmarkEnd w:id="59"/>
      <w:bookmarkEnd w:id="60"/>
      <w:bookmarkEnd w:id="61"/>
      <w:bookmarkEnd w:id="62"/>
      <w:bookmarkEnd w:id="63"/>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64" w:name="_Toc496925280"/>
      <w:bookmarkStart w:id="65" w:name="_Toc520186357"/>
      <w:bookmarkStart w:id="66" w:name="_Toc137013301"/>
      <w:bookmarkStart w:id="67" w:name="_Toc158007423"/>
      <w:bookmarkStart w:id="68" w:name="_Toc144780871"/>
      <w:r>
        <w:rPr>
          <w:rStyle w:val="CharSectno"/>
        </w:rPr>
        <w:t>6</w:t>
      </w:r>
      <w:r>
        <w:t>.</w:t>
      </w:r>
      <w:r>
        <w:tab/>
        <w:t>Functions of the Board</w:t>
      </w:r>
      <w:bookmarkEnd w:id="64"/>
      <w:bookmarkEnd w:id="65"/>
      <w:bookmarkEnd w:id="66"/>
      <w:bookmarkEnd w:id="67"/>
      <w:bookmarkEnd w:id="68"/>
    </w:p>
    <w:p>
      <w:pPr>
        <w:pStyle w:val="Subsection"/>
      </w:pPr>
      <w:r>
        <w:tab/>
        <w:t>(1)</w:t>
      </w:r>
      <w:r>
        <w:tab/>
        <w:t>The functions of the Board are to —</w:t>
      </w:r>
    </w:p>
    <w:p>
      <w:pPr>
        <w:pStyle w:val="Indenta"/>
      </w:pPr>
      <w:r>
        <w:tab/>
        <w:t>(a)</w:t>
      </w:r>
      <w:r>
        <w:tab/>
        <w:t>administer this Act;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Act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 xml:space="preserve">act in the best interests of Members; </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w:t>
      </w:r>
    </w:p>
    <w:p>
      <w:pPr>
        <w:pStyle w:val="Heading5"/>
        <w:rPr>
          <w:snapToGrid w:val="0"/>
        </w:rPr>
      </w:pPr>
      <w:bookmarkStart w:id="69" w:name="_Toc496925281"/>
      <w:bookmarkStart w:id="70" w:name="_Toc520186358"/>
      <w:bookmarkStart w:id="71" w:name="_Toc137013302"/>
      <w:bookmarkStart w:id="72" w:name="_Toc158007424"/>
      <w:bookmarkStart w:id="73" w:name="_Toc144780872"/>
      <w:r>
        <w:rPr>
          <w:rStyle w:val="CharSectno"/>
        </w:rPr>
        <w:t>7</w:t>
      </w:r>
      <w:r>
        <w:rPr>
          <w:snapToGrid w:val="0"/>
        </w:rPr>
        <w:t>.</w:t>
      </w:r>
      <w:r>
        <w:rPr>
          <w:snapToGrid w:val="0"/>
        </w:rPr>
        <w:tab/>
        <w:t>Powers of the Board</w:t>
      </w:r>
      <w:bookmarkEnd w:id="69"/>
      <w:bookmarkEnd w:id="70"/>
      <w:bookmarkEnd w:id="71"/>
      <w:bookmarkEnd w:id="72"/>
      <w:bookmarkEnd w:id="73"/>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74" w:name="_Toc132092744"/>
      <w:bookmarkStart w:id="75" w:name="_Toc136390863"/>
      <w:bookmarkStart w:id="76" w:name="_Toc137013303"/>
      <w:bookmarkStart w:id="77" w:name="_Toc158007425"/>
      <w:bookmarkStart w:id="78" w:name="_Toc144780873"/>
      <w:bookmarkStart w:id="79" w:name="_Toc496925282"/>
      <w:bookmarkStart w:id="80" w:name="_Toc520186359"/>
      <w:r>
        <w:rPr>
          <w:rStyle w:val="CharSectno"/>
        </w:rPr>
        <w:t>7A</w:t>
      </w:r>
      <w:r>
        <w:t>.</w:t>
      </w:r>
      <w:r>
        <w:tab/>
        <w:t>Formation or acquisition of subsidiary</w:t>
      </w:r>
      <w:bookmarkEnd w:id="74"/>
      <w:bookmarkEnd w:id="75"/>
      <w:bookmarkEnd w:id="76"/>
      <w:bookmarkEnd w:id="77"/>
      <w:bookmarkEnd w:id="78"/>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81" w:name="_Toc132092745"/>
      <w:bookmarkStart w:id="82" w:name="_Toc136390864"/>
      <w:bookmarkStart w:id="83" w:name="_Toc137013304"/>
      <w:bookmarkStart w:id="84" w:name="_Toc158007426"/>
      <w:bookmarkStart w:id="85" w:name="_Toc144780874"/>
      <w:r>
        <w:rPr>
          <w:rStyle w:val="CharSectno"/>
        </w:rPr>
        <w:t>7B</w:t>
      </w:r>
      <w:r>
        <w:t>.</w:t>
      </w:r>
      <w:r>
        <w:tab/>
        <w:t>Control of subsidiary</w:t>
      </w:r>
      <w:bookmarkEnd w:id="81"/>
      <w:bookmarkEnd w:id="82"/>
      <w:bookmarkEnd w:id="83"/>
      <w:bookmarkEnd w:id="84"/>
      <w:bookmarkEnd w:id="85"/>
    </w:p>
    <w:p>
      <w:pPr>
        <w:pStyle w:val="Subsection"/>
      </w:pPr>
      <w:r>
        <w:tab/>
        <w:t>(1)</w:t>
      </w:r>
      <w:r>
        <w:tab/>
        <w:t xml:space="preserve">In this section — </w:t>
      </w:r>
    </w:p>
    <w:p>
      <w:pPr>
        <w:pStyle w:val="Defstart"/>
      </w:pPr>
      <w:r>
        <w:rPr>
          <w:b/>
        </w:rPr>
        <w:tab/>
        <w:t>“</w:t>
      </w:r>
      <w:r>
        <w:rPr>
          <w:rStyle w:val="CharDefText"/>
        </w:rPr>
        <w:t>Corporations Act</w:t>
      </w:r>
      <w:r>
        <w:rPr>
          <w:b/>
        </w:rPr>
        <w:t>”</w:t>
      </w:r>
      <w:r>
        <w:t xml:space="preserve"> means the </w:t>
      </w:r>
      <w:r>
        <w:rPr>
          <w:i/>
          <w:iCs/>
        </w:rPr>
        <w:t>Corporations Act 2001</w:t>
      </w:r>
      <w:r>
        <w:t xml:space="preserve"> of the Commonwealth.</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w:t>
      </w:r>
    </w:p>
    <w:p>
      <w:pPr>
        <w:pStyle w:val="Heading5"/>
      </w:pPr>
      <w:bookmarkStart w:id="86" w:name="_Toc137013305"/>
      <w:bookmarkStart w:id="87" w:name="_Toc158007427"/>
      <w:bookmarkStart w:id="88" w:name="_Toc144780875"/>
      <w:r>
        <w:rPr>
          <w:rStyle w:val="CharSectno"/>
        </w:rPr>
        <w:t>8</w:t>
      </w:r>
      <w:r>
        <w:t>.</w:t>
      </w:r>
      <w:r>
        <w:tab/>
        <w:t>Composition of the Board</w:t>
      </w:r>
      <w:bookmarkEnd w:id="79"/>
      <w:bookmarkEnd w:id="80"/>
      <w:bookmarkEnd w:id="86"/>
      <w:bookmarkEnd w:id="87"/>
      <w:bookmarkEnd w:id="88"/>
    </w:p>
    <w:p>
      <w:pPr>
        <w:pStyle w:val="Subsection"/>
        <w:keepNext/>
      </w:pPr>
      <w:r>
        <w:tab/>
        <w:t>(1)</w:t>
      </w:r>
      <w:r>
        <w:tab/>
        <w:t>The Board comprises 7 directors of whom — </w:t>
      </w:r>
    </w:p>
    <w:p>
      <w:pPr>
        <w:pStyle w:val="Indenta"/>
      </w:pPr>
      <w:r>
        <w:tab/>
        <w:t>(a)</w:t>
      </w:r>
      <w:r>
        <w:tab/>
        <w:t xml:space="preserve">one is to be appointed by the Governor as chairman on the nomination of the Minister; </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89" w:name="_Hlt447517359"/>
      <w:r>
        <w:t>1</w:t>
      </w:r>
      <w:bookmarkEnd w:id="89"/>
      <w:r>
        <w:t xml:space="preserve"> has effect.</w:t>
      </w:r>
    </w:p>
    <w:p>
      <w:pPr>
        <w:pStyle w:val="Heading5"/>
      </w:pPr>
      <w:bookmarkStart w:id="90" w:name="_Toc414097218"/>
      <w:bookmarkStart w:id="91" w:name="_Toc415275318"/>
      <w:bookmarkStart w:id="92" w:name="_Toc416669741"/>
      <w:bookmarkStart w:id="93" w:name="_Toc442591397"/>
      <w:bookmarkStart w:id="94" w:name="_Toc496925283"/>
      <w:bookmarkStart w:id="95" w:name="_Toc520186360"/>
      <w:bookmarkStart w:id="96" w:name="_Toc137013306"/>
      <w:bookmarkStart w:id="97" w:name="_Toc158007428"/>
      <w:bookmarkStart w:id="98" w:name="_Toc144780876"/>
      <w:r>
        <w:rPr>
          <w:rStyle w:val="CharSectno"/>
        </w:rPr>
        <w:t>9</w:t>
      </w:r>
      <w:r>
        <w:t>.</w:t>
      </w:r>
      <w:r>
        <w:tab/>
      </w:r>
      <w:bookmarkEnd w:id="90"/>
      <w:bookmarkEnd w:id="91"/>
      <w:bookmarkEnd w:id="92"/>
      <w:r>
        <w:t>Protection from liability</w:t>
      </w:r>
      <w:bookmarkEnd w:id="93"/>
      <w:bookmarkEnd w:id="94"/>
      <w:bookmarkEnd w:id="95"/>
      <w:bookmarkEnd w:id="96"/>
      <w:bookmarkEnd w:id="97"/>
      <w:bookmarkEnd w:id="98"/>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Heading5"/>
      </w:pPr>
      <w:bookmarkStart w:id="99" w:name="_Toc496925284"/>
      <w:bookmarkStart w:id="100" w:name="_Toc520186361"/>
      <w:bookmarkStart w:id="101" w:name="_Toc137013307"/>
      <w:bookmarkStart w:id="102" w:name="_Toc158007429"/>
      <w:bookmarkStart w:id="103" w:name="_Toc144780877"/>
      <w:r>
        <w:rPr>
          <w:rStyle w:val="CharSectno"/>
        </w:rPr>
        <w:t>10</w:t>
      </w:r>
      <w:r>
        <w:t>.</w:t>
      </w:r>
      <w:r>
        <w:tab/>
        <w:t>Meetings, procedures and common seal</w:t>
      </w:r>
      <w:bookmarkEnd w:id="99"/>
      <w:bookmarkEnd w:id="100"/>
      <w:bookmarkEnd w:id="101"/>
      <w:bookmarkEnd w:id="102"/>
      <w:bookmarkEnd w:id="103"/>
    </w:p>
    <w:p>
      <w:pPr>
        <w:pStyle w:val="Subsection"/>
      </w:pPr>
      <w:r>
        <w:tab/>
      </w:r>
      <w:bookmarkStart w:id="104" w:name="_Hlt462552645"/>
      <w:bookmarkEnd w:id="104"/>
      <w:r>
        <w:t>(1)</w:t>
      </w:r>
      <w:r>
        <w:tab/>
        <w:t>Schedule 2 has effect.</w:t>
      </w:r>
    </w:p>
    <w:p>
      <w:pPr>
        <w:pStyle w:val="Subsection"/>
      </w:pPr>
      <w:r>
        <w:tab/>
        <w:t>(2)</w:t>
      </w:r>
      <w:r>
        <w:tab/>
        <w:t xml:space="preserve">The common seal of the Board is to be — </w:t>
      </w:r>
    </w:p>
    <w:p>
      <w:pPr>
        <w:pStyle w:val="Indenta"/>
      </w:pPr>
      <w:r>
        <w:tab/>
        <w:t>(a)</w:t>
      </w:r>
      <w:r>
        <w:tab/>
        <w:t>in a form determined by the Board;</w:t>
      </w:r>
    </w:p>
    <w:p>
      <w:pPr>
        <w:pStyle w:val="Indenta"/>
      </w:pPr>
      <w:r>
        <w:tab/>
        <w:t>(b)</w:t>
      </w:r>
      <w:r>
        <w:tab/>
        <w:t>kept in safe custody as the Board directs; and</w:t>
      </w:r>
    </w:p>
    <w:p>
      <w:pPr>
        <w:pStyle w:val="Indenta"/>
      </w:pPr>
      <w:r>
        <w:tab/>
        <w:t>(c)</w:t>
      </w:r>
      <w:r>
        <w:tab/>
        <w:t>used only as authorised by the Board.</w:t>
      </w:r>
    </w:p>
    <w:p>
      <w:pPr>
        <w:pStyle w:val="Heading5"/>
      </w:pPr>
      <w:bookmarkStart w:id="105" w:name="_Toc496925285"/>
      <w:bookmarkStart w:id="106" w:name="_Toc520186362"/>
      <w:bookmarkStart w:id="107" w:name="_Toc137013308"/>
      <w:bookmarkStart w:id="108" w:name="_Toc158007430"/>
      <w:bookmarkStart w:id="109" w:name="_Toc144780878"/>
      <w:r>
        <w:rPr>
          <w:rStyle w:val="CharSectno"/>
        </w:rPr>
        <w:t>11</w:t>
      </w:r>
      <w:r>
        <w:t>.</w:t>
      </w:r>
      <w:r>
        <w:tab/>
        <w:t>Staff</w:t>
      </w:r>
      <w:bookmarkEnd w:id="105"/>
      <w:bookmarkEnd w:id="106"/>
      <w:bookmarkEnd w:id="107"/>
      <w:bookmarkEnd w:id="108"/>
      <w:bookmarkEnd w:id="109"/>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10" w:name="_Toc496925286"/>
      <w:bookmarkStart w:id="111" w:name="_Toc520186363"/>
      <w:bookmarkStart w:id="112" w:name="_Toc137013309"/>
      <w:bookmarkStart w:id="113" w:name="_Toc158007431"/>
      <w:bookmarkStart w:id="114" w:name="_Toc144780879"/>
      <w:r>
        <w:rPr>
          <w:rStyle w:val="CharSectno"/>
        </w:rPr>
        <w:t>12</w:t>
      </w:r>
      <w:r>
        <w:rPr>
          <w:snapToGrid w:val="0"/>
        </w:rPr>
        <w:t>.</w:t>
      </w:r>
      <w:r>
        <w:rPr>
          <w:snapToGrid w:val="0"/>
        </w:rPr>
        <w:tab/>
        <w:t>Delegation</w:t>
      </w:r>
      <w:bookmarkEnd w:id="110"/>
      <w:bookmarkEnd w:id="111"/>
      <w:bookmarkEnd w:id="112"/>
      <w:bookmarkEnd w:id="113"/>
      <w:bookmarkEnd w:id="114"/>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15" w:name="_Hlt462034089"/>
      <w:r>
        <w:t>8</w:t>
      </w:r>
      <w:bookmarkEnd w:id="115"/>
      <w:r>
        <w:t xml:space="preserve"> of Schedule </w:t>
      </w:r>
      <w:bookmarkStart w:id="116" w:name="_Hlt462558615"/>
      <w:r>
        <w:t>2</w:t>
      </w:r>
      <w:bookmarkEnd w:id="116"/>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17" w:name="_Toc496925287"/>
      <w:bookmarkStart w:id="118" w:name="_Toc520186364"/>
      <w:bookmarkStart w:id="119" w:name="_Toc137013310"/>
      <w:bookmarkStart w:id="120" w:name="_Toc158007432"/>
      <w:bookmarkStart w:id="121" w:name="_Toc144780880"/>
      <w:r>
        <w:rPr>
          <w:rStyle w:val="CharSectno"/>
        </w:rPr>
        <w:t>13</w:t>
      </w:r>
      <w:r>
        <w:rPr>
          <w:snapToGrid w:val="0"/>
        </w:rPr>
        <w:t>.</w:t>
      </w:r>
      <w:r>
        <w:rPr>
          <w:snapToGrid w:val="0"/>
        </w:rPr>
        <w:tab/>
        <w:t>Review of Board decisions</w:t>
      </w:r>
      <w:bookmarkEnd w:id="117"/>
      <w:bookmarkEnd w:id="118"/>
      <w:bookmarkEnd w:id="119"/>
      <w:bookmarkEnd w:id="120"/>
      <w:bookmarkEnd w:id="121"/>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if the decision relates to a superannuation scheme continued by section 29(c) or (d),</w:t>
      </w:r>
      <w:r>
        <w:t xml:space="preserve"> 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w:t>
      </w:r>
    </w:p>
    <w:p>
      <w:pPr>
        <w:pStyle w:val="Heading2"/>
        <w:keepLines/>
      </w:pPr>
      <w:bookmarkStart w:id="122" w:name="_Toc92706084"/>
      <w:bookmarkStart w:id="123" w:name="_Toc137013233"/>
      <w:bookmarkStart w:id="124" w:name="_Toc137013311"/>
      <w:bookmarkStart w:id="125" w:name="_Toc137013389"/>
      <w:bookmarkStart w:id="126" w:name="_Toc139707675"/>
      <w:bookmarkStart w:id="127" w:name="_Toc142898777"/>
      <w:bookmarkStart w:id="128" w:name="_Toc142899357"/>
      <w:bookmarkStart w:id="129" w:name="_Toc143582905"/>
      <w:bookmarkStart w:id="130" w:name="_Toc144012965"/>
      <w:bookmarkStart w:id="131" w:name="_Toc144780881"/>
      <w:bookmarkStart w:id="132" w:name="_Toc158007433"/>
      <w:r>
        <w:rPr>
          <w:rStyle w:val="CharPartNo"/>
        </w:rPr>
        <w:t>Part 3</w:t>
      </w:r>
      <w:r>
        <w:t xml:space="preserve"> — </w:t>
      </w:r>
      <w:r>
        <w:rPr>
          <w:rStyle w:val="CharPartText"/>
        </w:rPr>
        <w:t>Government Employees Superannuation Fund</w:t>
      </w:r>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496925288"/>
      <w:bookmarkStart w:id="134" w:name="_Toc520186365"/>
      <w:bookmarkStart w:id="135" w:name="_Toc137013312"/>
      <w:bookmarkStart w:id="136" w:name="_Toc158007434"/>
      <w:bookmarkStart w:id="137" w:name="_Toc144780882"/>
      <w:r>
        <w:rPr>
          <w:rStyle w:val="CharSectno"/>
        </w:rPr>
        <w:t>14</w:t>
      </w:r>
      <w:r>
        <w:t>.</w:t>
      </w:r>
      <w:r>
        <w:tab/>
        <w:t>The Fund</w:t>
      </w:r>
      <w:bookmarkEnd w:id="133"/>
      <w:bookmarkEnd w:id="134"/>
      <w:bookmarkEnd w:id="135"/>
      <w:bookmarkEnd w:id="136"/>
      <w:bookmarkEnd w:id="137"/>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Heading5"/>
      </w:pPr>
      <w:bookmarkStart w:id="138" w:name="_Toc496925289"/>
      <w:bookmarkStart w:id="139" w:name="_Toc520186366"/>
      <w:bookmarkStart w:id="140" w:name="_Toc137013313"/>
      <w:bookmarkStart w:id="141" w:name="_Toc158007435"/>
      <w:bookmarkStart w:id="142" w:name="_Toc144780883"/>
      <w:r>
        <w:rPr>
          <w:rStyle w:val="CharSectno"/>
        </w:rPr>
        <w:t>15</w:t>
      </w:r>
      <w:r>
        <w:t>.</w:t>
      </w:r>
      <w:r>
        <w:tab/>
        <w:t>Contents of the Fund</w:t>
      </w:r>
      <w:bookmarkEnd w:id="138"/>
      <w:bookmarkEnd w:id="139"/>
      <w:bookmarkEnd w:id="140"/>
      <w:bookmarkEnd w:id="141"/>
      <w:bookmarkEnd w:id="142"/>
    </w:p>
    <w:p>
      <w:pPr>
        <w:pStyle w:val="Subsection"/>
      </w:pPr>
      <w:r>
        <w:tab/>
        <w:t>(1)</w:t>
      </w:r>
      <w:r>
        <w:tab/>
        <w:t>The Board is to credit to the Fund —</w:t>
      </w:r>
    </w:p>
    <w:p>
      <w:pPr>
        <w:pStyle w:val="Indenta"/>
      </w:pPr>
      <w:r>
        <w:tab/>
        <w:t>(a)</w:t>
      </w:r>
      <w:r>
        <w:tab/>
        <w:t>contributions made under this Act;</w:t>
      </w:r>
    </w:p>
    <w:p>
      <w:pPr>
        <w:pStyle w:val="Indenta"/>
      </w:pPr>
      <w:r>
        <w:tab/>
        <w:t>(b)</w:t>
      </w:r>
      <w:r>
        <w:tab/>
        <w:t>amounts transferred to the Fund from other superannuation funds;</w:t>
      </w:r>
    </w:p>
    <w:p>
      <w:pPr>
        <w:pStyle w:val="Indenta"/>
      </w:pPr>
      <w:r>
        <w:tab/>
        <w:t>(c)</w:t>
      </w:r>
      <w:r>
        <w:tab/>
        <w:t xml:space="preserve">earnings derived from the investment of the Fund; </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w:t>
      </w:r>
    </w:p>
    <w:p>
      <w:pPr>
        <w:pStyle w:val="Heading5"/>
        <w:keepLines w:val="0"/>
      </w:pPr>
      <w:bookmarkStart w:id="143" w:name="_Toc496925290"/>
      <w:bookmarkStart w:id="144" w:name="_Toc520186367"/>
      <w:bookmarkStart w:id="145" w:name="_Toc137013314"/>
      <w:bookmarkStart w:id="146" w:name="_Toc158007436"/>
      <w:bookmarkStart w:id="147" w:name="_Toc144780884"/>
      <w:r>
        <w:rPr>
          <w:rStyle w:val="CharSectno"/>
        </w:rPr>
        <w:t>16</w:t>
      </w:r>
      <w:r>
        <w:t>.</w:t>
      </w:r>
      <w:r>
        <w:tab/>
        <w:t>Accounting records</w:t>
      </w:r>
      <w:bookmarkEnd w:id="143"/>
      <w:bookmarkEnd w:id="144"/>
      <w:bookmarkEnd w:id="145"/>
      <w:bookmarkEnd w:id="146"/>
      <w:bookmarkEnd w:id="147"/>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48" w:name="_Toc496925291"/>
      <w:bookmarkStart w:id="149" w:name="_Toc520186368"/>
      <w:bookmarkStart w:id="150" w:name="_Toc137013315"/>
      <w:bookmarkStart w:id="151" w:name="_Toc158007437"/>
      <w:bookmarkStart w:id="152" w:name="_Toc144780885"/>
      <w:r>
        <w:rPr>
          <w:rStyle w:val="CharSectno"/>
        </w:rPr>
        <w:t>17</w:t>
      </w:r>
      <w:r>
        <w:t>.</w:t>
      </w:r>
      <w:r>
        <w:tab/>
        <w:t>Actuarial investigation</w:t>
      </w:r>
      <w:bookmarkEnd w:id="148"/>
      <w:bookmarkEnd w:id="149"/>
      <w:bookmarkEnd w:id="150"/>
      <w:bookmarkEnd w:id="151"/>
      <w:bookmarkEnd w:id="152"/>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53" w:name="_Toc496925292"/>
      <w:bookmarkStart w:id="154" w:name="_Toc520186369"/>
      <w:bookmarkStart w:id="155" w:name="_Toc137013316"/>
      <w:bookmarkStart w:id="156" w:name="_Toc158007438"/>
      <w:bookmarkStart w:id="157" w:name="_Toc144780886"/>
      <w:r>
        <w:rPr>
          <w:rStyle w:val="CharSectno"/>
        </w:rPr>
        <w:t>18</w:t>
      </w:r>
      <w:r>
        <w:t>.</w:t>
      </w:r>
      <w:r>
        <w:tab/>
        <w:t>Power to invest</w:t>
      </w:r>
      <w:bookmarkEnd w:id="153"/>
      <w:bookmarkEnd w:id="154"/>
      <w:bookmarkEnd w:id="155"/>
      <w:bookmarkEnd w:id="156"/>
      <w:bookmarkEnd w:id="157"/>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58" w:name="_Toc496925293"/>
      <w:bookmarkStart w:id="159" w:name="_Toc520186370"/>
      <w:bookmarkStart w:id="160" w:name="_Toc137013317"/>
      <w:bookmarkStart w:id="161" w:name="_Toc158007439"/>
      <w:bookmarkStart w:id="162" w:name="_Toc144780887"/>
      <w:r>
        <w:rPr>
          <w:rStyle w:val="CharSectno"/>
        </w:rPr>
        <w:t>19</w:t>
      </w:r>
      <w:r>
        <w:t>.</w:t>
      </w:r>
      <w:r>
        <w:tab/>
        <w:t>Investment strategy</w:t>
      </w:r>
      <w:bookmarkEnd w:id="158"/>
      <w:bookmarkEnd w:id="159"/>
      <w:bookmarkEnd w:id="160"/>
      <w:bookmarkEnd w:id="161"/>
      <w:bookmarkEnd w:id="162"/>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 xml:space="preserve">the need to exercise care and prudence to maintain the integrity of the Fund; </w:t>
      </w:r>
    </w:p>
    <w:p>
      <w:pPr>
        <w:pStyle w:val="Indenta"/>
      </w:pPr>
      <w:r>
        <w:tab/>
        <w:t>(b)</w:t>
      </w:r>
      <w:r>
        <w:tab/>
        <w:t>the —</w:t>
      </w:r>
    </w:p>
    <w:p>
      <w:pPr>
        <w:pStyle w:val="Indenti"/>
      </w:pPr>
      <w:r>
        <w:tab/>
        <w:t>(i)</w:t>
      </w:r>
      <w:r>
        <w:tab/>
        <w:t>nature of;</w:t>
      </w:r>
    </w:p>
    <w:p>
      <w:pPr>
        <w:pStyle w:val="Indenti"/>
      </w:pPr>
      <w:r>
        <w:tab/>
        <w:t>(ii)</w:t>
      </w:r>
      <w:r>
        <w:tab/>
        <w:t xml:space="preserve">potential for capital appreciation and income return from; </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 xml:space="preserve">different investments and different kinds of investments; </w:t>
      </w:r>
    </w:p>
    <w:p>
      <w:pPr>
        <w:pStyle w:val="Indenta"/>
      </w:pPr>
      <w:r>
        <w:tab/>
        <w:t>(c)</w:t>
      </w:r>
      <w:r>
        <w:tab/>
        <w:t>the desirability of diversifying its investments;</w:t>
      </w:r>
    </w:p>
    <w:p>
      <w:pPr>
        <w:pStyle w:val="Indenta"/>
      </w:pPr>
      <w:r>
        <w:tab/>
        <w:t>(d)</w:t>
      </w:r>
      <w:r>
        <w:tab/>
        <w:t xml:space="preserve">the liquidity of the Fund; </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Heading5"/>
        <w:keepNext w:val="0"/>
        <w:keepLines w:val="0"/>
      </w:pPr>
      <w:bookmarkStart w:id="163" w:name="_Toc496925294"/>
      <w:bookmarkStart w:id="164" w:name="_Toc520186371"/>
      <w:bookmarkStart w:id="165" w:name="_Toc137013318"/>
      <w:bookmarkStart w:id="166" w:name="_Toc158007440"/>
      <w:bookmarkStart w:id="167" w:name="_Toc144780888"/>
      <w:r>
        <w:rPr>
          <w:rStyle w:val="CharSectno"/>
        </w:rPr>
        <w:t>20</w:t>
      </w:r>
      <w:r>
        <w:rPr>
          <w:snapToGrid w:val="0"/>
        </w:rPr>
        <w:t>.</w:t>
      </w:r>
      <w:r>
        <w:rPr>
          <w:snapToGrid w:val="0"/>
        </w:rPr>
        <w:tab/>
        <w:t>Limitation on in</w:t>
      </w:r>
      <w:r>
        <w:rPr>
          <w:snapToGrid w:val="0"/>
        </w:rPr>
        <w:noBreakHyphen/>
        <w:t>house assets</w:t>
      </w:r>
      <w:bookmarkEnd w:id="163"/>
      <w:bookmarkEnd w:id="164"/>
      <w:bookmarkEnd w:id="165"/>
      <w:bookmarkEnd w:id="166"/>
      <w:bookmarkEnd w:id="167"/>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68" w:name="_Toc496925295"/>
      <w:bookmarkStart w:id="169" w:name="_Toc520186372"/>
      <w:bookmarkStart w:id="170" w:name="_Toc137013319"/>
      <w:bookmarkStart w:id="171" w:name="_Toc158007441"/>
      <w:bookmarkStart w:id="172" w:name="_Toc144780889"/>
      <w:r>
        <w:rPr>
          <w:rStyle w:val="CharSectno"/>
        </w:rPr>
        <w:t>21</w:t>
      </w:r>
      <w:r>
        <w:rPr>
          <w:snapToGrid w:val="0"/>
        </w:rPr>
        <w:t>.</w:t>
      </w:r>
      <w:r>
        <w:rPr>
          <w:snapToGrid w:val="0"/>
        </w:rPr>
        <w:tab/>
        <w:t>Loans to Members prohibited</w:t>
      </w:r>
      <w:bookmarkEnd w:id="168"/>
      <w:bookmarkEnd w:id="169"/>
      <w:bookmarkEnd w:id="170"/>
      <w:bookmarkEnd w:id="171"/>
      <w:bookmarkEnd w:id="172"/>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73" w:name="_Toc496925296"/>
      <w:bookmarkStart w:id="174" w:name="_Toc520186373"/>
      <w:bookmarkStart w:id="175" w:name="_Toc137013320"/>
      <w:bookmarkStart w:id="176" w:name="_Toc158007442"/>
      <w:bookmarkStart w:id="177" w:name="_Toc144780890"/>
      <w:r>
        <w:rPr>
          <w:rStyle w:val="CharSectno"/>
        </w:rPr>
        <w:t>22</w:t>
      </w:r>
      <w:r>
        <w:rPr>
          <w:snapToGrid w:val="0"/>
        </w:rPr>
        <w:t>.</w:t>
      </w:r>
      <w:r>
        <w:rPr>
          <w:snapToGrid w:val="0"/>
        </w:rPr>
        <w:tab/>
        <w:t>Earnings derived from investment</w:t>
      </w:r>
      <w:bookmarkEnd w:id="173"/>
      <w:bookmarkEnd w:id="174"/>
      <w:bookmarkEnd w:id="175"/>
      <w:bookmarkEnd w:id="176"/>
      <w:bookmarkEnd w:id="177"/>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78" w:name="_Toc496925297"/>
      <w:bookmarkStart w:id="179" w:name="_Toc520186374"/>
      <w:bookmarkStart w:id="180" w:name="_Toc137013321"/>
      <w:bookmarkStart w:id="181" w:name="_Toc158007443"/>
      <w:bookmarkStart w:id="182" w:name="_Toc144780891"/>
      <w:r>
        <w:rPr>
          <w:rStyle w:val="CharSectno"/>
        </w:rPr>
        <w:t>23</w:t>
      </w:r>
      <w:r>
        <w:t>.</w:t>
      </w:r>
      <w:r>
        <w:tab/>
        <w:t>Investment manager</w:t>
      </w:r>
      <w:bookmarkEnd w:id="178"/>
      <w:bookmarkEnd w:id="179"/>
      <w:bookmarkEnd w:id="180"/>
      <w:bookmarkEnd w:id="181"/>
      <w:bookmarkEnd w:id="182"/>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83" w:name="_Toc496925298"/>
      <w:bookmarkStart w:id="184" w:name="_Toc520186375"/>
      <w:bookmarkStart w:id="185" w:name="_Toc137013322"/>
      <w:bookmarkStart w:id="186" w:name="_Toc158007444"/>
      <w:bookmarkStart w:id="187" w:name="_Toc144780892"/>
      <w:r>
        <w:rPr>
          <w:rStyle w:val="CharSectno"/>
        </w:rPr>
        <w:t>24</w:t>
      </w:r>
      <w:r>
        <w:t>.</w:t>
      </w:r>
      <w:r>
        <w:tab/>
        <w:t>Borrowing</w:t>
      </w:r>
      <w:bookmarkEnd w:id="183"/>
      <w:bookmarkEnd w:id="184"/>
      <w:bookmarkEnd w:id="185"/>
      <w:bookmarkEnd w:id="186"/>
      <w:bookmarkEnd w:id="187"/>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Heading5"/>
        <w:keepNext w:val="0"/>
        <w:keepLines w:val="0"/>
      </w:pPr>
      <w:bookmarkStart w:id="188" w:name="_Toc496925299"/>
      <w:bookmarkStart w:id="189" w:name="_Toc520186376"/>
      <w:bookmarkStart w:id="190" w:name="_Toc137013323"/>
      <w:bookmarkStart w:id="191" w:name="_Toc158007445"/>
      <w:bookmarkStart w:id="192" w:name="_Toc144780893"/>
      <w:r>
        <w:rPr>
          <w:rStyle w:val="CharSectno"/>
        </w:rPr>
        <w:t>25</w:t>
      </w:r>
      <w:r>
        <w:t>.</w:t>
      </w:r>
      <w:r>
        <w:tab/>
        <w:t>Interest accrues on money owing to Fund</w:t>
      </w:r>
      <w:bookmarkEnd w:id="188"/>
      <w:bookmarkEnd w:id="189"/>
      <w:bookmarkEnd w:id="190"/>
      <w:bookmarkEnd w:id="191"/>
      <w:bookmarkEnd w:id="192"/>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93" w:name="_Toc435930251"/>
      <w:bookmarkStart w:id="194" w:name="_Toc438262836"/>
      <w:bookmarkStart w:id="195" w:name="_Toc496925300"/>
      <w:bookmarkStart w:id="196" w:name="_Toc520186377"/>
      <w:bookmarkStart w:id="197" w:name="_Toc137013324"/>
      <w:bookmarkStart w:id="198" w:name="_Toc158007446"/>
      <w:bookmarkStart w:id="199" w:name="_Toc144780894"/>
      <w:r>
        <w:rPr>
          <w:rStyle w:val="CharSectno"/>
        </w:rPr>
        <w:t>26</w:t>
      </w:r>
      <w:r>
        <w:t>.</w:t>
      </w:r>
      <w:r>
        <w:tab/>
      </w:r>
      <w:r>
        <w:rPr>
          <w:snapToGrid w:val="0"/>
        </w:rPr>
        <w:t>Recovery of money owing to Fund</w:t>
      </w:r>
      <w:bookmarkEnd w:id="193"/>
      <w:bookmarkEnd w:id="194"/>
      <w:bookmarkEnd w:id="195"/>
      <w:bookmarkEnd w:id="196"/>
      <w:bookmarkEnd w:id="197"/>
      <w:bookmarkEnd w:id="198"/>
      <w:bookmarkEnd w:id="199"/>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 xml:space="preserve">as a debt in a court of competent jurisdiction; </w:t>
      </w:r>
    </w:p>
    <w:p>
      <w:pPr>
        <w:pStyle w:val="Indenta"/>
        <w:rPr>
          <w:snapToGrid w:val="0"/>
        </w:rPr>
      </w:pPr>
      <w:r>
        <w:rPr>
          <w:snapToGrid w:val="0"/>
        </w:rPr>
        <w:tab/>
        <w:t>(b)</w:t>
      </w:r>
      <w:r>
        <w:rPr>
          <w:snapToGrid w:val="0"/>
        </w:rPr>
        <w:tab/>
        <w:t>by deducting the amount owing from any amount that is, or becomes, payable from the Fund to the debtor;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pPr>
      <w:r>
        <w:rPr>
          <w:snapToGrid w:val="0"/>
        </w:rPr>
        <w:tab/>
      </w:r>
      <w:r>
        <w:rPr>
          <w:snapToGrid w:val="0"/>
        </w:rPr>
        <w:tab/>
        <w:t>and the Employer must comply with the direction.</w:t>
      </w:r>
    </w:p>
    <w:p>
      <w:pPr>
        <w:pStyle w:val="Heading5"/>
        <w:keepNext w:val="0"/>
        <w:keepLines w:val="0"/>
        <w:rPr>
          <w:snapToGrid w:val="0"/>
        </w:rPr>
      </w:pPr>
      <w:bookmarkStart w:id="200" w:name="_Toc435930302"/>
      <w:bookmarkStart w:id="201" w:name="_Toc438262887"/>
      <w:bookmarkStart w:id="202" w:name="_Toc496925301"/>
      <w:bookmarkStart w:id="203" w:name="_Toc520186378"/>
      <w:bookmarkStart w:id="204" w:name="_Toc137013325"/>
      <w:bookmarkStart w:id="205" w:name="_Toc158007447"/>
      <w:bookmarkStart w:id="206" w:name="_Toc144780895"/>
      <w:r>
        <w:rPr>
          <w:rStyle w:val="CharSectno"/>
        </w:rPr>
        <w:t>27</w:t>
      </w:r>
      <w:r>
        <w:rPr>
          <w:i/>
          <w:snapToGrid w:val="0"/>
        </w:rPr>
        <w:t>.</w:t>
      </w:r>
      <w:r>
        <w:rPr>
          <w:i/>
          <w:snapToGrid w:val="0"/>
        </w:rPr>
        <w:tab/>
      </w:r>
      <w:bookmarkEnd w:id="200"/>
      <w:bookmarkEnd w:id="201"/>
      <w:r>
        <w:rPr>
          <w:i/>
          <w:snapToGrid w:val="0"/>
        </w:rPr>
        <w:t xml:space="preserve">Unclaimed Money Act 1990 </w:t>
      </w:r>
      <w:r>
        <w:rPr>
          <w:snapToGrid w:val="0"/>
        </w:rPr>
        <w:t>does not apply to unclaimed benefits</w:t>
      </w:r>
      <w:bookmarkEnd w:id="202"/>
      <w:bookmarkEnd w:id="203"/>
      <w:bookmarkEnd w:id="204"/>
      <w:bookmarkEnd w:id="205"/>
      <w:bookmarkEnd w:id="206"/>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keepLines/>
      </w:pPr>
      <w:bookmarkStart w:id="207" w:name="_Toc92706099"/>
      <w:bookmarkStart w:id="208" w:name="_Toc137013248"/>
      <w:bookmarkStart w:id="209" w:name="_Toc137013326"/>
      <w:bookmarkStart w:id="210" w:name="_Toc137013404"/>
      <w:bookmarkStart w:id="211" w:name="_Toc139707690"/>
      <w:bookmarkStart w:id="212" w:name="_Toc142898792"/>
      <w:bookmarkStart w:id="213" w:name="_Toc142899372"/>
      <w:bookmarkStart w:id="214" w:name="_Toc143582920"/>
      <w:bookmarkStart w:id="215" w:name="_Toc144012980"/>
      <w:bookmarkStart w:id="216" w:name="_Toc144780896"/>
      <w:bookmarkStart w:id="217" w:name="_Toc158007448"/>
      <w:r>
        <w:rPr>
          <w:rStyle w:val="CharPartNo"/>
        </w:rPr>
        <w:t>Part 4</w:t>
      </w:r>
      <w:r>
        <w:rPr>
          <w:rStyle w:val="CharDivNo"/>
        </w:rPr>
        <w:t xml:space="preserve"> </w:t>
      </w:r>
      <w:r>
        <w:t>—</w:t>
      </w:r>
      <w:r>
        <w:rPr>
          <w:rStyle w:val="CharDivText"/>
        </w:rPr>
        <w:t xml:space="preserve"> </w:t>
      </w:r>
      <w:r>
        <w:rPr>
          <w:rStyle w:val="CharPartText"/>
        </w:rPr>
        <w:t>Superannuation schemes</w:t>
      </w:r>
      <w:bookmarkEnd w:id="207"/>
      <w:bookmarkEnd w:id="208"/>
      <w:bookmarkEnd w:id="209"/>
      <w:bookmarkEnd w:id="210"/>
      <w:bookmarkEnd w:id="211"/>
      <w:bookmarkEnd w:id="212"/>
      <w:bookmarkEnd w:id="213"/>
      <w:bookmarkEnd w:id="214"/>
      <w:bookmarkEnd w:id="215"/>
      <w:bookmarkEnd w:id="216"/>
      <w:bookmarkEnd w:id="217"/>
    </w:p>
    <w:p>
      <w:pPr>
        <w:pStyle w:val="Heading5"/>
        <w:keepNext w:val="0"/>
        <w:keepLines w:val="0"/>
      </w:pPr>
      <w:bookmarkStart w:id="218" w:name="_Toc496925302"/>
      <w:bookmarkStart w:id="219" w:name="_Toc520186379"/>
      <w:bookmarkStart w:id="220" w:name="_Toc137013327"/>
      <w:bookmarkStart w:id="221" w:name="_Toc158007449"/>
      <w:bookmarkStart w:id="222" w:name="_Toc144780897"/>
      <w:r>
        <w:rPr>
          <w:rStyle w:val="CharSectno"/>
        </w:rPr>
        <w:t>28</w:t>
      </w:r>
      <w:r>
        <w:t>.</w:t>
      </w:r>
      <w:r>
        <w:tab/>
        <w:t>Superannuation schemes</w:t>
      </w:r>
      <w:bookmarkEnd w:id="218"/>
      <w:bookmarkEnd w:id="219"/>
      <w:bookmarkEnd w:id="220"/>
      <w:bookmarkEnd w:id="221"/>
      <w:bookmarkEnd w:id="222"/>
    </w:p>
    <w:p>
      <w:pPr>
        <w:pStyle w:val="Subsection"/>
      </w:pPr>
      <w:r>
        <w:tab/>
        <w:t>(1)</w:t>
      </w:r>
      <w:r>
        <w:tab/>
        <w:t xml:space="preserve">The Governor may, by regulations under section 38, establish superannuation schemes for persons who are working, or have worked, for Employers. </w:t>
      </w:r>
    </w:p>
    <w:p>
      <w:pPr>
        <w:pStyle w:val="Subsection"/>
      </w:pPr>
      <w:r>
        <w:tab/>
        <w:t>(2)</w:t>
      </w:r>
      <w:r>
        <w:tab/>
        <w:t xml:space="preserve">A scheme, other than a scheme continued by section 29(b),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t>“</w:t>
      </w:r>
      <w:r>
        <w:rPr>
          <w:rStyle w:val="CharDefText"/>
        </w:rPr>
        <w:t>benefits</w:t>
      </w:r>
      <w:r>
        <w:rPr>
          <w:b/>
        </w:rPr>
        <w:t>”</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w:t>
      </w:r>
    </w:p>
    <w:p>
      <w:pPr>
        <w:pStyle w:val="Heading5"/>
        <w:keepNext w:val="0"/>
      </w:pPr>
      <w:bookmarkStart w:id="223" w:name="_Toc496925303"/>
      <w:bookmarkStart w:id="224" w:name="_Toc520186380"/>
      <w:bookmarkStart w:id="225" w:name="_Toc137013328"/>
      <w:bookmarkStart w:id="226" w:name="_Toc158007450"/>
      <w:bookmarkStart w:id="227" w:name="_Toc144780898"/>
      <w:r>
        <w:rPr>
          <w:rStyle w:val="CharSectno"/>
        </w:rPr>
        <w:t>29</w:t>
      </w:r>
      <w:r>
        <w:t>.</w:t>
      </w:r>
      <w:r>
        <w:tab/>
        <w:t>Continuation of superannuation schemes</w:t>
      </w:r>
      <w:bookmarkEnd w:id="223"/>
      <w:bookmarkEnd w:id="224"/>
      <w:bookmarkEnd w:id="225"/>
      <w:bookmarkEnd w:id="226"/>
      <w:bookmarkEnd w:id="227"/>
    </w:p>
    <w:p>
      <w:pPr>
        <w:pStyle w:val="Subsection"/>
      </w:pPr>
      <w:r>
        <w:tab/>
      </w:r>
      <w:r>
        <w:tab/>
        <w:t>On the day on which this Act comes into operation the following superannuation schemes become superannuation schemes under this Act —</w:t>
      </w:r>
    </w:p>
    <w:p>
      <w:pPr>
        <w:pStyle w:val="Indenta"/>
      </w:pPr>
      <w:r>
        <w:tab/>
        <w:t>(a)</w:t>
      </w:r>
      <w:r>
        <w:tab/>
        <w:t>the superannuation scheme that was provided for in Part VIIA of the GES Act</w:t>
      </w:r>
      <w:r>
        <w:rPr>
          <w:i/>
        </w:rPr>
        <w:t xml:space="preserve"> </w:t>
      </w:r>
      <w:r>
        <w:t xml:space="preserve">immediately before its repeal by section 39 (referred to in that Act as the 1993 scheme); </w:t>
      </w:r>
    </w:p>
    <w:p>
      <w:pPr>
        <w:pStyle w:val="Indenta"/>
      </w:pPr>
      <w:r>
        <w:tab/>
        <w:t>(b)</w:t>
      </w:r>
      <w:r>
        <w:tab/>
        <w:t>the superannuation scheme that was provided for in Parts IV, V, VI and VII of the GES Act immediately before its repeal by section 39 (referred to in that Act as the 1987 scheme);</w:t>
      </w:r>
    </w:p>
    <w:p>
      <w:pPr>
        <w:pStyle w:val="Indenta"/>
      </w:pPr>
      <w:r>
        <w:tab/>
        <w:t>(c)</w:t>
      </w:r>
      <w:r>
        <w:tab/>
        <w:t>the superannuation scheme that was provided for in Parts IV, V and VB of the S&amp;FB Act immediately before its repeal by section 39; and</w:t>
      </w:r>
    </w:p>
    <w:p>
      <w:pPr>
        <w:pStyle w:val="Indenta"/>
      </w:pPr>
      <w:r>
        <w:tab/>
        <w:t>(d)</w:t>
      </w:r>
      <w:r>
        <w:tab/>
        <w:t>the superannuation scheme that was provided for in Parts VA and VB of the S&amp;FB Act immediately before its repeal by section 39.</w:t>
      </w:r>
    </w:p>
    <w:p>
      <w:pPr>
        <w:pStyle w:val="Heading5"/>
        <w:keepLines w:val="0"/>
        <w:rPr>
          <w:snapToGrid w:val="0"/>
        </w:rPr>
      </w:pPr>
      <w:bookmarkStart w:id="228" w:name="_Toc496925304"/>
      <w:bookmarkStart w:id="229" w:name="_Toc520186381"/>
      <w:bookmarkStart w:id="230" w:name="_Toc137013329"/>
      <w:bookmarkStart w:id="231" w:name="_Toc158007451"/>
      <w:bookmarkStart w:id="232" w:name="_Toc144780899"/>
      <w:bookmarkStart w:id="233" w:name="_Toc435930319"/>
      <w:bookmarkStart w:id="234" w:name="_Toc438262904"/>
      <w:r>
        <w:rPr>
          <w:rStyle w:val="CharSectno"/>
        </w:rPr>
        <w:t>30</w:t>
      </w:r>
      <w:r>
        <w:t>.</w:t>
      </w:r>
      <w:r>
        <w:tab/>
        <w:t>O</w:t>
      </w:r>
      <w:r>
        <w:rPr>
          <w:snapToGrid w:val="0"/>
        </w:rPr>
        <w:t>ther public sector superannuation schemes</w:t>
      </w:r>
      <w:bookmarkEnd w:id="228"/>
      <w:bookmarkEnd w:id="229"/>
      <w:bookmarkEnd w:id="230"/>
      <w:bookmarkEnd w:id="231"/>
      <w:bookmarkEnd w:id="232"/>
      <w:r>
        <w:rPr>
          <w:snapToGrid w:val="0"/>
        </w:rPr>
        <w:t xml:space="preserve"> </w:t>
      </w:r>
      <w:bookmarkEnd w:id="233"/>
      <w:bookmarkEnd w:id="234"/>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Act;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Heading2"/>
        <w:keepLines/>
      </w:pPr>
      <w:bookmarkStart w:id="235" w:name="_Toc92706103"/>
      <w:bookmarkStart w:id="236" w:name="_Toc137013252"/>
      <w:bookmarkStart w:id="237" w:name="_Toc137013330"/>
      <w:bookmarkStart w:id="238" w:name="_Toc137013408"/>
      <w:bookmarkStart w:id="239" w:name="_Toc139707694"/>
      <w:bookmarkStart w:id="240" w:name="_Toc142898796"/>
      <w:bookmarkStart w:id="241" w:name="_Toc142899376"/>
      <w:bookmarkStart w:id="242" w:name="_Toc143582924"/>
      <w:bookmarkStart w:id="243" w:name="_Toc144012984"/>
      <w:bookmarkStart w:id="244" w:name="_Toc144780900"/>
      <w:bookmarkStart w:id="245" w:name="_Toc158007452"/>
      <w:r>
        <w:rPr>
          <w:rStyle w:val="CharPartNo"/>
        </w:rPr>
        <w:t>Part 5</w:t>
      </w:r>
      <w:r>
        <w:rPr>
          <w:rStyle w:val="CharDivNo"/>
        </w:rPr>
        <w:t xml:space="preserve"> </w:t>
      </w:r>
      <w:r>
        <w:t>—</w:t>
      </w:r>
      <w:r>
        <w:rPr>
          <w:rStyle w:val="CharDivText"/>
        </w:rPr>
        <w:t xml:space="preserve"> </w:t>
      </w:r>
      <w:r>
        <w:rPr>
          <w:rStyle w:val="CharPartText"/>
        </w:rPr>
        <w:t xml:space="preserve">Government guarantees and appropriation of the </w:t>
      </w:r>
      <w:bookmarkEnd w:id="235"/>
      <w:bookmarkEnd w:id="236"/>
      <w:bookmarkEnd w:id="237"/>
      <w:bookmarkEnd w:id="238"/>
      <w:bookmarkEnd w:id="239"/>
      <w:bookmarkEnd w:id="240"/>
      <w:bookmarkEnd w:id="241"/>
      <w:bookmarkEnd w:id="242"/>
      <w:bookmarkEnd w:id="243"/>
      <w:bookmarkEnd w:id="244"/>
      <w:r>
        <w:rPr>
          <w:rStyle w:val="CharPartText"/>
        </w:rPr>
        <w:t xml:space="preserve">Consolidated </w:t>
      </w:r>
      <w:del w:id="246" w:author="svcMRProcess" w:date="2015-12-14T21:54:00Z">
        <w:r>
          <w:rPr>
            <w:rStyle w:val="CharPartText"/>
          </w:rPr>
          <w:delText>Fund</w:delText>
        </w:r>
      </w:del>
      <w:ins w:id="247" w:author="svcMRProcess" w:date="2015-12-14T21:54:00Z">
        <w:r>
          <w:rPr>
            <w:rStyle w:val="CharPartText"/>
          </w:rPr>
          <w:t>Account</w:t>
        </w:r>
      </w:ins>
      <w:bookmarkEnd w:id="245"/>
    </w:p>
    <w:p>
      <w:pPr>
        <w:pStyle w:val="Footnoteheading"/>
        <w:rPr>
          <w:ins w:id="248" w:author="svcMRProcess" w:date="2015-12-14T21:54:00Z"/>
        </w:rPr>
      </w:pPr>
      <w:ins w:id="249" w:author="svcMRProcess" w:date="2015-12-14T21:54:00Z">
        <w:r>
          <w:tab/>
          <w:t>[Heading amended by No. 77 of 2006 s. 4.]</w:t>
        </w:r>
      </w:ins>
    </w:p>
    <w:p>
      <w:pPr>
        <w:pStyle w:val="Heading5"/>
        <w:keepNext w:val="0"/>
        <w:keepLines w:val="0"/>
      </w:pPr>
      <w:bookmarkStart w:id="250" w:name="_Toc496925305"/>
      <w:bookmarkStart w:id="251" w:name="_Toc520186382"/>
      <w:bookmarkStart w:id="252" w:name="_Toc137013331"/>
      <w:bookmarkStart w:id="253" w:name="_Toc158007453"/>
      <w:bookmarkStart w:id="254" w:name="_Toc144780901"/>
      <w:r>
        <w:rPr>
          <w:rStyle w:val="CharSectno"/>
        </w:rPr>
        <w:t>31</w:t>
      </w:r>
      <w:r>
        <w:t>.</w:t>
      </w:r>
      <w:r>
        <w:tab/>
        <w:t>Guarantee of benefits and Board’s obligations</w:t>
      </w:r>
      <w:bookmarkEnd w:id="250"/>
      <w:bookmarkEnd w:id="251"/>
      <w:bookmarkEnd w:id="252"/>
      <w:bookmarkEnd w:id="253"/>
      <w:bookmarkEnd w:id="254"/>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this Act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w:t>
      </w:r>
      <w:del w:id="255" w:author="svcMRProcess" w:date="2015-12-14T21:54:00Z">
        <w:r>
          <w:rPr>
            <w:snapToGrid w:val="0"/>
          </w:rPr>
          <w:delText>Fund</w:delText>
        </w:r>
      </w:del>
      <w:ins w:id="256" w:author="svcMRProcess" w:date="2015-12-14T21:54:00Z">
        <w:r>
          <w:rPr>
            <w:snapToGrid w:val="0"/>
          </w:rPr>
          <w:t>Account</w:t>
        </w:r>
      </w:ins>
      <w:r>
        <w:rPr>
          <w:snapToGrid w:val="0"/>
        </w:rPr>
        <w:t xml:space="preserve">, and the Consolidated </w:t>
      </w:r>
      <w:del w:id="257" w:author="svcMRProcess" w:date="2015-12-14T21:54:00Z">
        <w:r>
          <w:rPr>
            <w:snapToGrid w:val="0"/>
          </w:rPr>
          <w:delText>Fund</w:delText>
        </w:r>
      </w:del>
      <w:ins w:id="258" w:author="svcMRProcess" w:date="2015-12-14T21:54:00Z">
        <w:r>
          <w:rPr>
            <w:snapToGrid w:val="0"/>
          </w:rPr>
          <w:t>Account</w:t>
        </w:r>
      </w:ins>
      <w:r>
        <w:rPr>
          <w:snapToGrid w:val="0"/>
        </w:rPr>
        <w:t xml:space="preserve">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w:t>
      </w:r>
      <w:del w:id="259" w:author="svcMRProcess" w:date="2015-12-14T21:54:00Z">
        <w:r>
          <w:rPr>
            <w:snapToGrid w:val="0"/>
          </w:rPr>
          <w:delText>Fund</w:delText>
        </w:r>
      </w:del>
      <w:ins w:id="260" w:author="svcMRProcess" w:date="2015-12-14T21:54:00Z">
        <w:r>
          <w:rPr>
            <w:snapToGrid w:val="0"/>
          </w:rPr>
          <w:t>Account</w:t>
        </w:r>
      </w:ins>
      <w:r>
        <w:rPr>
          <w:snapToGrid w:val="0"/>
        </w:rPr>
        <w:t xml:space="preserve">. </w:t>
      </w:r>
    </w:p>
    <w:p>
      <w:pPr>
        <w:pStyle w:val="Footnotesection"/>
        <w:rPr>
          <w:ins w:id="261" w:author="svcMRProcess" w:date="2015-12-14T21:54:00Z"/>
        </w:rPr>
      </w:pPr>
      <w:ins w:id="262" w:author="svcMRProcess" w:date="2015-12-14T21:54:00Z">
        <w:r>
          <w:tab/>
          <w:t>[Section 31 amended by No. 77 of 2006 s. 4.]</w:t>
        </w:r>
      </w:ins>
    </w:p>
    <w:p>
      <w:pPr>
        <w:pStyle w:val="Heading5"/>
        <w:keepLines w:val="0"/>
      </w:pPr>
      <w:bookmarkStart w:id="263" w:name="_Toc496925306"/>
      <w:bookmarkStart w:id="264" w:name="_Toc520186383"/>
      <w:bookmarkStart w:id="265" w:name="_Toc137013332"/>
      <w:bookmarkStart w:id="266" w:name="_Toc158007454"/>
      <w:bookmarkStart w:id="267" w:name="_Toc144780902"/>
      <w:r>
        <w:rPr>
          <w:rStyle w:val="CharSectno"/>
        </w:rPr>
        <w:t>32</w:t>
      </w:r>
      <w:r>
        <w:rPr>
          <w:snapToGrid w:val="0"/>
        </w:rPr>
        <w:t>.</w:t>
      </w:r>
      <w:r>
        <w:rPr>
          <w:snapToGrid w:val="0"/>
        </w:rPr>
        <w:tab/>
        <w:t>Appropriation to meet contribution and funding obligations</w:t>
      </w:r>
      <w:bookmarkEnd w:id="263"/>
      <w:bookmarkEnd w:id="264"/>
      <w:bookmarkEnd w:id="265"/>
      <w:bookmarkEnd w:id="266"/>
      <w:bookmarkEnd w:id="267"/>
    </w:p>
    <w:p>
      <w:pPr>
        <w:pStyle w:val="Subsection"/>
        <w:rPr>
          <w:snapToGrid w:val="0"/>
        </w:rPr>
      </w:pPr>
      <w:bookmarkStart w:id="268" w:name="_Toc435930267"/>
      <w:bookmarkStart w:id="269" w:name="_Toc438262852"/>
      <w:r>
        <w:tab/>
      </w:r>
      <w:r>
        <w:tab/>
        <w:t xml:space="preserve">The </w:t>
      </w:r>
      <w:r>
        <w:rPr>
          <w:snapToGrid w:val="0"/>
        </w:rPr>
        <w:t xml:space="preserve">Consolidated </w:t>
      </w:r>
      <w:del w:id="270" w:author="svcMRProcess" w:date="2015-12-14T21:54:00Z">
        <w:r>
          <w:delText>Fund</w:delText>
        </w:r>
      </w:del>
      <w:ins w:id="271" w:author="svcMRProcess" w:date="2015-12-14T21:54:00Z">
        <w:r>
          <w:rPr>
            <w:snapToGrid w:val="0"/>
          </w:rPr>
          <w:t>Account</w:t>
        </w:r>
      </w:ins>
      <w:r>
        <w:t xml:space="preserve"> is appropriated to the extent necessary </w:t>
      </w:r>
      <w:bookmarkEnd w:id="268"/>
      <w:bookmarkEnd w:id="269"/>
      <w:r>
        <w:t xml:space="preserve">to meet the payment of contributions and other amounts required by </w:t>
      </w:r>
      <w:r>
        <w:rPr>
          <w:snapToGrid w:val="0"/>
        </w:rPr>
        <w:t xml:space="preserve">regulations under this Act to be paid by the Crown to the Fund on or after the commencement of this Act. </w:t>
      </w:r>
    </w:p>
    <w:p>
      <w:pPr>
        <w:pStyle w:val="Footnotesection"/>
        <w:rPr>
          <w:ins w:id="272" w:author="svcMRProcess" w:date="2015-12-14T21:54:00Z"/>
        </w:rPr>
      </w:pPr>
      <w:ins w:id="273" w:author="svcMRProcess" w:date="2015-12-14T21:54:00Z">
        <w:r>
          <w:tab/>
          <w:t>[Section 32 amended by No. 77 of 2006 s. 4.]</w:t>
        </w:r>
      </w:ins>
    </w:p>
    <w:p>
      <w:pPr>
        <w:pStyle w:val="Heading2"/>
        <w:keepLines/>
      </w:pPr>
      <w:bookmarkStart w:id="274" w:name="_Toc92706106"/>
      <w:bookmarkStart w:id="275" w:name="_Toc137013255"/>
      <w:bookmarkStart w:id="276" w:name="_Toc137013333"/>
      <w:bookmarkStart w:id="277" w:name="_Toc137013411"/>
      <w:bookmarkStart w:id="278" w:name="_Toc139707700"/>
      <w:bookmarkStart w:id="279" w:name="_Toc142898799"/>
      <w:bookmarkStart w:id="280" w:name="_Toc142899379"/>
      <w:bookmarkStart w:id="281" w:name="_Toc143582927"/>
      <w:bookmarkStart w:id="282" w:name="_Toc144012987"/>
      <w:bookmarkStart w:id="283" w:name="_Toc144780903"/>
      <w:bookmarkStart w:id="284" w:name="_Toc158007455"/>
      <w:r>
        <w:rPr>
          <w:rStyle w:val="CharPartNo"/>
        </w:rPr>
        <w:t>Part 6</w:t>
      </w:r>
      <w:r>
        <w:t xml:space="preserve"> — </w:t>
      </w:r>
      <w:r>
        <w:rPr>
          <w:rStyle w:val="CharPartText"/>
        </w:rPr>
        <w:t>Miscellaneous</w:t>
      </w:r>
      <w:bookmarkEnd w:id="274"/>
      <w:bookmarkEnd w:id="275"/>
      <w:bookmarkEnd w:id="276"/>
      <w:bookmarkEnd w:id="277"/>
      <w:bookmarkEnd w:id="278"/>
      <w:bookmarkEnd w:id="279"/>
      <w:bookmarkEnd w:id="280"/>
      <w:bookmarkEnd w:id="281"/>
      <w:bookmarkEnd w:id="282"/>
      <w:bookmarkEnd w:id="283"/>
      <w:bookmarkEnd w:id="284"/>
    </w:p>
    <w:p>
      <w:pPr>
        <w:pStyle w:val="Heading5"/>
        <w:keepLines w:val="0"/>
      </w:pPr>
      <w:bookmarkStart w:id="285" w:name="_Toc496925307"/>
      <w:bookmarkStart w:id="286" w:name="_Toc520186384"/>
      <w:bookmarkStart w:id="287" w:name="_Toc137013334"/>
      <w:bookmarkStart w:id="288" w:name="_Toc158007456"/>
      <w:bookmarkStart w:id="289" w:name="_Toc144780904"/>
      <w:r>
        <w:rPr>
          <w:rStyle w:val="CharSectno"/>
        </w:rPr>
        <w:t>33</w:t>
      </w:r>
      <w:r>
        <w:t>.</w:t>
      </w:r>
      <w:r>
        <w:tab/>
        <w:t>Treasurer’s approvals and guidelines</w:t>
      </w:r>
      <w:bookmarkEnd w:id="285"/>
      <w:bookmarkEnd w:id="286"/>
      <w:bookmarkEnd w:id="287"/>
      <w:bookmarkEnd w:id="288"/>
      <w:bookmarkEnd w:id="289"/>
    </w:p>
    <w:p>
      <w:pPr>
        <w:pStyle w:val="Subsection"/>
      </w:pPr>
      <w:r>
        <w:tab/>
        <w:t>(1)</w:t>
      </w:r>
      <w:r>
        <w:tab/>
        <w:t>An approval given by the Treasurer —</w:t>
      </w:r>
    </w:p>
    <w:p>
      <w:pPr>
        <w:pStyle w:val="Indenta"/>
      </w:pPr>
      <w:r>
        <w:tab/>
        <w:t>(a)</w:t>
      </w:r>
      <w:r>
        <w:tab/>
        <w:t>must be in writing;</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90" w:name="_Hlt461855087"/>
      <w:r>
        <w:t> 17</w:t>
      </w:r>
      <w:bookmarkEnd w:id="290"/>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w:t>
      </w:r>
    </w:p>
    <w:p>
      <w:pPr>
        <w:pStyle w:val="Heading5"/>
      </w:pPr>
      <w:bookmarkStart w:id="291" w:name="_Toc138751293"/>
      <w:bookmarkStart w:id="292" w:name="_Toc139167034"/>
      <w:bookmarkStart w:id="293" w:name="_Toc158007457"/>
      <w:bookmarkStart w:id="294" w:name="_Toc144780905"/>
      <w:bookmarkStart w:id="295" w:name="_Toc496925308"/>
      <w:bookmarkStart w:id="296" w:name="_Toc520186385"/>
      <w:bookmarkStart w:id="297" w:name="_Toc137013335"/>
      <w:r>
        <w:rPr>
          <w:rStyle w:val="CharSectno"/>
        </w:rPr>
        <w:t>33A</w:t>
      </w:r>
      <w:r>
        <w:t>.</w:t>
      </w:r>
      <w:r>
        <w:tab/>
        <w:t>Duty to observe policy instruments</w:t>
      </w:r>
      <w:bookmarkEnd w:id="291"/>
      <w:bookmarkEnd w:id="292"/>
      <w:bookmarkEnd w:id="293"/>
      <w:bookmarkEnd w:id="294"/>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98" w:name="_Toc138751294"/>
      <w:bookmarkStart w:id="299" w:name="_Toc139167035"/>
      <w:r>
        <w:tab/>
        <w:t>[Section 33A inserted by No. 28 of 2006 s. 434.]</w:t>
      </w:r>
    </w:p>
    <w:p>
      <w:pPr>
        <w:pStyle w:val="Heading5"/>
      </w:pPr>
      <w:bookmarkStart w:id="300" w:name="_Toc158007458"/>
      <w:bookmarkStart w:id="301" w:name="_Toc144780906"/>
      <w:r>
        <w:rPr>
          <w:rStyle w:val="CharSectno"/>
        </w:rPr>
        <w:t>33B</w:t>
      </w:r>
      <w:r>
        <w:t>.</w:t>
      </w:r>
      <w:r>
        <w:tab/>
        <w:t>Strategic development plan and statement of corporate intent</w:t>
      </w:r>
      <w:bookmarkEnd w:id="298"/>
      <w:bookmarkEnd w:id="299"/>
      <w:bookmarkEnd w:id="300"/>
      <w:bookmarkEnd w:id="301"/>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33C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302" w:name="_Toc138751295"/>
      <w:bookmarkStart w:id="303" w:name="_Toc139167036"/>
      <w:r>
        <w:tab/>
        <w:t>[Section 33B inserted by No. 28 of 2006 s. 434.]</w:t>
      </w:r>
    </w:p>
    <w:p>
      <w:pPr>
        <w:pStyle w:val="Heading5"/>
      </w:pPr>
      <w:bookmarkStart w:id="304" w:name="_Toc158007459"/>
      <w:bookmarkStart w:id="305" w:name="_Toc144780907"/>
      <w:r>
        <w:rPr>
          <w:rStyle w:val="CharSectno"/>
        </w:rPr>
        <w:t>33C</w:t>
      </w:r>
      <w:r>
        <w:t>.</w:t>
      </w:r>
      <w:r>
        <w:tab/>
        <w:t>Laying directions about strategic development plan or statement of corporate intent before Parliament</w:t>
      </w:r>
      <w:bookmarkEnd w:id="302"/>
      <w:bookmarkEnd w:id="303"/>
      <w:bookmarkEnd w:id="304"/>
      <w:bookmarkEnd w:id="305"/>
    </w:p>
    <w:p>
      <w:pPr>
        <w:pStyle w:val="Subsection"/>
      </w:pPr>
      <w:r>
        <w:tab/>
        <w:t>(1)</w:t>
      </w:r>
      <w:r>
        <w:tab/>
        <w:t xml:space="preserve">If — </w:t>
      </w:r>
    </w:p>
    <w:p>
      <w:pPr>
        <w:pStyle w:val="Indenta"/>
      </w:pPr>
      <w:r>
        <w:tab/>
        <w:t>(a)</w:t>
      </w:r>
      <w:r>
        <w:tab/>
        <w:t>a House of Parliament is not sitting at the commencement of the applicable period referred to in section 33B(3)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33B(3) is to be included in the annual report submitted by the accountable authority of the Board under </w:t>
      </w:r>
      <w:del w:id="306" w:author="svcMRProcess" w:date="2015-12-14T21:54:00Z">
        <w:r>
          <w:delText>section 66</w:delText>
        </w:r>
      </w:del>
      <w:ins w:id="307" w:author="svcMRProcess" w:date="2015-12-14T21:54:00Z">
        <w:r>
          <w:rPr>
            <w:szCs w:val="22"/>
          </w:rPr>
          <w:t>Part 5</w:t>
        </w:r>
      </w:ins>
      <w:r>
        <w:rPr>
          <w:szCs w:val="22"/>
        </w:rPr>
        <w:t xml:space="preserve"> of the </w:t>
      </w:r>
      <w:r>
        <w:rPr>
          <w:i/>
          <w:iCs/>
          <w:szCs w:val="22"/>
        </w:rPr>
        <w:t xml:space="preserve">Financial </w:t>
      </w:r>
      <w:del w:id="308" w:author="svcMRProcess" w:date="2015-12-14T21:54:00Z">
        <w:r>
          <w:rPr>
            <w:i/>
          </w:rPr>
          <w:delText>Administration and Audit</w:delText>
        </w:r>
      </w:del>
      <w:ins w:id="309" w:author="svcMRProcess" w:date="2015-12-14T21:54:00Z">
        <w:r>
          <w:rPr>
            <w:i/>
            <w:iCs/>
            <w:szCs w:val="22"/>
          </w:rPr>
          <w:t>Management</w:t>
        </w:r>
      </w:ins>
      <w:r>
        <w:rPr>
          <w:i/>
          <w:iCs/>
          <w:szCs w:val="22"/>
        </w:rPr>
        <w:t xml:space="preserve"> Act </w:t>
      </w:r>
      <w:del w:id="310" w:author="svcMRProcess" w:date="2015-12-14T21:54:00Z">
        <w:r>
          <w:rPr>
            <w:i/>
          </w:rPr>
          <w:delText>1985</w:delText>
        </w:r>
      </w:del>
      <w:ins w:id="311" w:author="svcMRProcess" w:date="2015-12-14T21:54:00Z">
        <w:r>
          <w:rPr>
            <w:i/>
            <w:iCs/>
            <w:szCs w:val="22"/>
          </w:rPr>
          <w:t>2006</w:t>
        </w:r>
      </w:ins>
      <w:r>
        <w:rPr>
          <w:szCs w:val="22"/>
        </w:rPr>
        <w:t>.</w:t>
      </w:r>
    </w:p>
    <w:p>
      <w:pPr>
        <w:pStyle w:val="Footnotesection"/>
        <w:ind w:left="890" w:hanging="890"/>
      </w:pPr>
      <w:r>
        <w:tab/>
        <w:t>[Section 33C inserted by No. 28 of 2006 s. </w:t>
      </w:r>
      <w:del w:id="312" w:author="svcMRProcess" w:date="2015-12-14T21:54:00Z">
        <w:r>
          <w:delText>434</w:delText>
        </w:r>
      </w:del>
      <w:ins w:id="313" w:author="svcMRProcess" w:date="2015-12-14T21:54:00Z">
        <w:r>
          <w:t>434; amended by No. 77 of 2006 s. 17</w:t>
        </w:r>
      </w:ins>
      <w:r>
        <w:t>.]</w:t>
      </w:r>
    </w:p>
    <w:p>
      <w:pPr>
        <w:pStyle w:val="Heading5"/>
        <w:keepLines w:val="0"/>
        <w:rPr>
          <w:snapToGrid w:val="0"/>
        </w:rPr>
      </w:pPr>
      <w:bookmarkStart w:id="314" w:name="_Toc158007460"/>
      <w:bookmarkStart w:id="315" w:name="_Toc144780908"/>
      <w:r>
        <w:rPr>
          <w:rStyle w:val="CharSectno"/>
        </w:rPr>
        <w:t>34</w:t>
      </w:r>
      <w:r>
        <w:rPr>
          <w:snapToGrid w:val="0"/>
        </w:rPr>
        <w:t>.</w:t>
      </w:r>
      <w:r>
        <w:rPr>
          <w:snapToGrid w:val="0"/>
        </w:rPr>
        <w:tab/>
        <w:t>Directions to Employers as to practice and procedure</w:t>
      </w:r>
      <w:bookmarkEnd w:id="295"/>
      <w:bookmarkEnd w:id="296"/>
      <w:bookmarkEnd w:id="297"/>
      <w:bookmarkEnd w:id="314"/>
      <w:bookmarkEnd w:id="315"/>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this Act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 xml:space="preserve">apply at all times, at a particular time, or for a particular period; </w:t>
      </w:r>
    </w:p>
    <w:p>
      <w:pPr>
        <w:pStyle w:val="Indenta"/>
        <w:rPr>
          <w:snapToGrid w:val="0"/>
        </w:rPr>
      </w:pPr>
      <w:r>
        <w:rPr>
          <w:snapToGrid w:val="0"/>
        </w:rPr>
        <w:tab/>
        <w:t>(b)</w:t>
      </w:r>
      <w:r>
        <w:rPr>
          <w:snapToGrid w:val="0"/>
        </w:rPr>
        <w:tab/>
        <w:t xml:space="preserve">apply to all Employers, to a particular Employer, or to Employers in a particular class; </w:t>
      </w:r>
    </w:p>
    <w:p>
      <w:pPr>
        <w:pStyle w:val="Indenta"/>
        <w:rPr>
          <w:snapToGrid w:val="0"/>
        </w:rPr>
      </w:pPr>
      <w:r>
        <w:rPr>
          <w:snapToGrid w:val="0"/>
        </w:rPr>
        <w:tab/>
        <w:t>(c)</w:t>
      </w:r>
      <w:r>
        <w:rPr>
          <w:snapToGrid w:val="0"/>
        </w:rPr>
        <w:tab/>
        <w:t xml:space="preserve">direct something to be done in a particular manner; </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Heading5"/>
        <w:keepLines w:val="0"/>
        <w:rPr>
          <w:snapToGrid w:val="0"/>
        </w:rPr>
      </w:pPr>
      <w:bookmarkStart w:id="316" w:name="_Toc496925309"/>
      <w:bookmarkStart w:id="317" w:name="_Toc520186386"/>
      <w:bookmarkStart w:id="318" w:name="_Toc137013336"/>
      <w:bookmarkStart w:id="319" w:name="_Toc158007461"/>
      <w:bookmarkStart w:id="320" w:name="_Toc144780909"/>
      <w:r>
        <w:rPr>
          <w:rStyle w:val="CharSectno"/>
        </w:rPr>
        <w:t>35</w:t>
      </w:r>
      <w:r>
        <w:t>.</w:t>
      </w:r>
      <w:r>
        <w:tab/>
      </w:r>
      <w:r>
        <w:rPr>
          <w:snapToGrid w:val="0"/>
        </w:rPr>
        <w:t>Minister may give directions to the Board</w:t>
      </w:r>
      <w:bookmarkEnd w:id="316"/>
      <w:bookmarkEnd w:id="317"/>
      <w:bookmarkEnd w:id="318"/>
      <w:bookmarkEnd w:id="319"/>
      <w:bookmarkEnd w:id="320"/>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spacing w:before="120"/>
      </w:pPr>
      <w:r>
        <w:rPr>
          <w:snapToGrid w:val="0"/>
        </w:rPr>
        <w:tab/>
        <w:t>(3)</w:t>
      </w:r>
      <w:r>
        <w:rPr>
          <w:snapToGrid w:val="0"/>
        </w:rPr>
        <w:tab/>
        <w:t xml:space="preserve">The text of any direction received by the Board is to be included in the annual report submitted by the accountable authority of the Board under </w:t>
      </w:r>
      <w:del w:id="321" w:author="svcMRProcess" w:date="2015-12-14T21:54:00Z">
        <w:r>
          <w:rPr>
            <w:snapToGrid w:val="0"/>
          </w:rPr>
          <w:delText>section 66</w:delText>
        </w:r>
      </w:del>
      <w:ins w:id="322" w:author="svcMRProcess" w:date="2015-12-14T21:54:00Z">
        <w:r>
          <w:t>Part 5</w:t>
        </w:r>
      </w:ins>
      <w:r>
        <w:t xml:space="preserve"> of the </w:t>
      </w:r>
      <w:r>
        <w:rPr>
          <w:i/>
          <w:iCs/>
        </w:rPr>
        <w:t xml:space="preserve">Financial </w:t>
      </w:r>
      <w:del w:id="323" w:author="svcMRProcess" w:date="2015-12-14T21:54:00Z">
        <w:r>
          <w:rPr>
            <w:i/>
            <w:snapToGrid w:val="0"/>
          </w:rPr>
          <w:delText>Administration and Audit</w:delText>
        </w:r>
      </w:del>
      <w:ins w:id="324" w:author="svcMRProcess" w:date="2015-12-14T21:54:00Z">
        <w:r>
          <w:rPr>
            <w:i/>
            <w:iCs/>
          </w:rPr>
          <w:t>Management</w:t>
        </w:r>
      </w:ins>
      <w:r>
        <w:rPr>
          <w:i/>
          <w:iCs/>
        </w:rPr>
        <w:t xml:space="preserve"> Act </w:t>
      </w:r>
      <w:del w:id="325" w:author="svcMRProcess" w:date="2015-12-14T21:54:00Z">
        <w:r>
          <w:rPr>
            <w:i/>
            <w:snapToGrid w:val="0"/>
          </w:rPr>
          <w:delText>1985</w:delText>
        </w:r>
        <w:r>
          <w:rPr>
            <w:snapToGrid w:val="0"/>
          </w:rPr>
          <w:delText xml:space="preserve">. </w:delText>
        </w:r>
      </w:del>
      <w:ins w:id="326" w:author="svcMRProcess" w:date="2015-12-14T21:54:00Z">
        <w:r>
          <w:rPr>
            <w:i/>
            <w:iCs/>
          </w:rPr>
          <w:t>2006</w:t>
        </w:r>
        <w:r>
          <w:t>.</w:t>
        </w:r>
      </w:ins>
    </w:p>
    <w:p>
      <w:pPr>
        <w:pStyle w:val="Footnotesection"/>
        <w:rPr>
          <w:ins w:id="327" w:author="svcMRProcess" w:date="2015-12-14T21:54:00Z"/>
        </w:rPr>
      </w:pPr>
      <w:ins w:id="328" w:author="svcMRProcess" w:date="2015-12-14T21:54:00Z">
        <w:r>
          <w:tab/>
          <w:t>[Section 35 amended by No. 77 of 2006 s. 17.]</w:t>
        </w:r>
      </w:ins>
    </w:p>
    <w:p>
      <w:pPr>
        <w:pStyle w:val="Heading5"/>
        <w:keepLines w:val="0"/>
        <w:spacing w:before="180"/>
        <w:rPr>
          <w:snapToGrid w:val="0"/>
        </w:rPr>
      </w:pPr>
      <w:bookmarkStart w:id="329" w:name="_Toc435930237"/>
      <w:bookmarkStart w:id="330" w:name="_Toc438262822"/>
      <w:bookmarkStart w:id="331" w:name="_Toc496925310"/>
      <w:bookmarkStart w:id="332" w:name="_Toc520186387"/>
      <w:bookmarkStart w:id="333" w:name="_Toc137013337"/>
      <w:bookmarkStart w:id="334" w:name="_Toc158007462"/>
      <w:bookmarkStart w:id="335" w:name="_Toc144780910"/>
      <w:r>
        <w:rPr>
          <w:rStyle w:val="CharSectno"/>
        </w:rPr>
        <w:t>36</w:t>
      </w:r>
      <w:r>
        <w:rPr>
          <w:snapToGrid w:val="0"/>
        </w:rPr>
        <w:t>.</w:t>
      </w:r>
      <w:r>
        <w:rPr>
          <w:snapToGrid w:val="0"/>
        </w:rPr>
        <w:tab/>
        <w:t>Minister to have access to information</w:t>
      </w:r>
      <w:bookmarkEnd w:id="329"/>
      <w:bookmarkEnd w:id="330"/>
      <w:bookmarkEnd w:id="331"/>
      <w:bookmarkEnd w:id="332"/>
      <w:bookmarkEnd w:id="333"/>
      <w:bookmarkEnd w:id="334"/>
      <w:bookmarkEnd w:id="335"/>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 xml:space="preserve">a Member; </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w:t>
      </w:r>
    </w:p>
    <w:p>
      <w:pPr>
        <w:pStyle w:val="Heading5"/>
        <w:keepLines w:val="0"/>
      </w:pPr>
      <w:bookmarkStart w:id="336" w:name="_Toc496925311"/>
      <w:bookmarkStart w:id="337" w:name="_Toc520186388"/>
      <w:bookmarkStart w:id="338" w:name="_Toc137013338"/>
      <w:bookmarkStart w:id="339" w:name="_Toc158007463"/>
      <w:bookmarkStart w:id="340" w:name="_Toc144780911"/>
      <w:r>
        <w:rPr>
          <w:rStyle w:val="CharSectno"/>
        </w:rPr>
        <w:t>37</w:t>
      </w:r>
      <w:r>
        <w:t>.</w:t>
      </w:r>
      <w:r>
        <w:tab/>
        <w:t>Minister to consult with Treasurer</w:t>
      </w:r>
      <w:bookmarkEnd w:id="336"/>
      <w:bookmarkEnd w:id="337"/>
      <w:bookmarkEnd w:id="338"/>
      <w:bookmarkEnd w:id="339"/>
      <w:bookmarkEnd w:id="340"/>
    </w:p>
    <w:p>
      <w:pPr>
        <w:pStyle w:val="Subsection"/>
        <w:keepLines/>
      </w:pPr>
      <w:r>
        <w:tab/>
      </w:r>
      <w:r>
        <w:tab/>
        <w:t xml:space="preserve">The Minister is to consult with the Treasurer before performing a function under this Act if the performance of the function will or may affect the financial rights or obligations of the Crown under this Act and the value of that effect will or may exceed the prescribed amount. </w:t>
      </w:r>
    </w:p>
    <w:p>
      <w:pPr>
        <w:pStyle w:val="Heading5"/>
        <w:keepLines w:val="0"/>
      </w:pPr>
      <w:bookmarkStart w:id="341" w:name="_Toc496925312"/>
      <w:bookmarkStart w:id="342" w:name="_Toc520186389"/>
      <w:bookmarkStart w:id="343" w:name="_Toc137013339"/>
      <w:bookmarkStart w:id="344" w:name="_Toc158007464"/>
      <w:bookmarkStart w:id="345" w:name="_Toc144780912"/>
      <w:r>
        <w:rPr>
          <w:rStyle w:val="CharSectno"/>
        </w:rPr>
        <w:t>38</w:t>
      </w:r>
      <w:r>
        <w:rPr>
          <w:snapToGrid w:val="0"/>
        </w:rPr>
        <w:t>.</w:t>
      </w:r>
      <w:r>
        <w:rPr>
          <w:snapToGrid w:val="0"/>
        </w:rPr>
        <w:tab/>
        <w:t>Regulations</w:t>
      </w:r>
      <w:bookmarkEnd w:id="341"/>
      <w:bookmarkEnd w:id="342"/>
      <w:bookmarkEnd w:id="343"/>
      <w:bookmarkEnd w:id="344"/>
      <w:bookmarkEnd w:id="345"/>
    </w:p>
    <w:p>
      <w:pPr>
        <w:pStyle w:val="Subsection"/>
        <w:keepLines/>
      </w:pPr>
      <w:r>
        <w:tab/>
        <w:t>(1)</w:t>
      </w:r>
      <w:r>
        <w:tab/>
        <w:t xml:space="preserve">Subject to subsections (3) to (7), the Governor may make regulations prescribing all matters that are required or permitted by this Act or section 26 of the </w:t>
      </w:r>
      <w:r>
        <w:rPr>
          <w:i/>
        </w:rPr>
        <w:t>State Superannuation</w:t>
      </w:r>
      <w:r>
        <w:t xml:space="preserve"> </w:t>
      </w:r>
      <w:r>
        <w:rPr>
          <w:i/>
        </w:rPr>
        <w:t>(Transitional and Consequential Provisions) Act 2000</w:t>
      </w:r>
      <w:r>
        <w:t xml:space="preserve"> to be prescribed, or are necessary or convenient to be prescribed, for giving effect to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Regulations cannot be made under subsection (1) in relation to the superannuation schemes continued by section 29(a),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29(a) or (b), the multiplying factor for any relevant benefit; or</w:t>
      </w:r>
    </w:p>
    <w:p>
      <w:pPr>
        <w:pStyle w:val="Indenti"/>
      </w:pPr>
      <w:r>
        <w:tab/>
        <w:t>(ii)</w:t>
      </w:r>
      <w:r>
        <w:tab/>
        <w:t>in the case of the scheme continued by section 29(c), the pension value factor for any Member of that scheme,</w:t>
      </w:r>
    </w:p>
    <w:p>
      <w:pPr>
        <w:pStyle w:val="Indenta"/>
      </w:pPr>
      <w:r>
        <w:tab/>
      </w:r>
      <w:r>
        <w:tab/>
        <w:t>to less than it was immediately before the commencement day;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(4a)</w:t>
      </w:r>
      <w:r>
        <w:tab/>
        <w:t xml:space="preserve">Subsections (3) and (4)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Subsection"/>
      </w:pPr>
      <w:r>
        <w:tab/>
        <w:t>(4b)</w:t>
      </w:r>
      <w:r>
        <w:tab/>
        <w:t xml:space="preserve">In subsection (4a),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r>
      <w:r>
        <w:tab/>
        <w:t>cannot be made under subsection (1) unless they have been approved by the Treasurer.</w:t>
      </w:r>
    </w:p>
    <w:p>
      <w:pPr>
        <w:pStyle w:val="Subsection"/>
        <w:keepLines/>
      </w:pPr>
      <w:r>
        <w:tab/>
        <w:t>(6)</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rPr>
        <w:t>Gazette</w:t>
      </w:r>
      <w:r>
        <w:t>.</w:t>
      </w:r>
    </w:p>
    <w:p>
      <w:pPr>
        <w:pStyle w:val="Subsection"/>
      </w:pPr>
      <w:r>
        <w:tab/>
        <w:t>(7)</w:t>
      </w:r>
      <w:r>
        <w:tab/>
        <w:t>Regulations of the kind referred to in subsection (6) cannot be made if they will or may affect a person, except the Crown or an Employer, by —</w:t>
      </w:r>
    </w:p>
    <w:p>
      <w:pPr>
        <w:pStyle w:val="Indenta"/>
        <w:rPr>
          <w:snapToGrid w:val="0"/>
        </w:rPr>
      </w:pPr>
      <w:r>
        <w:rPr>
          <w:snapToGrid w:val="0"/>
        </w:rPr>
        <w:tab/>
        <w:t>(a)</w:t>
      </w:r>
      <w:r>
        <w:rPr>
          <w:snapToGrid w:val="0"/>
        </w:rPr>
        <w:tab/>
        <w:t>prejudicing rights that existed before the regulation was published; or</w:t>
      </w:r>
    </w:p>
    <w:p>
      <w:pPr>
        <w:pStyle w:val="Indenta"/>
        <w:rPr>
          <w:snapToGrid w:val="0"/>
        </w:rPr>
      </w:pPr>
      <w:r>
        <w:rPr>
          <w:snapToGrid w:val="0"/>
        </w:rPr>
        <w:tab/>
        <w:t>(b)</w:t>
      </w:r>
      <w:r>
        <w:rPr>
          <w:snapToGrid w:val="0"/>
        </w:rP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(4) and this subsection —</w:t>
      </w:r>
    </w:p>
    <w:p>
      <w:pPr>
        <w:pStyle w:val="Defstart"/>
      </w:pPr>
      <w:r>
        <w:tab/>
      </w:r>
      <w:r>
        <w:rPr>
          <w:b/>
        </w:rPr>
        <w:t>“commencement day”</w:t>
      </w:r>
      <w:r>
        <w:t xml:space="preserve"> means the day on which this Act comes into operation;</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the commencement day, calculated as a multiple of a Member’s salary.</w:t>
      </w:r>
    </w:p>
    <w:p>
      <w:pPr>
        <w:pStyle w:val="Footnotesection"/>
      </w:pPr>
      <w:r>
        <w:tab/>
        <w:t>[Section 38 amended by No. 55 of 2004 s. 1105; No. 18 of 2006 s. 14.]</w:t>
      </w:r>
    </w:p>
    <w:p>
      <w:pPr>
        <w:pStyle w:val="Heading5"/>
        <w:keepLines w:val="0"/>
      </w:pPr>
      <w:bookmarkStart w:id="346" w:name="_Toc452795442"/>
      <w:bookmarkStart w:id="347" w:name="_Toc453994027"/>
      <w:bookmarkStart w:id="348" w:name="_Toc496925313"/>
      <w:bookmarkStart w:id="349" w:name="_Toc520186390"/>
      <w:bookmarkStart w:id="350" w:name="_Toc137013340"/>
      <w:bookmarkStart w:id="351" w:name="_Toc158007465"/>
      <w:bookmarkStart w:id="352" w:name="_Toc144780913"/>
      <w:r>
        <w:rPr>
          <w:rStyle w:val="CharSectno"/>
        </w:rPr>
        <w:t>39</w:t>
      </w:r>
      <w:r>
        <w:t>.</w:t>
      </w:r>
      <w:r>
        <w:tab/>
        <w:t>Repeal</w:t>
      </w:r>
      <w:bookmarkEnd w:id="346"/>
      <w:bookmarkEnd w:id="347"/>
      <w:r>
        <w:t>s</w:t>
      </w:r>
      <w:bookmarkEnd w:id="348"/>
      <w:bookmarkEnd w:id="349"/>
      <w:bookmarkEnd w:id="350"/>
      <w:bookmarkEnd w:id="351"/>
      <w:bookmarkEnd w:id="352"/>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53" w:name="_Toc119215682"/>
      <w:bookmarkStart w:id="354" w:name="_Toc119402154"/>
      <w:bookmarkStart w:id="355" w:name="_Toc136390871"/>
      <w:bookmarkStart w:id="356" w:name="_Toc137013341"/>
      <w:bookmarkStart w:id="357" w:name="_Toc158007466"/>
      <w:bookmarkStart w:id="358" w:name="_Toc144780914"/>
      <w:r>
        <w:rPr>
          <w:rStyle w:val="CharSectno"/>
        </w:rPr>
        <w:t>40</w:t>
      </w:r>
      <w:r>
        <w:t>.</w:t>
      </w:r>
      <w:r>
        <w:tab/>
        <w:t>Inconsistent written laws</w:t>
      </w:r>
      <w:bookmarkEnd w:id="353"/>
      <w:bookmarkEnd w:id="354"/>
      <w:bookmarkEnd w:id="355"/>
      <w:bookmarkEnd w:id="356"/>
      <w:bookmarkEnd w:id="357"/>
      <w:bookmarkEnd w:id="358"/>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59" w:name="_Toc137013342"/>
      <w:bookmarkStart w:id="360" w:name="_Toc137013420"/>
      <w:bookmarkStart w:id="361" w:name="_Toc139707709"/>
      <w:bookmarkStart w:id="362" w:name="_Toc142898811"/>
      <w:bookmarkStart w:id="363" w:name="_Toc142899391"/>
      <w:bookmarkStart w:id="364" w:name="_Toc143582939"/>
      <w:bookmarkStart w:id="365" w:name="_Toc144012999"/>
      <w:bookmarkStart w:id="366" w:name="_Toc144780915"/>
      <w:bookmarkStart w:id="367" w:name="_Toc158007467"/>
      <w:r>
        <w:rPr>
          <w:rStyle w:val="CharSchNo"/>
        </w:rPr>
        <w:t>Schedule 1</w:t>
      </w:r>
      <w:r>
        <w:t> — </w:t>
      </w:r>
      <w:r>
        <w:rPr>
          <w:rStyle w:val="CharSchText"/>
        </w:rPr>
        <w:t>Government Employees Superannuation Board</w:t>
      </w:r>
      <w:bookmarkEnd w:id="359"/>
      <w:bookmarkEnd w:id="360"/>
      <w:bookmarkEnd w:id="361"/>
      <w:bookmarkEnd w:id="362"/>
      <w:bookmarkEnd w:id="363"/>
      <w:bookmarkEnd w:id="364"/>
      <w:bookmarkEnd w:id="365"/>
      <w:bookmarkEnd w:id="366"/>
      <w:bookmarkEnd w:id="367"/>
    </w:p>
    <w:p>
      <w:pPr>
        <w:pStyle w:val="yShoulderClause"/>
      </w:pPr>
      <w:r>
        <w:t>[s. 8(2)]</w:t>
      </w:r>
    </w:p>
    <w:p>
      <w:pPr>
        <w:pStyle w:val="yHeading5"/>
        <w:outlineLvl w:val="9"/>
      </w:pPr>
      <w:bookmarkStart w:id="368" w:name="_Toc496925314"/>
      <w:bookmarkStart w:id="369" w:name="_Toc520186391"/>
      <w:bookmarkStart w:id="370" w:name="_Toc137013343"/>
      <w:bookmarkStart w:id="371" w:name="_Toc158007468"/>
      <w:bookmarkStart w:id="372" w:name="_Toc144780916"/>
      <w:bookmarkStart w:id="373" w:name="_Toc438262912"/>
      <w:r>
        <w:rPr>
          <w:rStyle w:val="CharSClsNo"/>
        </w:rPr>
        <w:t>1</w:t>
      </w:r>
      <w:r>
        <w:t>.</w:t>
      </w:r>
      <w:r>
        <w:tab/>
        <w:t>Chairman</w:t>
      </w:r>
      <w:bookmarkEnd w:id="368"/>
      <w:bookmarkEnd w:id="369"/>
      <w:bookmarkEnd w:id="370"/>
      <w:bookmarkEnd w:id="371"/>
      <w:bookmarkEnd w:id="372"/>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9"/>
      </w:pPr>
      <w:bookmarkStart w:id="374" w:name="_Toc496925315"/>
      <w:bookmarkStart w:id="375" w:name="_Toc520186392"/>
      <w:bookmarkStart w:id="376" w:name="_Toc137013344"/>
      <w:bookmarkStart w:id="377" w:name="_Toc158007469"/>
      <w:bookmarkStart w:id="378" w:name="_Toc144780917"/>
      <w:r>
        <w:rPr>
          <w:rStyle w:val="CharSClsNo"/>
        </w:rPr>
        <w:t>2</w:t>
      </w:r>
      <w:r>
        <w:t>.</w:t>
      </w:r>
      <w:r>
        <w:tab/>
      </w:r>
      <w:bookmarkStart w:id="379" w:name="_Toc442678278"/>
      <w:r>
        <w:t>Deputy chairman</w:t>
      </w:r>
      <w:bookmarkEnd w:id="373"/>
      <w:bookmarkEnd w:id="374"/>
      <w:bookmarkEnd w:id="375"/>
      <w:bookmarkEnd w:id="376"/>
      <w:bookmarkEnd w:id="377"/>
      <w:bookmarkEnd w:id="379"/>
      <w:bookmarkEnd w:id="378"/>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380" w:name="_Toc438262913"/>
    </w:p>
    <w:p>
      <w:pPr>
        <w:pStyle w:val="yHeading5"/>
        <w:keepLines w:val="0"/>
        <w:outlineLvl w:val="9"/>
      </w:pPr>
      <w:bookmarkStart w:id="381" w:name="_Toc442678275"/>
      <w:bookmarkStart w:id="382" w:name="_Toc496925316"/>
      <w:bookmarkStart w:id="383" w:name="_Toc520186393"/>
      <w:bookmarkStart w:id="384" w:name="_Toc137013345"/>
      <w:bookmarkStart w:id="385" w:name="_Toc158007470"/>
      <w:bookmarkStart w:id="386" w:name="_Toc144780918"/>
      <w:bookmarkEnd w:id="380"/>
      <w:r>
        <w:rPr>
          <w:rStyle w:val="CharSClsNo"/>
        </w:rPr>
        <w:t>3</w:t>
      </w:r>
      <w:r>
        <w:t>.</w:t>
      </w:r>
      <w:r>
        <w:tab/>
      </w:r>
      <w:bookmarkStart w:id="387" w:name="_Toc438262909"/>
      <w:r>
        <w:t>Election of member directors</w:t>
      </w:r>
      <w:bookmarkEnd w:id="381"/>
      <w:bookmarkEnd w:id="382"/>
      <w:bookmarkEnd w:id="383"/>
      <w:bookmarkEnd w:id="384"/>
      <w:bookmarkEnd w:id="385"/>
      <w:bookmarkEnd w:id="387"/>
      <w:bookmarkEnd w:id="386"/>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9"/>
      </w:pPr>
      <w:bookmarkStart w:id="388" w:name="_Toc496925317"/>
      <w:bookmarkStart w:id="389" w:name="_Toc520186394"/>
      <w:bookmarkStart w:id="390" w:name="_Toc137013346"/>
      <w:bookmarkStart w:id="391" w:name="_Toc158007471"/>
      <w:bookmarkStart w:id="392" w:name="_Toc144780919"/>
      <w:bookmarkStart w:id="393" w:name="_Toc438262908"/>
      <w:r>
        <w:rPr>
          <w:rStyle w:val="CharSClsNo"/>
        </w:rPr>
        <w:t>4</w:t>
      </w:r>
      <w:r>
        <w:t>.</w:t>
      </w:r>
      <w:r>
        <w:tab/>
        <w:t>Term of office</w:t>
      </w:r>
      <w:bookmarkEnd w:id="388"/>
      <w:bookmarkEnd w:id="389"/>
      <w:bookmarkEnd w:id="390"/>
      <w:bookmarkEnd w:id="391"/>
      <w:bookmarkEnd w:id="392"/>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393"/>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9"/>
      </w:pPr>
      <w:bookmarkStart w:id="394" w:name="_Toc496925318"/>
      <w:bookmarkStart w:id="395" w:name="_Toc520186395"/>
      <w:bookmarkStart w:id="396" w:name="_Toc137013347"/>
      <w:bookmarkStart w:id="397" w:name="_Toc158007472"/>
      <w:bookmarkStart w:id="398" w:name="_Toc144780920"/>
      <w:r>
        <w:rPr>
          <w:rStyle w:val="CharSClsNo"/>
        </w:rPr>
        <w:t>5</w:t>
      </w:r>
      <w:r>
        <w:t>.</w:t>
      </w:r>
      <w:r>
        <w:tab/>
        <w:t>Directors are part</w:t>
      </w:r>
      <w:r>
        <w:noBreakHyphen/>
        <w:t>time</w:t>
      </w:r>
      <w:bookmarkEnd w:id="394"/>
      <w:bookmarkEnd w:id="395"/>
      <w:bookmarkEnd w:id="396"/>
      <w:bookmarkEnd w:id="397"/>
      <w:bookmarkEnd w:id="398"/>
    </w:p>
    <w:p>
      <w:pPr>
        <w:pStyle w:val="ySubsection"/>
      </w:pPr>
      <w:r>
        <w:tab/>
      </w:r>
      <w:r>
        <w:tab/>
        <w:t>All directors hold their offices on a part</w:t>
      </w:r>
      <w:r>
        <w:noBreakHyphen/>
        <w:t xml:space="preserve">time basis. </w:t>
      </w:r>
    </w:p>
    <w:p>
      <w:pPr>
        <w:pStyle w:val="yHeading5"/>
        <w:keepNext w:val="0"/>
        <w:keepLines w:val="0"/>
        <w:outlineLvl w:val="9"/>
      </w:pPr>
      <w:bookmarkStart w:id="399" w:name="_Toc496925319"/>
      <w:bookmarkStart w:id="400" w:name="_Toc520186396"/>
      <w:bookmarkStart w:id="401" w:name="_Toc137013348"/>
      <w:bookmarkStart w:id="402" w:name="_Toc158007473"/>
      <w:bookmarkStart w:id="403" w:name="_Toc144780921"/>
      <w:bookmarkStart w:id="404" w:name="_Toc442678279"/>
      <w:r>
        <w:rPr>
          <w:rStyle w:val="CharSClsNo"/>
        </w:rPr>
        <w:t>6</w:t>
      </w:r>
      <w:r>
        <w:t>.</w:t>
      </w:r>
      <w:r>
        <w:tab/>
        <w:t>Casual vacancies</w:t>
      </w:r>
      <w:bookmarkEnd w:id="399"/>
      <w:bookmarkEnd w:id="400"/>
      <w:bookmarkEnd w:id="401"/>
      <w:bookmarkEnd w:id="402"/>
      <w:bookmarkEnd w:id="403"/>
      <w:r>
        <w:t xml:space="preserve"> </w:t>
      </w:r>
      <w:bookmarkEnd w:id="404"/>
    </w:p>
    <w:p>
      <w:pPr>
        <w:pStyle w:val="ySubsection"/>
      </w:pPr>
      <w:r>
        <w:tab/>
        <w:t>(1)</w:t>
      </w:r>
      <w:r>
        <w:tab/>
        <w:t>A casual vacancy in the office of a director occurs if the director —</w:t>
      </w:r>
    </w:p>
    <w:p>
      <w:pPr>
        <w:pStyle w:val="yIndenta"/>
      </w:pPr>
      <w:r>
        <w:tab/>
        <w:t>(a)</w:t>
      </w:r>
      <w:r>
        <w:tab/>
        <w:t>dies;</w:t>
      </w:r>
    </w:p>
    <w:p>
      <w:pPr>
        <w:pStyle w:val="yIndenta"/>
      </w:pPr>
      <w:r>
        <w:tab/>
        <w:t>(b)</w:t>
      </w:r>
      <w:r>
        <w:tab/>
        <w:t>resigns by notice to the Minister;</w:t>
      </w:r>
    </w:p>
    <w:p>
      <w:pPr>
        <w:pStyle w:val="yIndenta"/>
      </w:pPr>
      <w:r>
        <w:tab/>
        <w:t>(c)</w:t>
      </w:r>
      <w:r>
        <w:tab/>
        <w:t>is an insolvent under administration as defined in the</w:t>
      </w:r>
      <w:r>
        <w:rPr>
          <w:i/>
        </w:rPr>
        <w:t xml:space="preserve"> Corporations Act 2001</w:t>
      </w:r>
      <w:r>
        <w:t xml:space="preserve"> of the Commonwealth;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 xml:space="preserve">is incompetent; </w:t>
      </w:r>
    </w:p>
    <w:p>
      <w:pPr>
        <w:pStyle w:val="yIndenta"/>
      </w:pPr>
      <w:r>
        <w:tab/>
        <w:t>(d)</w:t>
      </w:r>
      <w:r>
        <w:tab/>
        <w:t>has contravened clause 10 or 11 of Schedule 2;</w:t>
      </w:r>
    </w:p>
    <w:p>
      <w:pPr>
        <w:pStyle w:val="yIndenta"/>
      </w:pPr>
      <w:r>
        <w:tab/>
        <w:t>(e)</w:t>
      </w:r>
      <w:r>
        <w:tab/>
        <w:t>is suffering from mental or physical incapacity impairing the performance of his or her functions under this Act;</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w:t>
      </w:r>
    </w:p>
    <w:p>
      <w:pPr>
        <w:pStyle w:val="yHeading5"/>
        <w:keepNext w:val="0"/>
        <w:keepLines w:val="0"/>
        <w:outlineLvl w:val="9"/>
      </w:pPr>
      <w:bookmarkStart w:id="405" w:name="_Toc496925320"/>
      <w:bookmarkStart w:id="406" w:name="_Toc520186397"/>
      <w:bookmarkStart w:id="407" w:name="_Toc137013349"/>
      <w:bookmarkStart w:id="408" w:name="_Toc158007474"/>
      <w:bookmarkStart w:id="409" w:name="_Toc144780922"/>
      <w:r>
        <w:rPr>
          <w:rStyle w:val="CharSClsNo"/>
        </w:rPr>
        <w:t>7</w:t>
      </w:r>
      <w:r>
        <w:t>.</w:t>
      </w:r>
      <w:r>
        <w:tab/>
        <w:t>Remuneration and allowances</w:t>
      </w:r>
      <w:bookmarkEnd w:id="405"/>
      <w:bookmarkEnd w:id="406"/>
      <w:bookmarkEnd w:id="407"/>
      <w:bookmarkEnd w:id="408"/>
      <w:bookmarkEnd w:id="409"/>
    </w:p>
    <w:p>
      <w:pPr>
        <w:pStyle w:val="ySubsection"/>
      </w:pPr>
      <w:r>
        <w:tab/>
      </w:r>
      <w:r>
        <w:tab/>
        <w:t>A director is entitled to the remuneration and allowances determined by the Minister on the recommendation of the Minister for Public Sector Management.</w:t>
      </w:r>
    </w:p>
    <w:p>
      <w:pPr>
        <w:pStyle w:val="yFootnotesection"/>
      </w:pPr>
      <w:r>
        <w:tab/>
      </w:r>
    </w:p>
    <w:p>
      <w:pPr>
        <w:pStyle w:val="yScheduleHeading"/>
      </w:pPr>
      <w:bookmarkStart w:id="410" w:name="_Toc137013350"/>
      <w:bookmarkStart w:id="411" w:name="_Toc137013428"/>
      <w:bookmarkStart w:id="412" w:name="_Toc139707717"/>
      <w:bookmarkStart w:id="413" w:name="_Toc142898819"/>
      <w:bookmarkStart w:id="414" w:name="_Toc142899399"/>
      <w:bookmarkStart w:id="415" w:name="_Toc143582947"/>
      <w:bookmarkStart w:id="416" w:name="_Toc144013007"/>
      <w:bookmarkStart w:id="417" w:name="_Toc144780923"/>
      <w:bookmarkStart w:id="418" w:name="_Toc158007475"/>
      <w:r>
        <w:rPr>
          <w:rStyle w:val="CharSchNo"/>
        </w:rPr>
        <w:t>Schedule 2</w:t>
      </w:r>
      <w:r>
        <w:t> — </w:t>
      </w:r>
      <w:r>
        <w:rPr>
          <w:rStyle w:val="CharSchText"/>
        </w:rPr>
        <w:t>Meetings and procedures</w:t>
      </w:r>
      <w:bookmarkEnd w:id="410"/>
      <w:bookmarkEnd w:id="411"/>
      <w:bookmarkEnd w:id="412"/>
      <w:bookmarkEnd w:id="413"/>
      <w:bookmarkEnd w:id="414"/>
      <w:bookmarkEnd w:id="415"/>
      <w:bookmarkEnd w:id="416"/>
      <w:bookmarkEnd w:id="417"/>
      <w:bookmarkEnd w:id="418"/>
    </w:p>
    <w:p>
      <w:pPr>
        <w:pStyle w:val="yShoulderClause"/>
      </w:pPr>
      <w:r>
        <w:t>[s. </w:t>
      </w:r>
      <w:bookmarkStart w:id="419" w:name="_Hlt462552637"/>
      <w:r>
        <w:t>10(1)</w:t>
      </w:r>
      <w:bookmarkEnd w:id="419"/>
      <w:r>
        <w:t>]</w:t>
      </w:r>
    </w:p>
    <w:p>
      <w:pPr>
        <w:pStyle w:val="yHeading5"/>
        <w:keepNext w:val="0"/>
        <w:keepLines w:val="0"/>
        <w:outlineLvl w:val="9"/>
      </w:pPr>
      <w:bookmarkStart w:id="420" w:name="_Toc496925321"/>
      <w:bookmarkStart w:id="421" w:name="_Toc520186398"/>
      <w:bookmarkStart w:id="422" w:name="_Toc137013351"/>
      <w:bookmarkStart w:id="423" w:name="_Toc158007476"/>
      <w:bookmarkStart w:id="424" w:name="_Toc144780924"/>
      <w:r>
        <w:rPr>
          <w:rStyle w:val="CharSClsNo"/>
        </w:rPr>
        <w:t>1</w:t>
      </w:r>
      <w:r>
        <w:t>.</w:t>
      </w:r>
      <w:r>
        <w:tab/>
        <w:t>Board to determine own procedure</w:t>
      </w:r>
      <w:bookmarkEnd w:id="420"/>
      <w:bookmarkEnd w:id="421"/>
      <w:bookmarkEnd w:id="422"/>
      <w:bookmarkEnd w:id="423"/>
      <w:bookmarkEnd w:id="424"/>
    </w:p>
    <w:p>
      <w:pPr>
        <w:pStyle w:val="ySubsection"/>
      </w:pPr>
      <w:r>
        <w:tab/>
      </w:r>
      <w:r>
        <w:tab/>
        <w:t xml:space="preserve">The Board may determine its own procedure for calling and conducting Board meetings except to the extent that it is prescribed under this Act. </w:t>
      </w:r>
    </w:p>
    <w:p>
      <w:pPr>
        <w:pStyle w:val="yHeading5"/>
        <w:keepNext w:val="0"/>
        <w:keepLines w:val="0"/>
        <w:outlineLvl w:val="9"/>
      </w:pPr>
      <w:bookmarkStart w:id="425" w:name="_Toc438262918"/>
      <w:bookmarkStart w:id="426" w:name="_Toc496925322"/>
      <w:bookmarkStart w:id="427" w:name="_Toc520186399"/>
      <w:bookmarkStart w:id="428" w:name="_Toc137013352"/>
      <w:bookmarkStart w:id="429" w:name="_Toc158007477"/>
      <w:bookmarkStart w:id="430" w:name="_Toc144780925"/>
      <w:r>
        <w:rPr>
          <w:rStyle w:val="CharSClsNo"/>
        </w:rPr>
        <w:t>2</w:t>
      </w:r>
      <w:r>
        <w:t>.</w:t>
      </w:r>
      <w:r>
        <w:tab/>
        <w:t>Quorum</w:t>
      </w:r>
      <w:bookmarkEnd w:id="425"/>
      <w:bookmarkEnd w:id="426"/>
      <w:bookmarkEnd w:id="427"/>
      <w:bookmarkEnd w:id="428"/>
      <w:bookmarkEnd w:id="429"/>
      <w:bookmarkEnd w:id="430"/>
      <w:r>
        <w:t xml:space="preserve"> </w:t>
      </w:r>
    </w:p>
    <w:p>
      <w:pPr>
        <w:pStyle w:val="ySubsection"/>
      </w:pPr>
      <w:r>
        <w:tab/>
      </w:r>
      <w:r>
        <w:tab/>
        <w:t xml:space="preserve">The quorum at a Board meeting is 5 directors. </w:t>
      </w:r>
    </w:p>
    <w:p>
      <w:pPr>
        <w:pStyle w:val="yHeading5"/>
        <w:keepNext w:val="0"/>
        <w:keepLines w:val="0"/>
        <w:outlineLvl w:val="9"/>
      </w:pPr>
      <w:bookmarkStart w:id="431" w:name="_Toc438262916"/>
      <w:bookmarkStart w:id="432" w:name="_Toc496925323"/>
      <w:bookmarkStart w:id="433" w:name="_Toc520186400"/>
      <w:bookmarkStart w:id="434" w:name="_Toc137013353"/>
      <w:bookmarkStart w:id="435" w:name="_Toc158007478"/>
      <w:bookmarkStart w:id="436" w:name="_Toc144780926"/>
      <w:r>
        <w:rPr>
          <w:rStyle w:val="CharSClsNo"/>
        </w:rPr>
        <w:t>3</w:t>
      </w:r>
      <w:r>
        <w:t>.</w:t>
      </w:r>
      <w:r>
        <w:tab/>
        <w:t xml:space="preserve">Presiding </w:t>
      </w:r>
      <w:bookmarkEnd w:id="431"/>
      <w:r>
        <w:t>director</w:t>
      </w:r>
      <w:bookmarkEnd w:id="432"/>
      <w:bookmarkEnd w:id="433"/>
      <w:bookmarkEnd w:id="434"/>
      <w:bookmarkEnd w:id="435"/>
      <w:bookmarkEnd w:id="436"/>
      <w:r>
        <w:t xml:space="preserve"> </w:t>
      </w:r>
    </w:p>
    <w:p>
      <w:pPr>
        <w:pStyle w:val="ySubsection"/>
      </w:pPr>
      <w:r>
        <w:tab/>
      </w:r>
      <w:r>
        <w:tab/>
        <w:t>A Board meeting is to be presided over by — </w:t>
      </w:r>
    </w:p>
    <w:p>
      <w:pPr>
        <w:pStyle w:val="yIndenta"/>
      </w:pPr>
      <w:r>
        <w:tab/>
        <w:t>(a)</w:t>
      </w:r>
      <w:r>
        <w:tab/>
        <w:t>the chairman;</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Heading5"/>
        <w:keepNext w:val="0"/>
        <w:keepLines w:val="0"/>
        <w:outlineLvl w:val="9"/>
      </w:pPr>
      <w:bookmarkStart w:id="437" w:name="_Toc438262919"/>
      <w:bookmarkStart w:id="438" w:name="_Toc496925324"/>
      <w:bookmarkStart w:id="439" w:name="_Toc520186401"/>
      <w:bookmarkStart w:id="440" w:name="_Toc137013354"/>
      <w:bookmarkStart w:id="441" w:name="_Toc158007479"/>
      <w:bookmarkStart w:id="442" w:name="_Toc144780927"/>
      <w:r>
        <w:rPr>
          <w:rStyle w:val="CharSClsNo"/>
        </w:rPr>
        <w:t>4</w:t>
      </w:r>
      <w:r>
        <w:t>.</w:t>
      </w:r>
      <w:r>
        <w:tab/>
        <w:t>Voting</w:t>
      </w:r>
      <w:bookmarkEnd w:id="437"/>
      <w:bookmarkEnd w:id="438"/>
      <w:bookmarkEnd w:id="439"/>
      <w:bookmarkEnd w:id="440"/>
      <w:bookmarkEnd w:id="441"/>
      <w:bookmarkEnd w:id="442"/>
      <w:r>
        <w:t xml:space="preserve"> </w:t>
      </w:r>
    </w:p>
    <w:p>
      <w:pPr>
        <w:pStyle w:val="ySubsection"/>
        <w:keepNext/>
      </w:pPr>
      <w:r>
        <w:tab/>
      </w:r>
      <w:r>
        <w:tab/>
        <w:t>At a Board meeting —</w:t>
      </w:r>
    </w:p>
    <w:p>
      <w:pPr>
        <w:pStyle w:val="yIndenta"/>
      </w:pPr>
      <w:r>
        <w:tab/>
        <w:t>(a)</w:t>
      </w:r>
      <w:r>
        <w:tab/>
        <w:t xml:space="preserve">each director has one vote; </w:t>
      </w:r>
    </w:p>
    <w:p>
      <w:pPr>
        <w:pStyle w:val="yIndenta"/>
      </w:pPr>
      <w:r>
        <w:tab/>
        <w:t>(b)</w:t>
      </w:r>
      <w:r>
        <w:tab/>
        <w:t>the person presiding does not have a casting vote; and</w:t>
      </w:r>
    </w:p>
    <w:p>
      <w:pPr>
        <w:pStyle w:val="yIndenta"/>
      </w:pPr>
      <w:r>
        <w:tab/>
        <w:t>(c)</w:t>
      </w:r>
      <w:r>
        <w:tab/>
        <w:t xml:space="preserve">a resolution is passed if 5 or more directors vote in favour of it. </w:t>
      </w:r>
    </w:p>
    <w:p>
      <w:pPr>
        <w:pStyle w:val="yHeading5"/>
        <w:keepNext w:val="0"/>
        <w:keepLines w:val="0"/>
        <w:outlineLvl w:val="9"/>
      </w:pPr>
      <w:bookmarkStart w:id="443" w:name="_Toc438262920"/>
      <w:bookmarkStart w:id="444" w:name="_Toc496925325"/>
      <w:bookmarkStart w:id="445" w:name="_Toc520186402"/>
      <w:bookmarkStart w:id="446" w:name="_Toc137013355"/>
      <w:bookmarkStart w:id="447" w:name="_Toc158007480"/>
      <w:bookmarkStart w:id="448" w:name="_Toc144780928"/>
      <w:r>
        <w:rPr>
          <w:rStyle w:val="CharSClsNo"/>
        </w:rPr>
        <w:t>5</w:t>
      </w:r>
      <w:r>
        <w:t>.</w:t>
      </w:r>
      <w:r>
        <w:tab/>
        <w:t>Minutes</w:t>
      </w:r>
      <w:bookmarkEnd w:id="443"/>
      <w:bookmarkEnd w:id="444"/>
      <w:bookmarkEnd w:id="445"/>
      <w:bookmarkEnd w:id="446"/>
      <w:bookmarkEnd w:id="447"/>
      <w:bookmarkEnd w:id="448"/>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9"/>
      </w:pPr>
      <w:bookmarkStart w:id="449" w:name="_Toc496925326"/>
      <w:bookmarkStart w:id="450" w:name="_Toc520186403"/>
      <w:bookmarkStart w:id="451" w:name="_Toc137013356"/>
      <w:bookmarkStart w:id="452" w:name="_Toc158007481"/>
      <w:bookmarkStart w:id="453" w:name="_Toc144780929"/>
      <w:bookmarkStart w:id="454" w:name="_Toc438262915"/>
      <w:r>
        <w:rPr>
          <w:rStyle w:val="CharSClsNo"/>
        </w:rPr>
        <w:t>6</w:t>
      </w:r>
      <w:r>
        <w:t xml:space="preserve">. </w:t>
      </w:r>
      <w:r>
        <w:tab/>
        <w:t>Resolution without meeting</w:t>
      </w:r>
      <w:bookmarkEnd w:id="449"/>
      <w:bookmarkEnd w:id="450"/>
      <w:bookmarkEnd w:id="451"/>
      <w:bookmarkEnd w:id="452"/>
      <w:bookmarkEnd w:id="453"/>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9"/>
      </w:pPr>
      <w:bookmarkStart w:id="455" w:name="_Toc496925327"/>
      <w:bookmarkStart w:id="456" w:name="_Toc520186404"/>
      <w:bookmarkStart w:id="457" w:name="_Toc137013357"/>
      <w:bookmarkStart w:id="458" w:name="_Toc158007482"/>
      <w:bookmarkStart w:id="459" w:name="_Toc144780930"/>
      <w:r>
        <w:rPr>
          <w:rStyle w:val="CharSClsNo"/>
        </w:rPr>
        <w:t>7</w:t>
      </w:r>
      <w:r>
        <w:t xml:space="preserve">. </w:t>
      </w:r>
      <w:r>
        <w:tab/>
        <w:t>Telephone or video attendance at meetings</w:t>
      </w:r>
      <w:bookmarkEnd w:id="455"/>
      <w:bookmarkEnd w:id="456"/>
      <w:bookmarkEnd w:id="457"/>
      <w:bookmarkEnd w:id="458"/>
      <w:bookmarkEnd w:id="459"/>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9"/>
      </w:pPr>
      <w:bookmarkStart w:id="460" w:name="_Hlt462558518"/>
      <w:bookmarkStart w:id="461" w:name="_Toc496925328"/>
      <w:bookmarkStart w:id="462" w:name="_Toc520186405"/>
      <w:bookmarkStart w:id="463" w:name="_Toc137013358"/>
      <w:bookmarkStart w:id="464" w:name="_Toc158007483"/>
      <w:bookmarkStart w:id="465" w:name="_Toc144780931"/>
      <w:bookmarkEnd w:id="460"/>
      <w:r>
        <w:rPr>
          <w:rStyle w:val="CharSClsNo"/>
        </w:rPr>
        <w:t>8</w:t>
      </w:r>
      <w:r>
        <w:t xml:space="preserve">. </w:t>
      </w:r>
      <w:r>
        <w:tab/>
        <w:t>Committees</w:t>
      </w:r>
      <w:bookmarkEnd w:id="461"/>
      <w:bookmarkEnd w:id="462"/>
      <w:bookmarkEnd w:id="463"/>
      <w:bookmarkEnd w:id="464"/>
      <w:bookmarkEnd w:id="465"/>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9"/>
      </w:pPr>
      <w:bookmarkStart w:id="466" w:name="_Toc496925329"/>
      <w:bookmarkStart w:id="467" w:name="_Toc520186406"/>
      <w:bookmarkStart w:id="468" w:name="_Toc137013359"/>
      <w:bookmarkStart w:id="469" w:name="_Toc158007484"/>
      <w:bookmarkStart w:id="470" w:name="_Toc144780932"/>
      <w:bookmarkEnd w:id="454"/>
      <w:r>
        <w:rPr>
          <w:rStyle w:val="CharSClsNo"/>
        </w:rPr>
        <w:t>9</w:t>
      </w:r>
      <w:r>
        <w:t>.</w:t>
      </w:r>
      <w:r>
        <w:tab/>
        <w:t>Material interest</w:t>
      </w:r>
      <w:bookmarkEnd w:id="466"/>
      <w:bookmarkEnd w:id="467"/>
      <w:bookmarkEnd w:id="468"/>
      <w:bookmarkEnd w:id="469"/>
      <w:bookmarkEnd w:id="470"/>
      <w:r>
        <w:t xml:space="preserve"> </w:t>
      </w:r>
    </w:p>
    <w:p>
      <w:pPr>
        <w:pStyle w:val="ySubsection"/>
        <w:keepNext/>
      </w:pPr>
      <w:r>
        <w:tab/>
        <w:t>(1)</w:t>
      </w:r>
      <w:r>
        <w:tab/>
        <w:t>For the purposes of this Schedule a person has a material interest in a matter if the person —</w:t>
      </w:r>
    </w:p>
    <w:p>
      <w:pPr>
        <w:pStyle w:val="yIndenta"/>
      </w:pPr>
      <w:r>
        <w:tab/>
        <w:t>(a)</w:t>
      </w:r>
      <w:r>
        <w:tab/>
        <w:t xml:space="preserve">subject to subclauses (2) and (3) has a direct or indirect pecuniary interest in the matter; </w:t>
      </w:r>
    </w:p>
    <w:p>
      <w:pPr>
        <w:pStyle w:val="yIndenta"/>
      </w:pPr>
      <w:r>
        <w:tab/>
        <w:t>(b)</w:t>
      </w:r>
      <w:r>
        <w:tab/>
        <w:t>has given advice for remuneration in relation to the matter to the Board or to the former Superannuation Board constituted under the S&amp;FB Act;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w:t>
      </w:r>
    </w:p>
    <w:p>
      <w:pPr>
        <w:pStyle w:val="yIndenta"/>
      </w:pPr>
      <w:r>
        <w:tab/>
        <w:t>(b)</w:t>
      </w:r>
      <w:r>
        <w:tab/>
        <w:t>a person who works for an Employer;</w:t>
      </w:r>
    </w:p>
    <w:p>
      <w:pPr>
        <w:pStyle w:val="yIndenta"/>
      </w:pPr>
      <w:r>
        <w:tab/>
        <w:t>(c)</w:t>
      </w:r>
      <w:r>
        <w:tab/>
        <w:t>an Employer or a member of the board or other body responsible for the control or direction of an Employer;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w:t>
      </w:r>
      <w:r>
        <w:rPr>
          <w:i/>
        </w:rPr>
        <w:t>Corporations Act 2001</w:t>
      </w:r>
      <w:r>
        <w:t xml:space="preserve"> of the Commonwealth)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w:t>
      </w:r>
    </w:p>
    <w:p>
      <w:pPr>
        <w:pStyle w:val="yHeading5"/>
        <w:keepNext w:val="0"/>
        <w:keepLines w:val="0"/>
        <w:outlineLvl w:val="9"/>
      </w:pPr>
      <w:bookmarkStart w:id="471" w:name="_Toc496925330"/>
      <w:bookmarkStart w:id="472" w:name="_Toc520186407"/>
      <w:bookmarkStart w:id="473" w:name="_Toc137013360"/>
      <w:bookmarkStart w:id="474" w:name="_Toc158007485"/>
      <w:bookmarkStart w:id="475" w:name="_Toc144780933"/>
      <w:r>
        <w:rPr>
          <w:rStyle w:val="CharSClsNo"/>
        </w:rPr>
        <w:t>10</w:t>
      </w:r>
      <w:r>
        <w:t>.</w:t>
      </w:r>
      <w:r>
        <w:tab/>
        <w:t>Disclosure of interests</w:t>
      </w:r>
      <w:bookmarkEnd w:id="471"/>
      <w:bookmarkEnd w:id="472"/>
      <w:bookmarkEnd w:id="473"/>
      <w:bookmarkEnd w:id="474"/>
      <w:bookmarkEnd w:id="475"/>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Heading5"/>
        <w:keepLines w:val="0"/>
        <w:outlineLvl w:val="9"/>
        <w:rPr>
          <w:iCs/>
          <w:snapToGrid w:val="0"/>
          <w:sz w:val="24"/>
        </w:rPr>
      </w:pPr>
      <w:bookmarkStart w:id="476" w:name="_Toc496925331"/>
      <w:bookmarkStart w:id="477" w:name="_Toc520186408"/>
      <w:bookmarkStart w:id="478" w:name="_Toc137013361"/>
      <w:bookmarkStart w:id="479" w:name="_Toc158007486"/>
      <w:bookmarkStart w:id="480" w:name="_Toc144780934"/>
      <w:r>
        <w:rPr>
          <w:rStyle w:val="CharSClsNo"/>
        </w:rPr>
        <w:t>11</w:t>
      </w:r>
      <w:r>
        <w:rPr>
          <w:iCs/>
          <w:snapToGrid w:val="0"/>
          <w:sz w:val="24"/>
        </w:rPr>
        <w:t>.</w:t>
      </w:r>
      <w:r>
        <w:rPr>
          <w:iCs/>
          <w:snapToGrid w:val="0"/>
          <w:sz w:val="24"/>
        </w:rPr>
        <w:tab/>
        <w:t>Voting by interested persons</w:t>
      </w:r>
      <w:bookmarkEnd w:id="476"/>
      <w:bookmarkEnd w:id="477"/>
      <w:bookmarkEnd w:id="478"/>
      <w:bookmarkEnd w:id="479"/>
      <w:bookmarkEnd w:id="480"/>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9"/>
        <w:rPr>
          <w:iCs/>
          <w:snapToGrid w:val="0"/>
          <w:sz w:val="24"/>
        </w:rPr>
      </w:pPr>
      <w:bookmarkStart w:id="481" w:name="_Toc496925332"/>
      <w:bookmarkStart w:id="482" w:name="_Toc520186409"/>
      <w:bookmarkStart w:id="483" w:name="_Toc137013362"/>
      <w:bookmarkStart w:id="484" w:name="_Toc158007487"/>
      <w:bookmarkStart w:id="485" w:name="_Toc144780935"/>
      <w:r>
        <w:rPr>
          <w:rStyle w:val="CharSClsNo"/>
        </w:rPr>
        <w:t>12</w:t>
      </w:r>
      <w:r>
        <w:rPr>
          <w:iCs/>
          <w:snapToGrid w:val="0"/>
          <w:sz w:val="24"/>
        </w:rPr>
        <w:t>.</w:t>
      </w:r>
      <w:r>
        <w:rPr>
          <w:iCs/>
          <w:snapToGrid w:val="0"/>
          <w:sz w:val="24"/>
        </w:rPr>
        <w:tab/>
        <w:t>Interested person may be permitted to vote</w:t>
      </w:r>
      <w:bookmarkEnd w:id="481"/>
      <w:bookmarkEnd w:id="482"/>
      <w:bookmarkEnd w:id="483"/>
      <w:bookmarkEnd w:id="484"/>
      <w:bookmarkEnd w:id="485"/>
    </w:p>
    <w:p>
      <w:pPr>
        <w:pStyle w:val="ySubsection"/>
      </w:pPr>
      <w:r>
        <w:tab/>
        <w:t>(1)</w:t>
      </w:r>
      <w:r>
        <w:tab/>
        <w:t>Clause </w:t>
      </w:r>
      <w:bookmarkStart w:id="486" w:name="_Hlt462114270"/>
      <w:r>
        <w:t>11</w:t>
      </w:r>
      <w:bookmarkEnd w:id="486"/>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w:t>
      </w:r>
      <w:del w:id="487" w:author="svcMRProcess" w:date="2015-12-14T21:54:00Z">
        <w:r>
          <w:delText>section 66</w:delText>
        </w:r>
      </w:del>
      <w:ins w:id="488" w:author="svcMRProcess" w:date="2015-12-14T21:54:00Z">
        <w:r>
          <w:t>Part 5</w:t>
        </w:r>
      </w:ins>
      <w:r>
        <w:t xml:space="preserve"> of the </w:t>
      </w:r>
      <w:r>
        <w:rPr>
          <w:i/>
          <w:iCs/>
        </w:rPr>
        <w:t xml:space="preserve">Financial </w:t>
      </w:r>
      <w:del w:id="489" w:author="svcMRProcess" w:date="2015-12-14T21:54:00Z">
        <w:r>
          <w:rPr>
            <w:i/>
          </w:rPr>
          <w:delText>Administration and Audit</w:delText>
        </w:r>
      </w:del>
      <w:ins w:id="490" w:author="svcMRProcess" w:date="2015-12-14T21:54:00Z">
        <w:r>
          <w:rPr>
            <w:i/>
            <w:iCs/>
          </w:rPr>
          <w:t>Management</w:t>
        </w:r>
      </w:ins>
      <w:r>
        <w:rPr>
          <w:i/>
          <w:iCs/>
        </w:rPr>
        <w:t xml:space="preserve"> Act </w:t>
      </w:r>
      <w:del w:id="491" w:author="svcMRProcess" w:date="2015-12-14T21:54:00Z">
        <w:r>
          <w:rPr>
            <w:i/>
          </w:rPr>
          <w:delText>1985</w:delText>
        </w:r>
      </w:del>
      <w:ins w:id="492" w:author="svcMRProcess" w:date="2015-12-14T21:54:00Z">
        <w:r>
          <w:rPr>
            <w:i/>
            <w:iCs/>
          </w:rPr>
          <w:t>2006</w:t>
        </w:r>
      </w:ins>
      <w:r>
        <w:t>.</w:t>
      </w:r>
    </w:p>
    <w:p>
      <w:pPr>
        <w:pStyle w:val="yFootnotesection"/>
        <w:rPr>
          <w:del w:id="493" w:author="svcMRProcess" w:date="2015-12-14T21:54:00Z"/>
        </w:rPr>
      </w:pPr>
      <w:del w:id="494" w:author="svcMRProcess" w:date="2015-12-14T21:54:00Z">
        <w:r>
          <w:tab/>
        </w:r>
      </w:del>
    </w:p>
    <w:p>
      <w:pPr>
        <w:pStyle w:val="yFootnotesection"/>
        <w:rPr>
          <w:ins w:id="495" w:author="svcMRProcess" w:date="2015-12-14T21:54:00Z"/>
        </w:rPr>
      </w:pPr>
      <w:ins w:id="496" w:author="svcMRProcess" w:date="2015-12-14T21:54:00Z">
        <w:r>
          <w:tab/>
          <w:t>[Clause 12 amended by No. 77 of 2006 s. 17.]</w:t>
        </w:r>
      </w:ins>
    </w:p>
    <w:p>
      <w:pPr>
        <w:pStyle w:val="yScheduleHeading"/>
      </w:pPr>
      <w:bookmarkStart w:id="497" w:name="_Toc130959728"/>
      <w:bookmarkStart w:id="498" w:name="_Toc130959975"/>
      <w:bookmarkStart w:id="499" w:name="_Toc130961941"/>
      <w:bookmarkStart w:id="500" w:name="_Toc130964956"/>
      <w:bookmarkStart w:id="501" w:name="_Toc130965470"/>
      <w:bookmarkStart w:id="502" w:name="_Toc130981272"/>
      <w:bookmarkStart w:id="503" w:name="_Toc130981786"/>
      <w:bookmarkStart w:id="504" w:name="_Toc130981826"/>
      <w:bookmarkStart w:id="505" w:name="_Toc130982212"/>
      <w:bookmarkStart w:id="506" w:name="_Toc131217175"/>
      <w:bookmarkStart w:id="507" w:name="_Toc131217443"/>
      <w:bookmarkStart w:id="508" w:name="_Toc131224763"/>
      <w:bookmarkStart w:id="509" w:name="_Toc131225691"/>
      <w:bookmarkStart w:id="510" w:name="_Toc131225823"/>
      <w:bookmarkStart w:id="511" w:name="_Toc131226994"/>
      <w:bookmarkStart w:id="512" w:name="_Toc131227397"/>
      <w:bookmarkStart w:id="513" w:name="_Toc131228463"/>
      <w:bookmarkStart w:id="514" w:name="_Toc131228664"/>
      <w:bookmarkStart w:id="515" w:name="_Toc131228836"/>
      <w:bookmarkStart w:id="516" w:name="_Toc131231910"/>
      <w:bookmarkStart w:id="517" w:name="_Toc131233070"/>
      <w:bookmarkStart w:id="518" w:name="_Toc131233487"/>
      <w:bookmarkStart w:id="519" w:name="_Toc131237659"/>
      <w:bookmarkStart w:id="520" w:name="_Toc131238011"/>
      <w:bookmarkStart w:id="521" w:name="_Toc131238423"/>
      <w:bookmarkStart w:id="522" w:name="_Toc131307737"/>
      <w:bookmarkStart w:id="523" w:name="_Toc131493281"/>
      <w:bookmarkStart w:id="524" w:name="_Toc131493616"/>
      <w:bookmarkStart w:id="525" w:name="_Toc131843814"/>
      <w:bookmarkStart w:id="526" w:name="_Toc131844778"/>
      <w:bookmarkStart w:id="527" w:name="_Toc131845234"/>
      <w:bookmarkStart w:id="528" w:name="_Toc131907538"/>
      <w:bookmarkStart w:id="529" w:name="_Toc131907661"/>
      <w:bookmarkStart w:id="530" w:name="_Toc131925638"/>
      <w:bookmarkStart w:id="531" w:name="_Toc132005824"/>
      <w:bookmarkStart w:id="532" w:name="_Toc132006017"/>
      <w:bookmarkStart w:id="533" w:name="_Toc132006464"/>
      <w:bookmarkStart w:id="534" w:name="_Toc132006845"/>
      <w:bookmarkStart w:id="535" w:name="_Toc132011480"/>
      <w:bookmarkStart w:id="536" w:name="_Toc132012115"/>
      <w:bookmarkStart w:id="537" w:name="_Toc132016846"/>
      <w:bookmarkStart w:id="538" w:name="_Toc132085308"/>
      <w:bookmarkStart w:id="539" w:name="_Toc132085336"/>
      <w:bookmarkStart w:id="540" w:name="_Toc132085357"/>
      <w:bookmarkStart w:id="541" w:name="_Toc132086513"/>
      <w:bookmarkStart w:id="542" w:name="_Toc132086534"/>
      <w:bookmarkStart w:id="543" w:name="_Toc132092751"/>
      <w:bookmarkStart w:id="544" w:name="_Toc132112821"/>
      <w:bookmarkStart w:id="545" w:name="_Toc132113556"/>
      <w:bookmarkStart w:id="546" w:name="_Toc132113994"/>
      <w:bookmarkStart w:id="547" w:name="_Toc132114106"/>
      <w:bookmarkStart w:id="548" w:name="_Toc132114327"/>
      <w:bookmarkStart w:id="549" w:name="_Toc132114361"/>
      <w:bookmarkStart w:id="550" w:name="_Toc132114540"/>
      <w:bookmarkStart w:id="551" w:name="_Toc132114632"/>
      <w:bookmarkStart w:id="552" w:name="_Toc132115098"/>
      <w:bookmarkStart w:id="553" w:name="_Toc132116506"/>
      <w:bookmarkStart w:id="554" w:name="_Toc132117196"/>
      <w:bookmarkStart w:id="555" w:name="_Toc132117241"/>
      <w:bookmarkStart w:id="556" w:name="_Toc132168245"/>
      <w:bookmarkStart w:id="557" w:name="_Toc132171431"/>
      <w:bookmarkStart w:id="558" w:name="_Toc132174460"/>
      <w:bookmarkStart w:id="559" w:name="_Toc132174570"/>
      <w:bookmarkStart w:id="560" w:name="_Toc132174707"/>
      <w:bookmarkStart w:id="561" w:name="_Toc132174781"/>
      <w:bookmarkStart w:id="562" w:name="_Toc132178366"/>
      <w:bookmarkStart w:id="563" w:name="_Toc132178653"/>
      <w:bookmarkStart w:id="564" w:name="_Toc132178715"/>
      <w:bookmarkStart w:id="565" w:name="_Toc132515578"/>
      <w:bookmarkStart w:id="566" w:name="_Toc136390873"/>
      <w:bookmarkStart w:id="567" w:name="_Toc137013363"/>
      <w:bookmarkStart w:id="568" w:name="_Toc137013441"/>
      <w:bookmarkStart w:id="569" w:name="_Toc139707730"/>
      <w:bookmarkStart w:id="570" w:name="_Toc142898832"/>
      <w:bookmarkStart w:id="571" w:name="_Toc142899412"/>
      <w:bookmarkStart w:id="572" w:name="_Toc143582960"/>
      <w:bookmarkStart w:id="573" w:name="_Toc144013020"/>
      <w:bookmarkStart w:id="574" w:name="_Toc144780936"/>
      <w:bookmarkStart w:id="575" w:name="_Toc158007488"/>
      <w:r>
        <w:rPr>
          <w:rStyle w:val="CharSchNo"/>
        </w:rPr>
        <w:t>Schedule 3</w:t>
      </w:r>
      <w:r>
        <w:t> — </w:t>
      </w:r>
      <w:r>
        <w:rPr>
          <w:rStyle w:val="CharSchText"/>
        </w:rPr>
        <w:t>Provisions to be included in constitution of subsidiary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ShoulderClause"/>
      </w:pPr>
      <w:r>
        <w:t>[s. 7B]</w:t>
      </w:r>
    </w:p>
    <w:p>
      <w:pPr>
        <w:pStyle w:val="yFootnoteheading"/>
      </w:pPr>
      <w:bookmarkStart w:id="576" w:name="_Toc132092752"/>
      <w:bookmarkStart w:id="577" w:name="_Toc136390874"/>
      <w:bookmarkStart w:id="578" w:name="_Toc137013364"/>
      <w:r>
        <w:tab/>
        <w:t>[Heading inserted by No. 18 of 2006 s. 16.]</w:t>
      </w:r>
    </w:p>
    <w:p>
      <w:pPr>
        <w:pStyle w:val="yHeading5"/>
      </w:pPr>
      <w:bookmarkStart w:id="579" w:name="_Toc158007489"/>
      <w:bookmarkStart w:id="580" w:name="_Toc144780937"/>
      <w:r>
        <w:rPr>
          <w:rStyle w:val="CharSClsNo"/>
        </w:rPr>
        <w:t>1</w:t>
      </w:r>
      <w:r>
        <w:t>.</w:t>
      </w:r>
      <w:r>
        <w:rPr>
          <w:b w:val="0"/>
        </w:rPr>
        <w:tab/>
      </w:r>
      <w:r>
        <w:t>Definition</w:t>
      </w:r>
      <w:bookmarkEnd w:id="576"/>
      <w:bookmarkEnd w:id="577"/>
      <w:bookmarkEnd w:id="578"/>
      <w:bookmarkEnd w:id="579"/>
      <w:bookmarkEnd w:id="580"/>
    </w:p>
    <w:p>
      <w:pPr>
        <w:pStyle w:val="ySubsection"/>
      </w:pPr>
      <w:r>
        <w:tab/>
      </w:r>
      <w:r>
        <w:tab/>
        <w:t xml:space="preserve">In this Schedule — </w:t>
      </w:r>
    </w:p>
    <w:p>
      <w:pPr>
        <w:pStyle w:val="yDefstart"/>
      </w:pPr>
      <w:r>
        <w:tab/>
      </w:r>
      <w:r>
        <w:rPr>
          <w:b/>
        </w:rPr>
        <w:t>“</w:t>
      </w:r>
      <w:r>
        <w:rPr>
          <w:rStyle w:val="CharDefText"/>
        </w:rPr>
        <w:t>prior approval</w:t>
      </w:r>
      <w:r>
        <w:rPr>
          <w:b/>
        </w:rPr>
        <w:t>”</w:t>
      </w:r>
      <w:r>
        <w:t xml:space="preserve"> means the prior written approval of the Minister given with the Treasurer’s concurrence.</w:t>
      </w:r>
    </w:p>
    <w:p>
      <w:pPr>
        <w:pStyle w:val="yFootnotesection"/>
      </w:pPr>
      <w:r>
        <w:tab/>
        <w:t>[Clause 1 inserted by No. 18 of 2006 s. 16.]</w:t>
      </w:r>
    </w:p>
    <w:p>
      <w:pPr>
        <w:pStyle w:val="yHeading5"/>
      </w:pPr>
      <w:bookmarkStart w:id="581" w:name="_Toc132092753"/>
      <w:bookmarkStart w:id="582" w:name="_Toc136390875"/>
      <w:bookmarkStart w:id="583" w:name="_Toc137013365"/>
      <w:bookmarkStart w:id="584" w:name="_Toc158007490"/>
      <w:bookmarkStart w:id="585" w:name="_Toc144780938"/>
      <w:r>
        <w:rPr>
          <w:rStyle w:val="CharSClsNo"/>
        </w:rPr>
        <w:t>2</w:t>
      </w:r>
      <w:r>
        <w:t>.</w:t>
      </w:r>
      <w:r>
        <w:rPr>
          <w:b w:val="0"/>
        </w:rPr>
        <w:tab/>
      </w:r>
      <w:r>
        <w:t>Disposal of shares</w:t>
      </w:r>
      <w:bookmarkEnd w:id="581"/>
      <w:bookmarkEnd w:id="582"/>
      <w:bookmarkEnd w:id="583"/>
      <w:bookmarkEnd w:id="584"/>
      <w:bookmarkEnd w:id="585"/>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pPr>
      <w:bookmarkStart w:id="586" w:name="_Toc132092754"/>
      <w:bookmarkStart w:id="587" w:name="_Toc136390876"/>
      <w:bookmarkStart w:id="588" w:name="_Toc137013366"/>
      <w:bookmarkStart w:id="589" w:name="_Toc158007491"/>
      <w:bookmarkStart w:id="590" w:name="_Toc144780939"/>
      <w:r>
        <w:rPr>
          <w:rStyle w:val="CharSClsNo"/>
        </w:rPr>
        <w:t>3</w:t>
      </w:r>
      <w:r>
        <w:t>.</w:t>
      </w:r>
      <w:r>
        <w:tab/>
        <w:t>Directors</w:t>
      </w:r>
      <w:bookmarkEnd w:id="586"/>
      <w:bookmarkEnd w:id="587"/>
      <w:bookmarkEnd w:id="588"/>
      <w:bookmarkEnd w:id="589"/>
      <w:bookmarkEnd w:id="590"/>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pPr>
      <w:bookmarkStart w:id="591" w:name="_Toc132092755"/>
      <w:bookmarkStart w:id="592" w:name="_Toc136390877"/>
      <w:bookmarkStart w:id="593" w:name="_Toc137013367"/>
      <w:bookmarkStart w:id="594" w:name="_Toc158007492"/>
      <w:bookmarkStart w:id="595" w:name="_Toc144780940"/>
      <w:r>
        <w:rPr>
          <w:rStyle w:val="CharSClsNo"/>
        </w:rPr>
        <w:t>4</w:t>
      </w:r>
      <w:r>
        <w:t>.</w:t>
      </w:r>
      <w:r>
        <w:tab/>
        <w:t>Further shares</w:t>
      </w:r>
      <w:bookmarkEnd w:id="591"/>
      <w:bookmarkEnd w:id="592"/>
      <w:bookmarkEnd w:id="593"/>
      <w:bookmarkEnd w:id="594"/>
      <w:bookmarkEnd w:id="595"/>
    </w:p>
    <w:p>
      <w:pPr>
        <w:pStyle w:val="ySubsection"/>
      </w:pPr>
      <w:r>
        <w:tab/>
      </w:r>
      <w:r>
        <w:tab/>
        <w:t>Shares in the subsidiary must not be issued or transferred without prior approval.</w:t>
      </w:r>
    </w:p>
    <w:p>
      <w:pPr>
        <w:pStyle w:val="yFootnotesection"/>
      </w:pPr>
      <w:bookmarkStart w:id="596" w:name="_Toc132092756"/>
      <w:bookmarkStart w:id="597" w:name="_Toc136390878"/>
      <w:r>
        <w:tab/>
        <w:t>[Clause 4 inserted by No. 18 of 2006 s. 16.]</w:t>
      </w:r>
    </w:p>
    <w:p>
      <w:pPr>
        <w:pStyle w:val="yHeading5"/>
      </w:pPr>
      <w:bookmarkStart w:id="598" w:name="_Toc137013368"/>
      <w:bookmarkStart w:id="599" w:name="_Toc158007493"/>
      <w:bookmarkStart w:id="600" w:name="_Toc144780941"/>
      <w:r>
        <w:rPr>
          <w:rStyle w:val="CharSClsNo"/>
        </w:rPr>
        <w:t>5</w:t>
      </w:r>
      <w:r>
        <w:t>.</w:t>
      </w:r>
      <w:r>
        <w:rPr>
          <w:b w:val="0"/>
        </w:rPr>
        <w:tab/>
      </w:r>
      <w:r>
        <w:t>Alteration of constitution</w:t>
      </w:r>
      <w:bookmarkEnd w:id="596"/>
      <w:bookmarkEnd w:id="597"/>
      <w:bookmarkEnd w:id="598"/>
      <w:bookmarkEnd w:id="599"/>
      <w:bookmarkEnd w:id="600"/>
    </w:p>
    <w:p>
      <w:pPr>
        <w:pStyle w:val="ySubsection"/>
      </w:pPr>
      <w:r>
        <w:tab/>
      </w:r>
      <w:r>
        <w:tab/>
        <w:t>The constitution of the subsidiary must not be modified or replaced without prior approval.</w:t>
      </w:r>
    </w:p>
    <w:p>
      <w:pPr>
        <w:pStyle w:val="yFootnotesection"/>
      </w:pPr>
      <w:bookmarkStart w:id="601" w:name="_Toc132092757"/>
      <w:bookmarkStart w:id="602" w:name="_Toc136390879"/>
      <w:r>
        <w:tab/>
        <w:t>[Clause 5 inserted by No. 18 of 2006 s. 16.]</w:t>
      </w:r>
    </w:p>
    <w:p>
      <w:pPr>
        <w:pStyle w:val="yHeading5"/>
      </w:pPr>
      <w:bookmarkStart w:id="603" w:name="_Toc137013369"/>
      <w:bookmarkStart w:id="604" w:name="_Toc158007494"/>
      <w:bookmarkStart w:id="605" w:name="_Toc144780942"/>
      <w:r>
        <w:rPr>
          <w:rStyle w:val="CharSClsNo"/>
        </w:rPr>
        <w:t>6</w:t>
      </w:r>
      <w:r>
        <w:t>.</w:t>
      </w:r>
      <w:r>
        <w:tab/>
        <w:t>Subsidiaries of subsidiary</w:t>
      </w:r>
      <w:bookmarkEnd w:id="601"/>
      <w:bookmarkEnd w:id="602"/>
      <w:bookmarkEnd w:id="603"/>
      <w:bookmarkEnd w:id="604"/>
      <w:bookmarkEnd w:id="605"/>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2"/>
          <w:headerReference w:type="default" r:id="rId23"/>
          <w:headerReference w:type="first" r:id="rId24"/>
          <w:type w:val="continuous"/>
          <w:pgSz w:w="11906" w:h="16838" w:code="9"/>
          <w:pgMar w:top="2376" w:right="2405" w:bottom="3542" w:left="2405" w:header="706" w:footer="3380" w:gutter="0"/>
          <w:cols w:space="720"/>
          <w:noEndnote/>
          <w:docGrid w:linePitch="326"/>
        </w:sectPr>
      </w:pPr>
    </w:p>
    <w:p>
      <w:pPr>
        <w:pStyle w:val="nHeading2"/>
      </w:pPr>
      <w:bookmarkStart w:id="606" w:name="_Toc92706135"/>
      <w:bookmarkStart w:id="607" w:name="_Toc137013292"/>
      <w:bookmarkStart w:id="608" w:name="_Toc137013370"/>
      <w:bookmarkStart w:id="609" w:name="_Toc137013448"/>
      <w:bookmarkStart w:id="610" w:name="_Toc139707737"/>
      <w:bookmarkStart w:id="611" w:name="_Toc142898839"/>
      <w:bookmarkStart w:id="612" w:name="_Toc142899419"/>
      <w:bookmarkStart w:id="613" w:name="_Toc143582967"/>
      <w:bookmarkStart w:id="614" w:name="_Toc144013027"/>
      <w:bookmarkStart w:id="615" w:name="_Toc144780943"/>
      <w:bookmarkStart w:id="616" w:name="_Toc158007495"/>
      <w:r>
        <w:t>Notes</w:t>
      </w:r>
      <w:bookmarkEnd w:id="606"/>
      <w:bookmarkEnd w:id="607"/>
      <w:bookmarkEnd w:id="608"/>
      <w:bookmarkEnd w:id="609"/>
      <w:bookmarkEnd w:id="610"/>
      <w:bookmarkEnd w:id="611"/>
      <w:bookmarkEnd w:id="612"/>
      <w:bookmarkEnd w:id="613"/>
      <w:bookmarkEnd w:id="614"/>
      <w:bookmarkEnd w:id="615"/>
      <w:bookmarkEnd w:id="616"/>
    </w:p>
    <w:p>
      <w:pPr>
        <w:pStyle w:val="nSubsection"/>
        <w:rPr>
          <w:snapToGrid w:val="0"/>
        </w:rPr>
      </w:pPr>
      <w:r>
        <w:rPr>
          <w:snapToGrid w:val="0"/>
          <w:vertAlign w:val="superscript"/>
        </w:rPr>
        <w:t>1</w:t>
      </w:r>
      <w:r>
        <w:rPr>
          <w:snapToGrid w:val="0"/>
        </w:rPr>
        <w:tab/>
        <w:t xml:space="preserve">This </w:t>
      </w:r>
      <w:del w:id="617" w:author="svcMRProcess" w:date="2015-12-14T21:54:00Z">
        <w:r>
          <w:rPr>
            <w:snapToGrid w:val="0"/>
          </w:rPr>
          <w:delText xml:space="preserve">reprint </w:delText>
        </w:r>
      </w:del>
      <w:r>
        <w:rPr>
          <w:snapToGrid w:val="0"/>
        </w:rPr>
        <w:t>is a compilation</w:t>
      </w:r>
      <w:del w:id="618" w:author="svcMRProcess" w:date="2015-12-14T21:54:00Z">
        <w:r>
          <w:rPr>
            <w:snapToGrid w:val="0"/>
          </w:rPr>
          <w:delText xml:space="preserve"> as at 18 August 2006</w:delText>
        </w:r>
      </w:del>
      <w:r>
        <w:rPr>
          <w:snapToGrid w:val="0"/>
        </w:rPr>
        <w:t xml:space="preserve"> of the </w:t>
      </w:r>
      <w:r>
        <w:rPr>
          <w:i/>
          <w:noProof/>
          <w:snapToGrid w:val="0"/>
        </w:rPr>
        <w:t>State Superannuation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9" w:name="_Toc158007496"/>
      <w:bookmarkStart w:id="620" w:name="_Toc144780944"/>
      <w:r>
        <w:rPr>
          <w:snapToGrid w:val="0"/>
        </w:rPr>
        <w:t>Compilation table</w:t>
      </w:r>
      <w:bookmarkEnd w:id="619"/>
      <w:bookmarkEnd w:id="6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trP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rPr>
          <w:gridAfter w:val="1"/>
          <w:wAfter w:w="24" w:type="dxa"/>
        </w:trP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4" w:type="dxa"/>
        </w:trP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trP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4" w:type="dxa"/>
        </w:trP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24" w:type="dxa"/>
        </w:trP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rPr>
          <w:gridAfter w:val="1"/>
          <w:wAfter w:w="24" w:type="dxa"/>
        </w:trP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24" w:type="dxa"/>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rPr>
          <w:ins w:id="621" w:author="svcMRProcess" w:date="2015-12-14T21:54:00Z"/>
        </w:trPr>
        <w:tc>
          <w:tcPr>
            <w:tcW w:w="2266" w:type="dxa"/>
            <w:tcBorders>
              <w:top w:val="nil"/>
              <w:bottom w:val="single" w:sz="8" w:space="0" w:color="auto"/>
            </w:tcBorders>
          </w:tcPr>
          <w:p>
            <w:pPr>
              <w:pStyle w:val="nTable"/>
              <w:spacing w:after="40"/>
              <w:rPr>
                <w:ins w:id="622" w:author="svcMRProcess" w:date="2015-12-14T21:54:00Z"/>
                <w:i/>
                <w:iCs/>
                <w:snapToGrid w:val="0"/>
                <w:sz w:val="19"/>
                <w:lang w:val="en-US"/>
              </w:rPr>
            </w:pPr>
            <w:ins w:id="623" w:author="svcMRProcess" w:date="2015-12-14T21:54:00Z">
              <w:r>
                <w:rPr>
                  <w:i/>
                  <w:snapToGrid w:val="0"/>
                  <w:sz w:val="19"/>
                  <w:lang w:val="en-US"/>
                </w:rPr>
                <w:t xml:space="preserve">Financial Legislation Amendment and Repeal Act 2006 </w:t>
              </w:r>
              <w:r>
                <w:rPr>
                  <w:iCs/>
                  <w:snapToGrid w:val="0"/>
                  <w:sz w:val="19"/>
                  <w:lang w:val="en-US"/>
                </w:rPr>
                <w:t>s. 4 and 17</w:t>
              </w:r>
            </w:ins>
          </w:p>
        </w:tc>
        <w:tc>
          <w:tcPr>
            <w:tcW w:w="1133" w:type="dxa"/>
            <w:tcBorders>
              <w:top w:val="nil"/>
              <w:bottom w:val="single" w:sz="8" w:space="0" w:color="auto"/>
            </w:tcBorders>
          </w:tcPr>
          <w:p>
            <w:pPr>
              <w:pStyle w:val="nTable"/>
              <w:spacing w:after="40"/>
              <w:rPr>
                <w:ins w:id="624" w:author="svcMRProcess" w:date="2015-12-14T21:54:00Z"/>
                <w:snapToGrid w:val="0"/>
                <w:sz w:val="19"/>
                <w:lang w:val="en-US"/>
              </w:rPr>
            </w:pPr>
            <w:ins w:id="625" w:author="svcMRProcess" w:date="2015-12-14T21:54:00Z">
              <w:r>
                <w:rPr>
                  <w:snapToGrid w:val="0"/>
                  <w:sz w:val="19"/>
                  <w:lang w:val="en-US"/>
                </w:rPr>
                <w:t xml:space="preserve">77 of 2006 </w:t>
              </w:r>
            </w:ins>
          </w:p>
        </w:tc>
        <w:tc>
          <w:tcPr>
            <w:tcW w:w="1134" w:type="dxa"/>
            <w:tcBorders>
              <w:top w:val="nil"/>
              <w:bottom w:val="single" w:sz="8" w:space="0" w:color="auto"/>
            </w:tcBorders>
          </w:tcPr>
          <w:p>
            <w:pPr>
              <w:pStyle w:val="nTable"/>
              <w:spacing w:after="40"/>
              <w:rPr>
                <w:ins w:id="626" w:author="svcMRProcess" w:date="2015-12-14T21:54:00Z"/>
                <w:sz w:val="19"/>
              </w:rPr>
            </w:pPr>
            <w:ins w:id="627" w:author="svcMRProcess" w:date="2015-12-14T21:54:00Z">
              <w:r>
                <w:rPr>
                  <w:snapToGrid w:val="0"/>
                  <w:sz w:val="19"/>
                  <w:lang w:val="en-US"/>
                </w:rPr>
                <w:t>21 Dec 2006</w:t>
              </w:r>
            </w:ins>
          </w:p>
        </w:tc>
        <w:tc>
          <w:tcPr>
            <w:tcW w:w="2551" w:type="dxa"/>
            <w:gridSpan w:val="2"/>
            <w:tcBorders>
              <w:top w:val="nil"/>
              <w:bottom w:val="single" w:sz="8" w:space="0" w:color="auto"/>
            </w:tcBorders>
          </w:tcPr>
          <w:p>
            <w:pPr>
              <w:pStyle w:val="nTable"/>
              <w:spacing w:after="40"/>
              <w:rPr>
                <w:ins w:id="628" w:author="svcMRProcess" w:date="2015-12-14T21:54:00Z"/>
                <w:snapToGrid w:val="0"/>
                <w:sz w:val="19"/>
                <w:lang w:val="en-US"/>
              </w:rPr>
            </w:pPr>
            <w:ins w:id="629" w:author="svcMRProcess" w:date="2015-12-14T21:54: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tabs>
          <w:tab w:val="clear" w:pos="454"/>
        </w:tabs>
        <w:spacing w:before="16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30" w:name="_Toc471793482"/>
      <w:bookmarkStart w:id="631" w:name="_Toc38091139"/>
      <w:r>
        <w:rPr>
          <w:rStyle w:val="CharSectno"/>
        </w:rPr>
        <w:t>2</w:t>
      </w:r>
      <w:r>
        <w:rPr>
          <w:snapToGrid w:val="0"/>
        </w:rPr>
        <w:t>.</w:t>
      </w:r>
      <w:r>
        <w:rPr>
          <w:snapToGrid w:val="0"/>
        </w:rPr>
        <w:tab/>
        <w:t>Commencement</w:t>
      </w:r>
      <w:bookmarkEnd w:id="630"/>
      <w:bookmarkEnd w:id="63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32" w:name="_Toc38091140"/>
      <w:r>
        <w:rPr>
          <w:rStyle w:val="CharSectno"/>
        </w:rPr>
        <w:t>3</w:t>
      </w:r>
      <w:r>
        <w:t>.</w:t>
      </w:r>
      <w:r>
        <w:tab/>
        <w:t>Interpretation</w:t>
      </w:r>
      <w:bookmarkEnd w:id="632"/>
    </w:p>
    <w:p>
      <w:pPr>
        <w:pStyle w:val="nzSubsection"/>
        <w:rPr>
          <w:snapToGrid w:val="0"/>
        </w:rPr>
      </w:pPr>
      <w:r>
        <w:rPr>
          <w:snapToGrid w:val="0"/>
        </w:rPr>
        <w:tab/>
      </w:r>
      <w:r>
        <w:rPr>
          <w:snapToGrid w:val="0"/>
        </w:rPr>
        <w:tab/>
        <w:t xml:space="preserve">In this Part — </w:t>
      </w:r>
    </w:p>
    <w:p>
      <w:pPr>
        <w:pStyle w:val="nzDefstart"/>
      </w:pPr>
      <w:r>
        <w:tab/>
      </w:r>
      <w:r>
        <w:rPr>
          <w:b/>
        </w:rPr>
        <w:t>“</w:t>
      </w:r>
      <w:r>
        <w:rPr>
          <w:b/>
          <w:bCs/>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b/>
          <w:bCs/>
        </w:rPr>
        <w:t>FSR commencement time</w:t>
      </w:r>
      <w:r>
        <w:rPr>
          <w:b/>
        </w:rPr>
        <w:t>”</w:t>
      </w:r>
      <w:r>
        <w:t xml:space="preserve"> means the time when Schedule 1 to the Financial Services Reform Act comes into operation;</w:t>
      </w:r>
    </w:p>
    <w:p>
      <w:pPr>
        <w:pStyle w:val="nzDefstart"/>
      </w:pPr>
      <w:r>
        <w:tab/>
      </w:r>
      <w:r>
        <w:rPr>
          <w:b/>
        </w:rPr>
        <w:t>“</w:t>
      </w:r>
      <w:r>
        <w:rPr>
          <w:b/>
          <w:bCs/>
        </w:rPr>
        <w:t>statutory rule</w:t>
      </w:r>
      <w:r>
        <w:rPr>
          <w:b/>
        </w:rPr>
        <w:t>”</w:t>
      </w:r>
      <w:r>
        <w:t xml:space="preserve"> means a regulation, rule or by</w:t>
      </w:r>
      <w:r>
        <w:noBreakHyphen/>
        <w:t>law.</w:t>
      </w:r>
    </w:p>
    <w:p>
      <w:pPr>
        <w:pStyle w:val="nzHeading5"/>
        <w:spacing w:before="120"/>
      </w:pPr>
      <w:bookmarkStart w:id="633" w:name="_Toc38091141"/>
      <w:r>
        <w:rPr>
          <w:rStyle w:val="CharSectno"/>
        </w:rPr>
        <w:t>4</w:t>
      </w:r>
      <w:r>
        <w:t>.</w:t>
      </w:r>
      <w:r>
        <w:tab/>
        <w:t>Validation</w:t>
      </w:r>
      <w:bookmarkEnd w:id="63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pPr>
      <w:bookmarkStart w:id="634" w:name="_Toc136390881"/>
      <w:r>
        <w:rPr>
          <w:rStyle w:val="CharSectno"/>
        </w:rPr>
        <w:t>17</w:t>
      </w:r>
      <w:r>
        <w:t>.</w:t>
      </w:r>
      <w:r>
        <w:tab/>
        <w:t>Validation of certain payments</w:t>
      </w:r>
      <w:bookmarkEnd w:id="634"/>
    </w:p>
    <w:p>
      <w:pPr>
        <w:pStyle w:val="nzSubsection"/>
      </w:pPr>
      <w:r>
        <w:tab/>
        <w:t>(1)</w:t>
      </w:r>
      <w:r>
        <w:tab/>
        <w:t xml:space="preserve">In this section — </w:t>
      </w:r>
    </w:p>
    <w:p>
      <w:pPr>
        <w:pStyle w:val="nzDefstart"/>
      </w:pPr>
      <w:r>
        <w:rPr>
          <w:b/>
        </w:rPr>
        <w:tab/>
        <w:t>“</w:t>
      </w:r>
      <w:r>
        <w:rPr>
          <w:b/>
          <w:bCs/>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635" w:name="_Toc116723332"/>
      <w:bookmarkStart w:id="636" w:name="_Toc119215683"/>
      <w:bookmarkStart w:id="637" w:name="_Toc119402155"/>
      <w:bookmarkStart w:id="638" w:name="_Toc136390882"/>
      <w:r>
        <w:rPr>
          <w:rStyle w:val="CharSectno"/>
        </w:rPr>
        <w:t>18</w:t>
      </w:r>
      <w:r>
        <w:t>.</w:t>
      </w:r>
      <w:r>
        <w:tab/>
        <w:t>Validation of contributions made for visiting medical practitioners</w:t>
      </w:r>
      <w:bookmarkEnd w:id="635"/>
      <w:bookmarkEnd w:id="636"/>
      <w:bookmarkEnd w:id="637"/>
      <w:bookmarkEnd w:id="638"/>
    </w:p>
    <w:p>
      <w:pPr>
        <w:pStyle w:val="nzSubsection"/>
      </w:pPr>
      <w:r>
        <w:tab/>
        <w:t>(1)</w:t>
      </w:r>
      <w:r>
        <w:tab/>
        <w:t xml:space="preserve">In this section — </w:t>
      </w:r>
    </w:p>
    <w:p>
      <w:pPr>
        <w:pStyle w:val="nzDefstart"/>
      </w:pPr>
      <w:r>
        <w:rPr>
          <w:b/>
        </w:rPr>
        <w:tab/>
        <w:t>“</w:t>
      </w:r>
      <w:r>
        <w:rPr>
          <w:b/>
          <w:bCs/>
        </w:rPr>
        <w:t>Board</w:t>
      </w:r>
      <w:r>
        <w:rPr>
          <w:b/>
        </w:rPr>
        <w:t>”</w:t>
      </w:r>
      <w:r>
        <w:t xml:space="preserve"> means the Government Employees Superannuation Board referred to in the </w:t>
      </w:r>
      <w:r>
        <w:rPr>
          <w:i/>
          <w:iCs/>
        </w:rPr>
        <w:t>State Superannuation Act 2000</w:t>
      </w:r>
      <w:r>
        <w:t xml:space="preserve"> section 5;</w:t>
      </w:r>
    </w:p>
    <w:p>
      <w:pPr>
        <w:pStyle w:val="nzDefstart"/>
      </w:pPr>
      <w:r>
        <w:rPr>
          <w:b/>
        </w:rPr>
        <w:tab/>
        <w:t>“</w:t>
      </w:r>
      <w:r>
        <w:rPr>
          <w:b/>
          <w:bCs/>
        </w:rPr>
        <w:t>visiting medical practitioner</w:t>
      </w:r>
      <w:r>
        <w:rPr>
          <w:b/>
        </w:rPr>
        <w:t>”</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bookmarkStart w:id="639" w:name="_Toc143582969"/>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639"/>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630"/>
    <w:docVar w:name="WAFER_20151211084630" w:val="RemoveTrackChanges"/>
    <w:docVar w:name="WAFER_20151211084630_GUID" w:val="60b9a0ad-1c08-4cb9-a1c1-e33fac1dd3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9224</Words>
  <Characters>44003</Characters>
  <Application>Microsoft Office Word</Application>
  <DocSecurity>0</DocSecurity>
  <Lines>1222</Lines>
  <Paragraphs>771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52456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01-a0-02 - 01-b0-04</dc:title>
  <dc:subject/>
  <dc:creator/>
  <cp:keywords/>
  <dc:description/>
  <cp:lastModifiedBy>svcMRProcess</cp:lastModifiedBy>
  <cp:revision>2</cp:revision>
  <cp:lastPrinted>2006-08-22T04:31:00Z</cp:lastPrinted>
  <dcterms:created xsi:type="dcterms:W3CDTF">2015-12-14T13:54:00Z</dcterms:created>
  <dcterms:modified xsi:type="dcterms:W3CDTF">2015-12-14T13:54:00Z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ReprintedAsAt">
    <vt:filetime>2006-08-17T16:00:00Z</vt:filetime>
  </property>
  <property fmtid="{D5CDD505-2E9C-101B-9397-08002B2CF9AE}" pid="8" name="FromSuffix">
    <vt:lpwstr>01-a0-02</vt:lpwstr>
  </property>
  <property fmtid="{D5CDD505-2E9C-101B-9397-08002B2CF9AE}" pid="9" name="FromAsAtDate">
    <vt:lpwstr>18 Aug 2006</vt:lpwstr>
  </property>
  <property fmtid="{D5CDD505-2E9C-101B-9397-08002B2CF9AE}" pid="10" name="ToSuffix">
    <vt:lpwstr>01-b0-04</vt:lpwstr>
  </property>
  <property fmtid="{D5CDD505-2E9C-101B-9397-08002B2CF9AE}" pid="11" name="ToAsAtDate">
    <vt:lpwstr>01 Feb 2007</vt:lpwstr>
  </property>
</Properties>
</file>