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13:31:00Z"/>
        </w:trPr>
        <w:tc>
          <w:tcPr>
            <w:tcW w:w="2434" w:type="dxa"/>
            <w:vMerge w:val="restart"/>
          </w:tcPr>
          <w:p>
            <w:pPr>
              <w:rPr>
                <w:ins w:id="1" w:author="svcMRProcess" w:date="2015-11-05T13:31:00Z"/>
              </w:rPr>
            </w:pPr>
          </w:p>
        </w:tc>
        <w:tc>
          <w:tcPr>
            <w:tcW w:w="2434" w:type="dxa"/>
            <w:vMerge w:val="restart"/>
          </w:tcPr>
          <w:p>
            <w:pPr>
              <w:jc w:val="center"/>
              <w:rPr>
                <w:ins w:id="2" w:author="svcMRProcess" w:date="2015-11-05T13:31:00Z"/>
              </w:rPr>
            </w:pPr>
            <w:ins w:id="3" w:author="svcMRProcess" w:date="2015-11-05T13:3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5T13:31:00Z"/>
              </w:rPr>
            </w:pPr>
            <w:ins w:id="5" w:author="svcMRProcess" w:date="2015-11-05T13:31:00Z">
              <w:r>
                <w:rPr>
                  <w:b/>
                  <w:sz w:val="22"/>
                </w:rPr>
                <w:t xml:space="preserve">Reprinted under the </w:t>
              </w:r>
              <w:r>
                <w:rPr>
                  <w:b/>
                  <w:i/>
                  <w:sz w:val="22"/>
                </w:rPr>
                <w:t>Reprints Act 1984</w:t>
              </w:r>
              <w:r>
                <w:rPr>
                  <w:b/>
                  <w:sz w:val="22"/>
                </w:rPr>
                <w:t xml:space="preserve"> as</w:t>
              </w:r>
            </w:ins>
          </w:p>
        </w:tc>
      </w:tr>
      <w:tr>
        <w:trPr>
          <w:cantSplit/>
          <w:ins w:id="6" w:author="svcMRProcess" w:date="2015-11-05T13:31:00Z"/>
        </w:trPr>
        <w:tc>
          <w:tcPr>
            <w:tcW w:w="2434" w:type="dxa"/>
            <w:vMerge/>
          </w:tcPr>
          <w:p>
            <w:pPr>
              <w:rPr>
                <w:ins w:id="7" w:author="svcMRProcess" w:date="2015-11-05T13:31:00Z"/>
              </w:rPr>
            </w:pPr>
          </w:p>
        </w:tc>
        <w:tc>
          <w:tcPr>
            <w:tcW w:w="2434" w:type="dxa"/>
            <w:vMerge/>
          </w:tcPr>
          <w:p>
            <w:pPr>
              <w:jc w:val="center"/>
              <w:rPr>
                <w:ins w:id="8" w:author="svcMRProcess" w:date="2015-11-05T13:31:00Z"/>
              </w:rPr>
            </w:pPr>
          </w:p>
        </w:tc>
        <w:tc>
          <w:tcPr>
            <w:tcW w:w="2434" w:type="dxa"/>
          </w:tcPr>
          <w:p>
            <w:pPr>
              <w:keepNext/>
              <w:rPr>
                <w:ins w:id="9" w:author="svcMRProcess" w:date="2015-11-05T13:31:00Z"/>
                <w:b/>
                <w:sz w:val="22"/>
              </w:rPr>
            </w:pPr>
            <w:ins w:id="10" w:author="svcMRProcess" w:date="2015-11-05T13:31:00Z">
              <w:r>
                <w:rPr>
                  <w:b/>
                  <w:sz w:val="22"/>
                </w:rPr>
                <w:t>at 1</w:t>
              </w:r>
              <w:r>
                <w:rPr>
                  <w:b/>
                  <w:snapToGrid w:val="0"/>
                  <w:sz w:val="22"/>
                </w:rPr>
                <w:t xml:space="preserve"> July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00" w:after="960"/>
      </w:pPr>
      <w:r>
        <w:t>Parks and Reserves Act 1895</w:t>
      </w:r>
    </w:p>
    <w:p>
      <w:pPr>
        <w:pStyle w:val="LongTitle"/>
        <w:rPr>
          <w:snapToGrid w:val="0"/>
        </w:rPr>
      </w:pPr>
      <w:r>
        <w:rPr>
          <w:snapToGrid w:val="0"/>
        </w:rPr>
        <w:t>A</w:t>
      </w:r>
      <w:bookmarkStart w:id="11" w:name="_GoBack"/>
      <w:bookmarkEnd w:id="11"/>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2" w:name="_Toc13119855"/>
      <w:bookmarkStart w:id="13" w:name="_Toc298848668"/>
      <w:bookmarkStart w:id="14" w:name="_Toc278980715"/>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15" w:name="_Toc13119856"/>
      <w:bookmarkStart w:id="16" w:name="_Toc298848669"/>
      <w:bookmarkStart w:id="17" w:name="_Toc278980716"/>
      <w:r>
        <w:rPr>
          <w:rStyle w:val="CharSectno"/>
        </w:rPr>
        <w:t>2</w:t>
      </w:r>
      <w:r>
        <w:rPr>
          <w:snapToGrid w:val="0"/>
        </w:rPr>
        <w:t>.</w:t>
      </w:r>
      <w:r>
        <w:rPr>
          <w:snapToGrid w:val="0"/>
        </w:rPr>
        <w:tab/>
      </w:r>
      <w:bookmarkEnd w:id="15"/>
      <w:r>
        <w:rPr>
          <w:snapToGrid w:val="0"/>
        </w:rPr>
        <w:t>Terms used</w:t>
      </w:r>
      <w:bookmarkEnd w:id="16"/>
      <w:del w:id="18" w:author="svcMRProcess" w:date="2015-11-05T13:31:00Z">
        <w:r>
          <w:rPr>
            <w:snapToGrid w:val="0"/>
          </w:rPr>
          <w:delText xml:space="preserve"> in this Act</w:delText>
        </w:r>
      </w:del>
      <w:bookmarkEnd w:id="17"/>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w:t>
      </w:r>
      <w:ins w:id="19" w:author="svcMRProcess" w:date="2015-11-05T13:31:00Z">
        <w:r>
          <w:t xml:space="preserve"> or</w:t>
        </w:r>
      </w:ins>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del w:id="20" w:author="svcMRProcess" w:date="2015-11-05T13:31:00Z">
        <w:r>
          <w:rPr>
            <w:rStyle w:val="CharDefText"/>
          </w:rPr>
          <w:delText xml:space="preserve">the </w:delText>
        </w:r>
      </w:del>
      <w:r>
        <w:rPr>
          <w:rStyle w:val="CharDefText"/>
        </w:rPr>
        <w:t>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21" w:name="_Toc13119857"/>
      <w:bookmarkStart w:id="22" w:name="_Toc298848670"/>
      <w:bookmarkStart w:id="23" w:name="_Toc278980717"/>
      <w:r>
        <w:rPr>
          <w:rStyle w:val="CharSectno"/>
        </w:rPr>
        <w:t>2A</w:t>
      </w:r>
      <w:r>
        <w:rPr>
          <w:snapToGrid w:val="0"/>
        </w:rPr>
        <w:t>.</w:t>
      </w:r>
      <w:r>
        <w:rPr>
          <w:snapToGrid w:val="0"/>
        </w:rPr>
        <w:tab/>
        <w:t>Application</w:t>
      </w:r>
      <w:bookmarkEnd w:id="21"/>
      <w:bookmarkEnd w:id="22"/>
      <w:bookmarkEnd w:id="23"/>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24" w:name="_Toc13119858"/>
      <w:bookmarkStart w:id="25" w:name="_Toc278980718"/>
      <w:bookmarkStart w:id="26" w:name="_Toc298848671"/>
      <w:r>
        <w:rPr>
          <w:rStyle w:val="CharSectno"/>
        </w:rPr>
        <w:t>3</w:t>
      </w:r>
      <w:r>
        <w:rPr>
          <w:snapToGrid w:val="0"/>
        </w:rPr>
        <w:t>.</w:t>
      </w:r>
      <w:r>
        <w:rPr>
          <w:snapToGrid w:val="0"/>
        </w:rPr>
        <w:tab/>
      </w:r>
      <w:del w:id="27" w:author="svcMRProcess" w:date="2015-11-05T13:31:00Z">
        <w:r>
          <w:rPr>
            <w:snapToGrid w:val="0"/>
          </w:rPr>
          <w:delText xml:space="preserve">Governor to appoint </w:delText>
        </w:r>
      </w:del>
      <w:r>
        <w:rPr>
          <w:snapToGrid w:val="0"/>
        </w:rPr>
        <w:t xml:space="preserve">Boards to control </w:t>
      </w:r>
      <w:bookmarkEnd w:id="24"/>
      <w:del w:id="28" w:author="svcMRProcess" w:date="2015-11-05T13:31:00Z">
        <w:r>
          <w:rPr>
            <w:snapToGrid w:val="0"/>
          </w:rPr>
          <w:delText>and manage certain</w:delText>
        </w:r>
      </w:del>
      <w:ins w:id="29" w:author="svcMRProcess" w:date="2015-11-05T13:31:00Z">
        <w:r>
          <w:rPr>
            <w:snapToGrid w:val="0"/>
          </w:rPr>
          <w:t>etc. reserved</w:t>
        </w:r>
      </w:ins>
      <w:r>
        <w:rPr>
          <w:snapToGrid w:val="0"/>
        </w:rPr>
        <w:t xml:space="preserve"> land</w:t>
      </w:r>
      <w:bookmarkEnd w:id="25"/>
      <w:ins w:id="30" w:author="svcMRProcess" w:date="2015-11-05T13:31:00Z">
        <w:r>
          <w:rPr>
            <w:snapToGrid w:val="0"/>
          </w:rPr>
          <w:t>, appointment of etc.</w:t>
        </w:r>
      </w:ins>
      <w:bookmarkEnd w:id="26"/>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del w:id="31" w:author="svcMRProcess" w:date="2015-11-05T13:31:00Z"/>
          <w:snapToGrid w:val="0"/>
        </w:rPr>
      </w:pPr>
      <w:bookmarkStart w:id="32" w:name="_Toc278980719"/>
      <w:bookmarkStart w:id="33" w:name="_Toc13119859"/>
      <w:bookmarkStart w:id="34" w:name="_Toc298848672"/>
      <w:del w:id="35" w:author="svcMRProcess" w:date="2015-11-05T13:31:00Z">
        <w:r>
          <w:rPr>
            <w:rStyle w:val="CharSectno"/>
          </w:rPr>
          <w:delText>4</w:delText>
        </w:r>
        <w:r>
          <w:rPr>
            <w:snapToGrid w:val="0"/>
          </w:rPr>
          <w:delText>.</w:delText>
        </w:r>
        <w:r>
          <w:rPr>
            <w:snapToGrid w:val="0"/>
          </w:rPr>
          <w:tab/>
          <w:delText>Duty of a Board</w:delText>
        </w:r>
        <w:bookmarkEnd w:id="32"/>
      </w:del>
    </w:p>
    <w:p>
      <w:pPr>
        <w:pStyle w:val="Heading5"/>
        <w:rPr>
          <w:ins w:id="36" w:author="svcMRProcess" w:date="2015-11-05T13:31:00Z"/>
          <w:snapToGrid w:val="0"/>
        </w:rPr>
      </w:pPr>
      <w:ins w:id="37" w:author="svcMRProcess" w:date="2015-11-05T13:31:00Z">
        <w:r>
          <w:rPr>
            <w:rStyle w:val="CharSectno"/>
          </w:rPr>
          <w:t>4</w:t>
        </w:r>
        <w:r>
          <w:rPr>
            <w:snapToGrid w:val="0"/>
          </w:rPr>
          <w:t>.</w:t>
        </w:r>
        <w:r>
          <w:rPr>
            <w:snapToGrid w:val="0"/>
          </w:rPr>
          <w:tab/>
          <w:t>Board</w:t>
        </w:r>
        <w:bookmarkEnd w:id="33"/>
        <w:r>
          <w:rPr>
            <w:snapToGrid w:val="0"/>
          </w:rPr>
          <w:t>s’ general functions</w:t>
        </w:r>
        <w:bookmarkEnd w:id="34"/>
      </w:ins>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38" w:name="_Toc13119860"/>
      <w:r>
        <w:tab/>
        <w:t>[Section 4 amended by No. 76 of 2003 s. 9.]</w:t>
      </w:r>
    </w:p>
    <w:p>
      <w:pPr>
        <w:pStyle w:val="Heading5"/>
        <w:rPr>
          <w:del w:id="39" w:author="svcMRProcess" w:date="2015-11-05T13:31:00Z"/>
          <w:snapToGrid w:val="0"/>
        </w:rPr>
      </w:pPr>
      <w:bookmarkStart w:id="40" w:name="_Toc278980720"/>
      <w:bookmarkStart w:id="41" w:name="_Toc298848673"/>
      <w:del w:id="42" w:author="svcMRProcess" w:date="2015-11-05T13:31:00Z">
        <w:r>
          <w:rPr>
            <w:rStyle w:val="CharSectno"/>
          </w:rPr>
          <w:delText>5</w:delText>
        </w:r>
        <w:r>
          <w:rPr>
            <w:snapToGrid w:val="0"/>
          </w:rPr>
          <w:delText>.</w:delText>
        </w:r>
        <w:r>
          <w:rPr>
            <w:snapToGrid w:val="0"/>
          </w:rPr>
          <w:tab/>
          <w:delText>Certain powers included in the general powers</w:delText>
        </w:r>
        <w:bookmarkEnd w:id="40"/>
      </w:del>
    </w:p>
    <w:p>
      <w:pPr>
        <w:pStyle w:val="Heading5"/>
        <w:rPr>
          <w:ins w:id="43" w:author="svcMRProcess" w:date="2015-11-05T13:31:00Z"/>
          <w:snapToGrid w:val="0"/>
        </w:rPr>
      </w:pPr>
      <w:ins w:id="44" w:author="svcMRProcess" w:date="2015-11-05T13:31:00Z">
        <w:r>
          <w:rPr>
            <w:rStyle w:val="CharSectno"/>
          </w:rPr>
          <w:t>5</w:t>
        </w:r>
        <w:r>
          <w:rPr>
            <w:snapToGrid w:val="0"/>
          </w:rPr>
          <w:t>.</w:t>
        </w:r>
        <w:r>
          <w:rPr>
            <w:snapToGrid w:val="0"/>
          </w:rPr>
          <w:tab/>
        </w:r>
        <w:bookmarkEnd w:id="38"/>
        <w:r>
          <w:rPr>
            <w:snapToGrid w:val="0"/>
          </w:rPr>
          <w:t>Boards’ specific functions</w:t>
        </w:r>
        <w:bookmarkEnd w:id="41"/>
      </w:ins>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ins w:id="45" w:author="svcMRProcess" w:date="2015-11-05T13:31:00Z">
        <w:r>
          <w:rPr>
            <w:snapToGrid w:val="0"/>
          </w:rPr>
          <w:t xml:space="preserve"> and</w:t>
        </w:r>
      </w:ins>
    </w:p>
    <w:p>
      <w:pPr>
        <w:pStyle w:val="Indenta"/>
        <w:spacing w:before="60"/>
        <w:rPr>
          <w:snapToGrid w:val="0"/>
        </w:rPr>
      </w:pPr>
      <w:r>
        <w:rPr>
          <w:snapToGrid w:val="0"/>
        </w:rPr>
        <w:tab/>
        <w:t>(b)</w:t>
      </w:r>
      <w:r>
        <w:rPr>
          <w:snapToGrid w:val="0"/>
        </w:rPr>
        <w:tab/>
        <w:t>construct dams and reservoirs for the retention and formation of sheets of water thereon;</w:t>
      </w:r>
      <w:ins w:id="46" w:author="svcMRProcess" w:date="2015-11-05T13:31:00Z">
        <w:r>
          <w:rPr>
            <w:snapToGrid w:val="0"/>
          </w:rPr>
          <w:t xml:space="preserve"> and</w:t>
        </w:r>
      </w:ins>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ins w:id="47" w:author="svcMRProcess" w:date="2015-11-05T13:31:00Z">
        <w:r>
          <w:rPr>
            <w:snapToGrid w:val="0"/>
          </w:rPr>
          <w:t xml:space="preserve"> and</w:t>
        </w:r>
      </w:ins>
    </w:p>
    <w:p>
      <w:pPr>
        <w:pStyle w:val="Indenta"/>
        <w:spacing w:before="60"/>
        <w:rPr>
          <w:snapToGrid w:val="0"/>
        </w:rPr>
      </w:pPr>
      <w:r>
        <w:rPr>
          <w:snapToGrid w:val="0"/>
        </w:rPr>
        <w:tab/>
        <w:t>(d)</w:t>
      </w:r>
      <w:r>
        <w:rPr>
          <w:snapToGrid w:val="0"/>
        </w:rPr>
        <w:tab/>
        <w:t>establish and maintain zoological gardens therein;</w:t>
      </w:r>
      <w:ins w:id="48" w:author="svcMRProcess" w:date="2015-11-05T13:31:00Z">
        <w:r>
          <w:rPr>
            <w:snapToGrid w:val="0"/>
          </w:rPr>
          <w:t xml:space="preserve"> and</w:t>
        </w:r>
      </w:ins>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49" w:name="_Toc13119861"/>
      <w:bookmarkStart w:id="50" w:name="_Toc298848674"/>
      <w:bookmarkStart w:id="51" w:name="_Toc278980721"/>
      <w:r>
        <w:rPr>
          <w:rStyle w:val="CharSectno"/>
        </w:rPr>
        <w:t>6</w:t>
      </w:r>
      <w:r>
        <w:rPr>
          <w:snapToGrid w:val="0"/>
        </w:rPr>
        <w:t>.</w:t>
      </w:r>
      <w:r>
        <w:rPr>
          <w:snapToGrid w:val="0"/>
        </w:rPr>
        <w:tab/>
      </w:r>
      <w:del w:id="52" w:author="svcMRProcess" w:date="2015-11-05T13:31:00Z">
        <w:r>
          <w:rPr>
            <w:snapToGrid w:val="0"/>
          </w:rPr>
          <w:delText xml:space="preserve">A </w:delText>
        </w:r>
      </w:del>
      <w:r>
        <w:rPr>
          <w:snapToGrid w:val="0"/>
        </w:rPr>
        <w:t>Board may delegate</w:t>
      </w:r>
      <w:del w:id="53" w:author="svcMRProcess" w:date="2015-11-05T13:31:00Z">
        <w:r>
          <w:rPr>
            <w:snapToGrid w:val="0"/>
          </w:rPr>
          <w:delText xml:space="preserve"> powers</w:delText>
        </w:r>
      </w:del>
      <w:r>
        <w:rPr>
          <w:snapToGrid w:val="0"/>
        </w:rPr>
        <w:t xml:space="preserve"> to committee</w:t>
      </w:r>
      <w:bookmarkEnd w:id="49"/>
      <w:bookmarkEnd w:id="50"/>
      <w:bookmarkEnd w:id="51"/>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54" w:name="_Toc13119862"/>
      <w:bookmarkStart w:id="55" w:name="_Toc278980722"/>
      <w:bookmarkStart w:id="56" w:name="_Toc298848675"/>
      <w:r>
        <w:rPr>
          <w:rStyle w:val="CharSectno"/>
        </w:rPr>
        <w:t>7</w:t>
      </w:r>
      <w:r>
        <w:rPr>
          <w:snapToGrid w:val="0"/>
        </w:rPr>
        <w:t>.</w:t>
      </w:r>
      <w:r>
        <w:rPr>
          <w:snapToGrid w:val="0"/>
        </w:rPr>
        <w:tab/>
      </w:r>
      <w:del w:id="57" w:author="svcMRProcess" w:date="2015-11-05T13:31:00Z">
        <w:r>
          <w:rPr>
            <w:snapToGrid w:val="0"/>
          </w:rPr>
          <w:delText xml:space="preserve">A </w:delText>
        </w:r>
      </w:del>
      <w:r>
        <w:rPr>
          <w:snapToGrid w:val="0"/>
        </w:rPr>
        <w:t xml:space="preserve">Board may appoint </w:t>
      </w:r>
      <w:bookmarkEnd w:id="54"/>
      <w:del w:id="58" w:author="svcMRProcess" w:date="2015-11-05T13:31:00Z">
        <w:r>
          <w:rPr>
            <w:snapToGrid w:val="0"/>
          </w:rPr>
          <w:delText>officers</w:delText>
        </w:r>
      </w:del>
      <w:ins w:id="59" w:author="svcMRProcess" w:date="2015-11-05T13:31:00Z">
        <w:r>
          <w:rPr>
            <w:snapToGrid w:val="0"/>
          </w:rPr>
          <w:t>rangers</w:t>
        </w:r>
      </w:ins>
      <w:r>
        <w:rPr>
          <w:snapToGrid w:val="0"/>
        </w:rPr>
        <w:t xml:space="preserve"> and </w:t>
      </w:r>
      <w:del w:id="60" w:author="svcMRProcess" w:date="2015-11-05T13:31:00Z">
        <w:r>
          <w:rPr>
            <w:snapToGrid w:val="0"/>
          </w:rPr>
          <w:delText>servants</w:delText>
        </w:r>
      </w:del>
      <w:bookmarkEnd w:id="55"/>
      <w:ins w:id="61" w:author="svcMRProcess" w:date="2015-11-05T13:31:00Z">
        <w:r>
          <w:rPr>
            <w:snapToGrid w:val="0"/>
          </w:rPr>
          <w:t>other staff</w:t>
        </w:r>
      </w:ins>
      <w:bookmarkEnd w:id="56"/>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62" w:name="_Toc13119863"/>
      <w:bookmarkStart w:id="63" w:name="_Toc298848676"/>
      <w:bookmarkStart w:id="64" w:name="_Toc278980723"/>
      <w:r>
        <w:rPr>
          <w:rStyle w:val="CharSectno"/>
        </w:rPr>
        <w:t>7A</w:t>
      </w:r>
      <w:r>
        <w:rPr>
          <w:snapToGrid w:val="0"/>
        </w:rPr>
        <w:t>.</w:t>
      </w:r>
      <w:r>
        <w:rPr>
          <w:snapToGrid w:val="0"/>
        </w:rPr>
        <w:tab/>
        <w:t>Powers of authorised persons</w:t>
      </w:r>
      <w:bookmarkEnd w:id="62"/>
      <w:bookmarkEnd w:id="63"/>
      <w:bookmarkEnd w:id="64"/>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ins w:id="65" w:author="svcMRProcess" w:date="2015-11-05T13:31:00Z">
        <w:r>
          <w:t xml:space="preserve"> and</w:t>
        </w:r>
      </w:ins>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 xml:space="preserve">[Section 7A inserted by No. 50 of 1978 s. 5; amended by No. 6 of 2002 </w:t>
      </w:r>
      <w:del w:id="66" w:author="svcMRProcess" w:date="2015-11-05T13:31:00Z">
        <w:r>
          <w:delText>s. 96</w:delText>
        </w:r>
      </w:del>
      <w:ins w:id="67" w:author="svcMRProcess" w:date="2015-11-05T13:31:00Z">
        <w:r>
          <w:t>Sch. 2 cl. 4</w:t>
        </w:r>
      </w:ins>
      <w:r>
        <w:t>; No. 76 of 2003 s. 11.]</w:t>
      </w:r>
    </w:p>
    <w:p>
      <w:pPr>
        <w:pStyle w:val="Heading5"/>
        <w:rPr>
          <w:snapToGrid w:val="0"/>
        </w:rPr>
      </w:pPr>
      <w:bookmarkStart w:id="68" w:name="_Toc13119864"/>
      <w:bookmarkStart w:id="69" w:name="_Toc278980724"/>
      <w:bookmarkStart w:id="70" w:name="_Toc298848677"/>
      <w:r>
        <w:rPr>
          <w:rStyle w:val="CharSectno"/>
        </w:rPr>
        <w:t>7B</w:t>
      </w:r>
      <w:r>
        <w:rPr>
          <w:snapToGrid w:val="0"/>
        </w:rPr>
        <w:t>.</w:t>
      </w:r>
      <w:r>
        <w:rPr>
          <w:snapToGrid w:val="0"/>
        </w:rPr>
        <w:tab/>
        <w:t>Certificate of authority</w:t>
      </w:r>
      <w:bookmarkEnd w:id="68"/>
      <w:bookmarkEnd w:id="69"/>
      <w:ins w:id="71" w:author="svcMRProcess" w:date="2015-11-05T13:31:00Z">
        <w:r>
          <w:rPr>
            <w:snapToGrid w:val="0"/>
          </w:rPr>
          <w:t xml:space="preserve"> for Board’s members and rangers</w:t>
        </w:r>
      </w:ins>
      <w:bookmarkEnd w:id="7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72" w:name="_Toc13119865"/>
      <w:bookmarkStart w:id="73" w:name="_Toc278980725"/>
      <w:bookmarkStart w:id="74" w:name="_Toc298848678"/>
      <w:r>
        <w:rPr>
          <w:rStyle w:val="CharSectno"/>
        </w:rPr>
        <w:t>7C</w:t>
      </w:r>
      <w:r>
        <w:rPr>
          <w:snapToGrid w:val="0"/>
        </w:rPr>
        <w:t>.</w:t>
      </w:r>
      <w:r>
        <w:rPr>
          <w:snapToGrid w:val="0"/>
        </w:rPr>
        <w:tab/>
        <w:t>Speed measuring equipment</w:t>
      </w:r>
      <w:bookmarkEnd w:id="72"/>
      <w:bookmarkEnd w:id="73"/>
      <w:ins w:id="75" w:author="svcMRProcess" w:date="2015-11-05T13:31:00Z">
        <w:r>
          <w:rPr>
            <w:snapToGrid w:val="0"/>
          </w:rPr>
          <w:t>, evidentiary provisions as to</w:t>
        </w:r>
      </w:ins>
      <w:bookmarkEnd w:id="74"/>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76" w:name="_Toc13119866"/>
      <w:bookmarkStart w:id="77" w:name="_Toc298848679"/>
      <w:bookmarkStart w:id="78" w:name="_Toc278980726"/>
      <w:r>
        <w:rPr>
          <w:rStyle w:val="CharSectno"/>
        </w:rPr>
        <w:t>8</w:t>
      </w:r>
      <w:r>
        <w:rPr>
          <w:snapToGrid w:val="0"/>
        </w:rPr>
        <w:t>.</w:t>
      </w:r>
      <w:r>
        <w:rPr>
          <w:snapToGrid w:val="0"/>
        </w:rPr>
        <w:tab/>
      </w:r>
      <w:del w:id="79" w:author="svcMRProcess" w:date="2015-11-05T13:31:00Z">
        <w:r>
          <w:rPr>
            <w:snapToGrid w:val="0"/>
          </w:rPr>
          <w:delText>A Board may make by</w:delText>
        </w:r>
      </w:del>
      <w:ins w:id="80" w:author="svcMRProcess" w:date="2015-11-05T13:31:00Z">
        <w:r>
          <w:rPr>
            <w:snapToGrid w:val="0"/>
          </w:rPr>
          <w:t>By</w:t>
        </w:r>
      </w:ins>
      <w:r>
        <w:rPr>
          <w:snapToGrid w:val="0"/>
        </w:rPr>
        <w:noBreakHyphen/>
        <w:t>laws</w:t>
      </w:r>
      <w:bookmarkEnd w:id="76"/>
      <w:bookmarkEnd w:id="77"/>
      <w:bookmarkEnd w:id="78"/>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ins w:id="81" w:author="svcMRProcess" w:date="2015-11-05T13:31:00Z">
        <w:r>
          <w:rPr>
            <w:snapToGrid w:val="0"/>
          </w:rPr>
          <w:t xml:space="preserve"> and</w:t>
        </w:r>
      </w:ins>
    </w:p>
    <w:p>
      <w:pPr>
        <w:pStyle w:val="Indenta"/>
        <w:rPr>
          <w:snapToGrid w:val="0"/>
        </w:rPr>
      </w:pPr>
      <w:r>
        <w:tab/>
        <w:t>(b)</w:t>
      </w:r>
      <w:r>
        <w:tab/>
      </w:r>
      <w:r>
        <w:rPr>
          <w:snapToGrid w:val="0"/>
        </w:rPr>
        <w:t>keeping accounts of the receipts and expenditure of the Board;</w:t>
      </w:r>
      <w:ins w:id="82" w:author="svcMRProcess" w:date="2015-11-05T13:31:00Z">
        <w:r>
          <w:rPr>
            <w:snapToGrid w:val="0"/>
          </w:rPr>
          <w:t xml:space="preserve"> and</w:t>
        </w:r>
      </w:ins>
    </w:p>
    <w:p>
      <w:pPr>
        <w:pStyle w:val="Indenta"/>
        <w:rPr>
          <w:snapToGrid w:val="0"/>
        </w:rPr>
      </w:pPr>
      <w:r>
        <w:tab/>
        <w:t>(c)</w:t>
      </w:r>
      <w:r>
        <w:tab/>
      </w:r>
      <w:r>
        <w:rPr>
          <w:snapToGrid w:val="0"/>
        </w:rPr>
        <w:t>the management and conservation of the land, including zoological gardens;</w:t>
      </w:r>
      <w:ins w:id="83" w:author="svcMRProcess" w:date="2015-11-05T13:31:00Z">
        <w:r>
          <w:rPr>
            <w:snapToGrid w:val="0"/>
          </w:rPr>
          <w:t xml:space="preserve"> and</w:t>
        </w:r>
      </w:ins>
    </w:p>
    <w:p>
      <w:pPr>
        <w:pStyle w:val="Indenta"/>
        <w:rPr>
          <w:snapToGrid w:val="0"/>
        </w:rPr>
      </w:pPr>
      <w:r>
        <w:tab/>
        <w:t>(d)</w:t>
      </w:r>
      <w:r>
        <w:tab/>
      </w:r>
      <w:r>
        <w:rPr>
          <w:snapToGrid w:val="0"/>
        </w:rPr>
        <w:t>the appointment and guidance of keepers or servants employed therein;</w:t>
      </w:r>
      <w:ins w:id="84" w:author="svcMRProcess" w:date="2015-11-05T13:31:00Z">
        <w:r>
          <w:rPr>
            <w:snapToGrid w:val="0"/>
          </w:rPr>
          <w:t xml:space="preserve"> and</w:t>
        </w:r>
      </w:ins>
    </w:p>
    <w:p>
      <w:pPr>
        <w:pStyle w:val="Indenta"/>
        <w:rPr>
          <w:snapToGrid w:val="0"/>
        </w:rPr>
      </w:pPr>
      <w:r>
        <w:tab/>
        <w:t>(e)</w:t>
      </w:r>
      <w:r>
        <w:tab/>
      </w:r>
      <w:r>
        <w:rPr>
          <w:snapToGrid w:val="0"/>
        </w:rPr>
        <w:t>prescribing the time at which any such land shall be opened and closed;</w:t>
      </w:r>
      <w:ins w:id="85" w:author="svcMRProcess" w:date="2015-11-05T13:31:00Z">
        <w:r>
          <w:rPr>
            <w:snapToGrid w:val="0"/>
          </w:rPr>
          <w:t xml:space="preserve"> and</w:t>
        </w:r>
      </w:ins>
    </w:p>
    <w:p>
      <w:pPr>
        <w:pStyle w:val="Indenta"/>
        <w:rPr>
          <w:snapToGrid w:val="0"/>
        </w:rPr>
      </w:pPr>
      <w:r>
        <w:tab/>
        <w:t>(f)</w:t>
      </w:r>
      <w:r>
        <w:tab/>
      </w:r>
      <w:r>
        <w:rPr>
          <w:snapToGrid w:val="0"/>
        </w:rPr>
        <w:t>the conduct of persons frequenting any such land;</w:t>
      </w:r>
      <w:ins w:id="86" w:author="svcMRProcess" w:date="2015-11-05T13:31:00Z">
        <w:r>
          <w:rPr>
            <w:snapToGrid w:val="0"/>
          </w:rPr>
          <w:t xml:space="preserve"> and</w:t>
        </w:r>
      </w:ins>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ins w:id="87" w:author="svcMRProcess" w:date="2015-11-05T13:31:00Z">
        <w:r>
          <w:rPr>
            <w:rFonts w:ascii="Times" w:hAnsi="Times"/>
            <w:snapToGrid w:val="0"/>
          </w:rPr>
          <w:t xml:space="preserve"> and</w:t>
        </w:r>
      </w:ins>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ins w:id="88" w:author="svcMRProcess" w:date="2015-11-05T13:31:00Z"/>
          <w:snapToGrid w:val="0"/>
        </w:rPr>
      </w:pPr>
      <w:ins w:id="89" w:author="svcMRProcess" w:date="2015-11-05T13:31:00Z">
        <w:r>
          <w:rPr>
            <w:snapToGrid w:val="0"/>
          </w:rPr>
          <w:tab/>
        </w:r>
        <w:r>
          <w:rPr>
            <w:snapToGrid w:val="0"/>
          </w:rPr>
          <w:tab/>
          <w:t>and</w:t>
        </w:r>
      </w:ins>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w:t>
      </w:r>
      <w:ins w:id="90" w:author="svcMRProcess" w:date="2015-11-05T13:31:00Z">
        <w:r>
          <w:rPr>
            <w:snapToGrid w:val="0"/>
          </w:rPr>
          <w:t xml:space="preserve"> and</w:t>
        </w:r>
      </w:ins>
    </w:p>
    <w:p>
      <w:pPr>
        <w:pStyle w:val="Indenta"/>
        <w:spacing w:before="100"/>
        <w:rPr>
          <w:snapToGrid w:val="0"/>
        </w:rPr>
      </w:pPr>
      <w:r>
        <w:rPr>
          <w:snapToGrid w:val="0"/>
        </w:rPr>
        <w:tab/>
        <w:t>(j)</w:t>
      </w:r>
      <w:r>
        <w:rPr>
          <w:snapToGrid w:val="0"/>
        </w:rPr>
        <w:tab/>
        <w:t>preventing or regulating shooting over</w:t>
      </w:r>
      <w:r>
        <w:t xml:space="preserve"> or on the land;</w:t>
      </w:r>
      <w:ins w:id="91" w:author="svcMRProcess" w:date="2015-11-05T13:31:00Z">
        <w:r>
          <w:t xml:space="preserve"> and</w:t>
        </w:r>
      </w:ins>
    </w:p>
    <w:p>
      <w:pPr>
        <w:pStyle w:val="Indenta"/>
        <w:spacing w:before="100"/>
        <w:rPr>
          <w:snapToGrid w:val="0"/>
        </w:rPr>
      </w:pPr>
      <w:r>
        <w:rPr>
          <w:snapToGrid w:val="0"/>
        </w:rPr>
        <w:tab/>
        <w:t>(k)</w:t>
      </w:r>
      <w:r>
        <w:rPr>
          <w:snapToGrid w:val="0"/>
        </w:rPr>
        <w:tab/>
        <w:t>preventing or regulating matches, or training for racing with horses, dogs, or otherwise upon the land;</w:t>
      </w:r>
      <w:ins w:id="92" w:author="svcMRProcess" w:date="2015-11-05T13:31:00Z">
        <w:r>
          <w:rPr>
            <w:snapToGrid w:val="0"/>
          </w:rPr>
          <w:t xml:space="preserve"> and</w:t>
        </w:r>
      </w:ins>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ins w:id="93" w:author="svcMRProcess" w:date="2015-11-05T13:31:00Z">
        <w:r>
          <w:rPr>
            <w:snapToGrid w:val="0"/>
          </w:rPr>
          <w:t xml:space="preserve"> and</w:t>
        </w:r>
      </w:ins>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ins w:id="94" w:author="svcMRProcess" w:date="2015-11-05T13:31:00Z">
        <w:r>
          <w:rPr>
            <w:snapToGrid w:val="0"/>
          </w:rPr>
          <w:t xml:space="preserve"> and</w:t>
        </w:r>
      </w:ins>
    </w:p>
    <w:p>
      <w:pPr>
        <w:pStyle w:val="Indenta"/>
        <w:spacing w:before="100"/>
        <w:rPr>
          <w:snapToGrid w:val="0"/>
        </w:rPr>
      </w:pPr>
      <w:r>
        <w:rPr>
          <w:snapToGrid w:val="0"/>
        </w:rPr>
        <w:tab/>
        <w:t>(n)</w:t>
      </w:r>
      <w:r>
        <w:rPr>
          <w:snapToGrid w:val="0"/>
        </w:rPr>
        <w:tab/>
        <w:t>prohibiting the impersonation of authorised persons;</w:t>
      </w:r>
      <w:ins w:id="95" w:author="svcMRProcess" w:date="2015-11-05T13:31:00Z">
        <w:r>
          <w:rPr>
            <w:snapToGrid w:val="0"/>
          </w:rPr>
          <w:t xml:space="preserve"> and</w:t>
        </w:r>
      </w:ins>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w:t>
      </w:r>
      <w:ins w:id="96" w:author="svcMRProcess" w:date="2015-11-05T13:31:00Z">
        <w:r>
          <w:rPr>
            <w:snapToGrid w:val="0"/>
          </w:rPr>
          <w:t xml:space="preserve"> and</w:t>
        </w:r>
      </w:ins>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ins w:id="97" w:author="svcMRProcess" w:date="2015-11-05T13:31:00Z">
        <w:r>
          <w:rPr>
            <w:snapToGrid w:val="0"/>
          </w:rPr>
          <w:t xml:space="preserve"> and</w:t>
        </w:r>
      </w:ins>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ins w:id="98" w:author="svcMRProcess" w:date="2015-11-05T13:31:00Z">
        <w:r>
          <w:rPr>
            <w:snapToGrid w:val="0"/>
          </w:rPr>
          <w:t xml:space="preserve"> and</w:t>
        </w:r>
      </w:ins>
    </w:p>
    <w:p>
      <w:pPr>
        <w:pStyle w:val="Indenta"/>
        <w:rPr>
          <w:snapToGrid w:val="0"/>
        </w:rPr>
      </w:pPr>
      <w:r>
        <w:rPr>
          <w:snapToGrid w:val="0"/>
        </w:rPr>
        <w:tab/>
        <w:t>(r)</w:t>
      </w:r>
      <w:r>
        <w:rPr>
          <w:snapToGrid w:val="0"/>
        </w:rPr>
        <w:tab/>
        <w:t>prohibiting damage or injury to and destruction of trees, shrubs, plants and flowers</w:t>
      </w:r>
      <w:r>
        <w:t xml:space="preserve"> on the land;</w:t>
      </w:r>
      <w:ins w:id="99" w:author="svcMRProcess" w:date="2015-11-05T13:31:00Z">
        <w:r>
          <w:t xml:space="preserve"> and</w:t>
        </w:r>
      </w:ins>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ins w:id="100" w:author="svcMRProcess" w:date="2015-11-05T13:31:00Z">
        <w:r>
          <w:rPr>
            <w:snapToGrid w:val="0"/>
          </w:rPr>
          <w:t xml:space="preserve"> and</w:t>
        </w:r>
      </w:ins>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by No. 60 of 1947 s. 3; No. 17 of 1955 s. 4; No. 40 of 1963 s. 2; No. 4 of 1972 s. 3; No. 50 of 1978 s. 6; No. 8 of 1985 s. 3; No. 78 of 1995 s. 98; No. 76 of 2003 s. 12; No. 19 of 2010 s. 51.]</w:t>
      </w:r>
    </w:p>
    <w:p>
      <w:pPr>
        <w:pStyle w:val="Heading5"/>
        <w:spacing w:before="200"/>
        <w:rPr>
          <w:snapToGrid w:val="0"/>
        </w:rPr>
      </w:pPr>
      <w:bookmarkStart w:id="101" w:name="_Toc13119867"/>
      <w:bookmarkStart w:id="102" w:name="_Toc298848680"/>
      <w:bookmarkStart w:id="103" w:name="_Toc278980727"/>
      <w:r>
        <w:rPr>
          <w:rStyle w:val="CharSectno"/>
        </w:rPr>
        <w:t>9</w:t>
      </w:r>
      <w:r>
        <w:rPr>
          <w:snapToGrid w:val="0"/>
        </w:rPr>
        <w:t>.</w:t>
      </w:r>
      <w:r>
        <w:rPr>
          <w:snapToGrid w:val="0"/>
        </w:rPr>
        <w:tab/>
        <w:t>By</w:t>
      </w:r>
      <w:r>
        <w:rPr>
          <w:snapToGrid w:val="0"/>
        </w:rPr>
        <w:noBreakHyphen/>
        <w:t>laws to be gazetted and tabled</w:t>
      </w:r>
      <w:bookmarkEnd w:id="101"/>
      <w:bookmarkEnd w:id="102"/>
      <w:bookmarkEnd w:id="103"/>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by No. 77 of 1982 s. 17; No. 76 of 2003 s. 13.]</w:t>
      </w:r>
    </w:p>
    <w:p>
      <w:pPr>
        <w:pStyle w:val="Ednotesection"/>
        <w:spacing w:before="200"/>
        <w:ind w:left="0" w:firstLine="0"/>
      </w:pPr>
      <w:bookmarkStart w:id="104" w:name="_Toc13119869"/>
      <w:r>
        <w:t>[</w:t>
      </w:r>
      <w:r>
        <w:rPr>
          <w:b/>
        </w:rPr>
        <w:t>10.</w:t>
      </w:r>
      <w:r>
        <w:tab/>
        <w:t>Deleted by No. 76 of 2003 s. 14.]</w:t>
      </w:r>
    </w:p>
    <w:p>
      <w:pPr>
        <w:pStyle w:val="Heading5"/>
        <w:rPr>
          <w:del w:id="105" w:author="svcMRProcess" w:date="2015-11-05T13:31:00Z"/>
          <w:snapToGrid w:val="0"/>
        </w:rPr>
      </w:pPr>
      <w:bookmarkStart w:id="106" w:name="_Toc278980728"/>
      <w:bookmarkStart w:id="107" w:name="_Toc298848681"/>
      <w:del w:id="108" w:author="svcMRProcess" w:date="2015-11-05T13:31:00Z">
        <w:r>
          <w:rPr>
            <w:rStyle w:val="CharSectno"/>
          </w:rPr>
          <w:delText>11</w:delText>
        </w:r>
        <w:r>
          <w:rPr>
            <w:snapToGrid w:val="0"/>
          </w:rPr>
          <w:delText>.</w:delText>
        </w:r>
        <w:r>
          <w:rPr>
            <w:snapToGrid w:val="0"/>
          </w:rPr>
          <w:tab/>
          <w:delText>Boards to act by majorities, and member presiding to have casting vote</w:delText>
        </w:r>
        <w:bookmarkEnd w:id="106"/>
      </w:del>
    </w:p>
    <w:p>
      <w:pPr>
        <w:pStyle w:val="Heading5"/>
        <w:spacing w:before="200"/>
        <w:rPr>
          <w:ins w:id="109" w:author="svcMRProcess" w:date="2015-11-05T13:31:00Z"/>
          <w:snapToGrid w:val="0"/>
        </w:rPr>
      </w:pPr>
      <w:ins w:id="110" w:author="svcMRProcess" w:date="2015-11-05T13:31:00Z">
        <w:r>
          <w:rPr>
            <w:rStyle w:val="CharSectno"/>
          </w:rPr>
          <w:t>11</w:t>
        </w:r>
        <w:r>
          <w:rPr>
            <w:snapToGrid w:val="0"/>
          </w:rPr>
          <w:t>.</w:t>
        </w:r>
        <w:r>
          <w:rPr>
            <w:snapToGrid w:val="0"/>
          </w:rPr>
          <w:tab/>
          <w:t>Board meetings, voting at</w:t>
        </w:r>
        <w:bookmarkEnd w:id="104"/>
        <w:bookmarkEnd w:id="107"/>
      </w:ins>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111" w:name="_Toc13119870"/>
      <w:bookmarkStart w:id="112" w:name="_Toc298848682"/>
      <w:bookmarkStart w:id="113" w:name="_Toc278980729"/>
      <w:r>
        <w:rPr>
          <w:rStyle w:val="CharSectno"/>
        </w:rPr>
        <w:t>12</w:t>
      </w:r>
      <w:r>
        <w:rPr>
          <w:snapToGrid w:val="0"/>
        </w:rPr>
        <w:t>.</w:t>
      </w:r>
      <w:r>
        <w:rPr>
          <w:snapToGrid w:val="0"/>
        </w:rPr>
        <w:tab/>
        <w:t xml:space="preserve">Application of </w:t>
      </w:r>
      <w:bookmarkEnd w:id="111"/>
      <w:r>
        <w:rPr>
          <w:i/>
        </w:rPr>
        <w:t>Financial Management Act 2006</w:t>
      </w:r>
      <w:r>
        <w:t xml:space="preserve"> and </w:t>
      </w:r>
      <w:r>
        <w:rPr>
          <w:i/>
        </w:rPr>
        <w:t>Auditor General Act 2006</w:t>
      </w:r>
      <w:bookmarkEnd w:id="112"/>
      <w:bookmarkEnd w:id="113"/>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tab/>
        <w:t xml:space="preserve">[Section 12 inserted by No. 98 of 1985 s. 3; amended by No. 74 of 2003 s. 90; No. 77 of 2006 </w:t>
      </w:r>
      <w:del w:id="114" w:author="svcMRProcess" w:date="2015-11-05T13:31:00Z">
        <w:r>
          <w:delText>s. 17</w:delText>
        </w:r>
      </w:del>
      <w:ins w:id="115" w:author="svcMRProcess" w:date="2015-11-05T13:31:00Z">
        <w:r>
          <w:t>Sch. 1 cl. 117</w:t>
        </w:r>
      </w:ins>
      <w:r>
        <w:t>.]</w:t>
      </w:r>
    </w:p>
    <w:p>
      <w:pPr>
        <w:pStyle w:val="Heading5"/>
        <w:rPr>
          <w:snapToGrid w:val="0"/>
        </w:rPr>
      </w:pPr>
      <w:bookmarkStart w:id="116" w:name="_Toc13119871"/>
      <w:bookmarkStart w:id="117" w:name="_Toc278980730"/>
      <w:bookmarkStart w:id="118" w:name="_Toc298848683"/>
      <w:r>
        <w:rPr>
          <w:rStyle w:val="CharSectno"/>
        </w:rPr>
        <w:t>12A</w:t>
      </w:r>
      <w:r>
        <w:rPr>
          <w:snapToGrid w:val="0"/>
        </w:rPr>
        <w:t>.</w:t>
      </w:r>
      <w:r>
        <w:rPr>
          <w:snapToGrid w:val="0"/>
        </w:rPr>
        <w:tab/>
        <w:t>Liability of parents</w:t>
      </w:r>
      <w:bookmarkEnd w:id="116"/>
      <w:bookmarkEnd w:id="117"/>
      <w:ins w:id="119" w:author="svcMRProcess" w:date="2015-11-05T13:31:00Z">
        <w:r>
          <w:rPr>
            <w:snapToGrid w:val="0"/>
          </w:rPr>
          <w:t xml:space="preserve"> for acts etc. of child</w:t>
        </w:r>
      </w:ins>
      <w:bookmarkEnd w:id="118"/>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120" w:name="endcomma"/>
      <w:bookmarkEnd w:id="120"/>
      <w:r>
        <w:rPr>
          <w:b/>
        </w:rPr>
        <w:tab/>
      </w:r>
      <w:r>
        <w:rPr>
          <w:rStyle w:val="CharDefText"/>
        </w:rPr>
        <w:t>parent</w:t>
      </w:r>
      <w:r>
        <w:t xml:space="preserve"> has the meaning given to that term in section 3 of the </w:t>
      </w:r>
      <w:r>
        <w:rPr>
          <w:i/>
        </w:rPr>
        <w:t>Children and Community Services Act 2004</w:t>
      </w:r>
      <w:r>
        <w:t>.</w:t>
      </w:r>
    </w:p>
    <w:p>
      <w:pPr>
        <w:pStyle w:val="Ednotesubsection"/>
        <w:rPr>
          <w:del w:id="121" w:author="svcMRProcess" w:date="2015-11-05T13:31:00Z"/>
        </w:rPr>
      </w:pPr>
      <w:del w:id="122" w:author="svcMRProcess" w:date="2015-11-05T13:31:00Z">
        <w:r>
          <w:tab/>
          <w:delText>[(3)</w:delText>
        </w:r>
        <w:r>
          <w:tab/>
          <w:delText>deleted]</w:delText>
        </w:r>
      </w:del>
    </w:p>
    <w:p>
      <w:pPr>
        <w:pStyle w:val="Footnotesection"/>
      </w:pPr>
      <w:r>
        <w:tab/>
        <w:t xml:space="preserve">[Section 12A inserted by No. 50 of 1978 s. 7; amended by No. 76 of 2003 s. 15; </w:t>
      </w:r>
      <w:r>
        <w:rPr>
          <w:spacing w:val="-6"/>
        </w:rPr>
        <w:t xml:space="preserve">No. 34 of 2004 </w:t>
      </w:r>
      <w:del w:id="123" w:author="svcMRProcess" w:date="2015-11-05T13:31:00Z">
        <w:r>
          <w:rPr>
            <w:spacing w:val="-6"/>
          </w:rPr>
          <w:delText>s. </w:delText>
        </w:r>
        <w:r>
          <w:delText>251</w:delText>
        </w:r>
      </w:del>
      <w:ins w:id="124" w:author="svcMRProcess" w:date="2015-11-05T13:31:00Z">
        <w:r>
          <w:rPr>
            <w:spacing w:val="-6"/>
          </w:rPr>
          <w:t>Sch. 2 cl. 19</w:t>
        </w:r>
      </w:ins>
      <w:r>
        <w:t>.]</w:t>
      </w:r>
    </w:p>
    <w:p>
      <w:pPr>
        <w:pStyle w:val="Heading5"/>
        <w:rPr>
          <w:snapToGrid w:val="0"/>
        </w:rPr>
      </w:pPr>
      <w:bookmarkStart w:id="125" w:name="_Toc13119872"/>
      <w:bookmarkStart w:id="126" w:name="_Toc298848684"/>
      <w:bookmarkStart w:id="127" w:name="_Toc278980731"/>
      <w:r>
        <w:rPr>
          <w:rStyle w:val="CharSectno"/>
        </w:rPr>
        <w:t>12B</w:t>
      </w:r>
      <w:r>
        <w:rPr>
          <w:snapToGrid w:val="0"/>
        </w:rPr>
        <w:t>.</w:t>
      </w:r>
      <w:r>
        <w:rPr>
          <w:snapToGrid w:val="0"/>
        </w:rPr>
        <w:tab/>
      </w:r>
      <w:bookmarkEnd w:id="125"/>
      <w:del w:id="128" w:author="svcMRProcess" w:date="2015-11-05T13:31:00Z">
        <w:r>
          <w:rPr>
            <w:snapToGrid w:val="0"/>
          </w:rPr>
          <w:delText>Provisions</w:delText>
        </w:r>
      </w:del>
      <w:ins w:id="129" w:author="svcMRProcess" w:date="2015-11-05T13:31:00Z">
        <w:r>
          <w:rPr>
            <w:snapToGrid w:val="0"/>
          </w:rPr>
          <w:t>Animals, evidentiary provisions</w:t>
        </w:r>
      </w:ins>
      <w:r>
        <w:rPr>
          <w:snapToGrid w:val="0"/>
        </w:rPr>
        <w:t xml:space="preserve"> as to</w:t>
      </w:r>
      <w:bookmarkEnd w:id="126"/>
      <w:del w:id="130" w:author="svcMRProcess" w:date="2015-11-05T13:31:00Z">
        <w:r>
          <w:rPr>
            <w:snapToGrid w:val="0"/>
          </w:rPr>
          <w:delText xml:space="preserve"> ownership and control of animals</w:delText>
        </w:r>
      </w:del>
      <w:bookmarkEnd w:id="127"/>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131" w:name="_Toc298848685"/>
      <w:bookmarkStart w:id="132" w:name="_Toc278980732"/>
      <w:bookmarkStart w:id="133" w:name="_Toc13119874"/>
      <w:r>
        <w:rPr>
          <w:rStyle w:val="CharSectno"/>
        </w:rPr>
        <w:t>13</w:t>
      </w:r>
      <w:r>
        <w:rPr>
          <w:snapToGrid w:val="0"/>
        </w:rPr>
        <w:t>.</w:t>
      </w:r>
      <w:r>
        <w:rPr>
          <w:snapToGrid w:val="0"/>
        </w:rPr>
        <w:tab/>
        <w:t xml:space="preserve">Protection from </w:t>
      </w:r>
      <w:ins w:id="134" w:author="svcMRProcess" w:date="2015-11-05T13:31:00Z">
        <w:r>
          <w:rPr>
            <w:snapToGrid w:val="0"/>
          </w:rPr>
          <w:t xml:space="preserve">personal </w:t>
        </w:r>
      </w:ins>
      <w:r>
        <w:rPr>
          <w:snapToGrid w:val="0"/>
        </w:rPr>
        <w:t>liability</w:t>
      </w:r>
      <w:bookmarkEnd w:id="131"/>
      <w:bookmarkEnd w:id="13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135" w:name="_Toc278980733"/>
      <w:bookmarkStart w:id="136" w:name="_Toc298848686"/>
      <w:r>
        <w:rPr>
          <w:rStyle w:val="CharSectno"/>
        </w:rPr>
        <w:t>14</w:t>
      </w:r>
      <w:r>
        <w:rPr>
          <w:snapToGrid w:val="0"/>
        </w:rPr>
        <w:t>.</w:t>
      </w:r>
      <w:r>
        <w:rPr>
          <w:snapToGrid w:val="0"/>
        </w:rPr>
        <w:tab/>
      </w:r>
      <w:bookmarkEnd w:id="133"/>
      <w:del w:id="137" w:author="svcMRProcess" w:date="2015-11-05T13:31:00Z">
        <w:r>
          <w:rPr>
            <w:snapToGrid w:val="0"/>
          </w:rPr>
          <w:delText>Proceedings by way of notice</w:delText>
        </w:r>
      </w:del>
      <w:bookmarkEnd w:id="135"/>
      <w:ins w:id="138" w:author="svcMRProcess" w:date="2015-11-05T13:31:00Z">
        <w:r>
          <w:rPr>
            <w:snapToGrid w:val="0"/>
          </w:rPr>
          <w:t>Infringement notices</w:t>
        </w:r>
      </w:ins>
      <w:bookmarkEnd w:id="136"/>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139" w:name="_Toc298848687"/>
      <w:bookmarkStart w:id="140" w:name="_Toc278980734"/>
      <w:r>
        <w:rPr>
          <w:rStyle w:val="CharSectno"/>
        </w:rPr>
        <w:t>15</w:t>
      </w:r>
      <w:r>
        <w:t>.</w:t>
      </w:r>
      <w:r>
        <w:tab/>
        <w:t>Arrangements for staff before dissolution of Boards that are bodies corporate</w:t>
      </w:r>
      <w:bookmarkEnd w:id="139"/>
      <w:bookmarkEnd w:id="140"/>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by No. 76 of 2003 s. 16; amended by No. 39 of 2010 s. 89.]</w:t>
      </w:r>
    </w:p>
    <w:p>
      <w:pPr>
        <w:pStyle w:val="Heading5"/>
      </w:pPr>
      <w:bookmarkStart w:id="141" w:name="_Toc298848688"/>
      <w:bookmarkStart w:id="142" w:name="_Toc278980735"/>
      <w:r>
        <w:rPr>
          <w:rStyle w:val="CharSectno"/>
        </w:rPr>
        <w:t>16</w:t>
      </w:r>
      <w:r>
        <w:t>.</w:t>
      </w:r>
      <w:r>
        <w:tab/>
        <w:t>Regulations as to matters consequent on dissolution of Boards that are bodies corporate</w:t>
      </w:r>
      <w:bookmarkEnd w:id="141"/>
      <w:bookmarkEnd w:id="142"/>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143" w:name="_Toc298848689"/>
      <w:bookmarkStart w:id="144" w:name="_Toc278980736"/>
      <w:r>
        <w:rPr>
          <w:rStyle w:val="CharSectno"/>
        </w:rPr>
        <w:t>17</w:t>
      </w:r>
      <w:r>
        <w:t>.</w:t>
      </w:r>
      <w:r>
        <w:tab/>
        <w:t>Exemption from State taxation in relation to dissolution of Boards that are bodies corporate</w:t>
      </w:r>
      <w:bookmarkEnd w:id="143"/>
      <w:bookmarkEnd w:id="144"/>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 xml:space="preserve">[Section 17 inserted by No. 76 of 2003 s. 16; amended by No. 12 of 2008 </w:t>
      </w:r>
      <w:del w:id="145" w:author="svcMRProcess" w:date="2015-11-05T13:31:00Z">
        <w:r>
          <w:delText>s. 52</w:delText>
        </w:r>
      </w:del>
      <w:ins w:id="146" w:author="svcMRProcess" w:date="2015-11-05T13:31:00Z">
        <w:r>
          <w:t>Sch. 1 cl. 26</w:t>
        </w:r>
      </w:ins>
      <w: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7" w:name="_Toc118776456"/>
      <w:bookmarkStart w:id="148" w:name="_Toc119139362"/>
      <w:bookmarkStart w:id="149" w:name="_Toc121814788"/>
      <w:bookmarkStart w:id="150" w:name="_Toc121903343"/>
      <w:bookmarkStart w:id="151" w:name="_Toc122141923"/>
      <w:bookmarkStart w:id="152" w:name="_Toc122227165"/>
      <w:bookmarkStart w:id="153" w:name="_Toc124218852"/>
      <w:bookmarkStart w:id="154" w:name="_Toc125882399"/>
      <w:bookmarkStart w:id="155" w:name="_Toc128475661"/>
      <w:bookmarkStart w:id="156" w:name="_Toc129076108"/>
      <w:bookmarkStart w:id="157" w:name="_Toc157928001"/>
      <w:bookmarkStart w:id="158" w:name="_Toc196194275"/>
      <w:bookmarkStart w:id="159" w:name="_Toc202180858"/>
      <w:bookmarkStart w:id="160" w:name="_Toc268183578"/>
      <w:bookmarkStart w:id="161" w:name="_Toc268184175"/>
      <w:bookmarkStart w:id="162" w:name="_Toc272240730"/>
      <w:bookmarkStart w:id="163" w:name="_Toc274303680"/>
      <w:bookmarkStart w:id="164" w:name="_Toc278980737"/>
      <w:bookmarkStart w:id="165" w:name="_Toc294278743"/>
      <w:bookmarkStart w:id="166" w:name="_Toc294510855"/>
      <w:bookmarkStart w:id="167" w:name="_Toc296676234"/>
      <w:bookmarkStart w:id="168" w:name="_Toc296676910"/>
      <w:bookmarkStart w:id="169" w:name="_Toc298848690"/>
      <w:r>
        <w:rPr>
          <w:rStyle w:val="CharSchNo"/>
        </w:rPr>
        <w:t>Schedule</w:t>
      </w:r>
      <w:bookmarkEnd w:id="147"/>
      <w:bookmarkEnd w:id="148"/>
      <w:bookmarkEnd w:id="149"/>
      <w:bookmarkEnd w:id="150"/>
      <w:bookmarkEnd w:id="151"/>
      <w:bookmarkEnd w:id="152"/>
      <w:bookmarkEnd w:id="153"/>
      <w:bookmarkEnd w:id="154"/>
      <w:bookmarkEnd w:id="155"/>
      <w:bookmarkEnd w:id="156"/>
      <w:bookmarkEnd w:id="157"/>
      <w:bookmarkEnd w:id="158"/>
      <w:bookmarkEnd w:id="159"/>
      <w:r>
        <w:t xml:space="preserve"> — </w:t>
      </w:r>
      <w:r>
        <w:rPr>
          <w:rStyle w:val="CharSchText"/>
        </w:rPr>
        <w:t>Form of certificate of authority</w:t>
      </w:r>
      <w:bookmarkEnd w:id="160"/>
      <w:bookmarkEnd w:id="161"/>
      <w:bookmarkEnd w:id="162"/>
      <w:bookmarkEnd w:id="163"/>
      <w:bookmarkEnd w:id="164"/>
      <w:bookmarkEnd w:id="165"/>
      <w:bookmarkEnd w:id="166"/>
      <w:bookmarkEnd w:id="167"/>
      <w:bookmarkEnd w:id="168"/>
      <w:bookmarkEnd w:id="169"/>
    </w:p>
    <w:p>
      <w:pPr>
        <w:pStyle w:val="yShoulderClause"/>
        <w:rPr>
          <w:snapToGrid w:val="0"/>
        </w:rPr>
      </w:pPr>
      <w:r>
        <w:rPr>
          <w:snapToGrid w:val="0"/>
        </w:rPr>
        <w:t>[s. 7B]</w:t>
      </w:r>
    </w:p>
    <w:p>
      <w:pPr>
        <w:pStyle w:val="yFootnotesection"/>
      </w:pPr>
      <w:r>
        <w:tab/>
        <w:t>[Heading amended by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pStyle w:val="CentredBaseLine"/>
        <w:jc w:val="center"/>
        <w:rPr>
          <w:ins w:id="170" w:author="svcMRProcess" w:date="2015-11-05T13:31:00Z"/>
        </w:rPr>
      </w:pPr>
      <w:ins w:id="171" w:author="svcMRProcess" w:date="2015-11-05T13:3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Heading2"/>
      </w:pPr>
      <w:bookmarkStart w:id="172" w:name="UpToHere"/>
      <w:bookmarkStart w:id="173" w:name="_Toc86554423"/>
      <w:bookmarkStart w:id="174" w:name="_Toc89238996"/>
      <w:bookmarkStart w:id="175" w:name="_Toc89512946"/>
      <w:bookmarkStart w:id="176" w:name="_Toc118536521"/>
      <w:bookmarkStart w:id="177" w:name="_Toc118776457"/>
      <w:bookmarkStart w:id="178" w:name="_Toc119139363"/>
      <w:bookmarkStart w:id="179" w:name="_Toc121814789"/>
      <w:bookmarkStart w:id="180" w:name="_Toc121903344"/>
      <w:bookmarkStart w:id="181" w:name="_Toc122141924"/>
      <w:bookmarkStart w:id="182" w:name="_Toc122227166"/>
      <w:bookmarkStart w:id="183" w:name="_Toc124218853"/>
      <w:bookmarkStart w:id="184" w:name="_Toc125882400"/>
      <w:bookmarkStart w:id="185" w:name="_Toc128475662"/>
      <w:bookmarkStart w:id="186" w:name="_Toc129076109"/>
      <w:bookmarkStart w:id="187" w:name="_Toc157928002"/>
      <w:bookmarkStart w:id="188" w:name="_Toc196194276"/>
      <w:bookmarkStart w:id="189" w:name="_Toc202180859"/>
      <w:bookmarkStart w:id="190" w:name="_Toc268183579"/>
      <w:bookmarkStart w:id="191" w:name="_Toc268184176"/>
      <w:bookmarkStart w:id="192" w:name="_Toc272240731"/>
      <w:bookmarkStart w:id="193" w:name="_Toc274303681"/>
      <w:bookmarkStart w:id="194" w:name="_Toc278980738"/>
      <w:bookmarkStart w:id="195" w:name="_Toc294278744"/>
      <w:bookmarkStart w:id="196" w:name="_Toc294510856"/>
      <w:bookmarkStart w:id="197" w:name="_Toc296676235"/>
      <w:bookmarkStart w:id="198" w:name="_Toc296676911"/>
      <w:bookmarkStart w:id="199" w:name="_Toc298848691"/>
      <w:bookmarkEnd w:id="172"/>
      <w:r>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w:t>
      </w:r>
      <w:ins w:id="200" w:author="svcMRProcess" w:date="2015-11-05T13:31:00Z">
        <w:r>
          <w:rPr>
            <w:snapToGrid w:val="0"/>
          </w:rPr>
          <w:t xml:space="preserve">reprint </w:t>
        </w:r>
      </w:ins>
      <w:r>
        <w:rPr>
          <w:snapToGrid w:val="0"/>
        </w:rPr>
        <w:t xml:space="preserve">is a compilation </w:t>
      </w:r>
      <w:ins w:id="201" w:author="svcMRProcess" w:date="2015-11-05T13:31:00Z">
        <w:r>
          <w:rPr>
            <w:snapToGrid w:val="0"/>
          </w:rPr>
          <w:t xml:space="preserve">as at 1 July 2011 </w:t>
        </w:r>
      </w:ins>
      <w:r>
        <w:rPr>
          <w:snapToGrid w:val="0"/>
        </w:rPr>
        <w:t xml:space="preserve">of the </w:t>
      </w:r>
      <w:r>
        <w:rPr>
          <w:i/>
          <w:noProof/>
          <w:snapToGrid w:val="0"/>
        </w:rPr>
        <w:t>Parks and Reserves Act</w:t>
      </w:r>
      <w:del w:id="202" w:author="svcMRProcess" w:date="2015-11-05T13:31:00Z">
        <w:r>
          <w:rPr>
            <w:i/>
            <w:noProof/>
            <w:snapToGrid w:val="0"/>
          </w:rPr>
          <w:delText> </w:delText>
        </w:r>
      </w:del>
      <w:ins w:id="203" w:author="svcMRProcess" w:date="2015-11-05T13:31:00Z">
        <w:r>
          <w:rPr>
            <w:i/>
            <w:noProof/>
            <w:snapToGrid w:val="0"/>
          </w:rPr>
          <w:t xml:space="preserve"> </w:t>
        </w:r>
      </w:ins>
      <w:r>
        <w:rPr>
          <w:i/>
          <w:noProof/>
          <w:snapToGrid w:val="0"/>
        </w:rPr>
        <w:t>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4" w:name="_Toc298848692"/>
      <w:bookmarkStart w:id="205" w:name="_Toc278980739"/>
      <w:r>
        <w:rPr>
          <w:snapToGrid w:val="0"/>
        </w:rPr>
        <w:t>Compilation table</w:t>
      </w:r>
      <w:bookmarkEnd w:id="204"/>
      <w:bookmarkEnd w:id="20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pPr>
              <w:pStyle w:val="nTable"/>
              <w:spacing w:after="40"/>
              <w:rPr>
                <w:sz w:val="19"/>
              </w:rPr>
            </w:pPr>
            <w:r>
              <w:rPr>
                <w:sz w:val="19"/>
              </w:rPr>
              <w:t>30 of 1895</w:t>
            </w:r>
            <w:ins w:id="206" w:author="svcMRProcess" w:date="2015-11-05T13:31:00Z">
              <w:r>
                <w:rPr>
                  <w:sz w:val="19"/>
                </w:rPr>
                <w:br/>
                <w:t>(59 Vict. No. 30)</w:t>
              </w:r>
            </w:ins>
          </w:p>
        </w:tc>
        <w:tc>
          <w:tcPr>
            <w:tcW w:w="1134" w:type="dxa"/>
            <w:tcBorders>
              <w:top w:val="single" w:sz="8" w:space="0" w:color="auto"/>
            </w:tcBorders>
          </w:tcPr>
          <w:p>
            <w:pPr>
              <w:pStyle w:val="nTable"/>
              <w:spacing w:after="40"/>
              <w:rPr>
                <w:sz w:val="19"/>
              </w:rPr>
            </w:pPr>
            <w:r>
              <w:rPr>
                <w:sz w:val="19"/>
              </w:rPr>
              <w:t>12 Oct 1895</w:t>
            </w:r>
          </w:p>
        </w:tc>
        <w:tc>
          <w:tcPr>
            <w:tcW w:w="2552"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ins w:id="207" w:author="svcMRProcess" w:date="2015-11-05T13:31:00Z">
              <w:r>
                <w:rPr>
                  <w:sz w:val="19"/>
                </w:rPr>
                <w:br/>
                <w:t>(11 and 12 Geo. VI No. 60)</w:t>
              </w:r>
            </w:ins>
          </w:p>
        </w:tc>
        <w:tc>
          <w:tcPr>
            <w:tcW w:w="1134" w:type="dxa"/>
          </w:tcPr>
          <w:p>
            <w:pPr>
              <w:pStyle w:val="nTable"/>
              <w:spacing w:after="40"/>
              <w:rPr>
                <w:sz w:val="19"/>
              </w:rPr>
            </w:pPr>
            <w:r>
              <w:rPr>
                <w:sz w:val="19"/>
              </w:rPr>
              <w:t>10 Jan 1948</w:t>
            </w:r>
          </w:p>
        </w:tc>
        <w:tc>
          <w:tcPr>
            <w:tcW w:w="2552"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ins w:id="208" w:author="svcMRProcess" w:date="2015-11-05T13:31:00Z">
              <w:r>
                <w:rPr>
                  <w:sz w:val="19"/>
                </w:rPr>
                <w:br/>
                <w:t>(3 Eliz. II No. 59)</w:t>
              </w:r>
            </w:ins>
          </w:p>
        </w:tc>
        <w:tc>
          <w:tcPr>
            <w:tcW w:w="1134" w:type="dxa"/>
          </w:tcPr>
          <w:p>
            <w:pPr>
              <w:pStyle w:val="nTable"/>
              <w:spacing w:after="40"/>
              <w:rPr>
                <w:sz w:val="19"/>
              </w:rPr>
            </w:pPr>
            <w:r>
              <w:rPr>
                <w:sz w:val="19"/>
              </w:rPr>
              <w:t>30 Dec 1954</w:t>
            </w:r>
          </w:p>
        </w:tc>
        <w:tc>
          <w:tcPr>
            <w:tcW w:w="2552"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ins w:id="209" w:author="svcMRProcess" w:date="2015-11-05T13:31:00Z">
              <w:r>
                <w:rPr>
                  <w:sz w:val="19"/>
                </w:rPr>
                <w:br/>
                <w:t>(4 Eliz. II No. 17)</w:t>
              </w:r>
            </w:ins>
          </w:p>
        </w:tc>
        <w:tc>
          <w:tcPr>
            <w:tcW w:w="1134" w:type="dxa"/>
          </w:tcPr>
          <w:p>
            <w:pPr>
              <w:pStyle w:val="nTable"/>
              <w:spacing w:after="40"/>
              <w:rPr>
                <w:sz w:val="19"/>
              </w:rPr>
            </w:pPr>
            <w:r>
              <w:rPr>
                <w:sz w:val="19"/>
              </w:rPr>
              <w:t>1 Nov 1955</w:t>
            </w:r>
          </w:p>
        </w:tc>
        <w:tc>
          <w:tcPr>
            <w:tcW w:w="2552" w:type="dxa"/>
          </w:tcPr>
          <w:p>
            <w:pPr>
              <w:pStyle w:val="nTable"/>
              <w:spacing w:after="40"/>
              <w:rPr>
                <w:sz w:val="19"/>
              </w:rPr>
            </w:pPr>
            <w:r>
              <w:rPr>
                <w:sz w:val="19"/>
              </w:rPr>
              <w:t>1 Nov 1955</w:t>
            </w:r>
          </w:p>
        </w:tc>
      </w:tr>
      <w:tr>
        <w:trPr>
          <w:cantSplit/>
        </w:trPr>
        <w:tc>
          <w:tcPr>
            <w:tcW w:w="7088"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ins w:id="210" w:author="svcMRProcess" w:date="2015-11-05T13:31:00Z">
              <w:r>
                <w:rPr>
                  <w:sz w:val="19"/>
                </w:rPr>
                <w:br/>
                <w:t>(12 Eliz. II No. 40)</w:t>
              </w:r>
            </w:ins>
          </w:p>
        </w:tc>
        <w:tc>
          <w:tcPr>
            <w:tcW w:w="1134" w:type="dxa"/>
          </w:tcPr>
          <w:p>
            <w:pPr>
              <w:pStyle w:val="nTable"/>
              <w:spacing w:after="40"/>
              <w:rPr>
                <w:sz w:val="19"/>
              </w:rPr>
            </w:pPr>
            <w:r>
              <w:rPr>
                <w:sz w:val="19"/>
              </w:rPr>
              <w:t>25 Nov 1963</w:t>
            </w:r>
          </w:p>
        </w:tc>
        <w:tc>
          <w:tcPr>
            <w:tcW w:w="2552"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2"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6 Sep 1978</w:t>
            </w:r>
          </w:p>
        </w:tc>
      </w:tr>
      <w:tr>
        <w:trPr>
          <w:cantSplit/>
        </w:trPr>
        <w:tc>
          <w:tcPr>
            <w:tcW w:w="7088"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2"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2"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2"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2"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8"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del w:id="211" w:author="svcMRProcess" w:date="2015-11-05T13:31:00Z">
              <w:r>
                <w:rPr>
                  <w:sz w:val="19"/>
                </w:rPr>
                <w:delText>s. 96</w:delText>
              </w:r>
            </w:del>
            <w:ins w:id="212" w:author="svcMRProcess" w:date="2015-11-05T13:31:00Z">
              <w:r>
                <w:rPr>
                  <w:sz w:val="19"/>
                </w:rPr>
                <w:t>Sch. 2 cl. 4</w:t>
              </w:r>
            </w:ins>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w:t>
            </w:r>
            <w:del w:id="213" w:author="svcMRProcess" w:date="2015-11-05T13:31:00Z">
              <w:r>
                <w:rPr>
                  <w:snapToGrid w:val="0"/>
                  <w:sz w:val="19"/>
                  <w:lang w:val="en-US"/>
                </w:rPr>
                <w:delText>s. 251</w:delText>
              </w:r>
            </w:del>
            <w:ins w:id="214" w:author="svcMRProcess" w:date="2015-11-05T13:31:00Z">
              <w:r>
                <w:rPr>
                  <w:snapToGrid w:val="0"/>
                  <w:sz w:val="19"/>
                  <w:lang w:val="en-US"/>
                </w:rPr>
                <w:t>Sch. 2 cl. 19</w:t>
              </w:r>
            </w:ins>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del w:id="215" w:author="svcMRProcess" w:date="2015-11-05T13:31:00Z">
              <w:r>
                <w:rPr>
                  <w:snapToGrid w:val="0"/>
                  <w:sz w:val="19"/>
                  <w:lang w:val="en-US"/>
                </w:rPr>
                <w:delText>s. 17</w:delText>
              </w:r>
            </w:del>
            <w:ins w:id="216" w:author="svcMRProcess" w:date="2015-11-05T13:31:00Z">
              <w:r>
                <w:rPr>
                  <w:snapToGrid w:val="0"/>
                  <w:sz w:val="19"/>
                  <w:lang w:val="en-US"/>
                </w:rPr>
                <w:t>Sch. 1 cl. 117</w:t>
              </w:r>
            </w:ins>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1 Feb 2007 (see s. 2</w:t>
            </w:r>
            <w:ins w:id="217" w:author="svcMRProcess" w:date="2015-11-05T13:31: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w:t>
            </w:r>
            <w:del w:id="218" w:author="svcMRProcess" w:date="2015-11-05T13:31:00Z">
              <w:r>
                <w:rPr>
                  <w:iCs/>
                  <w:sz w:val="19"/>
                </w:rPr>
                <w:delText>s. 52 </w:delText>
              </w:r>
            </w:del>
            <w:ins w:id="219" w:author="svcMRProcess" w:date="2015-11-05T13:31:00Z">
              <w:r>
                <w:rPr>
                  <w:iCs/>
                  <w:sz w:val="19"/>
                </w:rPr>
                <w:t>Sch. 1 cl. 26</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220" w:author="svcMRProcess" w:date="2015-11-05T13:31:00Z"/>
        </w:trPr>
        <w:tc>
          <w:tcPr>
            <w:tcW w:w="7088" w:type="dxa"/>
            <w:gridSpan w:val="4"/>
            <w:tcBorders>
              <w:bottom w:val="single" w:sz="8" w:space="0" w:color="auto"/>
            </w:tcBorders>
          </w:tcPr>
          <w:p>
            <w:pPr>
              <w:pStyle w:val="nTable"/>
              <w:spacing w:after="40"/>
              <w:rPr>
                <w:ins w:id="221" w:author="svcMRProcess" w:date="2015-11-05T13:31:00Z"/>
                <w:snapToGrid w:val="0"/>
                <w:sz w:val="19"/>
                <w:lang w:val="en-US"/>
              </w:rPr>
            </w:pPr>
            <w:ins w:id="222" w:author="svcMRProcess" w:date="2015-11-05T13:31:00Z">
              <w:r>
                <w:rPr>
                  <w:b/>
                  <w:sz w:val="19"/>
                </w:rPr>
                <w:t xml:space="preserve">Reprint 5: The </w:t>
              </w:r>
              <w:r>
                <w:rPr>
                  <w:b/>
                  <w:i/>
                  <w:sz w:val="19"/>
                </w:rPr>
                <w:t>Parks and Reserves Act 1895</w:t>
              </w:r>
              <w:r>
                <w:rPr>
                  <w:b/>
                  <w:sz w:val="19"/>
                </w:rPr>
                <w:t xml:space="preserve"> as at 1 Jul 2011</w:t>
              </w:r>
              <w:r>
                <w:rPr>
                  <w:sz w:val="19"/>
                </w:rPr>
                <w:t xml:space="preserve"> </w:t>
              </w:r>
              <w:r>
                <w:rPr>
                  <w:rFonts w:ascii="Times" w:hAnsi="Times"/>
                  <w:sz w:val="19"/>
                </w:rPr>
                <w:t>(includes amendments</w:t>
              </w:r>
              <w:r>
                <w:rPr>
                  <w:sz w:val="19"/>
                </w:rPr>
                <w:t xml:space="preserve"> listed above)</w:t>
              </w:r>
            </w:ins>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rPr>
          <w:del w:id="223" w:author="svcMRProcess" w:date="2015-11-05T13:31:00Z"/>
        </w:rPr>
      </w:pPr>
      <w:bookmarkStart w:id="224" w:name="AutoSch"/>
      <w:bookmarkEnd w:id="224"/>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6550</Words>
  <Characters>29610</Characters>
  <Application>Microsoft Office Word</Application>
  <DocSecurity>0</DocSecurity>
  <Lines>870</Lines>
  <Paragraphs>440</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04-k0-01 - 05-a0-01</dc:title>
  <dc:subject/>
  <dc:creator/>
  <cp:keywords/>
  <dc:description/>
  <cp:lastModifiedBy>svcMRProcess</cp:lastModifiedBy>
  <cp:revision>2</cp:revision>
  <cp:lastPrinted>2011-07-19T06:22:00Z</cp:lastPrinted>
  <dcterms:created xsi:type="dcterms:W3CDTF">2015-11-05T05:31:00Z</dcterms:created>
  <dcterms:modified xsi:type="dcterms:W3CDTF">2015-11-05T05:32:00Z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568</vt:i4>
  </property>
  <property fmtid="{D5CDD505-2E9C-101B-9397-08002B2CF9AE}" pid="6" name="ReprintNo">
    <vt:lpwstr>5</vt:lpwstr>
  </property>
  <property fmtid="{D5CDD505-2E9C-101B-9397-08002B2CF9AE}" pid="7" name="ReprintedAsAt">
    <vt:filetime>2011-06-30T16:00:00Z</vt:filetime>
  </property>
  <property fmtid="{D5CDD505-2E9C-101B-9397-08002B2CF9AE}" pid="8" name="FromSuffix">
    <vt:lpwstr>04-k0-01</vt:lpwstr>
  </property>
  <property fmtid="{D5CDD505-2E9C-101B-9397-08002B2CF9AE}" pid="9" name="FromAsAtDate">
    <vt:lpwstr>01 Dec 2010</vt:lpwstr>
  </property>
  <property fmtid="{D5CDD505-2E9C-101B-9397-08002B2CF9AE}" pid="10" name="ToSuffix">
    <vt:lpwstr>05-a0-01</vt:lpwstr>
  </property>
  <property fmtid="{D5CDD505-2E9C-101B-9397-08002B2CF9AE}" pid="11" name="ToAsAtDate">
    <vt:lpwstr>01 Jul 2011</vt:lpwstr>
  </property>
</Properties>
</file>