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Hire-Purchase Act 1959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Feb 2011</w:t>
      </w:r>
      <w:r>
        <w:fldChar w:fldCharType="end"/>
      </w:r>
      <w:r>
        <w:t xml:space="preserve">, </w:t>
      </w:r>
      <w:r>
        <w:fldChar w:fldCharType="begin"/>
      </w:r>
      <w:r>
        <w:instrText xml:space="preserve"> DocProperty FromSuffix </w:instrText>
      </w:r>
      <w:r>
        <w:fldChar w:fldCharType="separate"/>
      </w:r>
      <w:r>
        <w:t>08-a0-02</w:t>
      </w:r>
      <w:r>
        <w:fldChar w:fldCharType="end"/>
      </w:r>
      <w:r>
        <w:t>] and [</w:t>
      </w:r>
      <w:r>
        <w:fldChar w:fldCharType="begin"/>
      </w:r>
      <w:r>
        <w:instrText xml:space="preserve"> DocProperty ToAsAtDate</w:instrText>
      </w:r>
      <w:r>
        <w:fldChar w:fldCharType="separate"/>
      </w:r>
      <w:r>
        <w:t>04 Oct 2011</w:t>
      </w:r>
      <w:r>
        <w:fldChar w:fldCharType="end"/>
      </w:r>
      <w:r>
        <w:t xml:space="preserve">, </w:t>
      </w:r>
      <w:r>
        <w:fldChar w:fldCharType="begin"/>
      </w:r>
      <w:r>
        <w:instrText xml:space="preserve"> DocProperty ToSuffix</w:instrText>
      </w:r>
      <w:r>
        <w:fldChar w:fldCharType="separate"/>
      </w:r>
      <w:r>
        <w:t>08-b0-02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20-02-17T02:18:00Z"/>
        </w:trPr>
        <w:tc>
          <w:tcPr>
            <w:tcW w:w="2434" w:type="dxa"/>
            <w:vMerge w:val="restart"/>
          </w:tcPr>
          <w:p>
            <w:pPr>
              <w:rPr>
                <w:del w:id="1" w:author="svcMRProcess" w:date="2020-02-17T02:18:00Z"/>
              </w:rPr>
            </w:pPr>
          </w:p>
        </w:tc>
        <w:tc>
          <w:tcPr>
            <w:tcW w:w="2434" w:type="dxa"/>
            <w:vMerge w:val="restart"/>
          </w:tcPr>
          <w:p>
            <w:pPr>
              <w:jc w:val="center"/>
              <w:rPr>
                <w:del w:id="2" w:author="svcMRProcess" w:date="2020-02-17T02:18:00Z"/>
              </w:rPr>
            </w:pPr>
            <w:del w:id="3" w:author="svcMRProcess" w:date="2020-02-17T02:18:00Z">
              <w:r>
                <w:rPr>
                  <w:noProof/>
                  <w:lang w:eastAsia="en-AU"/>
                </w:rPr>
                <w:drawing>
                  <wp:inline distT="0" distB="0" distL="0" distR="0">
                    <wp:extent cx="533400" cy="469900"/>
                    <wp:effectExtent l="0" t="0" r="0" b="635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del>
          </w:p>
        </w:tc>
        <w:tc>
          <w:tcPr>
            <w:tcW w:w="2434" w:type="dxa"/>
          </w:tcPr>
          <w:p>
            <w:pPr>
              <w:rPr>
                <w:del w:id="4" w:author="svcMRProcess" w:date="2020-02-17T02:18:00Z"/>
              </w:rPr>
            </w:pPr>
            <w:del w:id="5" w:author="svcMRProcess" w:date="2020-02-17T02:18:00Z">
              <w:r>
                <w:rPr>
                  <w:b/>
                  <w:sz w:val="22"/>
                </w:rPr>
                <w:delText xml:space="preserve">Reprinted under the </w:delText>
              </w:r>
              <w:r>
                <w:rPr>
                  <w:b/>
                  <w:i/>
                  <w:sz w:val="22"/>
                </w:rPr>
                <w:delText>Reprints Act 1984</w:delText>
              </w:r>
              <w:r>
                <w:rPr>
                  <w:b/>
                  <w:sz w:val="22"/>
                </w:rPr>
                <w:delText xml:space="preserve"> as</w:delText>
              </w:r>
            </w:del>
          </w:p>
        </w:tc>
      </w:tr>
      <w:tr>
        <w:trPr>
          <w:cantSplit/>
          <w:del w:id="6" w:author="svcMRProcess" w:date="2020-02-17T02:18:00Z"/>
        </w:trPr>
        <w:tc>
          <w:tcPr>
            <w:tcW w:w="2434" w:type="dxa"/>
            <w:vMerge/>
          </w:tcPr>
          <w:p>
            <w:pPr>
              <w:rPr>
                <w:del w:id="7" w:author="svcMRProcess" w:date="2020-02-17T02:18:00Z"/>
              </w:rPr>
            </w:pPr>
          </w:p>
        </w:tc>
        <w:tc>
          <w:tcPr>
            <w:tcW w:w="2434" w:type="dxa"/>
            <w:vMerge/>
          </w:tcPr>
          <w:p>
            <w:pPr>
              <w:jc w:val="center"/>
              <w:rPr>
                <w:del w:id="8" w:author="svcMRProcess" w:date="2020-02-17T02:18:00Z"/>
              </w:rPr>
            </w:pPr>
          </w:p>
        </w:tc>
        <w:tc>
          <w:tcPr>
            <w:tcW w:w="2434" w:type="dxa"/>
          </w:tcPr>
          <w:p>
            <w:pPr>
              <w:keepNext/>
              <w:rPr>
                <w:del w:id="9" w:author="svcMRProcess" w:date="2020-02-17T02:18:00Z"/>
                <w:b/>
                <w:sz w:val="22"/>
              </w:rPr>
            </w:pPr>
            <w:del w:id="10" w:author="svcMRProcess" w:date="2020-02-17T02:18:00Z">
              <w:r>
                <w:rPr>
                  <w:b/>
                  <w:sz w:val="22"/>
                </w:rPr>
                <w:delText>at 18</w:delText>
              </w:r>
              <w:r>
                <w:rPr>
                  <w:b/>
                  <w:snapToGrid w:val="0"/>
                  <w:sz w:val="22"/>
                </w:rPr>
                <w:delText xml:space="preserve"> February 2011</w:delText>
              </w:r>
            </w:del>
          </w:p>
        </w:tc>
      </w:tr>
    </w:tbl>
    <w:p>
      <w:pPr>
        <w:pStyle w:val="WA"/>
        <w:spacing w:before="120"/>
      </w:pPr>
      <w:r>
        <w:t>Western Australia</w:t>
      </w:r>
    </w:p>
    <w:p>
      <w:pPr>
        <w:pStyle w:val="NameofActReg"/>
        <w:spacing w:before="1920" w:after="1000"/>
      </w:pPr>
      <w:r>
        <w:t>Hire</w:t>
      </w:r>
      <w:r>
        <w:noBreakHyphen/>
        <w:t>Purchase Act 1959</w:t>
      </w:r>
    </w:p>
    <w:p>
      <w:pPr>
        <w:pStyle w:val="LongTitle"/>
        <w:spacing w:before="840"/>
        <w:rPr>
          <w:snapToGrid w:val="0"/>
        </w:rPr>
      </w:pPr>
      <w:r>
        <w:rPr>
          <w:snapToGrid w:val="0"/>
        </w:rPr>
        <w:t>A</w:t>
      </w:r>
      <w:bookmarkStart w:id="11" w:name="_GoBack"/>
      <w:bookmarkEnd w:id="11"/>
      <w:r>
        <w:rPr>
          <w:snapToGrid w:val="0"/>
        </w:rPr>
        <w:t>n Act to consolidate and amend the law relating to hire</w:t>
      </w:r>
      <w:r>
        <w:rPr>
          <w:snapToGrid w:val="0"/>
        </w:rPr>
        <w:noBreakHyphen/>
        <w:t>purchase.</w:t>
      </w:r>
    </w:p>
    <w:p>
      <w:pPr>
        <w:pStyle w:val="Heading2"/>
      </w:pPr>
      <w:bookmarkStart w:id="12" w:name="_Toc72200461"/>
      <w:bookmarkStart w:id="13" w:name="_Toc72200529"/>
      <w:bookmarkStart w:id="14" w:name="_Toc77655300"/>
      <w:bookmarkStart w:id="15" w:name="_Toc79372674"/>
      <w:bookmarkStart w:id="16" w:name="_Toc86551104"/>
      <w:bookmarkStart w:id="17" w:name="_Toc89521451"/>
      <w:bookmarkStart w:id="18" w:name="_Toc90954860"/>
      <w:bookmarkStart w:id="19" w:name="_Toc92858019"/>
      <w:bookmarkStart w:id="20" w:name="_Toc97107177"/>
      <w:bookmarkStart w:id="21" w:name="_Toc102365759"/>
      <w:bookmarkStart w:id="22" w:name="_Toc102883423"/>
      <w:bookmarkStart w:id="23" w:name="_Toc106763908"/>
      <w:bookmarkStart w:id="24" w:name="_Toc128471233"/>
      <w:bookmarkStart w:id="25" w:name="_Toc128471306"/>
      <w:bookmarkStart w:id="26" w:name="_Toc129066953"/>
      <w:bookmarkStart w:id="27" w:name="_Toc139355317"/>
      <w:bookmarkStart w:id="28" w:name="_Toc139447585"/>
      <w:bookmarkStart w:id="29" w:name="_Toc139447989"/>
      <w:bookmarkStart w:id="30" w:name="_Toc141245823"/>
      <w:bookmarkStart w:id="31" w:name="_Toc141763300"/>
      <w:bookmarkStart w:id="32" w:name="_Toc143314287"/>
      <w:bookmarkStart w:id="33" w:name="_Toc143405071"/>
      <w:bookmarkStart w:id="34" w:name="_Toc143405146"/>
      <w:bookmarkStart w:id="35" w:name="_Toc143405221"/>
      <w:bookmarkStart w:id="36" w:name="_Toc144024706"/>
      <w:bookmarkStart w:id="37" w:name="_Toc145732146"/>
      <w:bookmarkStart w:id="38" w:name="_Toc196122057"/>
      <w:bookmarkStart w:id="39" w:name="_Toc196801659"/>
      <w:bookmarkStart w:id="40" w:name="_Toc202172364"/>
      <w:bookmarkStart w:id="41" w:name="_Toc202172437"/>
      <w:bookmarkStart w:id="42" w:name="_Toc241048970"/>
      <w:bookmarkStart w:id="43" w:name="_Toc241051193"/>
      <w:bookmarkStart w:id="44" w:name="_Toc267489682"/>
      <w:bookmarkStart w:id="45" w:name="_Toc268264183"/>
      <w:bookmarkStart w:id="46" w:name="_Toc268264285"/>
      <w:bookmarkStart w:id="47" w:name="_Toc272150676"/>
      <w:bookmarkStart w:id="48" w:name="_Toc280092107"/>
      <w:bookmarkStart w:id="49" w:name="_Toc281485972"/>
      <w:bookmarkStart w:id="50" w:name="_Toc283882188"/>
      <w:bookmarkStart w:id="51" w:name="_Toc283890145"/>
      <w:bookmarkStart w:id="52" w:name="_Toc285445180"/>
      <w:bookmarkStart w:id="53" w:name="_Toc285446698"/>
      <w:bookmarkStart w:id="54" w:name="_Toc286309666"/>
      <w:bookmarkStart w:id="55" w:name="_Toc305751208"/>
      <w:r>
        <w:rPr>
          <w:rStyle w:val="CharPartNo"/>
        </w:rPr>
        <w:lastRenderedPageBreak/>
        <w:t>Part I</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pPr>
        <w:pStyle w:val="Heading5"/>
        <w:rPr>
          <w:snapToGrid w:val="0"/>
        </w:rPr>
      </w:pPr>
      <w:bookmarkStart w:id="56" w:name="_Toc459168235"/>
      <w:bookmarkStart w:id="57" w:name="_Toc71097090"/>
      <w:bookmarkStart w:id="58" w:name="_Toc72200462"/>
      <w:bookmarkStart w:id="59" w:name="_Toc102883424"/>
      <w:bookmarkStart w:id="60" w:name="_Toc128471234"/>
      <w:bookmarkStart w:id="61" w:name="_Toc305751209"/>
      <w:bookmarkStart w:id="62" w:name="_Toc286309667"/>
      <w:r>
        <w:rPr>
          <w:rStyle w:val="CharSectno"/>
        </w:rPr>
        <w:t>1</w:t>
      </w:r>
      <w:r>
        <w:rPr>
          <w:snapToGrid w:val="0"/>
        </w:rPr>
        <w:t>.</w:t>
      </w:r>
      <w:r>
        <w:rPr>
          <w:snapToGrid w:val="0"/>
        </w:rPr>
        <w:tab/>
        <w:t>Short title and commencement</w:t>
      </w:r>
      <w:bookmarkEnd w:id="56"/>
      <w:bookmarkEnd w:id="57"/>
      <w:bookmarkEnd w:id="58"/>
      <w:bookmarkEnd w:id="59"/>
      <w:bookmarkEnd w:id="60"/>
      <w:bookmarkEnd w:id="61"/>
      <w:bookmarkEnd w:id="62"/>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t>deleted]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[Section 1 amended by No. 1 of 1985 s. 19; No. 70 of 2003 s. 37.]</w:t>
      </w:r>
    </w:p>
    <w:p>
      <w:pPr>
        <w:pStyle w:val="Heading5"/>
      </w:pPr>
      <w:bookmarkStart w:id="63" w:name="_Toc71097091"/>
      <w:bookmarkStart w:id="64" w:name="_Toc72200463"/>
      <w:bookmarkStart w:id="65" w:name="_Toc102883425"/>
      <w:bookmarkStart w:id="66" w:name="_Toc128471235"/>
      <w:bookmarkStart w:id="67" w:name="_Toc305751210"/>
      <w:bookmarkStart w:id="68" w:name="_Toc286309668"/>
      <w:bookmarkStart w:id="69" w:name="_Toc459168236"/>
      <w:r>
        <w:rPr>
          <w:rStyle w:val="CharSectno"/>
        </w:rPr>
        <w:t>1A</w:t>
      </w:r>
      <w:r>
        <w:t>.</w:t>
      </w:r>
      <w:r>
        <w:tab/>
        <w:t>Application of Act</w:t>
      </w:r>
      <w:bookmarkEnd w:id="63"/>
      <w:bookmarkEnd w:id="64"/>
      <w:bookmarkEnd w:id="65"/>
      <w:bookmarkEnd w:id="66"/>
      <w:bookmarkEnd w:id="67"/>
      <w:bookmarkEnd w:id="68"/>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lastRenderedPageBreak/>
        <w:tab/>
        <w:t>(6)</w:t>
      </w:r>
      <w:r>
        <w:tab/>
        <w:t>Section 24 applies to and in relation to an exempt hire</w:t>
      </w:r>
      <w:r>
        <w:noBreakHyphen/>
        <w:t>purchase agreement as if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In this section —</w:t>
      </w:r>
    </w:p>
    <w:p>
      <w:pPr>
        <w:pStyle w:val="Defstart"/>
      </w:pPr>
      <w:r>
        <w:tab/>
      </w:r>
      <w:r>
        <w:rPr>
          <w:rStyle w:val="CharDefText"/>
        </w:rPr>
        <w:t>exempt hire</w:t>
      </w:r>
      <w:r>
        <w:rPr>
          <w:rStyle w:val="CharDefText"/>
        </w:rPr>
        <w:noBreakHyphen/>
        <w:t>purchase agreement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70" w:name="_Toc71097092"/>
      <w:bookmarkStart w:id="71" w:name="_Toc72200464"/>
      <w:bookmarkStart w:id="72" w:name="_Toc102883426"/>
      <w:bookmarkStart w:id="73" w:name="_Toc128471236"/>
      <w:bookmarkStart w:id="74" w:name="_Toc305751211"/>
      <w:bookmarkStart w:id="75" w:name="_Toc286309669"/>
      <w:r>
        <w:rPr>
          <w:rStyle w:val="CharSectno"/>
        </w:rPr>
        <w:t>2</w:t>
      </w:r>
      <w:r>
        <w:rPr>
          <w:snapToGrid w:val="0"/>
        </w:rPr>
        <w:t>.</w:t>
      </w:r>
      <w:r>
        <w:rPr>
          <w:snapToGrid w:val="0"/>
        </w:rPr>
        <w:tab/>
      </w:r>
      <w:bookmarkEnd w:id="69"/>
      <w:bookmarkEnd w:id="70"/>
      <w:bookmarkEnd w:id="71"/>
      <w:bookmarkEnd w:id="72"/>
      <w:bookmarkEnd w:id="73"/>
      <w:r>
        <w:rPr>
          <w:snapToGrid w:val="0"/>
        </w:rPr>
        <w:t>Terms used</w:t>
      </w:r>
      <w:bookmarkEnd w:id="74"/>
      <w:bookmarkEnd w:id="75"/>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w:t>
      </w:r>
    </w:p>
    <w:p>
      <w:pPr>
        <w:pStyle w:val="Defstart"/>
      </w:pPr>
      <w:r>
        <w:rPr>
          <w:b/>
        </w:rPr>
        <w:tab/>
      </w:r>
      <w:r>
        <w:rPr>
          <w:rStyle w:val="CharDefText"/>
        </w:rPr>
        <w:t>cash</w:t>
      </w:r>
      <w:r>
        <w:t xml:space="preserve"> includes a cheque drawn on a financial institution;</w:t>
      </w:r>
    </w:p>
    <w:p>
      <w:pPr>
        <w:pStyle w:val="Defstart"/>
      </w:pPr>
      <w:r>
        <w:tab/>
      </w:r>
      <w:r>
        <w:rPr>
          <w:rStyle w:val="CharDefText"/>
        </w:rPr>
        <w:t>Commissioner</w:t>
      </w:r>
      <w:r>
        <w:t xml:space="preserve"> means the person for the time being designated as the Commissioner under section 23A;</w:t>
      </w:r>
    </w:p>
    <w:p>
      <w:pPr>
        <w:pStyle w:val="Defstart"/>
      </w:pPr>
      <w:r>
        <w:rPr>
          <w:b/>
        </w:rPr>
        <w:tab/>
      </w:r>
      <w:r>
        <w:rPr>
          <w:rStyle w:val="CharDefText"/>
        </w:rPr>
        <w:t>credit provider</w:t>
      </w:r>
      <w:r>
        <w:t xml:space="preserve"> means a hire</w:t>
      </w:r>
      <w:r>
        <w:noBreakHyphen/>
        <w:t>purchase credit provider;</w:t>
      </w:r>
    </w:p>
    <w:p>
      <w:pPr>
        <w:pStyle w:val="Defstart"/>
      </w:pPr>
      <w:r>
        <w:rPr>
          <w:b/>
        </w:rPr>
        <w:tab/>
      </w:r>
      <w:r>
        <w:rPr>
          <w:rStyle w:val="CharDefText"/>
        </w:rPr>
        <w:t>dealer</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lastRenderedPageBreak/>
        <w:tab/>
      </w:r>
      <w:r>
        <w:rPr>
          <w:rStyle w:val="CharDefText"/>
        </w:rPr>
        <w:t>default charge</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goods</w:t>
      </w:r>
      <w:r>
        <w:t xml:space="preserve"> includes all chattels personal other than money or things in action;</w:t>
      </w:r>
    </w:p>
    <w:p>
      <w:pPr>
        <w:pStyle w:val="Defstart"/>
      </w:pPr>
      <w:r>
        <w:rPr>
          <w:b/>
        </w:rPr>
        <w:tab/>
      </w:r>
      <w:r>
        <w:rPr>
          <w:rStyle w:val="CharDefText"/>
        </w:rPr>
        <w:t>guarantee</w:t>
      </w:r>
      <w:r>
        <w:t xml:space="preserve"> includes an indemnity;</w:t>
      </w:r>
    </w:p>
    <w:p>
      <w:pPr>
        <w:pStyle w:val="Defstart"/>
      </w:pPr>
      <w:r>
        <w:rPr>
          <w:b/>
        </w:rPr>
        <w:tab/>
      </w:r>
      <w:r>
        <w:rPr>
          <w:rStyle w:val="CharDefText"/>
        </w:rPr>
        <w:t>guarantor</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r>
      <w:r>
        <w:rPr>
          <w:rStyle w:val="CharDefText"/>
        </w:rPr>
        <w:t>hire</w:t>
      </w:r>
      <w:r>
        <w:rPr>
          <w:rStyle w:val="CharDefText"/>
        </w:rPr>
        <w:noBreakHyphen/>
        <w:t>purchase agreement</w:t>
      </w:r>
      <w:r>
        <w:t xml:space="preserve"> includes —</w:t>
      </w:r>
    </w:p>
    <w:p>
      <w:pPr>
        <w:pStyle w:val="Defpara"/>
      </w:pPr>
      <w:r>
        <w:tab/>
        <w:t>(a)</w:t>
      </w:r>
      <w:r>
        <w:tab/>
        <w:t>a letting of goods with an option to purchase; and</w:t>
      </w:r>
    </w:p>
    <w:p>
      <w:pPr>
        <w:pStyle w:val="Defpara"/>
      </w:pPr>
      <w:r>
        <w:tab/>
        <w:t>(b)</w:t>
      </w:r>
      <w:r>
        <w:tab/>
        <w:t>any agreement under which there is a bailment of goods and either the bailee may buy the goods or the property in the goods will or may pass to the bailee; and</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w:t>
      </w:r>
    </w:p>
    <w:p>
      <w:pPr>
        <w:pStyle w:val="Defstart"/>
      </w:pPr>
      <w:r>
        <w:tab/>
        <w:t>but does not include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 or</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iCs/>
        </w:rPr>
        <w:t>National Credit Code</w:t>
      </w:r>
      <w:r>
        <w:t xml:space="preserve"> (Commonwealth);</w:t>
      </w:r>
    </w:p>
    <w:p>
      <w:pPr>
        <w:pStyle w:val="Defstart"/>
      </w:pPr>
      <w:r>
        <w:rPr>
          <w:b/>
        </w:rPr>
        <w:tab/>
      </w:r>
      <w:r>
        <w:rPr>
          <w:rStyle w:val="CharDefText"/>
        </w:rPr>
        <w:t>hire</w:t>
      </w:r>
      <w:r>
        <w:rPr>
          <w:rStyle w:val="CharDefText"/>
        </w:rPr>
        <w:noBreakHyphen/>
        <w:t>purchase credit provider</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r>
      <w:r>
        <w:rPr>
          <w:rStyle w:val="CharDefText"/>
        </w:rPr>
        <w:t>hirer</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r>
      <w:r>
        <w:rPr>
          <w:rStyle w:val="CharDefText"/>
        </w:rPr>
        <w:t>owner</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r>
      <w:r>
        <w:rPr>
          <w:rStyle w:val="CharDefText"/>
        </w:rPr>
        <w:t>period of agreement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r>
      <w:r>
        <w:rPr>
          <w:rStyle w:val="CharDefText"/>
        </w:rPr>
        <w:t>Schedule</w:t>
      </w:r>
      <w:r>
        <w:t xml:space="preserve"> means Schedule to this Act;</w:t>
      </w:r>
    </w:p>
    <w:p>
      <w:pPr>
        <w:pStyle w:val="Defstart"/>
      </w:pPr>
      <w:r>
        <w:rPr>
          <w:b/>
        </w:rPr>
        <w:tab/>
      </w:r>
      <w:r>
        <w:rPr>
          <w:rStyle w:val="CharDefText"/>
        </w:rPr>
        <w:t>statutory rebate</w:t>
      </w:r>
      <w:r>
        <w:t> —</w:t>
      </w:r>
    </w:p>
    <w:p>
      <w:pPr>
        <w:pStyle w:val="Defpara"/>
      </w:pPr>
      <w:r>
        <w:tab/>
        <w:t>(a)</w:t>
      </w:r>
      <w:r>
        <w:tab/>
        <w:t>in relation to terms charges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the amount of interest attributable to the period of complete months which at the relevant time is still to go under the agreement;</w:t>
      </w:r>
    </w:p>
    <w:p>
      <w:pPr>
        <w:pStyle w:val="Defpara"/>
      </w:pPr>
      <w:r>
        <w:tab/>
      </w:r>
      <w:r>
        <w:tab/>
        <w:t>and</w:t>
      </w:r>
    </w:p>
    <w:p>
      <w:pPr>
        <w:pStyle w:val="Defpara"/>
      </w:pPr>
      <w:r>
        <w:tab/>
        <w:t>(b)</w:t>
      </w:r>
      <w:r>
        <w:tab/>
        <w:t>in relation to insurance, means the sum of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r>
      <w:r>
        <w:rPr>
          <w:rStyle w:val="CharDefText"/>
        </w:rPr>
        <w:t>third party insurance</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r>
      <w:r>
        <w:rPr>
          <w:rStyle w:val="CharDefText"/>
        </w:rPr>
        <w:t>total amount payable</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r>
      <w:r>
        <w:rPr>
          <w:rStyle w:val="CharDefText"/>
        </w:rPr>
        <w:t>vehicle registration fees</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w:t>
      </w:r>
    </w:p>
    <w:p>
      <w:pPr>
        <w:pStyle w:val="Indenta"/>
        <w:rPr>
          <w:snapToGrid w:val="0"/>
        </w:rPr>
      </w:pPr>
      <w:r>
        <w:rPr>
          <w:snapToGrid w:val="0"/>
        </w:rPr>
        <w:tab/>
        <w:t>(a)</w:t>
      </w:r>
      <w:r>
        <w:rPr>
          <w:snapToGrid w:val="0"/>
        </w:rPr>
        <w:tab/>
        <w:t>the taking possession of goods by the owner pursuant to an order by any court; and</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[Section 2 amended by No. 107 of 1973 s. 4; No. 37 of 1980 s. 3; No. 102 of 1984 s. 8; No. 1 of 1985 s. 20; No. 30 of 1996 s. 13; No. 57 of 1997 s. 39(10); No. 24 of 2000 s. 53; No. 59 of 2004 s. 141; No. 28 of 2006 s. 101; No. 14 of 2010 s. 11(2).]</w:t>
      </w:r>
    </w:p>
    <w:p>
      <w:pPr>
        <w:pStyle w:val="Heading5"/>
        <w:spacing w:before="240"/>
        <w:rPr>
          <w:snapToGrid w:val="0"/>
        </w:rPr>
      </w:pPr>
      <w:bookmarkStart w:id="76" w:name="_Toc459168237"/>
      <w:bookmarkStart w:id="77" w:name="_Toc71097093"/>
      <w:bookmarkStart w:id="78" w:name="_Toc72200465"/>
      <w:bookmarkStart w:id="79" w:name="_Toc102883427"/>
      <w:bookmarkStart w:id="80" w:name="_Toc128471237"/>
      <w:bookmarkStart w:id="81" w:name="_Toc305751212"/>
      <w:bookmarkStart w:id="82" w:name="_Toc286309670"/>
      <w:r>
        <w:rPr>
          <w:rStyle w:val="CharSectno"/>
        </w:rPr>
        <w:t>2A</w:t>
      </w:r>
      <w:r>
        <w:rPr>
          <w:snapToGrid w:val="0"/>
        </w:rPr>
        <w:t xml:space="preserve">. </w:t>
      </w:r>
      <w:r>
        <w:rPr>
          <w:snapToGrid w:val="0"/>
        </w:rPr>
        <w:tab/>
        <w:t>Orders making Act inapplicable</w:t>
      </w:r>
      <w:bookmarkEnd w:id="76"/>
      <w:bookmarkEnd w:id="77"/>
      <w:bookmarkEnd w:id="78"/>
      <w:bookmarkEnd w:id="79"/>
      <w:bookmarkEnd w:id="80"/>
      <w:bookmarkEnd w:id="81"/>
      <w:bookmarkEnd w:id="82"/>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w:t>
      </w:r>
    </w:p>
    <w:p>
      <w:pPr>
        <w:pStyle w:val="Indenta"/>
        <w:rPr>
          <w:snapToGrid w:val="0"/>
        </w:rPr>
      </w:pPr>
      <w:r>
        <w:rPr>
          <w:snapToGrid w:val="0"/>
        </w:rPr>
        <w:tab/>
        <w:t>(a)</w:t>
      </w:r>
      <w:r>
        <w:rPr>
          <w:snapToGrid w:val="0"/>
        </w:rPr>
        <w:tab/>
        <w:t>do not have effect in relation to a specified person or to a specified class of persons; or</w:t>
      </w:r>
    </w:p>
    <w:p>
      <w:pPr>
        <w:pStyle w:val="Indenta"/>
        <w:rPr>
          <w:snapToGrid w:val="0"/>
        </w:rPr>
      </w:pPr>
      <w:r>
        <w:rPr>
          <w:snapToGrid w:val="0"/>
        </w:rPr>
        <w:tab/>
        <w:t>(b)</w:t>
      </w:r>
      <w:r>
        <w:rPr>
          <w:snapToGrid w:val="0"/>
        </w:rPr>
        <w:tab/>
        <w:t>have effect in relation to a specified person or to a specified class of persons to such extent as is specified; or</w:t>
      </w:r>
    </w:p>
    <w:p>
      <w:pPr>
        <w:pStyle w:val="Indenta"/>
        <w:rPr>
          <w:snapToGrid w:val="0"/>
        </w:rPr>
      </w:pPr>
      <w:r>
        <w:rPr>
          <w:snapToGrid w:val="0"/>
        </w:rPr>
        <w:tab/>
        <w:t>(c)</w:t>
      </w:r>
      <w:r>
        <w:rPr>
          <w:snapToGrid w:val="0"/>
        </w:rPr>
        <w:tab/>
        <w:t>do not have effect in relation to a specified transaction or matter or class of transactions or matters; or</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 or</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[Section 2A inserted by No. 43 of 1995 s. 3; amended by No. 13 of 2000 s. 95.]</w:t>
      </w:r>
    </w:p>
    <w:p>
      <w:pPr>
        <w:pStyle w:val="Ednotesection"/>
      </w:pPr>
      <w:r>
        <w:t>[</w:t>
      </w:r>
      <w:r>
        <w:rPr>
          <w:b/>
          <w:bCs/>
        </w:rPr>
        <w:t>2B.</w:t>
      </w:r>
      <w:r>
        <w:tab/>
        <w:t>Deleted by No. 14 of 2010 s. 11(3).]</w:t>
      </w:r>
    </w:p>
    <w:p>
      <w:pPr>
        <w:pStyle w:val="Heading2"/>
      </w:pPr>
      <w:bookmarkStart w:id="83" w:name="_Toc72200467"/>
      <w:bookmarkStart w:id="84" w:name="_Toc72200535"/>
      <w:bookmarkStart w:id="85" w:name="_Toc77655306"/>
      <w:bookmarkStart w:id="86" w:name="_Toc79372680"/>
      <w:bookmarkStart w:id="87" w:name="_Toc86551110"/>
      <w:bookmarkStart w:id="88" w:name="_Toc89521457"/>
      <w:bookmarkStart w:id="89" w:name="_Toc90954866"/>
      <w:bookmarkStart w:id="90" w:name="_Toc92858025"/>
      <w:bookmarkStart w:id="91" w:name="_Toc97107183"/>
      <w:bookmarkStart w:id="92" w:name="_Toc102365765"/>
      <w:bookmarkStart w:id="93" w:name="_Toc102883429"/>
      <w:bookmarkStart w:id="94" w:name="_Toc106763914"/>
      <w:bookmarkStart w:id="95" w:name="_Toc128471239"/>
      <w:bookmarkStart w:id="96" w:name="_Toc128471312"/>
      <w:bookmarkStart w:id="97" w:name="_Toc129066959"/>
      <w:bookmarkStart w:id="98" w:name="_Toc139355323"/>
      <w:bookmarkStart w:id="99" w:name="_Toc139447591"/>
      <w:bookmarkStart w:id="100" w:name="_Toc139447995"/>
      <w:bookmarkStart w:id="101" w:name="_Toc141245829"/>
      <w:bookmarkStart w:id="102" w:name="_Toc141763306"/>
      <w:bookmarkStart w:id="103" w:name="_Toc143314293"/>
      <w:bookmarkStart w:id="104" w:name="_Toc143405077"/>
      <w:bookmarkStart w:id="105" w:name="_Toc143405152"/>
      <w:bookmarkStart w:id="106" w:name="_Toc143405227"/>
      <w:bookmarkStart w:id="107" w:name="_Toc144024712"/>
      <w:bookmarkStart w:id="108" w:name="_Toc145732152"/>
      <w:bookmarkStart w:id="109" w:name="_Toc196122063"/>
      <w:bookmarkStart w:id="110" w:name="_Toc196801665"/>
      <w:bookmarkStart w:id="111" w:name="_Toc202172370"/>
      <w:bookmarkStart w:id="112" w:name="_Toc202172443"/>
      <w:bookmarkStart w:id="113" w:name="_Toc241048976"/>
      <w:bookmarkStart w:id="114" w:name="_Toc241051199"/>
      <w:bookmarkStart w:id="115" w:name="_Toc267489687"/>
      <w:bookmarkStart w:id="116" w:name="_Toc268264188"/>
      <w:bookmarkStart w:id="117" w:name="_Toc268264290"/>
      <w:bookmarkStart w:id="118" w:name="_Toc272150681"/>
      <w:bookmarkStart w:id="119" w:name="_Toc280092112"/>
      <w:bookmarkStart w:id="120" w:name="_Toc281485977"/>
      <w:bookmarkStart w:id="121" w:name="_Toc283882193"/>
      <w:bookmarkStart w:id="122" w:name="_Toc283890150"/>
      <w:bookmarkStart w:id="123" w:name="_Toc285445185"/>
      <w:bookmarkStart w:id="124" w:name="_Toc285446703"/>
      <w:bookmarkStart w:id="125" w:name="_Toc286309671"/>
      <w:bookmarkStart w:id="126" w:name="_Toc305751213"/>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pPr>
        <w:pStyle w:val="Heading5"/>
        <w:rPr>
          <w:snapToGrid w:val="0"/>
        </w:rPr>
      </w:pPr>
      <w:bookmarkStart w:id="127" w:name="_Toc459168239"/>
      <w:bookmarkStart w:id="128" w:name="_Toc71097095"/>
      <w:bookmarkStart w:id="129" w:name="_Toc72200468"/>
      <w:bookmarkStart w:id="130" w:name="_Toc102883430"/>
      <w:bookmarkStart w:id="131" w:name="_Toc128471240"/>
      <w:bookmarkStart w:id="132" w:name="_Toc305751214"/>
      <w:bookmarkStart w:id="133" w:name="_Toc286309672"/>
      <w:r>
        <w:rPr>
          <w:rStyle w:val="CharSectno"/>
        </w:rPr>
        <w:t>3</w:t>
      </w:r>
      <w:r>
        <w:rPr>
          <w:snapToGrid w:val="0"/>
        </w:rPr>
        <w:t>.</w:t>
      </w:r>
      <w:r>
        <w:rPr>
          <w:snapToGrid w:val="0"/>
        </w:rPr>
        <w:tab/>
        <w:t>Preliminary requirements to entering agreement or offering to hire; form and content of agreements; consequences of non-conforming agreements</w:t>
      </w:r>
      <w:bookmarkEnd w:id="127"/>
      <w:bookmarkEnd w:id="128"/>
      <w:bookmarkEnd w:id="129"/>
      <w:bookmarkEnd w:id="130"/>
      <w:bookmarkEnd w:id="131"/>
      <w:bookmarkEnd w:id="132"/>
      <w:bookmarkEnd w:id="133"/>
    </w:p>
    <w:p>
      <w:pPr>
        <w:pStyle w:val="Subsection"/>
        <w:rPr>
          <w:snapToGrid w:val="0"/>
        </w:rPr>
      </w:pPr>
      <w:r>
        <w:rPr>
          <w:snapToGrid w:val="0"/>
        </w:rPr>
        <w:tab/>
        <w:t>(1)</w:t>
      </w:r>
      <w:r>
        <w:rPr>
          <w:snapToGrid w:val="0"/>
        </w:rPr>
        <w:tab/>
        <w:t>Before any hire</w:t>
      </w:r>
      <w:r>
        <w:rPr>
          <w:snapToGrid w:val="0"/>
        </w:rPr>
        <w:noBreakHyphen/>
        <w:t xml:space="preserve">purchase agreement is entered into in respect of any goods the owner or, if there is a dealer, the dealer shall give or cause to be given to the prospective hirer a statement in writing duly completed in accordance with the form in </w:t>
      </w:r>
      <w:r>
        <w:rPr>
          <w:rFonts w:eastAsia="MS Mincho"/>
        </w:rPr>
        <w:t xml:space="preserve">the First Schedule Part 1, </w:t>
      </w:r>
      <w:r>
        <w:rPr>
          <w:snapToGrid w:val="0"/>
        </w:rPr>
        <w:t>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w:t>
      </w:r>
      <w:r>
        <w:rPr>
          <w:rFonts w:eastAsia="MS Mincho"/>
        </w:rPr>
        <w:t xml:space="preserve"> the First Schedule Part 1.</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w:t>
      </w:r>
    </w:p>
    <w:p>
      <w:pPr>
        <w:pStyle w:val="Indenta"/>
        <w:rPr>
          <w:snapToGrid w:val="0"/>
        </w:rPr>
      </w:pPr>
      <w:r>
        <w:rPr>
          <w:snapToGrid w:val="0"/>
        </w:rPr>
        <w:tab/>
        <w:t>(a)</w:t>
      </w:r>
      <w:r>
        <w:rPr>
          <w:snapToGrid w:val="0"/>
        </w:rPr>
        <w:tab/>
        <w:t>shall be in writing; and</w:t>
      </w:r>
    </w:p>
    <w:p>
      <w:pPr>
        <w:pStyle w:val="Indenta"/>
        <w:spacing w:before="86"/>
        <w:rPr>
          <w:snapToGrid w:val="0"/>
        </w:rPr>
      </w:pPr>
      <w:r>
        <w:rPr>
          <w:snapToGrid w:val="0"/>
        </w:rPr>
        <w:tab/>
        <w:t>(b)</w:t>
      </w:r>
      <w:r>
        <w:rPr>
          <w:snapToGrid w:val="0"/>
        </w:rPr>
        <w:tab/>
        <w:t>shall be signed by or on behalf of the hirer and all other parties to the agreement; and</w:t>
      </w:r>
    </w:p>
    <w:p>
      <w:pPr>
        <w:pStyle w:val="Indenta"/>
        <w:spacing w:before="86"/>
        <w:rPr>
          <w:snapToGrid w:val="0"/>
        </w:rPr>
      </w:pPr>
      <w:r>
        <w:rPr>
          <w:snapToGrid w:val="0"/>
        </w:rPr>
        <w:tab/>
        <w:t>(c)</w:t>
      </w:r>
      <w:r>
        <w:rPr>
          <w:snapToGrid w:val="0"/>
        </w:rPr>
        <w:tab/>
        <w:t>shall —</w:t>
      </w:r>
    </w:p>
    <w:p>
      <w:pPr>
        <w:pStyle w:val="Indenti"/>
        <w:spacing w:before="86"/>
        <w:rPr>
          <w:snapToGrid w:val="0"/>
        </w:rPr>
      </w:pPr>
      <w:r>
        <w:rPr>
          <w:snapToGrid w:val="0"/>
        </w:rPr>
        <w:tab/>
        <w:t>(i)</w:t>
      </w:r>
      <w:r>
        <w:rPr>
          <w:snapToGrid w:val="0"/>
        </w:rPr>
        <w:tab/>
        <w:t>specify a date on which the hiring shall be deemed to have commenced; and</w:t>
      </w:r>
    </w:p>
    <w:p>
      <w:pPr>
        <w:pStyle w:val="Indenti"/>
        <w:spacing w:before="86"/>
        <w:rPr>
          <w:snapToGrid w:val="0"/>
        </w:rPr>
      </w:pPr>
      <w:r>
        <w:rPr>
          <w:snapToGrid w:val="0"/>
        </w:rPr>
        <w:tab/>
        <w:t>(ii)</w:t>
      </w:r>
      <w:r>
        <w:rPr>
          <w:snapToGrid w:val="0"/>
        </w:rPr>
        <w:tab/>
        <w:t>specify the number of instalments to be paid under the agreement by the hirer; and</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 and</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r>
      <w:r>
        <w:rPr>
          <w:snapToGrid w:val="0"/>
        </w:rPr>
        <w:tab/>
        <w:t>and</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 and</w:t>
      </w:r>
    </w:p>
    <w:p>
      <w:pPr>
        <w:pStyle w:val="Indenta"/>
        <w:spacing w:before="86"/>
        <w:rPr>
          <w:snapToGrid w:val="0"/>
        </w:rPr>
      </w:pPr>
      <w:r>
        <w:rPr>
          <w:snapToGrid w:val="0"/>
        </w:rPr>
        <w:tab/>
        <w:t>(e)</w:t>
      </w:r>
      <w:r>
        <w:rPr>
          <w:snapToGrid w:val="0"/>
        </w:rPr>
        <w:tab/>
        <w:t>shall set out in tabular form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rStyle w:val="CharDefText"/>
        </w:rPr>
        <w:t>cash price</w:t>
      </w:r>
      <w:r>
        <w:rPr>
          <w:snapToGrid w:val="0"/>
        </w:rPr>
        <w:t>); and</w:t>
      </w:r>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rStyle w:val="CharDefText"/>
        </w:rPr>
        <w:t>deposit</w:t>
      </w:r>
      <w:r>
        <w:rPr>
          <w:snapToGrid w:val="0"/>
        </w:rPr>
        <w:t>) showing separately the amount paid in money and the amount provided by a consideration other than money; and</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rStyle w:val="CharDefText"/>
        </w:rPr>
        <w:t>maintenance</w:t>
      </w:r>
      <w:r>
        <w:rPr>
          <w:snapToGrid w:val="0"/>
        </w:rPr>
        <w:t>); and</w:t>
      </w:r>
    </w:p>
    <w:p>
      <w:pPr>
        <w:pStyle w:val="Indenti"/>
        <w:spacing w:before="78"/>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rStyle w:val="CharDefText"/>
        </w:rPr>
        <w:t>freight</w:t>
      </w:r>
      <w:r>
        <w:rPr>
          <w:snapToGrid w:val="0"/>
        </w:rPr>
        <w:t>); and</w:t>
      </w:r>
    </w:p>
    <w:p>
      <w:pPr>
        <w:pStyle w:val="Indenti"/>
        <w:spacing w:before="78"/>
        <w:rPr>
          <w:snapToGrid w:val="0"/>
        </w:rPr>
      </w:pPr>
      <w:r>
        <w:rPr>
          <w:snapToGrid w:val="0"/>
        </w:rPr>
        <w:tab/>
        <w:t>(v)</w:t>
      </w:r>
      <w:r>
        <w:rPr>
          <w:snapToGrid w:val="0"/>
        </w:rPr>
        <w:tab/>
        <w:t xml:space="preserve">any amount included in the total amount payable to cover vehicle registration fees (in the agreement to be called </w:t>
      </w:r>
      <w:r>
        <w:rPr>
          <w:rStyle w:val="CharDefText"/>
        </w:rPr>
        <w:t>vehicle registration fees</w:t>
      </w:r>
      <w:r>
        <w:rPr>
          <w:snapToGrid w:val="0"/>
        </w:rPr>
        <w:t>); and</w:t>
      </w:r>
    </w:p>
    <w:p>
      <w:pPr>
        <w:pStyle w:val="Indenti"/>
        <w:spacing w:before="78"/>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rStyle w:val="CharDefText"/>
        </w:rPr>
        <w:t>insurance</w:t>
      </w:r>
      <w:r>
        <w:rPr>
          <w:snapToGrid w:val="0"/>
        </w:rPr>
        <w:t>); and</w:t>
      </w:r>
    </w:p>
    <w:p>
      <w:pPr>
        <w:pStyle w:val="Indenti"/>
        <w:spacing w:before="78"/>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rStyle w:val="CharDefText"/>
        </w:rPr>
        <w:t>agreement registration fees</w:t>
      </w:r>
      <w:r>
        <w:rPr>
          <w:snapToGrid w:val="0"/>
        </w:rPr>
        <w:t>); and</w:t>
      </w:r>
    </w:p>
    <w:p>
      <w:pPr>
        <w:pStyle w:val="Ednotesubpara"/>
        <w:spacing w:before="78"/>
      </w:pPr>
      <w:r>
        <w:tab/>
        <w:t>[(viia)</w:t>
      </w:r>
      <w:r>
        <w:tab/>
        <w:t>deleted]</w:t>
      </w:r>
    </w:p>
    <w:p>
      <w:pPr>
        <w:pStyle w:val="Indenti"/>
        <w:spacing w:before="78"/>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rStyle w:val="CharDefText"/>
        </w:rPr>
        <w:t>amount financed</w:t>
      </w:r>
      <w:r>
        <w:rPr>
          <w:snapToGrid w:val="0"/>
        </w:rPr>
        <w:t>); and</w:t>
      </w:r>
    </w:p>
    <w:p>
      <w:pPr>
        <w:pStyle w:val="Indenti"/>
        <w:spacing w:before="78"/>
        <w:rPr>
          <w:snapToGrid w:val="0"/>
        </w:rPr>
      </w:pPr>
      <w:r>
        <w:rPr>
          <w:snapToGrid w:val="0"/>
        </w:rPr>
        <w:tab/>
        <w:t>(ix)</w:t>
      </w:r>
      <w:r>
        <w:rPr>
          <w:snapToGrid w:val="0"/>
        </w:rPr>
        <w:tab/>
        <w:t xml:space="preserve">the total of any other charges included in the total amount payable (in this Act called and in the agreement to be described as </w:t>
      </w:r>
      <w:r>
        <w:rPr>
          <w:rStyle w:val="CharDefText"/>
        </w:rPr>
        <w:t>terms charges</w:t>
      </w:r>
      <w:r>
        <w:rPr>
          <w:snapToGrid w:val="0"/>
        </w:rPr>
        <w:t>) and also the percentage rate of the terms charges calculated in accordance with the formula provided in the Fifth Schedule; and</w:t>
      </w:r>
    </w:p>
    <w:p>
      <w:pPr>
        <w:pStyle w:val="Indenti"/>
        <w:spacing w:before="78"/>
        <w:rPr>
          <w:snapToGrid w:val="0"/>
        </w:rPr>
      </w:pPr>
      <w:r>
        <w:rPr>
          <w:snapToGrid w:val="0"/>
        </w:rPr>
        <w:tab/>
        <w:t>(x)</w:t>
      </w:r>
      <w:r>
        <w:rPr>
          <w:snapToGrid w:val="0"/>
        </w:rPr>
        <w:tab/>
        <w:t xml:space="preserve">the total of the amounts referred to in subparagraphs (viii) and (ix) (in this Act called </w:t>
      </w:r>
      <w:r>
        <w:t xml:space="preserve">the </w:t>
      </w:r>
      <w:r>
        <w:rPr>
          <w:rStyle w:val="CharDefText"/>
        </w:rPr>
        <w:t>balance originally payable under the agreement</w:t>
      </w:r>
      <w:r>
        <w:rPr>
          <w:snapToGrid w:val="0"/>
        </w:rPr>
        <w:t>); and</w:t>
      </w:r>
    </w:p>
    <w:p>
      <w:pPr>
        <w:pStyle w:val="Indenti"/>
        <w:spacing w:before="78"/>
        <w:rPr>
          <w:snapToGrid w:val="0"/>
        </w:rPr>
      </w:pPr>
      <w:r>
        <w:rPr>
          <w:snapToGrid w:val="0"/>
        </w:rPr>
        <w:tab/>
        <w:t>(xi)</w:t>
      </w:r>
      <w:r>
        <w:rPr>
          <w:snapToGrid w:val="0"/>
        </w:rPr>
        <w:tab/>
        <w:t>the total amount payable;</w:t>
      </w:r>
    </w:p>
    <w:p>
      <w:pPr>
        <w:pStyle w:val="Indenta"/>
        <w:spacing w:before="78"/>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deleted]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w:t>
      </w:r>
    </w:p>
    <w:p>
      <w:pPr>
        <w:pStyle w:val="Indenta"/>
        <w:rPr>
          <w:snapToGrid w:val="0"/>
        </w:rPr>
      </w:pPr>
      <w:r>
        <w:rPr>
          <w:snapToGrid w:val="0"/>
        </w:rPr>
        <w:tab/>
        <w:t>(a)</w:t>
      </w:r>
      <w:r>
        <w:rPr>
          <w:snapToGrid w:val="0"/>
        </w:rPr>
        <w:tab/>
        <w:t>the owner; and</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 xml:space="preserve">built, as specified in </w:t>
      </w:r>
      <w:r>
        <w:rPr>
          <w:rFonts w:eastAsia="MS Mincho"/>
        </w:rPr>
        <w:t xml:space="preserve">the First Schedule Part 2 </w:t>
      </w:r>
      <w:r>
        <w:rPr>
          <w:snapToGrid w:val="0"/>
        </w:rPr>
        <w:t>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rPr>
          <w:snapToGrid w:val="0"/>
        </w:rPr>
      </w:pPr>
      <w:r>
        <w:rPr>
          <w:snapToGrid w:val="0"/>
        </w:rPr>
        <w:tab/>
        <w:t>(6A)</w:t>
      </w:r>
      <w:r>
        <w:rPr>
          <w:snapToGrid w:val="0"/>
        </w:rPr>
        <w:tab/>
        <w:t>In each case referred to in subsection (6)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 No. 19 of 2010 s. 19(2)</w:t>
      </w:r>
      <w:r>
        <w:noBreakHyphen/>
        <w:t>(4) and 51.]</w:t>
      </w:r>
    </w:p>
    <w:p>
      <w:pPr>
        <w:pStyle w:val="Heading5"/>
        <w:rPr>
          <w:snapToGrid w:val="0"/>
        </w:rPr>
      </w:pPr>
      <w:bookmarkStart w:id="134" w:name="_Toc459168240"/>
      <w:bookmarkStart w:id="135" w:name="_Toc71097096"/>
      <w:bookmarkStart w:id="136" w:name="_Toc72200469"/>
      <w:bookmarkStart w:id="137" w:name="_Toc102883431"/>
      <w:bookmarkStart w:id="138" w:name="_Toc128471241"/>
      <w:bookmarkStart w:id="139" w:name="_Toc305751215"/>
      <w:bookmarkStart w:id="140" w:name="_Toc286309673"/>
      <w:r>
        <w:rPr>
          <w:rStyle w:val="CharSectno"/>
        </w:rPr>
        <w:t>4</w:t>
      </w:r>
      <w:r>
        <w:rPr>
          <w:snapToGrid w:val="0"/>
        </w:rPr>
        <w:t>.</w:t>
      </w:r>
      <w:r>
        <w:rPr>
          <w:snapToGrid w:val="0"/>
        </w:rPr>
        <w:tab/>
        <w:t>Owner to serve certain documents on hirer</w:t>
      </w:r>
      <w:bookmarkEnd w:id="134"/>
      <w:bookmarkEnd w:id="135"/>
      <w:bookmarkEnd w:id="136"/>
      <w:bookmarkEnd w:id="137"/>
      <w:bookmarkEnd w:id="138"/>
      <w:bookmarkEnd w:id="139"/>
      <w:bookmarkEnd w:id="140"/>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w:t>
      </w:r>
    </w:p>
    <w:p>
      <w:pPr>
        <w:pStyle w:val="Indenta"/>
        <w:rPr>
          <w:snapToGrid w:val="0"/>
        </w:rPr>
      </w:pPr>
      <w:r>
        <w:rPr>
          <w:snapToGrid w:val="0"/>
        </w:rPr>
        <w:tab/>
        <w:t>(a)</w:t>
      </w:r>
      <w:r>
        <w:rPr>
          <w:snapToGrid w:val="0"/>
        </w:rPr>
        <w:tab/>
        <w:t>a copy of the agreement in writing; and</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141" w:name="_Toc72200470"/>
      <w:bookmarkStart w:id="142" w:name="_Toc72200538"/>
      <w:bookmarkStart w:id="143" w:name="_Toc77655309"/>
      <w:bookmarkStart w:id="144" w:name="_Toc79372683"/>
      <w:bookmarkStart w:id="145" w:name="_Toc86551113"/>
      <w:bookmarkStart w:id="146" w:name="_Toc89521460"/>
      <w:bookmarkStart w:id="147" w:name="_Toc90954869"/>
      <w:bookmarkStart w:id="148" w:name="_Toc92858028"/>
      <w:bookmarkStart w:id="149" w:name="_Toc97107186"/>
      <w:bookmarkStart w:id="150" w:name="_Toc102365768"/>
      <w:bookmarkStart w:id="151" w:name="_Toc102883432"/>
      <w:bookmarkStart w:id="152" w:name="_Toc106763917"/>
      <w:bookmarkStart w:id="153" w:name="_Toc128471242"/>
      <w:bookmarkStart w:id="154" w:name="_Toc128471315"/>
      <w:bookmarkStart w:id="155" w:name="_Toc129066962"/>
      <w:bookmarkStart w:id="156" w:name="_Toc139355326"/>
      <w:bookmarkStart w:id="157" w:name="_Toc139447594"/>
      <w:bookmarkStart w:id="158" w:name="_Toc139447998"/>
      <w:bookmarkStart w:id="159" w:name="_Toc141245832"/>
      <w:bookmarkStart w:id="160" w:name="_Toc141763309"/>
      <w:bookmarkStart w:id="161" w:name="_Toc143314296"/>
      <w:bookmarkStart w:id="162" w:name="_Toc143405080"/>
      <w:bookmarkStart w:id="163" w:name="_Toc143405155"/>
      <w:bookmarkStart w:id="164" w:name="_Toc143405230"/>
      <w:bookmarkStart w:id="165" w:name="_Toc144024715"/>
      <w:bookmarkStart w:id="166" w:name="_Toc145732155"/>
      <w:bookmarkStart w:id="167" w:name="_Toc196122066"/>
      <w:bookmarkStart w:id="168" w:name="_Toc196801668"/>
      <w:bookmarkStart w:id="169" w:name="_Toc202172373"/>
      <w:bookmarkStart w:id="170" w:name="_Toc202172446"/>
      <w:bookmarkStart w:id="171" w:name="_Toc241048979"/>
      <w:bookmarkStart w:id="172" w:name="_Toc241051202"/>
      <w:bookmarkStart w:id="173" w:name="_Toc267489690"/>
      <w:bookmarkStart w:id="174" w:name="_Toc268264191"/>
      <w:bookmarkStart w:id="175" w:name="_Toc268264293"/>
      <w:bookmarkStart w:id="176" w:name="_Toc272150684"/>
      <w:bookmarkStart w:id="177" w:name="_Toc280092115"/>
      <w:bookmarkStart w:id="178" w:name="_Toc281485980"/>
      <w:bookmarkStart w:id="179" w:name="_Toc283882196"/>
      <w:bookmarkStart w:id="180" w:name="_Toc283890153"/>
      <w:bookmarkStart w:id="181" w:name="_Toc285445188"/>
      <w:bookmarkStart w:id="182" w:name="_Toc285446706"/>
      <w:bookmarkStart w:id="183" w:name="_Toc286309674"/>
      <w:bookmarkStart w:id="184" w:name="_Toc305751216"/>
      <w:r>
        <w:rPr>
          <w:rStyle w:val="CharPartNo"/>
        </w:rPr>
        <w:t>Part III</w:t>
      </w:r>
      <w:r>
        <w:t> — </w:t>
      </w:r>
      <w:r>
        <w:rPr>
          <w:rStyle w:val="CharPartText"/>
        </w:rPr>
        <w:t>Protection of hirers</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pPr>
        <w:pStyle w:val="Heading3"/>
      </w:pPr>
      <w:bookmarkStart w:id="185" w:name="_Toc72200471"/>
      <w:bookmarkStart w:id="186" w:name="_Toc72200539"/>
      <w:bookmarkStart w:id="187" w:name="_Toc77655310"/>
      <w:bookmarkStart w:id="188" w:name="_Toc79372684"/>
      <w:bookmarkStart w:id="189" w:name="_Toc86551114"/>
      <w:bookmarkStart w:id="190" w:name="_Toc89521461"/>
      <w:bookmarkStart w:id="191" w:name="_Toc90954870"/>
      <w:bookmarkStart w:id="192" w:name="_Toc92858029"/>
      <w:bookmarkStart w:id="193" w:name="_Toc97107187"/>
      <w:bookmarkStart w:id="194" w:name="_Toc102365769"/>
      <w:bookmarkStart w:id="195" w:name="_Toc102883433"/>
      <w:bookmarkStart w:id="196" w:name="_Toc106763918"/>
      <w:bookmarkStart w:id="197" w:name="_Toc128471243"/>
      <w:bookmarkStart w:id="198" w:name="_Toc128471316"/>
      <w:bookmarkStart w:id="199" w:name="_Toc129066963"/>
      <w:bookmarkStart w:id="200" w:name="_Toc139355327"/>
      <w:bookmarkStart w:id="201" w:name="_Toc139447595"/>
      <w:bookmarkStart w:id="202" w:name="_Toc139447999"/>
      <w:bookmarkStart w:id="203" w:name="_Toc141245833"/>
      <w:bookmarkStart w:id="204" w:name="_Toc141763310"/>
      <w:bookmarkStart w:id="205" w:name="_Toc143314297"/>
      <w:bookmarkStart w:id="206" w:name="_Toc143405081"/>
      <w:bookmarkStart w:id="207" w:name="_Toc143405156"/>
      <w:bookmarkStart w:id="208" w:name="_Toc143405231"/>
      <w:bookmarkStart w:id="209" w:name="_Toc144024716"/>
      <w:bookmarkStart w:id="210" w:name="_Toc145732156"/>
      <w:bookmarkStart w:id="211" w:name="_Toc196122067"/>
      <w:bookmarkStart w:id="212" w:name="_Toc196801669"/>
      <w:bookmarkStart w:id="213" w:name="_Toc202172374"/>
      <w:bookmarkStart w:id="214" w:name="_Toc202172447"/>
      <w:bookmarkStart w:id="215" w:name="_Toc241048980"/>
      <w:bookmarkStart w:id="216" w:name="_Toc241051203"/>
      <w:bookmarkStart w:id="217" w:name="_Toc267489691"/>
      <w:bookmarkStart w:id="218" w:name="_Toc268264192"/>
      <w:bookmarkStart w:id="219" w:name="_Toc268264294"/>
      <w:bookmarkStart w:id="220" w:name="_Toc272150685"/>
      <w:bookmarkStart w:id="221" w:name="_Toc280092116"/>
      <w:bookmarkStart w:id="222" w:name="_Toc281485981"/>
      <w:bookmarkStart w:id="223" w:name="_Toc283882197"/>
      <w:bookmarkStart w:id="224" w:name="_Toc283890154"/>
      <w:bookmarkStart w:id="225" w:name="_Toc285445189"/>
      <w:bookmarkStart w:id="226" w:name="_Toc285446707"/>
      <w:bookmarkStart w:id="227" w:name="_Toc286309675"/>
      <w:bookmarkStart w:id="228" w:name="_Toc305751217"/>
      <w:r>
        <w:rPr>
          <w:rStyle w:val="CharDivNo"/>
        </w:rPr>
        <w:t>Division 1</w:t>
      </w:r>
      <w:r>
        <w:rPr>
          <w:snapToGrid w:val="0"/>
        </w:rPr>
        <w:t> — </w:t>
      </w:r>
      <w:r>
        <w:rPr>
          <w:rStyle w:val="CharDivText"/>
        </w:rPr>
        <w:t>Warranties and conditions</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pPr>
        <w:pStyle w:val="Heading5"/>
        <w:rPr>
          <w:snapToGrid w:val="0"/>
        </w:rPr>
      </w:pPr>
      <w:bookmarkStart w:id="229" w:name="_Toc459168241"/>
      <w:bookmarkStart w:id="230" w:name="_Toc71097097"/>
      <w:bookmarkStart w:id="231" w:name="_Toc72200472"/>
      <w:bookmarkStart w:id="232" w:name="_Toc102883434"/>
      <w:bookmarkStart w:id="233" w:name="_Toc128471244"/>
      <w:bookmarkStart w:id="234" w:name="_Toc305751218"/>
      <w:bookmarkStart w:id="235" w:name="_Toc286309676"/>
      <w:r>
        <w:rPr>
          <w:rStyle w:val="CharSectno"/>
        </w:rPr>
        <w:t>5</w:t>
      </w:r>
      <w:r>
        <w:rPr>
          <w:snapToGrid w:val="0"/>
        </w:rPr>
        <w:t>.</w:t>
      </w:r>
      <w:r>
        <w:rPr>
          <w:snapToGrid w:val="0"/>
        </w:rPr>
        <w:tab/>
        <w:t>Conditions and warranties implied in every agreement</w:t>
      </w:r>
      <w:bookmarkEnd w:id="229"/>
      <w:bookmarkEnd w:id="230"/>
      <w:bookmarkEnd w:id="231"/>
      <w:bookmarkEnd w:id="232"/>
      <w:bookmarkEnd w:id="233"/>
      <w:bookmarkEnd w:id="234"/>
      <w:bookmarkEnd w:id="235"/>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be of merchantable quality but no such condition shall be deemed to be implied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w:t>
      </w:r>
    </w:p>
    <w:p>
      <w:pPr>
        <w:pStyle w:val="Indenta"/>
        <w:spacing w:before="60"/>
        <w:rPr>
          <w:snapToGrid w:val="0"/>
        </w:rPr>
      </w:pPr>
      <w:r>
        <w:rPr>
          <w:snapToGrid w:val="0"/>
        </w:rPr>
        <w:tab/>
        <w:t>(a)</w:t>
      </w:r>
      <w:r>
        <w:rPr>
          <w:snapToGrid w:val="0"/>
        </w:rPr>
        <w:tab/>
        <w:t>that the goods are second</w:t>
      </w:r>
      <w:r>
        <w:rPr>
          <w:snapToGrid w:val="0"/>
        </w:rPr>
        <w:noBreakHyphen/>
        <w:t>hand; and</w:t>
      </w:r>
    </w:p>
    <w:p>
      <w:pPr>
        <w:pStyle w:val="Indenta"/>
        <w:spacing w:before="60"/>
        <w:rPr>
          <w:snapToGrid w:val="0"/>
        </w:rPr>
      </w:pPr>
      <w:r>
        <w:rPr>
          <w:snapToGrid w:val="0"/>
        </w:rPr>
        <w:tab/>
        <w:t>(b)</w:t>
      </w:r>
      <w:r>
        <w:rPr>
          <w:snapToGrid w:val="0"/>
        </w:rPr>
        <w:tab/>
        <w:t>that all conditions and warranties of fitness and suitability are expressly negatived,</w:t>
      </w:r>
    </w:p>
    <w:p>
      <w:pPr>
        <w:pStyle w:val="Subsection"/>
        <w:spacing w:before="120"/>
        <w:rPr>
          <w:snapToGrid w:val="0"/>
        </w:rPr>
      </w:pPr>
      <w:r>
        <w:rPr>
          <w:snapToGrid w:val="0"/>
        </w:rPr>
        <w:tab/>
      </w:r>
      <w:r>
        <w:rPr>
          <w:snapToGrid w:val="0"/>
        </w:rPr>
        <w:tab/>
        <w:t>and the owner proves that the hirer has acknowledged in writing that the statement was brought to his notice.</w:t>
      </w:r>
    </w:p>
    <w:p>
      <w:pPr>
        <w:pStyle w:val="Subsection"/>
        <w:spacing w:before="140"/>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spacing w:before="140"/>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236" w:name="_Toc459168242"/>
      <w:bookmarkStart w:id="237" w:name="_Toc71097098"/>
      <w:bookmarkStart w:id="238" w:name="_Toc72200473"/>
      <w:bookmarkStart w:id="239" w:name="_Toc102883435"/>
      <w:bookmarkStart w:id="240" w:name="_Toc128471245"/>
      <w:bookmarkStart w:id="241" w:name="_Toc305751219"/>
      <w:bookmarkStart w:id="242" w:name="_Toc286309677"/>
      <w:r>
        <w:rPr>
          <w:rStyle w:val="CharSectno"/>
        </w:rPr>
        <w:t>6</w:t>
      </w:r>
      <w:r>
        <w:rPr>
          <w:snapToGrid w:val="0"/>
        </w:rPr>
        <w:t>.</w:t>
      </w:r>
      <w:r>
        <w:rPr>
          <w:snapToGrid w:val="0"/>
        </w:rPr>
        <w:tab/>
        <w:t>Representation</w:t>
      </w:r>
      <w:bookmarkEnd w:id="236"/>
      <w:bookmarkEnd w:id="237"/>
      <w:bookmarkEnd w:id="238"/>
      <w:bookmarkEnd w:id="239"/>
      <w:bookmarkEnd w:id="240"/>
      <w:r>
        <w:rPr>
          <w:snapToGrid w:val="0"/>
        </w:rPr>
        <w:t>s etc. by owner etc. to hirer, consequences of</w:t>
      </w:r>
      <w:bookmarkEnd w:id="241"/>
      <w:bookmarkEnd w:id="242"/>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w:t>
      </w:r>
    </w:p>
    <w:p>
      <w:pPr>
        <w:pStyle w:val="Indenta"/>
        <w:spacing w:before="60"/>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[Section 6 amended by No. 107 of 1973 s. 6.]</w:t>
      </w:r>
    </w:p>
    <w:p>
      <w:pPr>
        <w:pStyle w:val="Heading3"/>
      </w:pPr>
      <w:bookmarkStart w:id="243" w:name="_Toc72200474"/>
      <w:bookmarkStart w:id="244" w:name="_Toc72200542"/>
      <w:bookmarkStart w:id="245" w:name="_Toc77655313"/>
      <w:bookmarkStart w:id="246" w:name="_Toc79372687"/>
      <w:bookmarkStart w:id="247" w:name="_Toc86551117"/>
      <w:bookmarkStart w:id="248" w:name="_Toc89521464"/>
      <w:bookmarkStart w:id="249" w:name="_Toc90954873"/>
      <w:bookmarkStart w:id="250" w:name="_Toc92858032"/>
      <w:bookmarkStart w:id="251" w:name="_Toc97107190"/>
      <w:bookmarkStart w:id="252" w:name="_Toc102365772"/>
      <w:bookmarkStart w:id="253" w:name="_Toc102883436"/>
      <w:bookmarkStart w:id="254" w:name="_Toc106763921"/>
      <w:bookmarkStart w:id="255" w:name="_Toc128471246"/>
      <w:bookmarkStart w:id="256" w:name="_Toc128471319"/>
      <w:bookmarkStart w:id="257" w:name="_Toc129066966"/>
      <w:bookmarkStart w:id="258" w:name="_Toc139355330"/>
      <w:bookmarkStart w:id="259" w:name="_Toc139447598"/>
      <w:bookmarkStart w:id="260" w:name="_Toc139448002"/>
      <w:bookmarkStart w:id="261" w:name="_Toc141245836"/>
      <w:bookmarkStart w:id="262" w:name="_Toc141763313"/>
      <w:bookmarkStart w:id="263" w:name="_Toc143314300"/>
      <w:bookmarkStart w:id="264" w:name="_Toc143405084"/>
      <w:bookmarkStart w:id="265" w:name="_Toc143405159"/>
      <w:bookmarkStart w:id="266" w:name="_Toc143405234"/>
      <w:bookmarkStart w:id="267" w:name="_Toc144024719"/>
      <w:bookmarkStart w:id="268" w:name="_Toc145732159"/>
      <w:bookmarkStart w:id="269" w:name="_Toc196122070"/>
      <w:bookmarkStart w:id="270" w:name="_Toc196801672"/>
      <w:bookmarkStart w:id="271" w:name="_Toc202172377"/>
      <w:bookmarkStart w:id="272" w:name="_Toc202172450"/>
      <w:bookmarkStart w:id="273" w:name="_Toc241048983"/>
      <w:bookmarkStart w:id="274" w:name="_Toc241051206"/>
      <w:bookmarkStart w:id="275" w:name="_Toc267489694"/>
      <w:bookmarkStart w:id="276" w:name="_Toc268264195"/>
      <w:bookmarkStart w:id="277" w:name="_Toc268264297"/>
      <w:bookmarkStart w:id="278" w:name="_Toc272150688"/>
      <w:bookmarkStart w:id="279" w:name="_Toc280092119"/>
      <w:bookmarkStart w:id="280" w:name="_Toc281485984"/>
      <w:bookmarkStart w:id="281" w:name="_Toc283882200"/>
      <w:bookmarkStart w:id="282" w:name="_Toc283890157"/>
      <w:bookmarkStart w:id="283" w:name="_Toc285445192"/>
      <w:bookmarkStart w:id="284" w:name="_Toc285446710"/>
      <w:bookmarkStart w:id="285" w:name="_Toc286309678"/>
      <w:bookmarkStart w:id="286" w:name="_Toc305751220"/>
      <w:r>
        <w:rPr>
          <w:rStyle w:val="CharDivNo"/>
        </w:rPr>
        <w:t>Division 2</w:t>
      </w:r>
      <w:r>
        <w:rPr>
          <w:snapToGrid w:val="0"/>
        </w:rPr>
        <w:t> — </w:t>
      </w:r>
      <w:r>
        <w:rPr>
          <w:rStyle w:val="CharDivText"/>
        </w:rPr>
        <w:t>Statutory rights of hirers</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pPr>
        <w:pStyle w:val="Heading5"/>
        <w:rPr>
          <w:snapToGrid w:val="0"/>
        </w:rPr>
      </w:pPr>
      <w:bookmarkStart w:id="287" w:name="_Toc459168243"/>
      <w:bookmarkStart w:id="288" w:name="_Toc71097099"/>
      <w:bookmarkStart w:id="289" w:name="_Toc72200475"/>
      <w:bookmarkStart w:id="290" w:name="_Toc102883437"/>
      <w:bookmarkStart w:id="291" w:name="_Toc128471247"/>
      <w:bookmarkStart w:id="292" w:name="_Toc305751221"/>
      <w:bookmarkStart w:id="293" w:name="_Toc286309679"/>
      <w:r>
        <w:rPr>
          <w:rStyle w:val="CharSectno"/>
        </w:rPr>
        <w:t>7</w:t>
      </w:r>
      <w:r>
        <w:rPr>
          <w:snapToGrid w:val="0"/>
        </w:rPr>
        <w:t>.</w:t>
      </w:r>
      <w:r>
        <w:rPr>
          <w:snapToGrid w:val="0"/>
        </w:rPr>
        <w:tab/>
        <w:t>Hirer entitled to copy of agreement and statement of amounts paid, overdue and to be paid</w:t>
      </w:r>
      <w:bookmarkEnd w:id="287"/>
      <w:bookmarkEnd w:id="288"/>
      <w:bookmarkEnd w:id="289"/>
      <w:bookmarkEnd w:id="290"/>
      <w:bookmarkEnd w:id="291"/>
      <w:bookmarkEnd w:id="292"/>
      <w:bookmarkEnd w:id="293"/>
    </w:p>
    <w:p>
      <w:pPr>
        <w:pStyle w:val="Subsection"/>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w:t>
      </w:r>
    </w:p>
    <w:p>
      <w:pPr>
        <w:pStyle w:val="Indenta"/>
        <w:spacing w:before="60"/>
        <w:rPr>
          <w:snapToGrid w:val="0"/>
        </w:rPr>
      </w:pPr>
      <w:r>
        <w:rPr>
          <w:snapToGrid w:val="0"/>
        </w:rPr>
        <w:tab/>
        <w:t>(a)</w:t>
      </w:r>
      <w:r>
        <w:rPr>
          <w:snapToGrid w:val="0"/>
        </w:rPr>
        <w:tab/>
        <w:t>each amount received under the agreement by the owner and the date on which it was received; and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w:t>
      </w:r>
    </w:p>
    <w:p>
      <w:pPr>
        <w:pStyle w:val="Indenta"/>
        <w:rPr>
          <w:snapToGrid w:val="0"/>
        </w:rPr>
      </w:pPr>
      <w:r>
        <w:rPr>
          <w:snapToGrid w:val="0"/>
        </w:rPr>
        <w:tab/>
        <w:t>(a)</w:t>
      </w:r>
      <w:r>
        <w:rPr>
          <w:snapToGrid w:val="0"/>
        </w:rPr>
        <w:tab/>
        <w:t>the owner is not entitled to enforce —</w:t>
      </w:r>
    </w:p>
    <w:p>
      <w:pPr>
        <w:pStyle w:val="Indenti"/>
        <w:rPr>
          <w:snapToGrid w:val="0"/>
        </w:rPr>
      </w:pPr>
      <w:r>
        <w:rPr>
          <w:snapToGrid w:val="0"/>
        </w:rPr>
        <w:tab/>
        <w:t>(i)</w:t>
      </w:r>
      <w:r>
        <w:rPr>
          <w:snapToGrid w:val="0"/>
        </w:rPr>
        <w:tab/>
        <w:t>the agreement against the hirer; or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[Section 7 amended by No. 107 of 1973 s. 7; No. 37 of 1980 s. 5.]</w:t>
      </w:r>
    </w:p>
    <w:p>
      <w:pPr>
        <w:pStyle w:val="Heading5"/>
        <w:rPr>
          <w:snapToGrid w:val="0"/>
        </w:rPr>
      </w:pPr>
      <w:bookmarkStart w:id="294" w:name="_Toc459168244"/>
      <w:bookmarkStart w:id="295" w:name="_Toc71097100"/>
      <w:bookmarkStart w:id="296" w:name="_Toc72200476"/>
      <w:bookmarkStart w:id="297" w:name="_Toc102883438"/>
      <w:bookmarkStart w:id="298" w:name="_Toc128471248"/>
      <w:bookmarkStart w:id="299" w:name="_Toc305751222"/>
      <w:bookmarkStart w:id="300" w:name="_Toc286309680"/>
      <w:r>
        <w:rPr>
          <w:rStyle w:val="CharSectno"/>
        </w:rPr>
        <w:t>8</w:t>
      </w:r>
      <w:r>
        <w:rPr>
          <w:snapToGrid w:val="0"/>
        </w:rPr>
        <w:t>.</w:t>
      </w:r>
      <w:r>
        <w:rPr>
          <w:snapToGrid w:val="0"/>
        </w:rPr>
        <w:tab/>
        <w:t>Payment made under 2 or more agreements, apportionment of</w:t>
      </w:r>
      <w:bookmarkEnd w:id="294"/>
      <w:bookmarkEnd w:id="295"/>
      <w:bookmarkEnd w:id="296"/>
      <w:bookmarkEnd w:id="297"/>
      <w:bookmarkEnd w:id="298"/>
      <w:bookmarkEnd w:id="299"/>
      <w:bookmarkEnd w:id="300"/>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301" w:name="_Toc459168245"/>
      <w:bookmarkStart w:id="302" w:name="_Toc71097101"/>
      <w:bookmarkStart w:id="303" w:name="_Toc72200477"/>
      <w:bookmarkStart w:id="304" w:name="_Toc102883439"/>
      <w:bookmarkStart w:id="305" w:name="_Toc128471249"/>
      <w:bookmarkStart w:id="306" w:name="_Toc305751223"/>
      <w:bookmarkStart w:id="307" w:name="_Toc286309681"/>
      <w:r>
        <w:rPr>
          <w:rStyle w:val="CharSectno"/>
        </w:rPr>
        <w:t>9</w:t>
      </w:r>
      <w:r>
        <w:rPr>
          <w:snapToGrid w:val="0"/>
        </w:rPr>
        <w:t>.</w:t>
      </w:r>
      <w:r>
        <w:rPr>
          <w:snapToGrid w:val="0"/>
        </w:rPr>
        <w:tab/>
        <w:t>Assigning hirer’s rights under agreements</w:t>
      </w:r>
      <w:bookmarkEnd w:id="301"/>
      <w:bookmarkEnd w:id="302"/>
      <w:bookmarkEnd w:id="303"/>
      <w:bookmarkEnd w:id="304"/>
      <w:bookmarkEnd w:id="305"/>
      <w:bookmarkEnd w:id="306"/>
      <w:bookmarkEnd w:id="307"/>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[Section 9 amended by No. 107 of 1973 s. 8; No. 59 of 2004 s. 141.]</w:t>
      </w:r>
    </w:p>
    <w:p>
      <w:pPr>
        <w:pStyle w:val="Heading5"/>
        <w:rPr>
          <w:snapToGrid w:val="0"/>
        </w:rPr>
      </w:pPr>
      <w:bookmarkStart w:id="308" w:name="_Toc459168246"/>
      <w:bookmarkStart w:id="309" w:name="_Toc71097102"/>
      <w:bookmarkStart w:id="310" w:name="_Toc72200478"/>
      <w:bookmarkStart w:id="311" w:name="_Toc102883440"/>
      <w:bookmarkStart w:id="312" w:name="_Toc128471250"/>
      <w:bookmarkStart w:id="313" w:name="_Toc305751224"/>
      <w:bookmarkStart w:id="314" w:name="_Toc286309682"/>
      <w:r>
        <w:rPr>
          <w:rStyle w:val="CharSectno"/>
        </w:rPr>
        <w:t>10</w:t>
      </w:r>
      <w:r>
        <w:rPr>
          <w:snapToGrid w:val="0"/>
        </w:rPr>
        <w:t>.</w:t>
      </w:r>
      <w:r>
        <w:rPr>
          <w:snapToGrid w:val="0"/>
        </w:rPr>
        <w:tab/>
        <w:t>Court may allow goods to be moved</w:t>
      </w:r>
      <w:bookmarkEnd w:id="308"/>
      <w:bookmarkEnd w:id="309"/>
      <w:bookmarkEnd w:id="310"/>
      <w:bookmarkEnd w:id="311"/>
      <w:bookmarkEnd w:id="312"/>
      <w:bookmarkEnd w:id="313"/>
      <w:bookmarkEnd w:id="314"/>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[Section 10 amended by No. 107 of 1973 s. 9; No. 59 of 2004 s. 141.]</w:t>
      </w:r>
    </w:p>
    <w:p>
      <w:pPr>
        <w:pStyle w:val="Heading3"/>
        <w:spacing w:before="180"/>
      </w:pPr>
      <w:bookmarkStart w:id="315" w:name="_Toc72200479"/>
      <w:bookmarkStart w:id="316" w:name="_Toc72200547"/>
      <w:bookmarkStart w:id="317" w:name="_Toc77655318"/>
      <w:bookmarkStart w:id="318" w:name="_Toc79372692"/>
      <w:bookmarkStart w:id="319" w:name="_Toc86551122"/>
      <w:bookmarkStart w:id="320" w:name="_Toc89521469"/>
      <w:bookmarkStart w:id="321" w:name="_Toc90954878"/>
      <w:bookmarkStart w:id="322" w:name="_Toc92858037"/>
      <w:bookmarkStart w:id="323" w:name="_Toc97107195"/>
      <w:bookmarkStart w:id="324" w:name="_Toc102365777"/>
      <w:bookmarkStart w:id="325" w:name="_Toc102883441"/>
      <w:bookmarkStart w:id="326" w:name="_Toc106763926"/>
      <w:bookmarkStart w:id="327" w:name="_Toc128471251"/>
      <w:bookmarkStart w:id="328" w:name="_Toc128471324"/>
      <w:bookmarkStart w:id="329" w:name="_Toc129066971"/>
      <w:bookmarkStart w:id="330" w:name="_Toc139355335"/>
      <w:bookmarkStart w:id="331" w:name="_Toc139447603"/>
      <w:bookmarkStart w:id="332" w:name="_Toc139448007"/>
      <w:bookmarkStart w:id="333" w:name="_Toc141245841"/>
      <w:bookmarkStart w:id="334" w:name="_Toc141763318"/>
      <w:bookmarkStart w:id="335" w:name="_Toc143314305"/>
      <w:bookmarkStart w:id="336" w:name="_Toc143405089"/>
      <w:bookmarkStart w:id="337" w:name="_Toc143405164"/>
      <w:bookmarkStart w:id="338" w:name="_Toc143405239"/>
      <w:bookmarkStart w:id="339" w:name="_Toc144024724"/>
      <w:bookmarkStart w:id="340" w:name="_Toc145732164"/>
      <w:bookmarkStart w:id="341" w:name="_Toc196122075"/>
      <w:bookmarkStart w:id="342" w:name="_Toc196801677"/>
      <w:bookmarkStart w:id="343" w:name="_Toc202172382"/>
      <w:bookmarkStart w:id="344" w:name="_Toc202172455"/>
      <w:bookmarkStart w:id="345" w:name="_Toc241048988"/>
      <w:bookmarkStart w:id="346" w:name="_Toc241051211"/>
      <w:bookmarkStart w:id="347" w:name="_Toc267489699"/>
      <w:bookmarkStart w:id="348" w:name="_Toc268264200"/>
      <w:bookmarkStart w:id="349" w:name="_Toc268264302"/>
      <w:bookmarkStart w:id="350" w:name="_Toc272150693"/>
      <w:bookmarkStart w:id="351" w:name="_Toc280092124"/>
      <w:bookmarkStart w:id="352" w:name="_Toc281485989"/>
      <w:bookmarkStart w:id="353" w:name="_Toc283882205"/>
      <w:bookmarkStart w:id="354" w:name="_Toc283890162"/>
      <w:bookmarkStart w:id="355" w:name="_Toc285445197"/>
      <w:bookmarkStart w:id="356" w:name="_Toc285446715"/>
      <w:bookmarkStart w:id="357" w:name="_Toc286309683"/>
      <w:bookmarkStart w:id="358" w:name="_Toc305751225"/>
      <w:r>
        <w:rPr>
          <w:rStyle w:val="CharDivNo"/>
        </w:rPr>
        <w:t>Division 3</w:t>
      </w:r>
      <w:r>
        <w:rPr>
          <w:snapToGrid w:val="0"/>
        </w:rPr>
        <w:t> — </w:t>
      </w:r>
      <w:r>
        <w:rPr>
          <w:rStyle w:val="CharDivText"/>
        </w:rPr>
        <w:t>Early completion of agreements</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pPr>
        <w:pStyle w:val="Heading5"/>
        <w:rPr>
          <w:snapToGrid w:val="0"/>
        </w:rPr>
      </w:pPr>
      <w:bookmarkStart w:id="359" w:name="_Toc459168247"/>
      <w:bookmarkStart w:id="360" w:name="_Toc71097103"/>
      <w:bookmarkStart w:id="361" w:name="_Toc72200480"/>
      <w:bookmarkStart w:id="362" w:name="_Toc102883442"/>
      <w:bookmarkStart w:id="363" w:name="_Toc128471252"/>
      <w:bookmarkStart w:id="364" w:name="_Toc305751226"/>
      <w:bookmarkStart w:id="365" w:name="_Toc286309684"/>
      <w:r>
        <w:rPr>
          <w:rStyle w:val="CharSectno"/>
        </w:rPr>
        <w:t>11</w:t>
      </w:r>
      <w:r>
        <w:rPr>
          <w:snapToGrid w:val="0"/>
        </w:rPr>
        <w:t>.</w:t>
      </w:r>
      <w:r>
        <w:rPr>
          <w:snapToGrid w:val="0"/>
        </w:rPr>
        <w:tab/>
        <w:t>Hirer may complete purchase at any time</w:t>
      </w:r>
      <w:bookmarkEnd w:id="359"/>
      <w:bookmarkEnd w:id="360"/>
      <w:bookmarkEnd w:id="361"/>
      <w:bookmarkEnd w:id="362"/>
      <w:bookmarkEnd w:id="363"/>
      <w:bookmarkEnd w:id="364"/>
      <w:bookmarkEnd w:id="365"/>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w:t>
      </w:r>
    </w:p>
    <w:p>
      <w:pPr>
        <w:pStyle w:val="Indenta"/>
        <w:rPr>
          <w:snapToGrid w:val="0"/>
        </w:rPr>
      </w:pPr>
      <w:r>
        <w:rPr>
          <w:snapToGrid w:val="0"/>
        </w:rPr>
        <w:tab/>
        <w:t>(a)</w:t>
      </w:r>
      <w:r>
        <w:rPr>
          <w:snapToGrid w:val="0"/>
        </w:rPr>
        <w:tab/>
        <w:t>the statutory rebate for terms charges; and</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rPr>
          <w:snapToGrid w:val="0"/>
        </w:rPr>
      </w:pPr>
      <w:r>
        <w:rPr>
          <w:snapToGrid w:val="0"/>
        </w:rPr>
        <w:tab/>
        <w:t>(2b)</w:t>
      </w:r>
      <w:r>
        <w:rPr>
          <w:snapToGrid w:val="0"/>
        </w:rPr>
        <w:tab/>
        <w:t>A person who, in furnishing the particulars required by or for the purposes of subsection (2a)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[Section 11 amended by No. 37 of 1980 s. 6.]</w:t>
      </w:r>
    </w:p>
    <w:p>
      <w:pPr>
        <w:pStyle w:val="Heading3"/>
      </w:pPr>
      <w:bookmarkStart w:id="366" w:name="_Toc72200481"/>
      <w:bookmarkStart w:id="367" w:name="_Toc72200549"/>
      <w:bookmarkStart w:id="368" w:name="_Toc77655320"/>
      <w:bookmarkStart w:id="369" w:name="_Toc79372694"/>
      <w:bookmarkStart w:id="370" w:name="_Toc86551124"/>
      <w:bookmarkStart w:id="371" w:name="_Toc89521471"/>
      <w:bookmarkStart w:id="372" w:name="_Toc90954880"/>
      <w:bookmarkStart w:id="373" w:name="_Toc92858039"/>
      <w:bookmarkStart w:id="374" w:name="_Toc97107197"/>
      <w:bookmarkStart w:id="375" w:name="_Toc102365779"/>
      <w:bookmarkStart w:id="376" w:name="_Toc102883443"/>
      <w:bookmarkStart w:id="377" w:name="_Toc106763928"/>
      <w:bookmarkStart w:id="378" w:name="_Toc128471253"/>
      <w:bookmarkStart w:id="379" w:name="_Toc128471326"/>
      <w:bookmarkStart w:id="380" w:name="_Toc129066973"/>
      <w:bookmarkStart w:id="381" w:name="_Toc139355337"/>
      <w:bookmarkStart w:id="382" w:name="_Toc139447605"/>
      <w:bookmarkStart w:id="383" w:name="_Toc139448009"/>
      <w:bookmarkStart w:id="384" w:name="_Toc141245843"/>
      <w:bookmarkStart w:id="385" w:name="_Toc141763320"/>
      <w:bookmarkStart w:id="386" w:name="_Toc143314307"/>
      <w:bookmarkStart w:id="387" w:name="_Toc143405091"/>
      <w:bookmarkStart w:id="388" w:name="_Toc143405166"/>
      <w:bookmarkStart w:id="389" w:name="_Toc143405241"/>
      <w:bookmarkStart w:id="390" w:name="_Toc144024726"/>
      <w:bookmarkStart w:id="391" w:name="_Toc145732166"/>
      <w:bookmarkStart w:id="392" w:name="_Toc196122077"/>
      <w:bookmarkStart w:id="393" w:name="_Toc196801679"/>
      <w:bookmarkStart w:id="394" w:name="_Toc202172384"/>
      <w:bookmarkStart w:id="395" w:name="_Toc202172457"/>
      <w:bookmarkStart w:id="396" w:name="_Toc241048990"/>
      <w:bookmarkStart w:id="397" w:name="_Toc241051213"/>
      <w:bookmarkStart w:id="398" w:name="_Toc267489701"/>
      <w:bookmarkStart w:id="399" w:name="_Toc268264202"/>
      <w:bookmarkStart w:id="400" w:name="_Toc268264304"/>
      <w:bookmarkStart w:id="401" w:name="_Toc272150695"/>
      <w:bookmarkStart w:id="402" w:name="_Toc280092126"/>
      <w:bookmarkStart w:id="403" w:name="_Toc281485991"/>
      <w:bookmarkStart w:id="404" w:name="_Toc283882207"/>
      <w:bookmarkStart w:id="405" w:name="_Toc283890164"/>
      <w:bookmarkStart w:id="406" w:name="_Toc285445199"/>
      <w:bookmarkStart w:id="407" w:name="_Toc285446717"/>
      <w:bookmarkStart w:id="408" w:name="_Toc286309685"/>
      <w:bookmarkStart w:id="409" w:name="_Toc305751227"/>
      <w:r>
        <w:rPr>
          <w:rStyle w:val="CharDivNo"/>
        </w:rPr>
        <w:t>Division 4</w:t>
      </w:r>
      <w:r>
        <w:rPr>
          <w:snapToGrid w:val="0"/>
        </w:rPr>
        <w:t> — </w:t>
      </w:r>
      <w:r>
        <w:rPr>
          <w:rStyle w:val="CharDivText"/>
        </w:rPr>
        <w:t>Voluntary return of goods</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pPr>
        <w:pStyle w:val="Heading5"/>
        <w:rPr>
          <w:snapToGrid w:val="0"/>
        </w:rPr>
      </w:pPr>
      <w:bookmarkStart w:id="410" w:name="_Toc459168248"/>
      <w:bookmarkStart w:id="411" w:name="_Toc71097104"/>
      <w:bookmarkStart w:id="412" w:name="_Toc72200482"/>
      <w:bookmarkStart w:id="413" w:name="_Toc102883444"/>
      <w:bookmarkStart w:id="414" w:name="_Toc128471254"/>
      <w:bookmarkStart w:id="415" w:name="_Toc305751228"/>
      <w:bookmarkStart w:id="416" w:name="_Toc286309686"/>
      <w:r>
        <w:rPr>
          <w:rStyle w:val="CharSectno"/>
        </w:rPr>
        <w:t>12</w:t>
      </w:r>
      <w:r>
        <w:rPr>
          <w:snapToGrid w:val="0"/>
        </w:rPr>
        <w:t>.</w:t>
      </w:r>
      <w:r>
        <w:rPr>
          <w:snapToGrid w:val="0"/>
        </w:rPr>
        <w:tab/>
        <w:t>Terminating hiring</w:t>
      </w:r>
      <w:bookmarkEnd w:id="410"/>
      <w:bookmarkEnd w:id="411"/>
      <w:bookmarkEnd w:id="412"/>
      <w:bookmarkEnd w:id="413"/>
      <w:bookmarkEnd w:id="414"/>
      <w:r>
        <w:rPr>
          <w:snapToGrid w:val="0"/>
        </w:rPr>
        <w:t xml:space="preserve"> by returning goods</w:t>
      </w:r>
      <w:bookmarkEnd w:id="415"/>
      <w:bookmarkEnd w:id="416"/>
    </w:p>
    <w:p>
      <w:pPr>
        <w:pStyle w:val="Subsection"/>
        <w:spacing w:before="140"/>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spacing w:before="140"/>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spacing w:before="80"/>
        <w:ind w:left="890" w:hanging="890"/>
      </w:pPr>
      <w:r>
        <w:tab/>
        <w:t>[Section 12 amended by No. 107 of 1973 s. 10; No. 59 of 2004 s. 141.]</w:t>
      </w:r>
    </w:p>
    <w:p>
      <w:pPr>
        <w:pStyle w:val="Heading3"/>
        <w:spacing w:before="200"/>
      </w:pPr>
      <w:bookmarkStart w:id="417" w:name="_Toc72200483"/>
      <w:bookmarkStart w:id="418" w:name="_Toc72200551"/>
      <w:bookmarkStart w:id="419" w:name="_Toc77655322"/>
      <w:bookmarkStart w:id="420" w:name="_Toc79372696"/>
      <w:bookmarkStart w:id="421" w:name="_Toc86551126"/>
      <w:bookmarkStart w:id="422" w:name="_Toc89521473"/>
      <w:bookmarkStart w:id="423" w:name="_Toc90954882"/>
      <w:bookmarkStart w:id="424" w:name="_Toc92858041"/>
      <w:bookmarkStart w:id="425" w:name="_Toc97107199"/>
      <w:bookmarkStart w:id="426" w:name="_Toc102365781"/>
      <w:bookmarkStart w:id="427" w:name="_Toc102883445"/>
      <w:bookmarkStart w:id="428" w:name="_Toc106763930"/>
      <w:bookmarkStart w:id="429" w:name="_Toc128471255"/>
      <w:bookmarkStart w:id="430" w:name="_Toc128471328"/>
      <w:bookmarkStart w:id="431" w:name="_Toc129066975"/>
      <w:bookmarkStart w:id="432" w:name="_Toc139355339"/>
      <w:bookmarkStart w:id="433" w:name="_Toc139447607"/>
      <w:bookmarkStart w:id="434" w:name="_Toc139448011"/>
      <w:bookmarkStart w:id="435" w:name="_Toc141245845"/>
      <w:bookmarkStart w:id="436" w:name="_Toc141763322"/>
      <w:bookmarkStart w:id="437" w:name="_Toc143314309"/>
      <w:bookmarkStart w:id="438" w:name="_Toc143405093"/>
      <w:bookmarkStart w:id="439" w:name="_Toc143405168"/>
      <w:bookmarkStart w:id="440" w:name="_Toc143405243"/>
      <w:bookmarkStart w:id="441" w:name="_Toc144024728"/>
      <w:bookmarkStart w:id="442" w:name="_Toc145732168"/>
      <w:bookmarkStart w:id="443" w:name="_Toc196122079"/>
      <w:bookmarkStart w:id="444" w:name="_Toc196801681"/>
      <w:bookmarkStart w:id="445" w:name="_Toc202172386"/>
      <w:bookmarkStart w:id="446" w:name="_Toc202172459"/>
      <w:bookmarkStart w:id="447" w:name="_Toc241048992"/>
      <w:bookmarkStart w:id="448" w:name="_Toc241051215"/>
      <w:bookmarkStart w:id="449" w:name="_Toc267489703"/>
      <w:bookmarkStart w:id="450" w:name="_Toc268264204"/>
      <w:bookmarkStart w:id="451" w:name="_Toc268264306"/>
      <w:bookmarkStart w:id="452" w:name="_Toc272150697"/>
      <w:bookmarkStart w:id="453" w:name="_Toc280092128"/>
      <w:bookmarkStart w:id="454" w:name="_Toc281485993"/>
      <w:bookmarkStart w:id="455" w:name="_Toc283882209"/>
      <w:bookmarkStart w:id="456" w:name="_Toc283890166"/>
      <w:bookmarkStart w:id="457" w:name="_Toc285445201"/>
      <w:bookmarkStart w:id="458" w:name="_Toc285446719"/>
      <w:bookmarkStart w:id="459" w:name="_Toc286309687"/>
      <w:bookmarkStart w:id="460" w:name="_Toc305751229"/>
      <w:r>
        <w:rPr>
          <w:rStyle w:val="CharDivNo"/>
        </w:rPr>
        <w:t>Division 5</w:t>
      </w:r>
      <w:r>
        <w:rPr>
          <w:snapToGrid w:val="0"/>
        </w:rPr>
        <w:t> — </w:t>
      </w:r>
      <w:r>
        <w:rPr>
          <w:rStyle w:val="CharDivText"/>
        </w:rPr>
        <w:t>Repossessions</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pPr>
        <w:pStyle w:val="Heading5"/>
        <w:spacing w:before="180"/>
        <w:rPr>
          <w:snapToGrid w:val="0"/>
        </w:rPr>
      </w:pPr>
      <w:bookmarkStart w:id="461" w:name="_Toc459168249"/>
      <w:bookmarkStart w:id="462" w:name="_Toc71097105"/>
      <w:bookmarkStart w:id="463" w:name="_Toc72200484"/>
      <w:bookmarkStart w:id="464" w:name="_Toc102883446"/>
      <w:bookmarkStart w:id="465" w:name="_Toc128471256"/>
      <w:bookmarkStart w:id="466" w:name="_Toc305751230"/>
      <w:bookmarkStart w:id="467" w:name="_Toc286309688"/>
      <w:r>
        <w:rPr>
          <w:rStyle w:val="CharSectno"/>
        </w:rPr>
        <w:t>12A</w:t>
      </w:r>
      <w:r>
        <w:rPr>
          <w:snapToGrid w:val="0"/>
        </w:rPr>
        <w:t xml:space="preserve">. </w:t>
      </w:r>
      <w:r>
        <w:rPr>
          <w:snapToGrid w:val="0"/>
        </w:rPr>
        <w:tab/>
        <w:t>Repossession requires Commissioner’s consent in some cases</w:t>
      </w:r>
      <w:bookmarkEnd w:id="461"/>
      <w:bookmarkEnd w:id="462"/>
      <w:bookmarkEnd w:id="463"/>
      <w:bookmarkEnd w:id="464"/>
      <w:bookmarkEnd w:id="465"/>
      <w:bookmarkEnd w:id="466"/>
      <w:bookmarkEnd w:id="467"/>
    </w:p>
    <w:p>
      <w:pPr>
        <w:pStyle w:val="Subsection"/>
        <w:rPr>
          <w:snapToGrid w:val="0"/>
        </w:rPr>
      </w:pPr>
      <w:r>
        <w:rPr>
          <w:snapToGrid w:val="0"/>
        </w:rPr>
        <w:tab/>
        <w:t>(1)</w:t>
      </w:r>
      <w:r>
        <w:rPr>
          <w:snapToGrid w:val="0"/>
        </w:rPr>
        <w:tab/>
        <w:t>Where a hire</w:t>
      </w:r>
      <w:r>
        <w:rPr>
          <w:snapToGrid w:val="0"/>
        </w:rPr>
        <w:noBreakHyphen/>
        <w:t>purchase agreement has not been terminated by the hirer and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[Section 12A inserted by No. 107 of 1973 s. 11; amended by No. 55 of 2004 s. 511.]</w:t>
      </w:r>
    </w:p>
    <w:p>
      <w:pPr>
        <w:pStyle w:val="Heading5"/>
        <w:rPr>
          <w:snapToGrid w:val="0"/>
        </w:rPr>
      </w:pPr>
      <w:bookmarkStart w:id="468" w:name="_Toc459168250"/>
      <w:bookmarkStart w:id="469" w:name="_Toc71097106"/>
      <w:bookmarkStart w:id="470" w:name="_Toc72200485"/>
      <w:bookmarkStart w:id="471" w:name="_Toc102883447"/>
      <w:bookmarkStart w:id="472" w:name="_Toc128471257"/>
      <w:bookmarkStart w:id="473" w:name="_Toc305751231"/>
      <w:bookmarkStart w:id="474" w:name="_Toc286309689"/>
      <w:r>
        <w:rPr>
          <w:rStyle w:val="CharSectno"/>
        </w:rPr>
        <w:t>13</w:t>
      </w:r>
      <w:r>
        <w:rPr>
          <w:snapToGrid w:val="0"/>
        </w:rPr>
        <w:t>.</w:t>
      </w:r>
      <w:r>
        <w:rPr>
          <w:snapToGrid w:val="0"/>
        </w:rPr>
        <w:tab/>
        <w:t>Procedure for and on repossessing goods</w:t>
      </w:r>
      <w:bookmarkEnd w:id="468"/>
      <w:bookmarkEnd w:id="469"/>
      <w:bookmarkEnd w:id="470"/>
      <w:bookmarkEnd w:id="471"/>
      <w:bookmarkEnd w:id="472"/>
      <w:bookmarkEnd w:id="473"/>
      <w:bookmarkEnd w:id="474"/>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[Section 13 amended by No. 107 of 1973 s. 12.]</w:t>
      </w:r>
    </w:p>
    <w:p>
      <w:pPr>
        <w:pStyle w:val="Heading5"/>
        <w:rPr>
          <w:snapToGrid w:val="0"/>
        </w:rPr>
      </w:pPr>
      <w:bookmarkStart w:id="475" w:name="_Toc459168251"/>
      <w:bookmarkStart w:id="476" w:name="_Toc71097107"/>
      <w:bookmarkStart w:id="477" w:name="_Toc72200486"/>
      <w:bookmarkStart w:id="478" w:name="_Toc102883448"/>
      <w:bookmarkStart w:id="479" w:name="_Toc128471258"/>
      <w:bookmarkStart w:id="480" w:name="_Toc305751232"/>
      <w:bookmarkStart w:id="481" w:name="_Toc286309690"/>
      <w:r>
        <w:rPr>
          <w:rStyle w:val="CharSectno"/>
        </w:rPr>
        <w:t>14</w:t>
      </w:r>
      <w:r>
        <w:rPr>
          <w:snapToGrid w:val="0"/>
        </w:rPr>
        <w:t>.</w:t>
      </w:r>
      <w:r>
        <w:rPr>
          <w:snapToGrid w:val="0"/>
        </w:rPr>
        <w:tab/>
        <w:t>Owner to retain repossessed goods for 21 days</w:t>
      </w:r>
      <w:bookmarkEnd w:id="475"/>
      <w:bookmarkEnd w:id="476"/>
      <w:bookmarkEnd w:id="477"/>
      <w:bookmarkEnd w:id="478"/>
      <w:bookmarkEnd w:id="479"/>
      <w:bookmarkEnd w:id="480"/>
      <w:bookmarkEnd w:id="481"/>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[Section 14 amended by No. 107 of 1973 s. 13.]</w:t>
      </w:r>
    </w:p>
    <w:p>
      <w:pPr>
        <w:pStyle w:val="Heading5"/>
        <w:rPr>
          <w:snapToGrid w:val="0"/>
        </w:rPr>
      </w:pPr>
      <w:bookmarkStart w:id="482" w:name="_Toc459168252"/>
      <w:bookmarkStart w:id="483" w:name="_Toc71097108"/>
      <w:bookmarkStart w:id="484" w:name="_Toc72200487"/>
      <w:bookmarkStart w:id="485" w:name="_Toc102883449"/>
      <w:bookmarkStart w:id="486" w:name="_Toc128471259"/>
      <w:bookmarkStart w:id="487" w:name="_Toc305751233"/>
      <w:bookmarkStart w:id="488" w:name="_Toc286309691"/>
      <w:r>
        <w:rPr>
          <w:rStyle w:val="CharSectno"/>
        </w:rPr>
        <w:t>15</w:t>
      </w:r>
      <w:r>
        <w:rPr>
          <w:snapToGrid w:val="0"/>
        </w:rPr>
        <w:t>.</w:t>
      </w:r>
      <w:r>
        <w:rPr>
          <w:snapToGrid w:val="0"/>
        </w:rPr>
        <w:tab/>
        <w:t>Hirer’s rights and immunities on repossession</w:t>
      </w:r>
      <w:bookmarkEnd w:id="482"/>
      <w:bookmarkEnd w:id="483"/>
      <w:bookmarkEnd w:id="484"/>
      <w:bookmarkEnd w:id="485"/>
      <w:bookmarkEnd w:id="486"/>
      <w:bookmarkEnd w:id="487"/>
      <w:bookmarkEnd w:id="488"/>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hirer may recover from the owner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w:t>
      </w:r>
    </w:p>
    <w:p>
      <w:pPr>
        <w:pStyle w:val="Indenti"/>
        <w:rPr>
          <w:snapToGrid w:val="0"/>
        </w:rPr>
      </w:pPr>
      <w:r>
        <w:rPr>
          <w:snapToGrid w:val="0"/>
        </w:rPr>
        <w:tab/>
        <w:t>(iii)</w:t>
      </w:r>
      <w:r>
        <w:rPr>
          <w:snapToGrid w:val="0"/>
        </w:rPr>
        <w:tab/>
        <w:t>the reasonable costs incurred by the owner of and incidental to his taking possession of the goods; and</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w:t>
      </w:r>
    </w:p>
    <w:p>
      <w:pPr>
        <w:pStyle w:val="Indenta"/>
        <w:rPr>
          <w:snapToGrid w:val="0"/>
        </w:rPr>
      </w:pPr>
      <w:r>
        <w:rPr>
          <w:snapToGrid w:val="0"/>
        </w:rPr>
        <w:tab/>
        <w:t>(a)</w:t>
      </w:r>
      <w:r>
        <w:rPr>
          <w:snapToGrid w:val="0"/>
        </w:rPr>
        <w:tab/>
        <w:t>the hirer, within 21 days after the owner has served such a notice, gives to the owner notice in writing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[Section 15 amended by No. 107 of 1973 s. 14.]</w:t>
      </w:r>
    </w:p>
    <w:p>
      <w:pPr>
        <w:pStyle w:val="Heading5"/>
        <w:rPr>
          <w:snapToGrid w:val="0"/>
        </w:rPr>
      </w:pPr>
      <w:bookmarkStart w:id="489" w:name="_Toc459168253"/>
      <w:bookmarkStart w:id="490" w:name="_Toc71097109"/>
      <w:bookmarkStart w:id="491" w:name="_Toc72200488"/>
      <w:bookmarkStart w:id="492" w:name="_Toc102883450"/>
      <w:bookmarkStart w:id="493" w:name="_Toc128471260"/>
      <w:bookmarkStart w:id="494" w:name="_Toc305751234"/>
      <w:bookmarkStart w:id="495" w:name="_Toc286309692"/>
      <w:r>
        <w:rPr>
          <w:rStyle w:val="CharSectno"/>
        </w:rPr>
        <w:t>16</w:t>
      </w:r>
      <w:r>
        <w:rPr>
          <w:snapToGrid w:val="0"/>
        </w:rPr>
        <w:t>.</w:t>
      </w:r>
      <w:r>
        <w:rPr>
          <w:snapToGrid w:val="0"/>
        </w:rPr>
        <w:tab/>
        <w:t>Hirer may obtain return of goods in some cases</w:t>
      </w:r>
      <w:bookmarkEnd w:id="489"/>
      <w:bookmarkEnd w:id="490"/>
      <w:bookmarkEnd w:id="491"/>
      <w:bookmarkEnd w:id="492"/>
      <w:bookmarkEnd w:id="493"/>
      <w:bookmarkEnd w:id="494"/>
      <w:bookmarkEnd w:id="495"/>
    </w:p>
    <w:p>
      <w:pPr>
        <w:pStyle w:val="Subsection"/>
        <w:rPr>
          <w:snapToGrid w:val="0"/>
        </w:rPr>
      </w:pPr>
      <w:r>
        <w:rPr>
          <w:snapToGrid w:val="0"/>
        </w:rPr>
        <w:tab/>
        <w:t>(1)</w:t>
      </w:r>
      <w:r>
        <w:rPr>
          <w:snapToGrid w:val="0"/>
        </w:rPr>
        <w:tab/>
        <w:t>If, within 14 days after giving notice to the owner pursuant to the provisions of section 15(1)(a), the hirer —</w:t>
      </w:r>
    </w:p>
    <w:p>
      <w:pPr>
        <w:pStyle w:val="Indenta"/>
        <w:spacing w:before="60"/>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 and</w:t>
      </w:r>
    </w:p>
    <w:p>
      <w:pPr>
        <w:pStyle w:val="Indenta"/>
        <w:spacing w:before="60"/>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spacing w:before="60"/>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spacing w:before="120"/>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[Section 16 amended by No. 107 of 1973 s. 15.]</w:t>
      </w:r>
    </w:p>
    <w:p>
      <w:pPr>
        <w:pStyle w:val="Heading5"/>
        <w:rPr>
          <w:snapToGrid w:val="0"/>
        </w:rPr>
      </w:pPr>
      <w:bookmarkStart w:id="496" w:name="_Toc459168254"/>
      <w:bookmarkStart w:id="497" w:name="_Toc71097110"/>
      <w:bookmarkStart w:id="498" w:name="_Toc72200489"/>
      <w:bookmarkStart w:id="499" w:name="_Toc102883451"/>
      <w:bookmarkStart w:id="500" w:name="_Toc128471261"/>
      <w:bookmarkStart w:id="501" w:name="_Toc305751235"/>
      <w:bookmarkStart w:id="502" w:name="_Toc286309693"/>
      <w:r>
        <w:rPr>
          <w:rStyle w:val="CharSectno"/>
        </w:rPr>
        <w:t>17</w:t>
      </w:r>
      <w:r>
        <w:rPr>
          <w:snapToGrid w:val="0"/>
        </w:rPr>
        <w:t>.</w:t>
      </w:r>
      <w:r>
        <w:rPr>
          <w:snapToGrid w:val="0"/>
        </w:rPr>
        <w:tab/>
        <w:t>Court may vary existing judgments etc. against hirer if goods are repossessed</w:t>
      </w:r>
      <w:bookmarkEnd w:id="496"/>
      <w:bookmarkEnd w:id="497"/>
      <w:bookmarkEnd w:id="498"/>
      <w:bookmarkEnd w:id="499"/>
      <w:bookmarkEnd w:id="500"/>
      <w:bookmarkEnd w:id="501"/>
      <w:bookmarkEnd w:id="502"/>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503" w:name="_Toc72200490"/>
      <w:bookmarkStart w:id="504" w:name="_Toc72200558"/>
      <w:bookmarkStart w:id="505" w:name="_Toc77655329"/>
      <w:bookmarkStart w:id="506" w:name="_Toc79372703"/>
      <w:bookmarkStart w:id="507" w:name="_Toc86551133"/>
      <w:bookmarkStart w:id="508" w:name="_Toc89521480"/>
      <w:bookmarkStart w:id="509" w:name="_Toc90954889"/>
      <w:bookmarkStart w:id="510" w:name="_Toc92858048"/>
      <w:bookmarkStart w:id="511" w:name="_Toc97107206"/>
      <w:bookmarkStart w:id="512" w:name="_Toc102365788"/>
      <w:bookmarkStart w:id="513" w:name="_Toc102883452"/>
      <w:bookmarkStart w:id="514" w:name="_Toc106763937"/>
      <w:bookmarkStart w:id="515" w:name="_Toc128471262"/>
      <w:bookmarkStart w:id="516" w:name="_Toc128471335"/>
      <w:bookmarkStart w:id="517" w:name="_Toc129066982"/>
      <w:bookmarkStart w:id="518" w:name="_Toc139355346"/>
      <w:bookmarkStart w:id="519" w:name="_Toc139447614"/>
      <w:bookmarkStart w:id="520" w:name="_Toc139448018"/>
      <w:bookmarkStart w:id="521" w:name="_Toc141245852"/>
      <w:bookmarkStart w:id="522" w:name="_Toc141763329"/>
      <w:bookmarkStart w:id="523" w:name="_Toc143314316"/>
      <w:bookmarkStart w:id="524" w:name="_Toc143405100"/>
      <w:bookmarkStart w:id="525" w:name="_Toc143405175"/>
      <w:bookmarkStart w:id="526" w:name="_Toc143405250"/>
      <w:bookmarkStart w:id="527" w:name="_Toc144024735"/>
      <w:bookmarkStart w:id="528" w:name="_Toc145732175"/>
      <w:bookmarkStart w:id="529" w:name="_Toc196122086"/>
      <w:bookmarkStart w:id="530" w:name="_Toc196801688"/>
      <w:bookmarkStart w:id="531" w:name="_Toc202172393"/>
      <w:bookmarkStart w:id="532" w:name="_Toc202172466"/>
      <w:bookmarkStart w:id="533" w:name="_Toc241048999"/>
      <w:bookmarkStart w:id="534" w:name="_Toc241051222"/>
      <w:bookmarkStart w:id="535" w:name="_Toc267489710"/>
      <w:bookmarkStart w:id="536" w:name="_Toc268264211"/>
      <w:bookmarkStart w:id="537" w:name="_Toc268264313"/>
      <w:bookmarkStart w:id="538" w:name="_Toc272150704"/>
      <w:bookmarkStart w:id="539" w:name="_Toc280092135"/>
      <w:bookmarkStart w:id="540" w:name="_Toc281486000"/>
      <w:bookmarkStart w:id="541" w:name="_Toc283882216"/>
      <w:bookmarkStart w:id="542" w:name="_Toc283890173"/>
      <w:bookmarkStart w:id="543" w:name="_Toc285445208"/>
      <w:bookmarkStart w:id="544" w:name="_Toc285446726"/>
      <w:bookmarkStart w:id="545" w:name="_Toc286309694"/>
      <w:bookmarkStart w:id="546" w:name="_Toc305751236"/>
      <w:r>
        <w:rPr>
          <w:rStyle w:val="CharPartNo"/>
        </w:rPr>
        <w:t>Part IV</w:t>
      </w:r>
      <w:r>
        <w:rPr>
          <w:rStyle w:val="CharDivNo"/>
        </w:rPr>
        <w:t> </w:t>
      </w:r>
      <w:r>
        <w:t>—</w:t>
      </w:r>
      <w:r>
        <w:rPr>
          <w:rStyle w:val="CharDivText"/>
        </w:rPr>
        <w:t> </w:t>
      </w:r>
      <w:r>
        <w:rPr>
          <w:rStyle w:val="CharPartText"/>
        </w:rPr>
        <w:t>Guarantees</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p>
      <w:pPr>
        <w:pStyle w:val="Heading5"/>
        <w:rPr>
          <w:snapToGrid w:val="0"/>
        </w:rPr>
      </w:pPr>
      <w:bookmarkStart w:id="547" w:name="_Toc459168255"/>
      <w:bookmarkStart w:id="548" w:name="_Toc71097111"/>
      <w:bookmarkStart w:id="549" w:name="_Toc72200491"/>
      <w:bookmarkStart w:id="550" w:name="_Toc102883453"/>
      <w:bookmarkStart w:id="551" w:name="_Toc128471263"/>
      <w:bookmarkStart w:id="552" w:name="_Toc305751237"/>
      <w:bookmarkStart w:id="553" w:name="_Toc286309695"/>
      <w:r>
        <w:rPr>
          <w:rStyle w:val="CharSectno"/>
        </w:rPr>
        <w:t>18</w:t>
      </w:r>
      <w:r>
        <w:rPr>
          <w:snapToGrid w:val="0"/>
        </w:rPr>
        <w:t>.</w:t>
      </w:r>
      <w:r>
        <w:rPr>
          <w:snapToGrid w:val="0"/>
        </w:rPr>
        <w:tab/>
        <w:t>Guarantors</w:t>
      </w:r>
      <w:bookmarkEnd w:id="547"/>
      <w:bookmarkEnd w:id="548"/>
      <w:bookmarkEnd w:id="549"/>
      <w:bookmarkEnd w:id="550"/>
      <w:bookmarkEnd w:id="551"/>
      <w:bookmarkEnd w:id="552"/>
      <w:bookmarkEnd w:id="553"/>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 and</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w:t>
      </w:r>
    </w:p>
    <w:p>
      <w:pPr>
        <w:pStyle w:val="Indenta"/>
        <w:rPr>
          <w:snapToGrid w:val="0"/>
        </w:rPr>
      </w:pPr>
      <w:r>
        <w:rPr>
          <w:snapToGrid w:val="0"/>
        </w:rPr>
        <w:tab/>
        <w:t>(a)</w:t>
      </w:r>
      <w:r>
        <w:rPr>
          <w:snapToGrid w:val="0"/>
        </w:rPr>
        <w:tab/>
        <w:t>a parent or legal guardian of the hirer; or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rStyle w:val="CharDefText"/>
        </w:rPr>
        <w:t>CEO</w:t>
      </w:r>
      <w:r>
        <w:t>) may in writing signed by the CEO delegate the power conferred by subsection (9)(c) to any other officer as defined in section 3 of that Act, and an officer to whom that power is delegated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spacing w:before="120"/>
      </w:pPr>
      <w:r>
        <w:tab/>
      </w:r>
      <w:r>
        <w:tab/>
        <w:t>but any such delegation may be revoked wholly or partly by the CEO at any time and does not prevent the CEO from exercising the power.</w:t>
      </w:r>
    </w:p>
    <w:p>
      <w:pPr>
        <w:pStyle w:val="Footnotesection"/>
      </w:pPr>
      <w:r>
        <w:tab/>
        <w:t>[Section 18 amended by No. 107 of 1973 s. 16; No. 37 of 1980 s. 7; No. 121 of 1984 s. 31; No. 57 of 1997 s. 72; No. 34 of 2004 Sch. 2 cl. 13.]</w:t>
      </w:r>
    </w:p>
    <w:p>
      <w:pPr>
        <w:pStyle w:val="Heading5"/>
        <w:rPr>
          <w:snapToGrid w:val="0"/>
        </w:rPr>
      </w:pPr>
      <w:bookmarkStart w:id="554" w:name="_Toc459168256"/>
      <w:bookmarkStart w:id="555" w:name="_Toc71097112"/>
      <w:bookmarkStart w:id="556" w:name="_Toc72200492"/>
      <w:bookmarkStart w:id="557" w:name="_Toc102883454"/>
      <w:bookmarkStart w:id="558" w:name="_Toc128471264"/>
      <w:bookmarkStart w:id="559" w:name="_Toc305751238"/>
      <w:bookmarkStart w:id="560" w:name="_Toc286309696"/>
      <w:r>
        <w:rPr>
          <w:rStyle w:val="CharSectno"/>
        </w:rPr>
        <w:t>19</w:t>
      </w:r>
      <w:r>
        <w:rPr>
          <w:snapToGrid w:val="0"/>
        </w:rPr>
        <w:t>.</w:t>
      </w:r>
      <w:r>
        <w:rPr>
          <w:snapToGrid w:val="0"/>
        </w:rPr>
        <w:tab/>
        <w:t>Some agreements by guarantor void if guarantor not independently advised</w:t>
      </w:r>
      <w:bookmarkEnd w:id="554"/>
      <w:bookmarkEnd w:id="555"/>
      <w:bookmarkEnd w:id="556"/>
      <w:bookmarkEnd w:id="557"/>
      <w:bookmarkEnd w:id="558"/>
      <w:bookmarkEnd w:id="559"/>
      <w:bookmarkEnd w:id="560"/>
    </w:p>
    <w:p>
      <w:pPr>
        <w:pStyle w:val="Subsection"/>
        <w:rPr>
          <w:snapToGrid w:val="0"/>
        </w:rPr>
      </w:pPr>
      <w:r>
        <w:rPr>
          <w:snapToGrid w:val="0"/>
        </w:rPr>
        <w:tab/>
        <w:t>(1)</w:t>
      </w:r>
      <w:r>
        <w:rPr>
          <w:snapToGrid w:val="0"/>
        </w:rPr>
        <w:tab/>
        <w:t>Where a guarantor enters into an agreement binding the guarantor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 or</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 or</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spacing w:before="120"/>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 and</w:t>
      </w:r>
    </w:p>
    <w:p>
      <w:pPr>
        <w:pStyle w:val="Indenta"/>
        <w:rPr>
          <w:snapToGrid w:val="0"/>
        </w:rPr>
      </w:pPr>
      <w:r>
        <w:rPr>
          <w:snapToGrid w:val="0"/>
        </w:rPr>
        <w:tab/>
        <w:t>(b)</w:t>
      </w:r>
      <w:r>
        <w:rPr>
          <w:snapToGrid w:val="0"/>
        </w:rPr>
        <w:tab/>
        <w:t>he has examined the guarantor touching his knowledge of the agreement; and</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[Section 19 amended by No. 107 of 1973 s. 17.]</w:t>
      </w:r>
    </w:p>
    <w:p>
      <w:pPr>
        <w:pStyle w:val="Heading2"/>
      </w:pPr>
      <w:bookmarkStart w:id="561" w:name="_Toc72200493"/>
      <w:bookmarkStart w:id="562" w:name="_Toc72200561"/>
      <w:bookmarkStart w:id="563" w:name="_Toc77655332"/>
      <w:bookmarkStart w:id="564" w:name="_Toc79372706"/>
      <w:bookmarkStart w:id="565" w:name="_Toc86551136"/>
      <w:bookmarkStart w:id="566" w:name="_Toc89521483"/>
      <w:bookmarkStart w:id="567" w:name="_Toc90954892"/>
      <w:bookmarkStart w:id="568" w:name="_Toc92858051"/>
      <w:bookmarkStart w:id="569" w:name="_Toc97107209"/>
      <w:bookmarkStart w:id="570" w:name="_Toc102365791"/>
      <w:bookmarkStart w:id="571" w:name="_Toc102883455"/>
      <w:bookmarkStart w:id="572" w:name="_Toc106763940"/>
      <w:bookmarkStart w:id="573" w:name="_Toc128471265"/>
      <w:bookmarkStart w:id="574" w:name="_Toc128471338"/>
      <w:bookmarkStart w:id="575" w:name="_Toc129066985"/>
      <w:bookmarkStart w:id="576" w:name="_Toc139355349"/>
      <w:bookmarkStart w:id="577" w:name="_Toc139447617"/>
      <w:bookmarkStart w:id="578" w:name="_Toc139448021"/>
      <w:bookmarkStart w:id="579" w:name="_Toc141245855"/>
      <w:bookmarkStart w:id="580" w:name="_Toc141763332"/>
      <w:bookmarkStart w:id="581" w:name="_Toc143314319"/>
      <w:bookmarkStart w:id="582" w:name="_Toc143405103"/>
      <w:bookmarkStart w:id="583" w:name="_Toc143405178"/>
      <w:bookmarkStart w:id="584" w:name="_Toc143405253"/>
      <w:bookmarkStart w:id="585" w:name="_Toc144024738"/>
      <w:bookmarkStart w:id="586" w:name="_Toc145732178"/>
      <w:bookmarkStart w:id="587" w:name="_Toc196122089"/>
      <w:bookmarkStart w:id="588" w:name="_Toc196801691"/>
      <w:bookmarkStart w:id="589" w:name="_Toc202172396"/>
      <w:bookmarkStart w:id="590" w:name="_Toc202172469"/>
      <w:bookmarkStart w:id="591" w:name="_Toc241049002"/>
      <w:bookmarkStart w:id="592" w:name="_Toc241051225"/>
      <w:bookmarkStart w:id="593" w:name="_Toc267489713"/>
      <w:bookmarkStart w:id="594" w:name="_Toc268264214"/>
      <w:bookmarkStart w:id="595" w:name="_Toc268264316"/>
      <w:bookmarkStart w:id="596" w:name="_Toc272150707"/>
      <w:bookmarkStart w:id="597" w:name="_Toc280092138"/>
      <w:bookmarkStart w:id="598" w:name="_Toc281486003"/>
      <w:bookmarkStart w:id="599" w:name="_Toc283882219"/>
      <w:bookmarkStart w:id="600" w:name="_Toc283890176"/>
      <w:bookmarkStart w:id="601" w:name="_Toc285445211"/>
      <w:bookmarkStart w:id="602" w:name="_Toc285446729"/>
      <w:bookmarkStart w:id="603" w:name="_Toc286309697"/>
      <w:bookmarkStart w:id="604" w:name="_Toc305751239"/>
      <w:r>
        <w:rPr>
          <w:rStyle w:val="CharPartNo"/>
        </w:rPr>
        <w:t>Part V</w:t>
      </w:r>
      <w:r>
        <w:rPr>
          <w:rStyle w:val="CharDivNo"/>
        </w:rPr>
        <w:t> </w:t>
      </w:r>
      <w:r>
        <w:t>—</w:t>
      </w:r>
      <w:r>
        <w:rPr>
          <w:rStyle w:val="CharDivText"/>
        </w:rPr>
        <w:t> </w:t>
      </w:r>
      <w:r>
        <w:rPr>
          <w:rStyle w:val="CharPartText"/>
        </w:rPr>
        <w:t>Insurance</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pPr>
        <w:pStyle w:val="Heading5"/>
        <w:rPr>
          <w:snapToGrid w:val="0"/>
        </w:rPr>
      </w:pPr>
      <w:bookmarkStart w:id="605" w:name="_Toc459168257"/>
      <w:bookmarkStart w:id="606" w:name="_Toc71097113"/>
      <w:bookmarkStart w:id="607" w:name="_Toc72200494"/>
      <w:bookmarkStart w:id="608" w:name="_Toc102883456"/>
      <w:bookmarkStart w:id="609" w:name="_Toc128471266"/>
      <w:bookmarkStart w:id="610" w:name="_Toc305751240"/>
      <w:bookmarkStart w:id="611" w:name="_Toc286309698"/>
      <w:r>
        <w:rPr>
          <w:rStyle w:val="CharSectno"/>
        </w:rPr>
        <w:t>20</w:t>
      </w:r>
      <w:r>
        <w:rPr>
          <w:snapToGrid w:val="0"/>
        </w:rPr>
        <w:t>.</w:t>
      </w:r>
      <w:r>
        <w:rPr>
          <w:snapToGrid w:val="0"/>
        </w:rPr>
        <w:tab/>
        <w:t>Insurance of goods hired under agreement</w:t>
      </w:r>
      <w:bookmarkEnd w:id="605"/>
      <w:bookmarkEnd w:id="606"/>
      <w:bookmarkEnd w:id="607"/>
      <w:bookmarkEnd w:id="608"/>
      <w:bookmarkEnd w:id="609"/>
      <w:bookmarkEnd w:id="610"/>
      <w:bookmarkEnd w:id="611"/>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keepNext/>
        <w:keepLines/>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[Section 20 amended by No. 107 of 1973 s. 18.]</w:t>
      </w:r>
    </w:p>
    <w:p>
      <w:pPr>
        <w:pStyle w:val="Heading5"/>
        <w:rPr>
          <w:snapToGrid w:val="0"/>
        </w:rPr>
      </w:pPr>
      <w:bookmarkStart w:id="612" w:name="_Toc459168258"/>
      <w:bookmarkStart w:id="613" w:name="_Toc71097114"/>
      <w:bookmarkStart w:id="614" w:name="_Toc72200495"/>
      <w:bookmarkStart w:id="615" w:name="_Toc102883457"/>
      <w:bookmarkStart w:id="616" w:name="_Toc128471267"/>
      <w:bookmarkStart w:id="617" w:name="_Toc305751241"/>
      <w:bookmarkStart w:id="618" w:name="_Toc286309699"/>
      <w:r>
        <w:rPr>
          <w:rStyle w:val="CharSectno"/>
        </w:rPr>
        <w:t>21</w:t>
      </w:r>
      <w:r>
        <w:rPr>
          <w:snapToGrid w:val="0"/>
        </w:rPr>
        <w:t>.</w:t>
      </w:r>
      <w:r>
        <w:rPr>
          <w:snapToGrid w:val="0"/>
        </w:rPr>
        <w:tab/>
        <w:t>Court’s powers as to insurance contracts associated with hire</w:t>
      </w:r>
      <w:r>
        <w:rPr>
          <w:snapToGrid w:val="0"/>
        </w:rPr>
        <w:noBreakHyphen/>
        <w:t>purchase agreements</w:t>
      </w:r>
      <w:bookmarkEnd w:id="612"/>
      <w:bookmarkEnd w:id="613"/>
      <w:bookmarkEnd w:id="614"/>
      <w:bookmarkEnd w:id="615"/>
      <w:bookmarkEnd w:id="616"/>
      <w:bookmarkEnd w:id="617"/>
      <w:bookmarkEnd w:id="618"/>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619" w:name="_Toc459168259"/>
      <w:bookmarkStart w:id="620" w:name="_Toc71097115"/>
      <w:bookmarkStart w:id="621" w:name="_Toc72200496"/>
      <w:bookmarkStart w:id="622" w:name="_Toc102883458"/>
      <w:bookmarkStart w:id="623" w:name="_Toc128471268"/>
      <w:bookmarkStart w:id="624" w:name="_Toc305751242"/>
      <w:bookmarkStart w:id="625" w:name="_Toc286309700"/>
      <w:r>
        <w:rPr>
          <w:rStyle w:val="CharSectno"/>
        </w:rPr>
        <w:t>22</w:t>
      </w:r>
      <w:r>
        <w:rPr>
          <w:snapToGrid w:val="0"/>
        </w:rPr>
        <w:t>.</w:t>
      </w:r>
      <w:r>
        <w:rPr>
          <w:snapToGrid w:val="0"/>
        </w:rPr>
        <w:tab/>
        <w:t>Contracts of insurance</w:t>
      </w:r>
      <w:bookmarkEnd w:id="619"/>
      <w:bookmarkEnd w:id="620"/>
      <w:bookmarkEnd w:id="621"/>
      <w:bookmarkEnd w:id="622"/>
      <w:bookmarkEnd w:id="623"/>
      <w:r>
        <w:rPr>
          <w:snapToGrid w:val="0"/>
        </w:rPr>
        <w:t xml:space="preserve"> and related agreements, content of</w:t>
      </w:r>
      <w:bookmarkEnd w:id="624"/>
      <w:bookmarkEnd w:id="625"/>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w:t>
      </w:r>
    </w:p>
    <w:p>
      <w:pPr>
        <w:pStyle w:val="Indenta"/>
        <w:rPr>
          <w:snapToGrid w:val="0"/>
        </w:rPr>
      </w:pPr>
      <w:r>
        <w:rPr>
          <w:snapToGrid w:val="0"/>
        </w:rPr>
        <w:tab/>
        <w:t>(a)</w:t>
      </w:r>
      <w:r>
        <w:rPr>
          <w:snapToGrid w:val="0"/>
        </w:rPr>
        <w:tab/>
        <w:t>identify the goods or the part of the goods to be insured; and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w:t>
      </w:r>
    </w:p>
    <w:p>
      <w:pPr>
        <w:pStyle w:val="Indenta"/>
        <w:rPr>
          <w:snapToGrid w:val="0"/>
        </w:rPr>
      </w:pPr>
      <w:r>
        <w:rPr>
          <w:snapToGrid w:val="0"/>
        </w:rPr>
        <w:tab/>
        <w:t>(a)</w:t>
      </w:r>
      <w:r>
        <w:rPr>
          <w:snapToGrid w:val="0"/>
        </w:rPr>
        <w:tab/>
        <w:t>requiring differences or disputes arising out of a contract of insurance to be referred to arbitration; or</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 or</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626" w:name="_Toc459168260"/>
      <w:bookmarkStart w:id="627" w:name="_Toc71097116"/>
      <w:bookmarkStart w:id="628" w:name="_Toc72200497"/>
      <w:bookmarkStart w:id="629" w:name="_Toc102883459"/>
      <w:bookmarkStart w:id="630" w:name="_Toc128471269"/>
      <w:bookmarkStart w:id="631" w:name="_Toc305751243"/>
      <w:bookmarkStart w:id="632" w:name="_Toc286309701"/>
      <w:r>
        <w:rPr>
          <w:rStyle w:val="CharSectno"/>
        </w:rPr>
        <w:t>23</w:t>
      </w:r>
      <w:r>
        <w:rPr>
          <w:snapToGrid w:val="0"/>
        </w:rPr>
        <w:t>.</w:t>
      </w:r>
      <w:r>
        <w:rPr>
          <w:snapToGrid w:val="0"/>
        </w:rPr>
        <w:tab/>
        <w:t>Application of Part V</w:t>
      </w:r>
      <w:bookmarkEnd w:id="626"/>
      <w:bookmarkEnd w:id="627"/>
      <w:bookmarkEnd w:id="628"/>
      <w:bookmarkEnd w:id="629"/>
      <w:bookmarkEnd w:id="630"/>
      <w:bookmarkEnd w:id="631"/>
      <w:bookmarkEnd w:id="632"/>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w:t>
      </w:r>
      <w:smartTag w:uri="urn:schemas-microsoft-com:office:smarttags" w:element="place">
        <w:smartTag w:uri="urn:schemas-microsoft-com:office:smarttags" w:element="City">
          <w:r>
            <w:t>Part</w:t>
          </w:r>
        </w:smartTag>
        <w:r>
          <w:t xml:space="preserve"> </w:t>
        </w:r>
        <w:smartTag w:uri="urn:schemas-microsoft-com:office:smarttags" w:element="State">
          <w:r>
            <w:t>VA</w:t>
          </w:r>
        </w:smartTag>
      </w:smartTag>
      <w:r>
        <w:t xml:space="preserve"> (s. 23A</w:t>
      </w:r>
      <w:r>
        <w:noBreakHyphen/>
        <w:t>23V) deleted by No. 102 of 1984 s. 10.]</w:t>
      </w:r>
    </w:p>
    <w:p>
      <w:pPr>
        <w:pStyle w:val="Heading2"/>
      </w:pPr>
      <w:bookmarkStart w:id="633" w:name="_Toc72200498"/>
      <w:bookmarkStart w:id="634" w:name="_Toc72200566"/>
      <w:bookmarkStart w:id="635" w:name="_Toc77655337"/>
      <w:bookmarkStart w:id="636" w:name="_Toc79372711"/>
      <w:bookmarkStart w:id="637" w:name="_Toc86551141"/>
      <w:bookmarkStart w:id="638" w:name="_Toc89521488"/>
      <w:bookmarkStart w:id="639" w:name="_Toc90954897"/>
      <w:bookmarkStart w:id="640" w:name="_Toc92858056"/>
      <w:bookmarkStart w:id="641" w:name="_Toc97107214"/>
      <w:bookmarkStart w:id="642" w:name="_Toc102365796"/>
      <w:bookmarkStart w:id="643" w:name="_Toc102883460"/>
      <w:bookmarkStart w:id="644" w:name="_Toc106763945"/>
      <w:bookmarkStart w:id="645" w:name="_Toc128471270"/>
      <w:bookmarkStart w:id="646" w:name="_Toc128471343"/>
      <w:bookmarkStart w:id="647" w:name="_Toc129066990"/>
      <w:bookmarkStart w:id="648" w:name="_Toc139355354"/>
      <w:bookmarkStart w:id="649" w:name="_Toc139447622"/>
      <w:bookmarkStart w:id="650" w:name="_Toc139448026"/>
      <w:bookmarkStart w:id="651" w:name="_Toc141245860"/>
      <w:bookmarkStart w:id="652" w:name="_Toc141763337"/>
      <w:bookmarkStart w:id="653" w:name="_Toc143314324"/>
      <w:bookmarkStart w:id="654" w:name="_Toc143405108"/>
      <w:bookmarkStart w:id="655" w:name="_Toc143405183"/>
      <w:bookmarkStart w:id="656" w:name="_Toc143405258"/>
      <w:bookmarkStart w:id="657" w:name="_Toc144024743"/>
      <w:bookmarkStart w:id="658" w:name="_Toc145732183"/>
      <w:bookmarkStart w:id="659" w:name="_Toc196122094"/>
      <w:bookmarkStart w:id="660" w:name="_Toc196801696"/>
      <w:bookmarkStart w:id="661" w:name="_Toc202172401"/>
      <w:bookmarkStart w:id="662" w:name="_Toc202172474"/>
      <w:bookmarkStart w:id="663" w:name="_Toc241049007"/>
      <w:bookmarkStart w:id="664" w:name="_Toc241051230"/>
      <w:bookmarkStart w:id="665" w:name="_Toc267489718"/>
      <w:bookmarkStart w:id="666" w:name="_Toc268264219"/>
      <w:bookmarkStart w:id="667" w:name="_Toc268264321"/>
      <w:bookmarkStart w:id="668" w:name="_Toc272150712"/>
      <w:bookmarkStart w:id="669" w:name="_Toc280092143"/>
      <w:bookmarkStart w:id="670" w:name="_Toc281486008"/>
      <w:bookmarkStart w:id="671" w:name="_Toc283882224"/>
      <w:bookmarkStart w:id="672" w:name="_Toc283890181"/>
      <w:bookmarkStart w:id="673" w:name="_Toc285445216"/>
      <w:bookmarkStart w:id="674" w:name="_Toc285446734"/>
      <w:bookmarkStart w:id="675" w:name="_Toc286309702"/>
      <w:bookmarkStart w:id="676" w:name="_Toc305751244"/>
      <w:r>
        <w:rPr>
          <w:rStyle w:val="CharPartNo"/>
        </w:rPr>
        <w:t>Part VI</w:t>
      </w:r>
      <w:r>
        <w:rPr>
          <w:rStyle w:val="CharDivNo"/>
        </w:rPr>
        <w:t> </w:t>
      </w:r>
      <w:r>
        <w:t>—</w:t>
      </w:r>
      <w:r>
        <w:rPr>
          <w:rStyle w:val="CharDivText"/>
        </w:rPr>
        <w:t> </w:t>
      </w:r>
      <w:r>
        <w:rPr>
          <w:rStyle w:val="CharPartText"/>
        </w:rPr>
        <w:t>Miscellaneous</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pPr>
        <w:pStyle w:val="Ednotesection"/>
      </w:pPr>
      <w:r>
        <w:t>[</w:t>
      </w:r>
      <w:r>
        <w:rPr>
          <w:b/>
          <w:bCs/>
        </w:rPr>
        <w:t>23W.</w:t>
      </w:r>
      <w:r>
        <w:tab/>
        <w:t>Deleted by No. 28 of 2006 s. 102.]</w:t>
      </w:r>
    </w:p>
    <w:p>
      <w:pPr>
        <w:pStyle w:val="Heading5"/>
      </w:pPr>
      <w:bookmarkStart w:id="677" w:name="_Toc138750820"/>
      <w:bookmarkStart w:id="678" w:name="_Toc139166561"/>
      <w:bookmarkStart w:id="679" w:name="_Toc139266281"/>
      <w:bookmarkStart w:id="680" w:name="_Toc305751245"/>
      <w:bookmarkStart w:id="681" w:name="_Toc286309703"/>
      <w:bookmarkStart w:id="682" w:name="_Toc459168262"/>
      <w:bookmarkStart w:id="683" w:name="_Toc71097118"/>
      <w:bookmarkStart w:id="684" w:name="_Toc72200500"/>
      <w:bookmarkStart w:id="685" w:name="_Toc102883462"/>
      <w:bookmarkStart w:id="686" w:name="_Toc128471272"/>
      <w:r>
        <w:rPr>
          <w:rStyle w:val="CharSectno"/>
        </w:rPr>
        <w:t>23A</w:t>
      </w:r>
      <w:r>
        <w:t>.</w:t>
      </w:r>
      <w:r>
        <w:tab/>
        <w:t>Commissioner</w:t>
      </w:r>
      <w:bookmarkEnd w:id="677"/>
      <w:bookmarkEnd w:id="678"/>
      <w:bookmarkEnd w:id="679"/>
      <w:bookmarkEnd w:id="680"/>
      <w:bookmarkEnd w:id="681"/>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In this section —</w:t>
      </w:r>
    </w:p>
    <w:p>
      <w:pPr>
        <w:pStyle w:val="Defstart"/>
      </w:pPr>
      <w:r>
        <w:rPr>
          <w:b/>
        </w:rPr>
        <w:tab/>
      </w:r>
      <w:r>
        <w:rPr>
          <w:rStyle w:val="CharDefText"/>
        </w:rPr>
        <w:t>executive officer</w:t>
      </w:r>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687" w:name="_Toc138750821"/>
      <w:bookmarkStart w:id="688" w:name="_Toc139166562"/>
      <w:bookmarkStart w:id="689" w:name="_Toc139266282"/>
      <w:bookmarkStart w:id="690" w:name="_Toc305751246"/>
      <w:bookmarkStart w:id="691" w:name="_Toc286309704"/>
      <w:r>
        <w:rPr>
          <w:rStyle w:val="CharSectno"/>
        </w:rPr>
        <w:t>23B</w:t>
      </w:r>
      <w:r>
        <w:t>.</w:t>
      </w:r>
      <w:r>
        <w:tab/>
        <w:t>Delegation by Commissioner</w:t>
      </w:r>
      <w:bookmarkEnd w:id="687"/>
      <w:bookmarkEnd w:id="688"/>
      <w:bookmarkEnd w:id="689"/>
      <w:bookmarkEnd w:id="690"/>
      <w:bookmarkEnd w:id="691"/>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Heading5"/>
        <w:rPr>
          <w:snapToGrid w:val="0"/>
        </w:rPr>
      </w:pPr>
      <w:bookmarkStart w:id="692" w:name="_Toc305751247"/>
      <w:bookmarkStart w:id="693" w:name="_Toc286309705"/>
      <w:r>
        <w:rPr>
          <w:rStyle w:val="CharSectno"/>
        </w:rPr>
        <w:t>24</w:t>
      </w:r>
      <w:r>
        <w:rPr>
          <w:snapToGrid w:val="0"/>
        </w:rPr>
        <w:t>.</w:t>
      </w:r>
      <w:r>
        <w:rPr>
          <w:snapToGrid w:val="0"/>
        </w:rPr>
        <w:tab/>
        <w:t>Court may reopen certain hire</w:t>
      </w:r>
      <w:r>
        <w:rPr>
          <w:snapToGrid w:val="0"/>
        </w:rPr>
        <w:noBreakHyphen/>
        <w:t>purchase transactions</w:t>
      </w:r>
      <w:bookmarkEnd w:id="682"/>
      <w:bookmarkEnd w:id="683"/>
      <w:bookmarkEnd w:id="684"/>
      <w:bookmarkEnd w:id="685"/>
      <w:bookmarkEnd w:id="686"/>
      <w:bookmarkEnd w:id="692"/>
      <w:bookmarkEnd w:id="693"/>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w:t>
      </w:r>
    </w:p>
    <w:p>
      <w:pPr>
        <w:pStyle w:val="Indenta"/>
        <w:rPr>
          <w:snapToGrid w:val="0"/>
        </w:rPr>
      </w:pPr>
      <w:r>
        <w:rPr>
          <w:snapToGrid w:val="0"/>
        </w:rPr>
        <w:tab/>
        <w:t>(a)</w:t>
      </w:r>
      <w:r>
        <w:rPr>
          <w:snapToGrid w:val="0"/>
        </w:rPr>
        <w:tab/>
        <w:t>reopen any account already taken between the parties; and</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 and</w:t>
      </w:r>
    </w:p>
    <w:p>
      <w:pPr>
        <w:pStyle w:val="Indenta"/>
        <w:rPr>
          <w:snapToGrid w:val="0"/>
        </w:rPr>
      </w:pPr>
      <w:r>
        <w:rPr>
          <w:snapToGrid w:val="0"/>
        </w:rPr>
        <w:tab/>
        <w:t>(c)</w:t>
      </w:r>
      <w:r>
        <w:rPr>
          <w:snapToGrid w:val="0"/>
        </w:rPr>
        <w:tab/>
        <w:t>set aside either wholly or in part or revise or alter any agreement made or security given in connection with the transaction; and</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[Section 24 amended by No. 107 of 1973 s. 20; No. 59 of 2004 s. 141.]</w:t>
      </w:r>
    </w:p>
    <w:p>
      <w:pPr>
        <w:pStyle w:val="Heading5"/>
        <w:rPr>
          <w:snapToGrid w:val="0"/>
        </w:rPr>
      </w:pPr>
      <w:bookmarkStart w:id="694" w:name="_Toc459168263"/>
      <w:bookmarkStart w:id="695" w:name="_Toc71097119"/>
      <w:bookmarkStart w:id="696" w:name="_Toc72200501"/>
      <w:bookmarkStart w:id="697" w:name="_Toc102883463"/>
      <w:bookmarkStart w:id="698" w:name="_Toc128471273"/>
      <w:bookmarkStart w:id="699" w:name="_Toc305751248"/>
      <w:bookmarkStart w:id="700" w:name="_Toc286309706"/>
      <w:r>
        <w:rPr>
          <w:rStyle w:val="CharSectno"/>
        </w:rPr>
        <w:t>25</w:t>
      </w:r>
      <w:r>
        <w:rPr>
          <w:snapToGrid w:val="0"/>
        </w:rPr>
        <w:t>.</w:t>
      </w:r>
      <w:r>
        <w:rPr>
          <w:snapToGrid w:val="0"/>
        </w:rPr>
        <w:tab/>
        <w:t>Repossessing certain goods from farmer</w:t>
      </w:r>
      <w:bookmarkEnd w:id="694"/>
      <w:bookmarkEnd w:id="695"/>
      <w:bookmarkEnd w:id="696"/>
      <w:bookmarkEnd w:id="697"/>
      <w:bookmarkEnd w:id="698"/>
      <w:r>
        <w:rPr>
          <w:snapToGrid w:val="0"/>
        </w:rPr>
        <w:t>s</w:t>
      </w:r>
      <w:bookmarkEnd w:id="699"/>
      <w:bookmarkEnd w:id="700"/>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rStyle w:val="CharDefText"/>
        </w:rPr>
        <w:t>farmer</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[Section 25 amended by No. 107 of 1973 s. 21; No. 59 of 2004 s. 141.]</w:t>
      </w:r>
    </w:p>
    <w:p>
      <w:pPr>
        <w:pStyle w:val="Heading5"/>
        <w:rPr>
          <w:snapToGrid w:val="0"/>
        </w:rPr>
      </w:pPr>
      <w:bookmarkStart w:id="701" w:name="_Toc459168264"/>
      <w:bookmarkStart w:id="702" w:name="_Toc71097120"/>
      <w:bookmarkStart w:id="703" w:name="_Toc72200502"/>
      <w:bookmarkStart w:id="704" w:name="_Toc102883464"/>
      <w:bookmarkStart w:id="705" w:name="_Toc128471274"/>
      <w:bookmarkStart w:id="706" w:name="_Toc305751249"/>
      <w:bookmarkStart w:id="707" w:name="_Toc286309707"/>
      <w:r>
        <w:rPr>
          <w:rStyle w:val="CharSectno"/>
        </w:rPr>
        <w:t>26</w:t>
      </w:r>
      <w:r>
        <w:rPr>
          <w:snapToGrid w:val="0"/>
        </w:rPr>
        <w:t>.</w:t>
      </w:r>
      <w:r>
        <w:rPr>
          <w:snapToGrid w:val="0"/>
        </w:rPr>
        <w:tab/>
        <w:t>Lien of worker on hired goods</w:t>
      </w:r>
      <w:bookmarkEnd w:id="701"/>
      <w:bookmarkEnd w:id="702"/>
      <w:bookmarkEnd w:id="703"/>
      <w:bookmarkEnd w:id="704"/>
      <w:bookmarkEnd w:id="705"/>
      <w:bookmarkEnd w:id="706"/>
      <w:bookmarkEnd w:id="707"/>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708" w:name="_Toc459168265"/>
      <w:bookmarkStart w:id="709" w:name="_Toc71097121"/>
      <w:bookmarkStart w:id="710" w:name="_Toc72200503"/>
      <w:bookmarkStart w:id="711" w:name="_Toc102883465"/>
      <w:bookmarkStart w:id="712" w:name="_Toc128471275"/>
      <w:bookmarkStart w:id="713" w:name="_Toc305751250"/>
      <w:bookmarkStart w:id="714" w:name="_Toc286309708"/>
      <w:r>
        <w:rPr>
          <w:rStyle w:val="CharSectno"/>
        </w:rPr>
        <w:t>27</w:t>
      </w:r>
      <w:r>
        <w:rPr>
          <w:snapToGrid w:val="0"/>
        </w:rPr>
        <w:t>.</w:t>
      </w:r>
      <w:r>
        <w:rPr>
          <w:snapToGrid w:val="0"/>
        </w:rPr>
        <w:tab/>
        <w:t>Hired goods that have become fixtures</w:t>
      </w:r>
      <w:bookmarkEnd w:id="708"/>
      <w:bookmarkEnd w:id="709"/>
      <w:bookmarkEnd w:id="710"/>
      <w:bookmarkEnd w:id="711"/>
      <w:bookmarkEnd w:id="712"/>
      <w:bookmarkEnd w:id="713"/>
      <w:bookmarkEnd w:id="714"/>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715" w:name="_Toc459168266"/>
      <w:bookmarkStart w:id="716" w:name="_Toc71097122"/>
      <w:bookmarkStart w:id="717" w:name="_Toc72200504"/>
      <w:bookmarkStart w:id="718" w:name="_Toc102883466"/>
      <w:bookmarkStart w:id="719" w:name="_Toc128471276"/>
      <w:bookmarkStart w:id="720" w:name="_Toc305751251"/>
      <w:bookmarkStart w:id="721" w:name="_Toc286309709"/>
      <w:r>
        <w:rPr>
          <w:rStyle w:val="CharSectno"/>
        </w:rPr>
        <w:t>28</w:t>
      </w:r>
      <w:r>
        <w:rPr>
          <w:snapToGrid w:val="0"/>
        </w:rPr>
        <w:t>.</w:t>
      </w:r>
      <w:r>
        <w:rPr>
          <w:snapToGrid w:val="0"/>
        </w:rPr>
        <w:tab/>
        <w:t>Provisions</w:t>
      </w:r>
      <w:bookmarkEnd w:id="715"/>
      <w:bookmarkEnd w:id="716"/>
      <w:bookmarkEnd w:id="717"/>
      <w:bookmarkEnd w:id="718"/>
      <w:bookmarkEnd w:id="719"/>
      <w:r>
        <w:rPr>
          <w:snapToGrid w:val="0"/>
        </w:rPr>
        <w:t xml:space="preserve"> in agreements that are void</w:t>
      </w:r>
      <w:bookmarkEnd w:id="720"/>
      <w:bookmarkEnd w:id="721"/>
    </w:p>
    <w:p>
      <w:pPr>
        <w:pStyle w:val="Subsection"/>
        <w:rPr>
          <w:snapToGrid w:val="0"/>
        </w:rPr>
      </w:pPr>
      <w:r>
        <w:rPr>
          <w:snapToGrid w:val="0"/>
        </w:rPr>
        <w:tab/>
        <w:t>(1)</w:t>
      </w:r>
      <w:r>
        <w:rPr>
          <w:snapToGrid w:val="0"/>
        </w:rPr>
        <w:tab/>
        <w:t>Any provision in any agreement or other document whereby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 or</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 or</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 or</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 or</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 or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 or</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 or</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 xml:space="preserve">purchase agreement if the hirer </w:t>
      </w:r>
      <w:r>
        <w:t xml:space="preserve">becomes, according to the </w:t>
      </w:r>
      <w:r>
        <w:rPr>
          <w:i/>
        </w:rPr>
        <w:t>Interpretation Act 1984</w:t>
      </w:r>
      <w:r>
        <w:t xml:space="preserve"> section 13D, a bankrupt or a person whose affairs are under insolvency laws or commits an act of bankruptcy</w:t>
      </w:r>
      <w:r>
        <w:rPr>
          <w:snapToGrid w:val="0"/>
        </w:rPr>
        <w:t xml:space="preserve">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Footnotesection"/>
      </w:pPr>
      <w:r>
        <w:tab/>
        <w:t>[Section 28 amended by No. 18 of 2009 s. 42.]</w:t>
      </w:r>
    </w:p>
    <w:p>
      <w:pPr>
        <w:pStyle w:val="Heading5"/>
        <w:rPr>
          <w:snapToGrid w:val="0"/>
        </w:rPr>
      </w:pPr>
      <w:bookmarkStart w:id="722" w:name="_Toc459168267"/>
      <w:bookmarkStart w:id="723" w:name="_Toc71097123"/>
      <w:bookmarkStart w:id="724" w:name="_Toc72200505"/>
      <w:bookmarkStart w:id="725" w:name="_Toc102883467"/>
      <w:bookmarkStart w:id="726" w:name="_Toc128471277"/>
      <w:bookmarkStart w:id="727" w:name="_Toc305751252"/>
      <w:bookmarkStart w:id="728" w:name="_Toc286309710"/>
      <w:r>
        <w:rPr>
          <w:rStyle w:val="CharSectno"/>
        </w:rPr>
        <w:t>29</w:t>
      </w:r>
      <w:r>
        <w:rPr>
          <w:snapToGrid w:val="0"/>
        </w:rPr>
        <w:t>.</w:t>
      </w:r>
      <w:r>
        <w:rPr>
          <w:snapToGrid w:val="0"/>
        </w:rPr>
        <w:tab/>
        <w:t>Payments etc. by financiers</w:t>
      </w:r>
      <w:bookmarkEnd w:id="722"/>
      <w:bookmarkEnd w:id="723"/>
      <w:bookmarkEnd w:id="724"/>
      <w:bookmarkEnd w:id="725"/>
      <w:bookmarkEnd w:id="726"/>
      <w:r>
        <w:rPr>
          <w:snapToGrid w:val="0"/>
        </w:rPr>
        <w:t xml:space="preserve"> to dealers, restrictions on</w:t>
      </w:r>
      <w:bookmarkEnd w:id="727"/>
      <w:bookmarkEnd w:id="728"/>
    </w:p>
    <w:p>
      <w:pPr>
        <w:pStyle w:val="Subsection"/>
        <w:rPr>
          <w:snapToGrid w:val="0"/>
        </w:rPr>
      </w:pPr>
      <w:r>
        <w:rPr>
          <w:snapToGrid w:val="0"/>
        </w:rPr>
        <w:tab/>
        <w:t>(1)</w:t>
      </w:r>
      <w:r>
        <w:rPr>
          <w:snapToGrid w:val="0"/>
        </w:rPr>
        <w:tab/>
        <w:t xml:space="preserve">If in connection with any goods any person (in this section called the </w:t>
      </w:r>
      <w:r>
        <w:rPr>
          <w:rStyle w:val="CharDefText"/>
        </w:rPr>
        <w:t>dealer</w:t>
      </w:r>
      <w:r>
        <w:rPr>
          <w:snapToGrid w:val="0"/>
        </w:rPr>
        <w:t xml:space="preserve">) arranges that some other person (in this section called the </w:t>
      </w:r>
      <w:r>
        <w:rPr>
          <w:rStyle w:val="CharDefText"/>
        </w:rPr>
        <w:t>financier</w:t>
      </w:r>
      <w:r>
        <w:rPr>
          <w:snapToGrid w:val="0"/>
        </w:rPr>
        <w:t>) shall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 or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729" w:name="_Toc459168268"/>
      <w:bookmarkStart w:id="730" w:name="_Toc71097124"/>
      <w:bookmarkStart w:id="731" w:name="_Toc72200506"/>
      <w:bookmarkStart w:id="732" w:name="_Toc102883468"/>
      <w:bookmarkStart w:id="733" w:name="_Toc128471278"/>
      <w:bookmarkStart w:id="734" w:name="_Toc305751253"/>
      <w:bookmarkStart w:id="735" w:name="_Toc286309711"/>
      <w:r>
        <w:rPr>
          <w:rStyle w:val="CharSectno"/>
        </w:rPr>
        <w:t>30</w:t>
      </w:r>
      <w:r>
        <w:rPr>
          <w:snapToGrid w:val="0"/>
        </w:rPr>
        <w:t>.</w:t>
      </w:r>
      <w:r>
        <w:rPr>
          <w:snapToGrid w:val="0"/>
        </w:rPr>
        <w:tab/>
        <w:t>Some transactions as to bailment prohibited</w:t>
      </w:r>
      <w:bookmarkEnd w:id="729"/>
      <w:bookmarkEnd w:id="730"/>
      <w:bookmarkEnd w:id="731"/>
      <w:bookmarkEnd w:id="732"/>
      <w:bookmarkEnd w:id="733"/>
      <w:bookmarkEnd w:id="734"/>
      <w:bookmarkEnd w:id="735"/>
    </w:p>
    <w:p>
      <w:pPr>
        <w:pStyle w:val="Subsection"/>
        <w:rPr>
          <w:snapToGrid w:val="0"/>
        </w:rPr>
      </w:pPr>
      <w:r>
        <w:rPr>
          <w:snapToGrid w:val="0"/>
        </w:rPr>
        <w:tab/>
      </w:r>
      <w:r>
        <w:rPr>
          <w:snapToGrid w:val="0"/>
        </w:rPr>
        <w:tab/>
        <w:t xml:space="preserve">Any person (in this section called the </w:t>
      </w:r>
      <w:r>
        <w:rPr>
          <w:rStyle w:val="CharDefText"/>
        </w:rPr>
        <w:t>owner</w:t>
      </w:r>
      <w:r>
        <w:rPr>
          <w:snapToGrid w:val="0"/>
        </w:rPr>
        <w:t>) who knowingly —</w:t>
      </w:r>
    </w:p>
    <w:p>
      <w:pPr>
        <w:pStyle w:val="Indenta"/>
        <w:rPr>
          <w:snapToGrid w:val="0"/>
        </w:rPr>
      </w:pPr>
      <w:r>
        <w:rPr>
          <w:snapToGrid w:val="0"/>
        </w:rPr>
        <w:tab/>
        <w:t>(a)</w:t>
      </w:r>
      <w:r>
        <w:rPr>
          <w:snapToGrid w:val="0"/>
        </w:rPr>
        <w:tab/>
        <w:t xml:space="preserve">enters into an agreement for the bailment of goods to any person (in this section called the </w:t>
      </w:r>
      <w:r>
        <w:rPr>
          <w:rStyle w:val="CharDefText"/>
        </w:rPr>
        <w:t>hirer</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rStyle w:val="CharDefText"/>
        </w:rPr>
        <w:t>hirer</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736" w:name="_Toc459168269"/>
      <w:bookmarkStart w:id="737" w:name="_Toc71097125"/>
      <w:bookmarkStart w:id="738" w:name="_Toc72200507"/>
      <w:bookmarkStart w:id="739" w:name="_Toc102883469"/>
      <w:bookmarkStart w:id="740" w:name="_Toc128471279"/>
      <w:bookmarkStart w:id="741" w:name="_Toc305751254"/>
      <w:bookmarkStart w:id="742" w:name="_Toc286309712"/>
      <w:r>
        <w:rPr>
          <w:rStyle w:val="CharSectno"/>
        </w:rPr>
        <w:t>31</w:t>
      </w:r>
      <w:r>
        <w:rPr>
          <w:snapToGrid w:val="0"/>
        </w:rPr>
        <w:t>.</w:t>
      </w:r>
      <w:r>
        <w:rPr>
          <w:snapToGrid w:val="0"/>
        </w:rPr>
        <w:tab/>
        <w:t>Securities collateral to hire</w:t>
      </w:r>
      <w:r>
        <w:rPr>
          <w:snapToGrid w:val="0"/>
        </w:rPr>
        <w:noBreakHyphen/>
        <w:t>purchase agreements</w:t>
      </w:r>
      <w:bookmarkEnd w:id="736"/>
      <w:bookmarkEnd w:id="737"/>
      <w:bookmarkEnd w:id="738"/>
      <w:bookmarkEnd w:id="739"/>
      <w:bookmarkEnd w:id="740"/>
      <w:bookmarkEnd w:id="741"/>
      <w:bookmarkEnd w:id="742"/>
    </w:p>
    <w:p>
      <w:pPr>
        <w:pStyle w:val="Subsection"/>
        <w:rPr>
          <w:snapToGrid w:val="0"/>
        </w:rPr>
      </w:pPr>
      <w:r>
        <w:rPr>
          <w:snapToGrid w:val="0"/>
        </w:rPr>
        <w:tab/>
      </w:r>
      <w:r>
        <w:rPr>
          <w:snapToGrid w:val="0"/>
        </w:rPr>
        <w:tab/>
        <w:t>Where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spacing w:before="100"/>
        <w:rPr>
          <w:snapToGrid w:val="0"/>
        </w:rPr>
      </w:pPr>
      <w:r>
        <w:rPr>
          <w:snapToGrid w:val="0"/>
        </w:rPr>
        <w:tab/>
      </w:r>
      <w:r>
        <w:rPr>
          <w:snapToGrid w:val="0"/>
        </w:rPr>
        <w:tab/>
        <w:t>the owner is liable to indemnify the hirer or guarantor, as the case may be, in respect of the amount of the excess.</w:t>
      </w:r>
    </w:p>
    <w:p>
      <w:pPr>
        <w:pStyle w:val="Heading5"/>
        <w:spacing w:before="200"/>
        <w:rPr>
          <w:snapToGrid w:val="0"/>
        </w:rPr>
      </w:pPr>
      <w:bookmarkStart w:id="743" w:name="_Toc459168270"/>
      <w:bookmarkStart w:id="744" w:name="_Toc71097126"/>
      <w:bookmarkStart w:id="745" w:name="_Toc72200508"/>
      <w:bookmarkStart w:id="746" w:name="_Toc102883470"/>
      <w:bookmarkStart w:id="747" w:name="_Toc128471280"/>
      <w:bookmarkStart w:id="748" w:name="_Toc305751255"/>
      <w:bookmarkStart w:id="749" w:name="_Toc286309713"/>
      <w:r>
        <w:rPr>
          <w:rStyle w:val="CharSectno"/>
        </w:rPr>
        <w:t>32</w:t>
      </w:r>
      <w:r>
        <w:rPr>
          <w:snapToGrid w:val="0"/>
        </w:rPr>
        <w:t>.</w:t>
      </w:r>
      <w:r>
        <w:rPr>
          <w:snapToGrid w:val="0"/>
        </w:rPr>
        <w:tab/>
        <w:t>False statements by dealers etc. in proposals</w:t>
      </w:r>
      <w:bookmarkEnd w:id="743"/>
      <w:bookmarkEnd w:id="744"/>
      <w:bookmarkEnd w:id="745"/>
      <w:bookmarkEnd w:id="746"/>
      <w:bookmarkEnd w:id="747"/>
      <w:bookmarkEnd w:id="748"/>
      <w:bookmarkEnd w:id="749"/>
    </w:p>
    <w:p>
      <w:pPr>
        <w:pStyle w:val="Subsection"/>
        <w:spacing w:before="120"/>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spacing w:before="100"/>
        <w:ind w:left="890" w:hanging="890"/>
      </w:pPr>
      <w:r>
        <w:tab/>
        <w:t>[Section 32 amended by No. 107 of 1973 s. 22; No. 37 of 1980 s. 9; No. 78 of 1995 s. 147.]</w:t>
      </w:r>
    </w:p>
    <w:p>
      <w:pPr>
        <w:pStyle w:val="Heading5"/>
        <w:spacing w:before="200"/>
        <w:rPr>
          <w:snapToGrid w:val="0"/>
        </w:rPr>
      </w:pPr>
      <w:bookmarkStart w:id="750" w:name="_Toc459168271"/>
      <w:bookmarkStart w:id="751" w:name="_Toc71097127"/>
      <w:bookmarkStart w:id="752" w:name="_Toc72200509"/>
      <w:bookmarkStart w:id="753" w:name="_Toc102883471"/>
      <w:bookmarkStart w:id="754" w:name="_Toc128471281"/>
      <w:bookmarkStart w:id="755" w:name="_Toc305751256"/>
      <w:bookmarkStart w:id="756" w:name="_Toc286309714"/>
      <w:r>
        <w:rPr>
          <w:rStyle w:val="CharSectno"/>
        </w:rPr>
        <w:t>33</w:t>
      </w:r>
      <w:r>
        <w:rPr>
          <w:snapToGrid w:val="0"/>
        </w:rPr>
        <w:t>.</w:t>
      </w:r>
      <w:r>
        <w:rPr>
          <w:snapToGrid w:val="0"/>
        </w:rPr>
        <w:tab/>
        <w:t>Hirer may be required to state where goods are</w:t>
      </w:r>
      <w:bookmarkEnd w:id="750"/>
      <w:bookmarkEnd w:id="751"/>
      <w:bookmarkEnd w:id="752"/>
      <w:bookmarkEnd w:id="753"/>
      <w:bookmarkEnd w:id="754"/>
      <w:bookmarkEnd w:id="755"/>
      <w:bookmarkEnd w:id="756"/>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200"/>
        <w:rPr>
          <w:snapToGrid w:val="0"/>
        </w:rPr>
      </w:pPr>
      <w:bookmarkStart w:id="757" w:name="_Toc459168272"/>
      <w:bookmarkStart w:id="758" w:name="_Toc71097128"/>
      <w:bookmarkStart w:id="759" w:name="_Toc72200510"/>
      <w:bookmarkStart w:id="760" w:name="_Toc102883472"/>
      <w:bookmarkStart w:id="761" w:name="_Toc128471282"/>
      <w:bookmarkStart w:id="762" w:name="_Toc305751257"/>
      <w:bookmarkStart w:id="763" w:name="_Toc286309715"/>
      <w:r>
        <w:rPr>
          <w:rStyle w:val="CharSectno"/>
        </w:rPr>
        <w:t>34</w:t>
      </w:r>
      <w:r>
        <w:rPr>
          <w:snapToGrid w:val="0"/>
        </w:rPr>
        <w:t>.</w:t>
      </w:r>
      <w:r>
        <w:rPr>
          <w:snapToGrid w:val="0"/>
        </w:rPr>
        <w:tab/>
        <w:t>Fraudulent sale or disposal of goods by hirer</w:t>
      </w:r>
      <w:bookmarkEnd w:id="757"/>
      <w:bookmarkEnd w:id="758"/>
      <w:bookmarkEnd w:id="759"/>
      <w:bookmarkEnd w:id="760"/>
      <w:bookmarkEnd w:id="761"/>
      <w:bookmarkEnd w:id="762"/>
      <w:bookmarkEnd w:id="763"/>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100"/>
        <w:ind w:left="890" w:hanging="890"/>
      </w:pPr>
      <w:r>
        <w:tab/>
        <w:t>[Section 34 amended by No. 113 of 1965 s. 8; No. 78 of 1995 s. 147.]</w:t>
      </w:r>
    </w:p>
    <w:p>
      <w:pPr>
        <w:pStyle w:val="Heading5"/>
        <w:rPr>
          <w:snapToGrid w:val="0"/>
        </w:rPr>
      </w:pPr>
      <w:bookmarkStart w:id="764" w:name="_Toc459168273"/>
      <w:bookmarkStart w:id="765" w:name="_Toc71097129"/>
      <w:bookmarkStart w:id="766" w:name="_Toc72200511"/>
      <w:bookmarkStart w:id="767" w:name="_Toc102883473"/>
      <w:bookmarkStart w:id="768" w:name="_Toc128471283"/>
      <w:bookmarkStart w:id="769" w:name="_Toc305751258"/>
      <w:bookmarkStart w:id="770" w:name="_Toc286309716"/>
      <w:r>
        <w:rPr>
          <w:rStyle w:val="CharSectno"/>
        </w:rPr>
        <w:t>35</w:t>
      </w:r>
      <w:r>
        <w:rPr>
          <w:snapToGrid w:val="0"/>
        </w:rPr>
        <w:t>.</w:t>
      </w:r>
      <w:r>
        <w:rPr>
          <w:snapToGrid w:val="0"/>
        </w:rPr>
        <w:tab/>
        <w:t>Court may extend prescribed times</w:t>
      </w:r>
      <w:bookmarkEnd w:id="764"/>
      <w:bookmarkEnd w:id="765"/>
      <w:bookmarkEnd w:id="766"/>
      <w:bookmarkEnd w:id="767"/>
      <w:bookmarkEnd w:id="768"/>
      <w:bookmarkEnd w:id="769"/>
      <w:bookmarkEnd w:id="770"/>
    </w:p>
    <w:p>
      <w:pPr>
        <w:pStyle w:val="Subsection"/>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[Section 35 amended by No. 107 of 1973 s. 23; No. 59 of 2004 s. 141.]</w:t>
      </w:r>
    </w:p>
    <w:p>
      <w:pPr>
        <w:pStyle w:val="Heading5"/>
        <w:spacing w:before="180"/>
        <w:rPr>
          <w:snapToGrid w:val="0"/>
          <w:spacing w:val="-4"/>
        </w:rPr>
      </w:pPr>
      <w:bookmarkStart w:id="771" w:name="_Toc459168274"/>
      <w:bookmarkStart w:id="772" w:name="_Toc71097130"/>
      <w:bookmarkStart w:id="773" w:name="_Toc72200512"/>
      <w:bookmarkStart w:id="774" w:name="_Toc102883474"/>
      <w:bookmarkStart w:id="775" w:name="_Toc128471284"/>
      <w:bookmarkStart w:id="776" w:name="_Toc305751259"/>
      <w:bookmarkStart w:id="777" w:name="_Toc286309717"/>
      <w:r>
        <w:rPr>
          <w:rStyle w:val="CharSectno"/>
          <w:spacing w:val="-4"/>
        </w:rPr>
        <w:t>36</w:t>
      </w:r>
      <w:r>
        <w:rPr>
          <w:snapToGrid w:val="0"/>
          <w:spacing w:val="-4"/>
        </w:rPr>
        <w:t>.</w:t>
      </w:r>
      <w:r>
        <w:rPr>
          <w:snapToGrid w:val="0"/>
          <w:spacing w:val="-4"/>
        </w:rPr>
        <w:tab/>
        <w:t>Court may order delivery of goods unlawfully detained</w:t>
      </w:r>
      <w:bookmarkEnd w:id="771"/>
      <w:bookmarkEnd w:id="772"/>
      <w:bookmarkEnd w:id="773"/>
      <w:bookmarkEnd w:id="774"/>
      <w:bookmarkEnd w:id="775"/>
      <w:bookmarkEnd w:id="776"/>
      <w:bookmarkEnd w:id="777"/>
    </w:p>
    <w:p>
      <w:pPr>
        <w:pStyle w:val="Subsection"/>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claiming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[Section 36 amended by No. 107 of 1973 s. 24; No. 59 of 2004 s. 141; No. 8 of 2009 s. 74.]</w:t>
      </w:r>
    </w:p>
    <w:p>
      <w:pPr>
        <w:pStyle w:val="Heading5"/>
        <w:rPr>
          <w:snapToGrid w:val="0"/>
        </w:rPr>
      </w:pPr>
      <w:bookmarkStart w:id="778" w:name="_Toc459168275"/>
      <w:bookmarkStart w:id="779" w:name="_Toc71097131"/>
      <w:bookmarkStart w:id="780" w:name="_Toc72200513"/>
      <w:bookmarkStart w:id="781" w:name="_Toc102883475"/>
      <w:bookmarkStart w:id="782" w:name="_Toc128471285"/>
      <w:bookmarkStart w:id="783" w:name="_Toc305751260"/>
      <w:bookmarkStart w:id="784" w:name="_Toc286309718"/>
      <w:r>
        <w:rPr>
          <w:rStyle w:val="CharSectno"/>
        </w:rPr>
        <w:t>36A</w:t>
      </w:r>
      <w:r>
        <w:rPr>
          <w:snapToGrid w:val="0"/>
        </w:rPr>
        <w:t xml:space="preserve">. </w:t>
      </w:r>
      <w:r>
        <w:rPr>
          <w:snapToGrid w:val="0"/>
        </w:rPr>
        <w:tab/>
        <w:t>Relief against consequences of breach</w:t>
      </w:r>
      <w:bookmarkEnd w:id="778"/>
      <w:bookmarkEnd w:id="779"/>
      <w:bookmarkEnd w:id="780"/>
      <w:bookmarkEnd w:id="781"/>
      <w:bookmarkEnd w:id="782"/>
      <w:r>
        <w:rPr>
          <w:snapToGrid w:val="0"/>
        </w:rPr>
        <w:t xml:space="preserve"> of agreement by hirer</w:t>
      </w:r>
      <w:bookmarkEnd w:id="783"/>
      <w:bookmarkEnd w:id="784"/>
    </w:p>
    <w:p>
      <w:pPr>
        <w:pStyle w:val="Subsection"/>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rPr>
          <w:snapToGrid w:val="0"/>
        </w:rPr>
      </w:pPr>
      <w:r>
        <w:rPr>
          <w:snapToGrid w:val="0"/>
        </w:rPr>
        <w:tab/>
        <w:t>(2)</w:t>
      </w:r>
      <w:r>
        <w:rPr>
          <w:snapToGrid w:val="0"/>
        </w:rPr>
        <w:tab/>
        <w:t>On an application to the Commissioner under this section, the Commissioner, after considering any submissions made by or on behalf of —</w:t>
      </w:r>
    </w:p>
    <w:p>
      <w:pPr>
        <w:pStyle w:val="Indenta"/>
        <w:rPr>
          <w:snapToGrid w:val="0"/>
        </w:rPr>
      </w:pPr>
      <w:r>
        <w:rPr>
          <w:snapToGrid w:val="0"/>
        </w:rPr>
        <w:tab/>
        <w:t>(a)</w:t>
      </w:r>
      <w:r>
        <w:rPr>
          <w:snapToGrid w:val="0"/>
        </w:rPr>
        <w:tab/>
        <w:t>the hirer; and</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w:t>
      </w:r>
      <w:r>
        <w:t xml:space="preserve"> and agreement registration fees</w:t>
      </w:r>
      <w:r>
        <w:rPr>
          <w:snapToGrid w:val="0"/>
        </w:rPr>
        <w:t xml:space="preserve"> payable in respect of a contract arising out of, and in relation to, the relief granted.</w:t>
      </w:r>
    </w:p>
    <w:p>
      <w:pPr>
        <w:pStyle w:val="Subsection"/>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rPr>
          <w:snapToGrid w:val="0"/>
        </w:rPr>
      </w:pPr>
      <w:r>
        <w:rPr>
          <w:snapToGrid w:val="0"/>
        </w:rPr>
        <w:tab/>
        <w:t>(3)</w:t>
      </w:r>
      <w:r>
        <w:rPr>
          <w:snapToGrid w:val="0"/>
        </w:rPr>
        <w:tab/>
        <w:t>In granting relief under this section the Commissioner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[Section 36A inserted by No. 107 of 1973 s. 25; amended by No. 37 of 1980 s. 10; No. 102 of 1984 s. 11; No. 1 of 1985 s. 23; No. 55 of 2004 s. 512; No. 12 of 2008 Sch. 1 cl. 15.]</w:t>
      </w:r>
    </w:p>
    <w:p>
      <w:pPr>
        <w:pStyle w:val="Ednotesection"/>
      </w:pPr>
      <w:r>
        <w:t>[</w:t>
      </w:r>
      <w:r>
        <w:rPr>
          <w:b/>
        </w:rPr>
        <w:t>36B.</w:t>
      </w:r>
      <w:r>
        <w:tab/>
        <w:t>Deleted by No. 102 of 1984 s. 12.]</w:t>
      </w:r>
    </w:p>
    <w:p>
      <w:pPr>
        <w:pStyle w:val="Heading5"/>
      </w:pPr>
      <w:bookmarkStart w:id="785" w:name="_Toc281466480"/>
      <w:bookmarkStart w:id="786" w:name="_Toc305751261"/>
      <w:bookmarkStart w:id="787" w:name="_Toc286309719"/>
      <w:bookmarkStart w:id="788" w:name="_Toc459168277"/>
      <w:bookmarkStart w:id="789" w:name="_Toc71097133"/>
      <w:bookmarkStart w:id="790" w:name="_Toc72200515"/>
      <w:bookmarkStart w:id="791" w:name="_Toc102883477"/>
      <w:bookmarkStart w:id="792" w:name="_Toc128471287"/>
      <w:r>
        <w:rPr>
          <w:rStyle w:val="CharSectno"/>
        </w:rPr>
        <w:t>36C</w:t>
      </w:r>
      <w:r>
        <w:t>.</w:t>
      </w:r>
      <w:r>
        <w:tab/>
        <w:t>Investigation</w:t>
      </w:r>
      <w:bookmarkEnd w:id="785"/>
      <w:r>
        <w:t xml:space="preserve"> powers</w:t>
      </w:r>
      <w:bookmarkEnd w:id="786"/>
      <w:bookmarkEnd w:id="787"/>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36C inserted by No. 58 of 2010 s. 187.]</w:t>
      </w:r>
    </w:p>
    <w:p>
      <w:pPr>
        <w:pStyle w:val="Heading5"/>
        <w:rPr>
          <w:snapToGrid w:val="0"/>
        </w:rPr>
      </w:pPr>
      <w:bookmarkStart w:id="793" w:name="_Toc305751262"/>
      <w:bookmarkStart w:id="794" w:name="_Toc286309720"/>
      <w:r>
        <w:rPr>
          <w:rStyle w:val="CharSectno"/>
        </w:rPr>
        <w:t>37</w:t>
      </w:r>
      <w:r>
        <w:rPr>
          <w:snapToGrid w:val="0"/>
        </w:rPr>
        <w:t>.</w:t>
      </w:r>
      <w:r>
        <w:rPr>
          <w:snapToGrid w:val="0"/>
        </w:rPr>
        <w:tab/>
        <w:t>Service of notices</w:t>
      </w:r>
      <w:bookmarkEnd w:id="788"/>
      <w:bookmarkEnd w:id="789"/>
      <w:bookmarkEnd w:id="790"/>
      <w:bookmarkEnd w:id="791"/>
      <w:bookmarkEnd w:id="792"/>
      <w:r>
        <w:rPr>
          <w:snapToGrid w:val="0"/>
        </w:rPr>
        <w:t xml:space="preserve"> and proof of service</w:t>
      </w:r>
      <w:bookmarkEnd w:id="793"/>
      <w:bookmarkEnd w:id="794"/>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w:t>
      </w:r>
    </w:p>
    <w:p>
      <w:pPr>
        <w:pStyle w:val="Indenta"/>
        <w:rPr>
          <w:snapToGrid w:val="0"/>
        </w:rPr>
      </w:pPr>
      <w:r>
        <w:rPr>
          <w:snapToGrid w:val="0"/>
        </w:rPr>
        <w:tab/>
        <w:t>(a)</w:t>
      </w:r>
      <w:r>
        <w:rPr>
          <w:snapToGrid w:val="0"/>
        </w:rPr>
        <w:tab/>
        <w:t>by delivering it to him personally; or</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795" w:name="_Toc459168278"/>
      <w:bookmarkStart w:id="796" w:name="_Toc71097134"/>
      <w:bookmarkStart w:id="797" w:name="_Toc72200516"/>
      <w:bookmarkStart w:id="798" w:name="_Toc102883478"/>
      <w:bookmarkStart w:id="799" w:name="_Toc128471288"/>
      <w:bookmarkStart w:id="800" w:name="_Toc305751263"/>
      <w:bookmarkStart w:id="801" w:name="_Toc286309721"/>
      <w:r>
        <w:rPr>
          <w:rStyle w:val="CharSectno"/>
        </w:rPr>
        <w:t>37A</w:t>
      </w:r>
      <w:r>
        <w:rPr>
          <w:snapToGrid w:val="0"/>
        </w:rPr>
        <w:t xml:space="preserve">. </w:t>
      </w:r>
      <w:r>
        <w:rPr>
          <w:snapToGrid w:val="0"/>
        </w:rPr>
        <w:tab/>
        <w:t>Court may dispense with service</w:t>
      </w:r>
      <w:bookmarkEnd w:id="795"/>
      <w:bookmarkEnd w:id="796"/>
      <w:bookmarkEnd w:id="797"/>
      <w:bookmarkEnd w:id="798"/>
      <w:bookmarkEnd w:id="799"/>
      <w:bookmarkEnd w:id="800"/>
      <w:bookmarkEnd w:id="801"/>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rStyle w:val="CharDefText"/>
        </w:rPr>
        <w:t>serve</w:t>
      </w:r>
      <w:r>
        <w:rPr>
          <w:snapToGrid w:val="0"/>
        </w:rPr>
        <w:t xml:space="preserve"> includes “give”, “deliver”, or other similar or cognate expressions.</w:t>
      </w:r>
    </w:p>
    <w:p>
      <w:pPr>
        <w:pStyle w:val="Footnotesection"/>
      </w:pPr>
      <w:r>
        <w:tab/>
        <w:t>[Section 37A inserted by No. 37 of 1980 s. 12; amended by No. 59 of 2004 s. 141.]</w:t>
      </w:r>
    </w:p>
    <w:p>
      <w:pPr>
        <w:pStyle w:val="Heading5"/>
        <w:rPr>
          <w:snapToGrid w:val="0"/>
        </w:rPr>
      </w:pPr>
      <w:bookmarkStart w:id="802" w:name="_Toc459168279"/>
      <w:bookmarkStart w:id="803" w:name="_Toc71097135"/>
      <w:bookmarkStart w:id="804" w:name="_Toc72200517"/>
      <w:bookmarkStart w:id="805" w:name="_Toc102883479"/>
      <w:bookmarkStart w:id="806" w:name="_Toc128471289"/>
      <w:bookmarkStart w:id="807" w:name="_Toc305751264"/>
      <w:bookmarkStart w:id="808" w:name="_Toc286309722"/>
      <w:r>
        <w:rPr>
          <w:rStyle w:val="CharSectno"/>
        </w:rPr>
        <w:t>38</w:t>
      </w:r>
      <w:r>
        <w:rPr>
          <w:snapToGrid w:val="0"/>
        </w:rPr>
        <w:t>.</w:t>
      </w:r>
      <w:r>
        <w:rPr>
          <w:snapToGrid w:val="0"/>
        </w:rPr>
        <w:tab/>
        <w:t>Text of prescribed documents</w:t>
      </w:r>
      <w:bookmarkEnd w:id="802"/>
      <w:bookmarkEnd w:id="803"/>
      <w:bookmarkEnd w:id="804"/>
      <w:bookmarkEnd w:id="805"/>
      <w:bookmarkEnd w:id="806"/>
      <w:r>
        <w:rPr>
          <w:snapToGrid w:val="0"/>
        </w:rPr>
        <w:t xml:space="preserve"> to be legible etc.</w:t>
      </w:r>
      <w:bookmarkEnd w:id="807"/>
      <w:bookmarkEnd w:id="808"/>
    </w:p>
    <w:p>
      <w:pPr>
        <w:pStyle w:val="Subsection"/>
        <w:rPr>
          <w:snapToGrid w:val="0"/>
        </w:rPr>
      </w:pPr>
      <w:r>
        <w:rPr>
          <w:snapToGrid w:val="0"/>
        </w:rPr>
        <w:tab/>
        <w:t>(1)</w:t>
      </w:r>
      <w:r>
        <w:rPr>
          <w:snapToGrid w:val="0"/>
        </w:rPr>
        <w:tab/>
        <w:t>Any prescribed document or part thereof that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rStyle w:val="CharDefText"/>
        </w:rPr>
        <w:t>prescribed document</w:t>
      </w:r>
      <w:r>
        <w:rPr>
          <w:snapToGrid w:val="0"/>
        </w:rPr>
        <w:t xml:space="preserve"> means —</w:t>
      </w:r>
    </w:p>
    <w:p>
      <w:pPr>
        <w:pStyle w:val="Indenta"/>
        <w:rPr>
          <w:snapToGrid w:val="0"/>
        </w:rPr>
      </w:pPr>
      <w:r>
        <w:rPr>
          <w:snapToGrid w:val="0"/>
        </w:rPr>
        <w:tab/>
        <w:t>(a)</w:t>
      </w:r>
      <w:r>
        <w:rPr>
          <w:snapToGrid w:val="0"/>
        </w:rPr>
        <w:tab/>
        <w:t>any hire</w:t>
      </w:r>
      <w:r>
        <w:rPr>
          <w:snapToGrid w:val="0"/>
        </w:rPr>
        <w:noBreakHyphen/>
        <w:t>purchase agreement; and</w:t>
      </w:r>
    </w:p>
    <w:p>
      <w:pPr>
        <w:pStyle w:val="Indenta"/>
        <w:rPr>
          <w:snapToGrid w:val="0"/>
        </w:rPr>
      </w:pPr>
      <w:r>
        <w:rPr>
          <w:snapToGrid w:val="0"/>
        </w:rPr>
        <w:tab/>
        <w:t>(b)</w:t>
      </w:r>
      <w:r>
        <w:rPr>
          <w:snapToGrid w:val="0"/>
        </w:rPr>
        <w:tab/>
        <w:t>any statement under section 3(1); and</w:t>
      </w:r>
    </w:p>
    <w:p>
      <w:pPr>
        <w:pStyle w:val="Indenta"/>
        <w:rPr>
          <w:snapToGrid w:val="0"/>
        </w:rPr>
      </w:pPr>
      <w:r>
        <w:rPr>
          <w:snapToGrid w:val="0"/>
        </w:rPr>
        <w:tab/>
        <w:t>(c)</w:t>
      </w:r>
      <w:r>
        <w:rPr>
          <w:snapToGrid w:val="0"/>
        </w:rPr>
        <w:tab/>
        <w:t>any copy of an agreement, notice, or statement required by section 4 to be served on a hirer; and</w:t>
      </w:r>
    </w:p>
    <w:p>
      <w:pPr>
        <w:pStyle w:val="Indenta"/>
        <w:rPr>
          <w:snapToGrid w:val="0"/>
        </w:rPr>
      </w:pPr>
      <w:r>
        <w:rPr>
          <w:snapToGrid w:val="0"/>
        </w:rPr>
        <w:tab/>
        <w:t>(d)</w:t>
      </w:r>
      <w:r>
        <w:rPr>
          <w:snapToGrid w:val="0"/>
        </w:rPr>
        <w:tab/>
        <w:t>any statement required by section 7(1) to be sent to a hirer; and</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[Section 38 amended by No. 107 of 1973 s. 26.]</w:t>
      </w:r>
    </w:p>
    <w:p>
      <w:pPr>
        <w:pStyle w:val="Heading5"/>
        <w:rPr>
          <w:snapToGrid w:val="0"/>
        </w:rPr>
      </w:pPr>
      <w:bookmarkStart w:id="809" w:name="_Toc459168280"/>
      <w:bookmarkStart w:id="810" w:name="_Toc71097136"/>
      <w:bookmarkStart w:id="811" w:name="_Toc72200518"/>
      <w:bookmarkStart w:id="812" w:name="_Toc102883480"/>
      <w:bookmarkStart w:id="813" w:name="_Toc128471290"/>
      <w:bookmarkStart w:id="814" w:name="_Toc305751265"/>
      <w:bookmarkStart w:id="815" w:name="_Toc286309723"/>
      <w:r>
        <w:rPr>
          <w:rStyle w:val="CharSectno"/>
        </w:rPr>
        <w:t>39</w:t>
      </w:r>
      <w:r>
        <w:rPr>
          <w:snapToGrid w:val="0"/>
        </w:rPr>
        <w:t>.</w:t>
      </w:r>
      <w:r>
        <w:rPr>
          <w:snapToGrid w:val="0"/>
        </w:rPr>
        <w:tab/>
        <w:t>General offence and penalty</w:t>
      </w:r>
      <w:bookmarkEnd w:id="809"/>
      <w:bookmarkEnd w:id="810"/>
      <w:bookmarkEnd w:id="811"/>
      <w:bookmarkEnd w:id="812"/>
      <w:bookmarkEnd w:id="813"/>
      <w:bookmarkEnd w:id="814"/>
      <w:bookmarkEnd w:id="815"/>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[Section 39 amended by No. 107 of 1973 s. 27.]</w:t>
      </w:r>
    </w:p>
    <w:p>
      <w:pPr>
        <w:pStyle w:val="Heading5"/>
        <w:rPr>
          <w:snapToGrid w:val="0"/>
        </w:rPr>
      </w:pPr>
      <w:bookmarkStart w:id="816" w:name="_Toc459168281"/>
      <w:bookmarkStart w:id="817" w:name="_Toc71097137"/>
      <w:bookmarkStart w:id="818" w:name="_Toc72200519"/>
      <w:bookmarkStart w:id="819" w:name="_Toc102883481"/>
      <w:bookmarkStart w:id="820" w:name="_Toc128471291"/>
      <w:bookmarkStart w:id="821" w:name="_Toc305751266"/>
      <w:bookmarkStart w:id="822" w:name="_Toc286309724"/>
      <w:r>
        <w:rPr>
          <w:rStyle w:val="CharSectno"/>
        </w:rPr>
        <w:t>40</w:t>
      </w:r>
      <w:r>
        <w:rPr>
          <w:snapToGrid w:val="0"/>
        </w:rPr>
        <w:t>.</w:t>
      </w:r>
      <w:r>
        <w:rPr>
          <w:snapToGrid w:val="0"/>
        </w:rPr>
        <w:tab/>
        <w:t>Time limit for prosecution</w:t>
      </w:r>
      <w:bookmarkEnd w:id="816"/>
      <w:bookmarkEnd w:id="817"/>
      <w:bookmarkEnd w:id="818"/>
      <w:bookmarkEnd w:id="819"/>
      <w:bookmarkEnd w:id="820"/>
      <w:r>
        <w:rPr>
          <w:snapToGrid w:val="0"/>
        </w:rPr>
        <w:t>s</w:t>
      </w:r>
      <w:bookmarkEnd w:id="821"/>
      <w:bookmarkEnd w:id="822"/>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823" w:name="_Toc459168282"/>
      <w:bookmarkStart w:id="824" w:name="_Toc71097138"/>
      <w:bookmarkStart w:id="825" w:name="_Toc72200520"/>
      <w:bookmarkStart w:id="826" w:name="_Toc102883482"/>
      <w:bookmarkStart w:id="827" w:name="_Toc128471292"/>
      <w:bookmarkStart w:id="828" w:name="_Toc305751267"/>
      <w:bookmarkStart w:id="829" w:name="_Toc286309725"/>
      <w:r>
        <w:rPr>
          <w:rStyle w:val="CharSectno"/>
        </w:rPr>
        <w:t>40A</w:t>
      </w:r>
      <w:r>
        <w:rPr>
          <w:snapToGrid w:val="0"/>
        </w:rPr>
        <w:t xml:space="preserve">. </w:t>
      </w:r>
      <w:r>
        <w:rPr>
          <w:snapToGrid w:val="0"/>
        </w:rPr>
        <w:tab/>
        <w:t>Regulations</w:t>
      </w:r>
      <w:bookmarkEnd w:id="823"/>
      <w:bookmarkEnd w:id="824"/>
      <w:bookmarkEnd w:id="825"/>
      <w:bookmarkEnd w:id="826"/>
      <w:bookmarkEnd w:id="827"/>
      <w:bookmarkEnd w:id="828"/>
      <w:bookmarkEnd w:id="829"/>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w:t>
      </w:r>
    </w:p>
    <w:p>
      <w:pPr>
        <w:pStyle w:val="Ednotepara"/>
        <w:spacing w:before="80"/>
      </w:pPr>
      <w:r>
        <w:tab/>
        <w:t>[(a)</w:t>
      </w:r>
      <w:r>
        <w:noBreakHyphen/>
        <w:t>(g)</w:t>
      </w:r>
      <w:r>
        <w:tab/>
        <w:t>deleted]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[Section 40A inserted by No. 107 of 1973 s. 28; amended by No. 5 of 1974 s. 7; No. 102 of 1984 s. 14.]</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830" w:name="_Toc267489743"/>
      <w:bookmarkStart w:id="831" w:name="_Toc268264243"/>
      <w:bookmarkStart w:id="832" w:name="_Toc268264345"/>
      <w:bookmarkStart w:id="833" w:name="_Toc272150736"/>
      <w:bookmarkStart w:id="834" w:name="_Toc280092167"/>
      <w:bookmarkStart w:id="835" w:name="_Toc281486032"/>
      <w:bookmarkStart w:id="836" w:name="_Toc283882248"/>
      <w:bookmarkStart w:id="837" w:name="_Toc283890205"/>
      <w:bookmarkStart w:id="838" w:name="_Toc285445240"/>
      <w:bookmarkStart w:id="839" w:name="_Toc285446758"/>
      <w:bookmarkStart w:id="840" w:name="_Toc286309726"/>
      <w:bookmarkStart w:id="841" w:name="_Toc305751268"/>
      <w:r>
        <w:rPr>
          <w:rStyle w:val="CharSchNo"/>
          <w:rFonts w:eastAsia="MS Mincho"/>
        </w:rPr>
        <w:t>First Schedule</w:t>
      </w:r>
      <w:r>
        <w:rPr>
          <w:rFonts w:eastAsia="MS Mincho"/>
        </w:rPr>
        <w:t> — </w:t>
      </w:r>
      <w:r>
        <w:rPr>
          <w:rStyle w:val="CharSchText"/>
          <w:rFonts w:eastAsia="MS Mincho"/>
        </w:rPr>
        <w:t>Statement to be given to hirer</w:t>
      </w:r>
      <w:bookmarkEnd w:id="830"/>
      <w:bookmarkEnd w:id="831"/>
      <w:bookmarkEnd w:id="832"/>
      <w:bookmarkEnd w:id="833"/>
      <w:bookmarkEnd w:id="834"/>
      <w:bookmarkEnd w:id="835"/>
      <w:bookmarkEnd w:id="836"/>
      <w:bookmarkEnd w:id="837"/>
      <w:bookmarkEnd w:id="838"/>
      <w:bookmarkEnd w:id="839"/>
      <w:bookmarkEnd w:id="840"/>
      <w:bookmarkEnd w:id="841"/>
    </w:p>
    <w:p>
      <w:pPr>
        <w:pStyle w:val="yShoulderClause"/>
        <w:rPr>
          <w:rFonts w:eastAsia="MS Mincho"/>
        </w:rPr>
      </w:pPr>
      <w:r>
        <w:rPr>
          <w:rFonts w:eastAsia="MS Mincho"/>
        </w:rPr>
        <w:t>[s. 3]</w:t>
      </w:r>
    </w:p>
    <w:p>
      <w:pPr>
        <w:pStyle w:val="yFootnoteheading"/>
        <w:spacing w:before="60"/>
      </w:pPr>
      <w:r>
        <w:tab/>
        <w:t>[Heading inserted by No. 19 of 2010 s. 19(5).]</w:t>
      </w:r>
    </w:p>
    <w:p>
      <w:pPr>
        <w:pStyle w:val="yHeading3"/>
      </w:pPr>
      <w:bookmarkStart w:id="842" w:name="_Toc267489744"/>
      <w:bookmarkStart w:id="843" w:name="_Toc268264244"/>
      <w:bookmarkStart w:id="844" w:name="_Toc268264346"/>
      <w:bookmarkStart w:id="845" w:name="_Toc272150737"/>
      <w:bookmarkStart w:id="846" w:name="_Toc280092168"/>
      <w:bookmarkStart w:id="847" w:name="_Toc281486033"/>
      <w:bookmarkStart w:id="848" w:name="_Toc283882249"/>
      <w:bookmarkStart w:id="849" w:name="_Toc283890206"/>
      <w:bookmarkStart w:id="850" w:name="_Toc285445241"/>
      <w:bookmarkStart w:id="851" w:name="_Toc285446759"/>
      <w:bookmarkStart w:id="852" w:name="_Toc286309727"/>
      <w:bookmarkStart w:id="853" w:name="_Toc305751269"/>
      <w:r>
        <w:rPr>
          <w:rStyle w:val="CharSDivNo"/>
        </w:rPr>
        <w:t>Part 1</w:t>
      </w:r>
      <w:r>
        <w:t> — </w:t>
      </w:r>
      <w:r>
        <w:rPr>
          <w:rStyle w:val="CharSDivText"/>
        </w:rPr>
        <w:t>Form of statement</w:t>
      </w:r>
      <w:bookmarkEnd w:id="842"/>
      <w:bookmarkEnd w:id="843"/>
      <w:bookmarkEnd w:id="844"/>
      <w:bookmarkEnd w:id="845"/>
      <w:bookmarkEnd w:id="846"/>
      <w:bookmarkEnd w:id="847"/>
      <w:bookmarkEnd w:id="848"/>
      <w:bookmarkEnd w:id="849"/>
      <w:bookmarkEnd w:id="850"/>
      <w:bookmarkEnd w:id="851"/>
      <w:bookmarkEnd w:id="852"/>
      <w:bookmarkEnd w:id="853"/>
    </w:p>
    <w:p>
      <w:pPr>
        <w:pStyle w:val="yFootnoteheading"/>
        <w:spacing w:after="120"/>
        <w:rPr>
          <w:b/>
          <w:bCs/>
          <w:i w:val="0"/>
          <w:iCs/>
          <w:snapToGrid w:val="0"/>
        </w:rPr>
      </w:pPr>
      <w:r>
        <w:tab/>
        <w:t>[Heading inserted by No. 19 of 2010 s. 19(5).]</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yTableNAm"/>
              <w:spacing w:before="80"/>
              <w:rPr>
                <w:snapToGrid w:val="0"/>
              </w:rPr>
            </w:pPr>
            <w:r>
              <w:rPr>
                <w:snapToGrid w:val="0"/>
              </w:rPr>
              <w:t>SUMMARY OF PROPOSED HIRE</w:t>
            </w:r>
            <w:r>
              <w:rPr>
                <w:snapToGrid w:val="0"/>
              </w:rPr>
              <w:noBreakHyphen/>
              <w:t>PURCHASE AGREEMENT BETWEEN:</w:t>
            </w:r>
          </w:p>
        </w:tc>
      </w:tr>
      <w:tr>
        <w:tc>
          <w:tcPr>
            <w:tcW w:w="7295" w:type="dxa"/>
          </w:tcPr>
          <w:p>
            <w:pPr>
              <w:pStyle w:val="yTableNAm"/>
              <w:spacing w:before="80"/>
              <w:jc w:val="center"/>
              <w:rPr>
                <w:snapToGrid w:val="0"/>
                <w:sz w:val="20"/>
              </w:rPr>
            </w:pPr>
            <w:r>
              <w:rPr>
                <w:snapToGrid w:val="0"/>
                <w:sz w:val="20"/>
              </w:rPr>
              <w:t>Proposed Hirer: ................................................................................................................... Full Name and Address</w:t>
            </w:r>
          </w:p>
        </w:tc>
      </w:tr>
      <w:tr>
        <w:tc>
          <w:tcPr>
            <w:tcW w:w="7295" w:type="dxa"/>
          </w:tcPr>
          <w:p>
            <w:pPr>
              <w:pStyle w:val="yTableNAm"/>
              <w:spacing w:before="80"/>
              <w:rPr>
                <w:snapToGrid w:val="0"/>
                <w:sz w:val="20"/>
              </w:rPr>
            </w:pPr>
            <w:r>
              <w:rPr>
                <w:snapToGrid w:val="0"/>
                <w:sz w:val="20"/>
              </w:rPr>
              <w:t>Age: (If under 18 years of age): .........................................................................................</w:t>
            </w:r>
          </w:p>
        </w:tc>
      </w:tr>
      <w:tr>
        <w:tc>
          <w:tcPr>
            <w:tcW w:w="7295" w:type="dxa"/>
          </w:tcPr>
          <w:p>
            <w:pPr>
              <w:pStyle w:val="yTableNAm"/>
              <w:spacing w:before="80"/>
              <w:jc w:val="center"/>
              <w:rPr>
                <w:snapToGrid w:val="0"/>
                <w:sz w:val="20"/>
              </w:rPr>
            </w:pPr>
            <w:r>
              <w:rPr>
                <w:snapToGrid w:val="0"/>
                <w:sz w:val="20"/>
              </w:rPr>
              <w:t>Owner: ................................................................................................................................ Name and Address</w:t>
            </w:r>
          </w:p>
        </w:tc>
      </w:tr>
      <w:tr>
        <w:tc>
          <w:tcPr>
            <w:tcW w:w="7295" w:type="dxa"/>
          </w:tcPr>
          <w:p>
            <w:pPr>
              <w:pStyle w:val="yTableNAm"/>
              <w:spacing w:before="80"/>
              <w:jc w:val="center"/>
              <w:rPr>
                <w:snapToGrid w:val="0"/>
                <w:sz w:val="20"/>
              </w:rPr>
            </w:pPr>
            <w:r>
              <w:rPr>
                <w:snapToGrid w:val="0"/>
                <w:sz w:val="20"/>
              </w:rPr>
              <w:t>Dealer: ................................................................................................................................ Name and Address</w:t>
            </w:r>
          </w:p>
        </w:tc>
      </w:tr>
      <w:tr>
        <w:tc>
          <w:tcPr>
            <w:tcW w:w="7295" w:type="dxa"/>
          </w:tcPr>
          <w:p>
            <w:pPr>
              <w:pStyle w:val="yTableNAm"/>
              <w:tabs>
                <w:tab w:val="clear" w:pos="567"/>
                <w:tab w:val="left" w:pos="2743"/>
              </w:tabs>
              <w:spacing w:before="80"/>
              <w:rPr>
                <w:snapToGrid w:val="0"/>
                <w:sz w:val="20"/>
              </w:rPr>
            </w:pPr>
            <w:r>
              <w:rPr>
                <w:snapToGrid w:val="0"/>
                <w:sz w:val="20"/>
              </w:rPr>
              <w:t>Guarantor: ........................................................................................................................... (If applicable)</w:t>
            </w:r>
            <w:r>
              <w:rPr>
                <w:snapToGrid w:val="0"/>
                <w:sz w:val="20"/>
              </w:rPr>
              <w:tab/>
              <w:t>Name and Address</w:t>
            </w:r>
          </w:p>
        </w:tc>
      </w:tr>
    </w:tbl>
    <w:p>
      <w:pPr>
        <w:pStyle w:val="yMiscellaneousHeading"/>
        <w:spacing w:before="0"/>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NAm"/>
              <w:spacing w:before="0"/>
              <w:rPr>
                <w:sz w:val="16"/>
              </w:rPr>
            </w:pPr>
            <w:r>
              <w:rPr>
                <w:sz w:val="16"/>
              </w:rPr>
              <w:t>Short Description of Goods —</w:t>
            </w:r>
          </w:p>
          <w:p>
            <w:pPr>
              <w:pStyle w:val="yTableNAm"/>
              <w:spacing w:before="0"/>
              <w:rPr>
                <w:snapToGrid w:val="0"/>
                <w:sz w:val="16"/>
              </w:rPr>
            </w:pPr>
            <w:r>
              <w:rPr>
                <w:snapToGrid w:val="0"/>
                <w:sz w:val="16"/>
              </w:rPr>
              <w:t>...........................................................................</w:t>
            </w:r>
          </w:p>
          <w:p>
            <w:pPr>
              <w:pStyle w:val="yTableNAm"/>
              <w:spacing w:before="0"/>
              <w:rPr>
                <w:snapToGrid w:val="0"/>
                <w:sz w:val="16"/>
              </w:rPr>
            </w:pPr>
            <w:r>
              <w:rPr>
                <w:snapToGrid w:val="0"/>
                <w:sz w:val="16"/>
              </w:rPr>
              <w:t>...........................................................................</w:t>
            </w:r>
          </w:p>
          <w:p>
            <w:pPr>
              <w:pStyle w:val="yTableNAm"/>
              <w:spacing w:before="0"/>
              <w:rPr>
                <w:snapToGrid w:val="0"/>
                <w:sz w:val="16"/>
              </w:rPr>
            </w:pPr>
          </w:p>
          <w:p>
            <w:pPr>
              <w:pStyle w:val="yTableNAm"/>
              <w:spacing w:before="0"/>
              <w:rPr>
                <w:snapToGrid w:val="0"/>
                <w:sz w:val="16"/>
              </w:rPr>
            </w:pPr>
          </w:p>
          <w:p>
            <w:pPr>
              <w:pStyle w:val="yTableNAm"/>
              <w:spacing w:before="0"/>
              <w:rPr>
                <w:sz w:val="16"/>
              </w:rPr>
            </w:pPr>
            <w:r>
              <w:rPr>
                <w:sz w:val="16"/>
              </w:rPr>
              <w:t>New/Secondhand</w:t>
            </w:r>
          </w:p>
          <w:p>
            <w:pPr>
              <w:pStyle w:val="yTableNAm"/>
              <w:spacing w:before="0"/>
              <w:rPr>
                <w:sz w:val="16"/>
              </w:rPr>
            </w:pPr>
          </w:p>
          <w:p>
            <w:pPr>
              <w:pStyle w:val="yTableNAm"/>
              <w:spacing w:before="0"/>
              <w:rPr>
                <w:sz w:val="16"/>
              </w:rPr>
            </w:pPr>
          </w:p>
          <w:p>
            <w:pPr>
              <w:pStyle w:val="yTableNAm"/>
              <w:spacing w:before="0"/>
              <w:rPr>
                <w:sz w:val="16"/>
              </w:rPr>
            </w:pPr>
            <w:r>
              <w:rPr>
                <w:sz w:val="16"/>
              </w:rPr>
              <w:t>Year ...................... Model .................................</w:t>
            </w:r>
          </w:p>
          <w:p>
            <w:pPr>
              <w:pStyle w:val="yTableNAm"/>
              <w:spacing w:before="0"/>
              <w:rPr>
                <w:sz w:val="16"/>
              </w:rPr>
            </w:pPr>
            <w:r>
              <w:rPr>
                <w:sz w:val="16"/>
              </w:rPr>
              <w:t xml:space="preserve">Colour </w:t>
            </w:r>
            <w:r>
              <w:rPr>
                <w:snapToGrid w:val="0"/>
                <w:sz w:val="16"/>
              </w:rPr>
              <w:t>................................................................</w:t>
            </w:r>
          </w:p>
          <w:p>
            <w:pPr>
              <w:pStyle w:val="yTableNAm"/>
              <w:spacing w:before="0"/>
              <w:rPr>
                <w:sz w:val="16"/>
              </w:rPr>
            </w:pPr>
            <w:r>
              <w:rPr>
                <w:sz w:val="16"/>
              </w:rPr>
              <w:t>INSTALMENTS</w:t>
            </w:r>
          </w:p>
          <w:p>
            <w:pPr>
              <w:pStyle w:val="yTableNAm"/>
              <w:spacing w:before="0"/>
              <w:rPr>
                <w:sz w:val="16"/>
              </w:rPr>
            </w:pPr>
            <w:r>
              <w:rPr>
                <w:sz w:val="16"/>
              </w:rPr>
              <w:t>(Insert here clearly the commencing date, frequency, and duration of instalment payments)</w:t>
            </w:r>
          </w:p>
          <w:p>
            <w:pPr>
              <w:pStyle w:val="yTableNAm"/>
              <w:spacing w:before="0"/>
              <w:rPr>
                <w:sz w:val="16"/>
              </w:rPr>
            </w:pPr>
          </w:p>
          <w:p>
            <w:pPr>
              <w:pStyle w:val="yTableNAm"/>
              <w:spacing w:before="0"/>
              <w:rPr>
                <w:sz w:val="16"/>
              </w:rPr>
            </w:pPr>
          </w:p>
          <w:p>
            <w:pPr>
              <w:pStyle w:val="yTableNAm"/>
              <w:spacing w:before="0"/>
              <w:rPr>
                <w:sz w:val="16"/>
              </w:rPr>
            </w:pPr>
            <w:r>
              <w:rPr>
                <w:sz w:val="16"/>
              </w:rPr>
              <w:t>______________________________________</w:t>
            </w:r>
          </w:p>
          <w:p>
            <w:pPr>
              <w:pStyle w:val="yTableNAm"/>
              <w:spacing w:before="0"/>
              <w:rPr>
                <w:sz w:val="16"/>
              </w:rPr>
            </w:pPr>
            <w:r>
              <w:rPr>
                <w:sz w:val="16"/>
              </w:rPr>
              <w:t>To (Person and Address)</w:t>
            </w:r>
          </w:p>
          <w:p>
            <w:pPr>
              <w:pStyle w:val="yTableNAm"/>
              <w:spacing w:before="0"/>
              <w:rPr>
                <w:snapToGrid w:val="0"/>
                <w:sz w:val="16"/>
              </w:rPr>
            </w:pPr>
            <w:r>
              <w:rPr>
                <w:snapToGrid w:val="0"/>
                <w:sz w:val="16"/>
              </w:rPr>
              <w:t>..........................................................................</w:t>
            </w:r>
          </w:p>
          <w:p>
            <w:pPr>
              <w:pStyle w:val="yTableNAm"/>
              <w:spacing w:before="0"/>
              <w:rPr>
                <w:sz w:val="16"/>
              </w:rPr>
            </w:pPr>
            <w:r>
              <w:rPr>
                <w:snapToGrid w:val="0"/>
                <w:sz w:val="16"/>
              </w:rPr>
              <w:t>..........................................................................</w:t>
            </w:r>
          </w:p>
          <w:p>
            <w:pPr>
              <w:pStyle w:val="yTableNAm"/>
              <w:spacing w:before="0"/>
              <w:rPr>
                <w:sz w:val="16"/>
              </w:rPr>
            </w:pPr>
          </w:p>
          <w:p>
            <w:pPr>
              <w:pStyle w:val="yTableNAm"/>
              <w:spacing w:before="0"/>
              <w:rPr>
                <w:sz w:val="16"/>
              </w:rPr>
            </w:pPr>
            <w:r>
              <w:rPr>
                <w:sz w:val="16"/>
              </w:rPr>
              <w:t>Being .................. Payments of ........................</w:t>
            </w:r>
          </w:p>
          <w:p>
            <w:pPr>
              <w:pStyle w:val="yTableNAm"/>
              <w:tabs>
                <w:tab w:val="clear" w:pos="567"/>
                <w:tab w:val="left" w:pos="420"/>
              </w:tabs>
              <w:spacing w:before="0"/>
              <w:rPr>
                <w:sz w:val="16"/>
              </w:rPr>
            </w:pPr>
            <w:r>
              <w:rPr>
                <w:sz w:val="16"/>
              </w:rPr>
              <w:tab/>
              <w:t>.................. Payments of ........................</w:t>
            </w:r>
          </w:p>
          <w:p>
            <w:pPr>
              <w:pStyle w:val="yTableNAm"/>
              <w:tabs>
                <w:tab w:val="clear" w:pos="567"/>
                <w:tab w:val="left" w:pos="420"/>
              </w:tabs>
              <w:spacing w:before="0"/>
              <w:rPr>
                <w:sz w:val="16"/>
              </w:rPr>
            </w:pPr>
            <w:r>
              <w:rPr>
                <w:sz w:val="16"/>
              </w:rPr>
              <w:tab/>
              <w:t>.................. Final Payment of ................</w:t>
            </w:r>
          </w:p>
        </w:tc>
        <w:tc>
          <w:tcPr>
            <w:tcW w:w="2403" w:type="dxa"/>
            <w:tcBorders>
              <w:top w:val="single" w:sz="4" w:space="0" w:color="auto"/>
              <w:left w:val="single" w:sz="4" w:space="0" w:color="auto"/>
              <w:right w:val="single" w:sz="4" w:space="0" w:color="auto"/>
            </w:tcBorders>
          </w:tcPr>
          <w:p>
            <w:pPr>
              <w:pStyle w:val="yTableNAm"/>
              <w:spacing w:before="0"/>
              <w:rPr>
                <w:sz w:val="16"/>
              </w:rPr>
            </w:pPr>
          </w:p>
        </w:tc>
        <w:tc>
          <w:tcPr>
            <w:tcW w:w="779" w:type="dxa"/>
            <w:tcBorders>
              <w:top w:val="single" w:sz="4" w:space="0" w:color="auto"/>
              <w:left w:val="nil"/>
              <w:right w:val="single" w:sz="4" w:space="0" w:color="auto"/>
            </w:tcBorders>
          </w:tcPr>
          <w:p>
            <w:pPr>
              <w:pStyle w:val="yTableNAm"/>
              <w:spacing w:before="0"/>
              <w:jc w:val="center"/>
              <w:rPr>
                <w:sz w:val="16"/>
              </w:rPr>
            </w:pPr>
            <w:r>
              <w:rPr>
                <w:sz w:val="16"/>
              </w:rPr>
              <w:t>$</w:t>
            </w:r>
          </w:p>
        </w:tc>
        <w:tc>
          <w:tcPr>
            <w:tcW w:w="780" w:type="dxa"/>
            <w:tcBorders>
              <w:top w:val="single" w:sz="4" w:space="0" w:color="auto"/>
              <w:left w:val="single" w:sz="4" w:space="0" w:color="auto"/>
              <w:right w:val="single" w:sz="4" w:space="0" w:color="auto"/>
            </w:tcBorders>
          </w:tcPr>
          <w:p>
            <w:pPr>
              <w:pStyle w:val="yTableNAm"/>
              <w:spacing w:before="0"/>
              <w:jc w:val="center"/>
              <w:rPr>
                <w:sz w:val="16"/>
              </w:rPr>
            </w:pPr>
            <w:r>
              <w:rPr>
                <w:sz w:val="16"/>
              </w:rPr>
              <w:t>c</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CASH PRICE ...............................</w:t>
            </w:r>
          </w:p>
          <w:p>
            <w:pPr>
              <w:pStyle w:val="yTableNAm"/>
              <w:spacing w:before="0"/>
              <w:rPr>
                <w:sz w:val="16"/>
              </w:rPr>
            </w:pPr>
            <w:r>
              <w:rPr>
                <w:sz w:val="16"/>
              </w:rPr>
              <w:t>Less Deposit</w:t>
            </w:r>
          </w:p>
          <w:p>
            <w:pPr>
              <w:pStyle w:val="yTable"/>
              <w:tabs>
                <w:tab w:val="left" w:pos="213"/>
                <w:tab w:val="left" w:pos="639"/>
              </w:tabs>
              <w:spacing w:before="0"/>
              <w:ind w:left="639" w:hanging="639"/>
              <w:rPr>
                <w:sz w:val="16"/>
              </w:rPr>
            </w:pPr>
            <w:r>
              <w:rPr>
                <w:sz w:val="16"/>
              </w:rPr>
              <w:tab/>
              <w:t>(a)</w:t>
            </w:r>
            <w:r>
              <w:rPr>
                <w:sz w:val="16"/>
              </w:rPr>
              <w:tab/>
              <w:t>Money............................</w:t>
            </w:r>
          </w:p>
          <w:p>
            <w:pPr>
              <w:pStyle w:val="yTable"/>
              <w:tabs>
                <w:tab w:val="left" w:pos="213"/>
                <w:tab w:val="left" w:pos="639"/>
              </w:tabs>
              <w:spacing w:before="0"/>
              <w:ind w:left="639" w:hanging="639"/>
              <w:rPr>
                <w:sz w:val="16"/>
              </w:rPr>
            </w:pPr>
            <w:r>
              <w:rPr>
                <w:sz w:val="16"/>
              </w:rPr>
              <w:tab/>
              <w:t>(b)</w:t>
            </w:r>
            <w:r>
              <w:rPr>
                <w:sz w:val="16"/>
              </w:rPr>
              <w:tab/>
              <w:t>Other —</w:t>
            </w:r>
          </w:p>
          <w:p>
            <w:pPr>
              <w:pStyle w:val="yTable"/>
              <w:tabs>
                <w:tab w:val="left" w:pos="213"/>
                <w:tab w:val="left" w:pos="639"/>
              </w:tabs>
              <w:spacing w:before="0"/>
              <w:ind w:left="639" w:hanging="639"/>
              <w:rPr>
                <w:sz w:val="16"/>
              </w:rPr>
            </w:pPr>
            <w:r>
              <w:rPr>
                <w:sz w:val="16"/>
              </w:rPr>
              <w:tab/>
            </w:r>
            <w:r>
              <w:rPr>
                <w:sz w:val="16"/>
              </w:rPr>
              <w:tab/>
              <w:t>Trade in Allowance........</w:t>
            </w:r>
          </w:p>
        </w:tc>
        <w:tc>
          <w:tcPr>
            <w:tcW w:w="779" w:type="dxa"/>
            <w:tcBorders>
              <w:top w:val="single" w:sz="4" w:space="0" w:color="auto"/>
              <w:left w:val="nil"/>
              <w:right w:val="single" w:sz="4" w:space="0" w:color="auto"/>
            </w:tcBorders>
          </w:tcPr>
          <w:p>
            <w:pPr>
              <w:pStyle w:val="yTableNAm"/>
              <w:spacing w:before="0"/>
              <w:rPr>
                <w:sz w:val="16"/>
              </w:rPr>
            </w:pPr>
            <w:r>
              <w:rPr>
                <w:sz w:val="16"/>
              </w:rPr>
              <w:t>..............</w:t>
            </w:r>
          </w:p>
          <w:p>
            <w:pPr>
              <w:pStyle w:val="yTableNAm"/>
              <w:spacing w:before="0"/>
              <w:rPr>
                <w:sz w:val="16"/>
              </w:rPr>
            </w:pPr>
          </w:p>
          <w:p>
            <w:pPr>
              <w:pStyle w:val="yTableNAm"/>
              <w:spacing w:before="0"/>
              <w:rPr>
                <w:sz w:val="16"/>
              </w:rPr>
            </w:pPr>
          </w:p>
          <w:p>
            <w:pPr>
              <w:pStyle w:val="yTableNAm"/>
              <w:spacing w:before="0"/>
              <w:rPr>
                <w:sz w:val="16"/>
              </w:rPr>
            </w:pPr>
          </w:p>
          <w:p>
            <w:pPr>
              <w:pStyle w:val="yTableNAm"/>
              <w:spacing w:before="0"/>
              <w:rPr>
                <w:sz w:val="16"/>
              </w:rPr>
            </w:pPr>
            <w:r>
              <w:rPr>
                <w:sz w:val="16"/>
              </w:rPr>
              <w:t>..............</w:t>
            </w:r>
          </w:p>
        </w:tc>
        <w:tc>
          <w:tcPr>
            <w:tcW w:w="780" w:type="dxa"/>
            <w:tcBorders>
              <w:top w:val="single" w:sz="4" w:space="0" w:color="auto"/>
              <w:left w:val="single" w:sz="4" w:space="0" w:color="auto"/>
              <w:right w:val="single" w:sz="4" w:space="0" w:color="auto"/>
            </w:tcBorders>
          </w:tcPr>
          <w:p>
            <w:pPr>
              <w:pStyle w:val="yTableNAm"/>
              <w:spacing w:before="0"/>
              <w:rPr>
                <w:sz w:val="16"/>
              </w:rPr>
            </w:pPr>
            <w:r>
              <w:rPr>
                <w:sz w:val="16"/>
              </w:rPr>
              <w:t>..............</w:t>
            </w:r>
          </w:p>
          <w:p>
            <w:pPr>
              <w:pStyle w:val="yTableNAm"/>
              <w:spacing w:before="0"/>
              <w:rPr>
                <w:sz w:val="16"/>
              </w:rPr>
            </w:pPr>
          </w:p>
          <w:p>
            <w:pPr>
              <w:pStyle w:val="yTableNAm"/>
              <w:spacing w:before="0"/>
              <w:rPr>
                <w:sz w:val="16"/>
              </w:rPr>
            </w:pPr>
          </w:p>
          <w:p>
            <w:pPr>
              <w:pStyle w:val="yTableNAm"/>
              <w:spacing w:before="0"/>
              <w:rPr>
                <w:sz w:val="16"/>
              </w:rPr>
            </w:pP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p>
        </w:tc>
        <w:tc>
          <w:tcPr>
            <w:tcW w:w="779" w:type="dxa"/>
            <w:tcBorders>
              <w:top w:val="single" w:sz="4" w:space="0" w:color="auto"/>
              <w:left w:val="nil"/>
              <w:right w:val="single" w:sz="4" w:space="0" w:color="auto"/>
            </w:tcBorders>
          </w:tcPr>
          <w:p>
            <w:pPr>
              <w:pStyle w:val="yTableNAm"/>
              <w:spacing w:before="0"/>
              <w:rPr>
                <w:sz w:val="16"/>
              </w:rPr>
            </w:pPr>
          </w:p>
        </w:tc>
        <w:tc>
          <w:tcPr>
            <w:tcW w:w="780" w:type="dxa"/>
            <w:tcBorders>
              <w:top w:val="single" w:sz="4" w:space="0" w:color="auto"/>
              <w:left w:val="single" w:sz="4" w:space="0" w:color="auto"/>
              <w:right w:val="single" w:sz="4" w:space="0" w:color="auto"/>
            </w:tcBorders>
          </w:tcPr>
          <w:p>
            <w:pPr>
              <w:pStyle w:val="yTableNAm"/>
              <w:spacing w:before="0"/>
              <w:rPr>
                <w:sz w:val="16"/>
              </w:rPr>
            </w:pP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RESIDUE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Add: Maintenance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6"/>
              </w:rPr>
            </w:pPr>
            <w:r>
              <w:rPr>
                <w:sz w:val="16"/>
              </w:rPr>
              <w:tab/>
              <w:t>”</w:t>
            </w:r>
            <w:r>
              <w:rPr>
                <w:sz w:val="16"/>
              </w:rPr>
              <w:tab/>
              <w:t>Freight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6"/>
              </w:rPr>
            </w:pPr>
            <w:r>
              <w:rPr>
                <w:sz w:val="16"/>
              </w:rPr>
              <w:tab/>
              <w:t>”</w:t>
            </w:r>
            <w:r>
              <w:rPr>
                <w:sz w:val="16"/>
              </w:rPr>
              <w:tab/>
              <w:t>Vehicle Registration Fees ................................</w:t>
            </w:r>
          </w:p>
          <w:p>
            <w:pPr>
              <w:pStyle w:val="yTable"/>
              <w:tabs>
                <w:tab w:val="left" w:pos="213"/>
                <w:tab w:val="left" w:pos="639"/>
              </w:tabs>
              <w:spacing w:before="0"/>
              <w:ind w:left="639" w:hanging="639"/>
              <w:rPr>
                <w:sz w:val="16"/>
              </w:rPr>
            </w:pPr>
            <w:r>
              <w:rPr>
                <w:sz w:val="16"/>
              </w:rPr>
              <w:tab/>
              <w:t>”</w:t>
            </w:r>
            <w:r>
              <w:rPr>
                <w:sz w:val="16"/>
              </w:rPr>
              <w:tab/>
              <w:t>Insurance ........................</w:t>
            </w:r>
          </w:p>
        </w:tc>
        <w:tc>
          <w:tcPr>
            <w:tcW w:w="779" w:type="dxa"/>
            <w:tcBorders>
              <w:left w:val="nil"/>
              <w:right w:val="single" w:sz="4" w:space="0" w:color="auto"/>
            </w:tcBorders>
          </w:tcPr>
          <w:p>
            <w:pPr>
              <w:pStyle w:val="yTableNAm"/>
              <w:spacing w:before="0"/>
              <w:rPr>
                <w:sz w:val="16"/>
              </w:rPr>
            </w:pPr>
            <w:r>
              <w:rPr>
                <w:sz w:val="16"/>
              </w:rPr>
              <w:br/>
              <w:t>..............</w:t>
            </w:r>
          </w:p>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br/>
              <w:t>..............</w:t>
            </w: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6"/>
              </w:rPr>
            </w:pPr>
            <w:r>
              <w:rPr>
                <w:sz w:val="16"/>
              </w:rPr>
              <w:tab/>
              <w:t>”</w:t>
            </w:r>
            <w:r>
              <w:rPr>
                <w:sz w:val="16"/>
              </w:rPr>
              <w:tab/>
              <w:t>Agreement Registration Fees ................................</w:t>
            </w:r>
          </w:p>
        </w:tc>
        <w:tc>
          <w:tcPr>
            <w:tcW w:w="779" w:type="dxa"/>
            <w:tcBorders>
              <w:left w:val="nil"/>
              <w:bottom w:val="single" w:sz="4" w:space="0" w:color="auto"/>
              <w:right w:val="single" w:sz="4" w:space="0" w:color="auto"/>
            </w:tcBorders>
          </w:tcPr>
          <w:p>
            <w:pPr>
              <w:pStyle w:val="yTableNAm"/>
              <w:spacing w:before="0"/>
              <w:rPr>
                <w:sz w:val="16"/>
              </w:rPr>
            </w:pPr>
            <w:r>
              <w:rPr>
                <w:sz w:val="16"/>
              </w:rPr>
              <w:br/>
              <w:t>..............</w:t>
            </w:r>
          </w:p>
        </w:tc>
        <w:tc>
          <w:tcPr>
            <w:tcW w:w="780" w:type="dxa"/>
            <w:tcBorders>
              <w:left w:val="single" w:sz="4" w:space="0" w:color="auto"/>
              <w:bottom w:val="single" w:sz="4" w:space="0" w:color="auto"/>
              <w:right w:val="single" w:sz="4" w:space="0" w:color="auto"/>
            </w:tcBorders>
          </w:tcPr>
          <w:p>
            <w:pPr>
              <w:pStyle w:val="yTableNAm"/>
              <w:spacing w:before="0"/>
              <w:rPr>
                <w:sz w:val="16"/>
              </w:rPr>
            </w:pPr>
            <w:r>
              <w:rPr>
                <w:sz w:val="16"/>
              </w:rPr>
              <w:b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AMOUNT FINANCED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p>
          <w:p>
            <w:pPr>
              <w:pStyle w:val="yTable"/>
              <w:tabs>
                <w:tab w:val="left" w:pos="213"/>
                <w:tab w:val="left" w:pos="639"/>
              </w:tabs>
              <w:spacing w:before="0"/>
              <w:ind w:left="639" w:hanging="639"/>
              <w:rPr>
                <w:sz w:val="16"/>
              </w:rPr>
            </w:pPr>
            <w:r>
              <w:rPr>
                <w:sz w:val="16"/>
              </w:rPr>
              <w:t>Add: Terms Charges ......................</w:t>
            </w:r>
          </w:p>
          <w:p>
            <w:pPr>
              <w:pStyle w:val="yTableNAm"/>
              <w:spacing w:before="0"/>
              <w:rPr>
                <w:sz w:val="16"/>
              </w:rPr>
            </w:pPr>
            <w:r>
              <w:rPr>
                <w:sz w:val="16"/>
              </w:rPr>
              <w:t xml:space="preserve">    (Percentage Rate)</w:t>
            </w:r>
          </w:p>
          <w:p>
            <w:pPr>
              <w:pStyle w:val="yTableNAm"/>
              <w:spacing w:before="0"/>
              <w:jc w:val="right"/>
              <w:rPr>
                <w:sz w:val="16"/>
              </w:rPr>
            </w:pPr>
            <w:r>
              <w:rPr>
                <w:sz w:val="16"/>
              </w:rPr>
              <w:t>..........</w:t>
            </w:r>
          </w:p>
        </w:tc>
        <w:tc>
          <w:tcPr>
            <w:tcW w:w="779" w:type="dxa"/>
            <w:tcBorders>
              <w:left w:val="nil"/>
              <w:right w:val="single" w:sz="4" w:space="0" w:color="auto"/>
            </w:tcBorders>
          </w:tcPr>
          <w:p>
            <w:pPr>
              <w:pStyle w:val="yTableNAm"/>
              <w:spacing w:before="0"/>
              <w:rPr>
                <w:sz w:val="16"/>
              </w:rPr>
            </w:pPr>
          </w:p>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Balance Originally Payable</w:t>
            </w:r>
          </w:p>
          <w:p>
            <w:pPr>
              <w:pStyle w:val="yTableNAm"/>
              <w:spacing w:before="0"/>
              <w:rPr>
                <w:sz w:val="16"/>
              </w:rPr>
            </w:pPr>
            <w:r>
              <w:rPr>
                <w:sz w:val="16"/>
              </w:rPr>
              <w:t xml:space="preserve">    Under the Agreement ................</w:t>
            </w:r>
          </w:p>
        </w:tc>
        <w:tc>
          <w:tcPr>
            <w:tcW w:w="779" w:type="dxa"/>
            <w:tcBorders>
              <w:top w:val="single" w:sz="4" w:space="0" w:color="auto"/>
              <w:left w:val="nil"/>
              <w:right w:val="single" w:sz="4" w:space="0" w:color="auto"/>
            </w:tcBorders>
          </w:tcPr>
          <w:p>
            <w:pPr>
              <w:pStyle w:val="yTableNAm"/>
              <w:spacing w:before="0"/>
              <w:rPr>
                <w:sz w:val="16"/>
              </w:rPr>
            </w:pPr>
          </w:p>
          <w:p>
            <w:pPr>
              <w:pStyle w:val="yTableNAm"/>
              <w:spacing w:before="0"/>
              <w:rPr>
                <w:sz w:val="16"/>
              </w:rPr>
            </w:pPr>
            <w:r>
              <w:rPr>
                <w:sz w:val="16"/>
              </w:rPr>
              <w:t>..............</w:t>
            </w:r>
          </w:p>
        </w:tc>
        <w:tc>
          <w:tcPr>
            <w:tcW w:w="780" w:type="dxa"/>
            <w:tcBorders>
              <w:top w:val="single" w:sz="4" w:space="0" w:color="auto"/>
              <w:left w:val="single" w:sz="4" w:space="0" w:color="auto"/>
              <w:right w:val="single" w:sz="4" w:space="0" w:color="auto"/>
            </w:tcBorders>
          </w:tcPr>
          <w:p>
            <w:pPr>
              <w:pStyle w:val="yTableNAm"/>
              <w:spacing w:before="0"/>
              <w:rPr>
                <w:sz w:val="16"/>
              </w:rPr>
            </w:pP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Add Deposit Above .......................</w:t>
            </w:r>
          </w:p>
        </w:tc>
        <w:tc>
          <w:tcPr>
            <w:tcW w:w="779" w:type="dxa"/>
            <w:tcBorders>
              <w:left w:val="nil"/>
              <w:bottom w:val="single" w:sz="4" w:space="0" w:color="auto"/>
              <w:right w:val="single" w:sz="4" w:space="0" w:color="auto"/>
            </w:tcBorders>
          </w:tcPr>
          <w:p>
            <w:pPr>
              <w:pStyle w:val="yTableNAm"/>
              <w:spacing w:before="0"/>
              <w:rPr>
                <w:sz w:val="16"/>
              </w:rPr>
            </w:pPr>
            <w:r>
              <w:rPr>
                <w:sz w:val="16"/>
              </w:rPr>
              <w:t>..............</w:t>
            </w:r>
          </w:p>
        </w:tc>
        <w:tc>
          <w:tcPr>
            <w:tcW w:w="780" w:type="dxa"/>
            <w:tcBorders>
              <w:left w:val="single" w:sz="4" w:space="0" w:color="auto"/>
              <w:bottom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TOTAL AMOUNT</w:t>
            </w:r>
          </w:p>
          <w:p>
            <w:pPr>
              <w:pStyle w:val="yTableNAm"/>
              <w:spacing w:before="0"/>
              <w:rPr>
                <w:sz w:val="16"/>
              </w:rPr>
            </w:pPr>
            <w:r>
              <w:rPr>
                <w:sz w:val="16"/>
              </w:rPr>
              <w:t xml:space="preserve">    PAYABLE .................................</w:t>
            </w:r>
          </w:p>
          <w:p>
            <w:pPr>
              <w:pStyle w:val="yTableNAm"/>
              <w:spacing w:before="0"/>
              <w:rPr>
                <w:sz w:val="16"/>
              </w:rPr>
            </w:pPr>
            <w:r>
              <w:rPr>
                <w:sz w:val="16"/>
              </w:rPr>
              <w:t xml:space="preserve">    (Including Deposit)</w:t>
            </w:r>
          </w:p>
        </w:tc>
        <w:tc>
          <w:tcPr>
            <w:tcW w:w="779" w:type="dxa"/>
            <w:tcBorders>
              <w:left w:val="nil"/>
              <w:right w:val="single" w:sz="4" w:space="0" w:color="auto"/>
            </w:tcBorders>
          </w:tcPr>
          <w:p>
            <w:pPr>
              <w:pStyle w:val="yTableNAm"/>
              <w:spacing w:before="0"/>
              <w:rPr>
                <w:sz w:val="16"/>
              </w:rPr>
            </w:pPr>
            <w:r>
              <w:rPr>
                <w:sz w:val="16"/>
              </w:rPr>
              <w:br/>
              <w:t>..............</w:t>
            </w:r>
          </w:p>
        </w:tc>
        <w:tc>
          <w:tcPr>
            <w:tcW w:w="780" w:type="dxa"/>
            <w:tcBorders>
              <w:left w:val="single" w:sz="4" w:space="0" w:color="auto"/>
              <w:right w:val="single" w:sz="4" w:space="0" w:color="auto"/>
            </w:tcBorders>
          </w:tcPr>
          <w:p>
            <w:pPr>
              <w:pStyle w:val="yTableNAm"/>
              <w:spacing w:before="0"/>
              <w:rPr>
                <w:sz w:val="16"/>
              </w:rPr>
            </w:pPr>
            <w:r>
              <w:rPr>
                <w:sz w:val="16"/>
              </w:rPr>
              <w:br/>
              <w:t>..............</w:t>
            </w:r>
          </w:p>
        </w:tc>
      </w:tr>
      <w:tr>
        <w:trPr>
          <w:cantSplit/>
        </w:trPr>
        <w:tc>
          <w:tcPr>
            <w:tcW w:w="3235" w:type="dxa"/>
            <w:vMerge/>
          </w:tcPr>
          <w:p>
            <w:pPr>
              <w:pStyle w:val="yTableNAm"/>
              <w:spacing w:before="0"/>
              <w:rPr>
                <w:sz w:val="16"/>
              </w:rPr>
            </w:pPr>
          </w:p>
        </w:tc>
        <w:tc>
          <w:tcPr>
            <w:tcW w:w="2403" w:type="dxa"/>
            <w:tcBorders>
              <w:left w:val="single" w:sz="4" w:space="0" w:color="auto"/>
              <w:bottom w:val="single" w:sz="4" w:space="0" w:color="auto"/>
              <w:right w:val="single" w:sz="4" w:space="0" w:color="auto"/>
            </w:tcBorders>
          </w:tcPr>
          <w:p>
            <w:pPr>
              <w:pStyle w:val="yTableNAm"/>
              <w:spacing w:before="0"/>
              <w:rPr>
                <w:sz w:val="16"/>
              </w:rPr>
            </w:pPr>
          </w:p>
        </w:tc>
        <w:tc>
          <w:tcPr>
            <w:tcW w:w="779" w:type="dxa"/>
            <w:tcBorders>
              <w:left w:val="nil"/>
              <w:bottom w:val="single" w:sz="4" w:space="0" w:color="auto"/>
              <w:right w:val="single" w:sz="4" w:space="0" w:color="auto"/>
            </w:tcBorders>
          </w:tcPr>
          <w:p>
            <w:pPr>
              <w:pStyle w:val="yTableNAm"/>
              <w:spacing w:before="0"/>
              <w:rPr>
                <w:sz w:val="16"/>
              </w:rPr>
            </w:pPr>
          </w:p>
        </w:tc>
        <w:tc>
          <w:tcPr>
            <w:tcW w:w="780" w:type="dxa"/>
            <w:tcBorders>
              <w:left w:val="single" w:sz="4" w:space="0" w:color="auto"/>
              <w:bottom w:val="single" w:sz="4" w:space="0" w:color="auto"/>
              <w:right w:val="single" w:sz="4" w:space="0" w:color="auto"/>
            </w:tcBorders>
          </w:tcPr>
          <w:p>
            <w:pPr>
              <w:pStyle w:val="yTableNAm"/>
              <w:spacing w:before="0"/>
              <w:rPr>
                <w:sz w:val="16"/>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Heading3"/>
      </w:pPr>
      <w:bookmarkStart w:id="854" w:name="_Toc267489746"/>
      <w:bookmarkStart w:id="855" w:name="_Toc268264245"/>
      <w:bookmarkStart w:id="856" w:name="_Toc268264347"/>
      <w:bookmarkStart w:id="857" w:name="_Toc272150738"/>
      <w:bookmarkStart w:id="858" w:name="_Toc280092169"/>
      <w:bookmarkStart w:id="859" w:name="_Toc281486034"/>
      <w:bookmarkStart w:id="860" w:name="_Toc283882250"/>
      <w:bookmarkStart w:id="861" w:name="_Toc283890207"/>
      <w:bookmarkStart w:id="862" w:name="_Toc285445242"/>
      <w:bookmarkStart w:id="863" w:name="_Toc285446760"/>
      <w:bookmarkStart w:id="864" w:name="_Toc286309728"/>
      <w:bookmarkStart w:id="865" w:name="_Toc305751270"/>
      <w:r>
        <w:rPr>
          <w:rStyle w:val="CharSDivNo"/>
        </w:rPr>
        <w:t>Part 2</w:t>
      </w:r>
      <w:r>
        <w:t> — </w:t>
      </w:r>
      <w:r>
        <w:rPr>
          <w:rStyle w:val="CharSDivText"/>
        </w:rPr>
        <w:t>Furniture</w:t>
      </w:r>
      <w:bookmarkEnd w:id="854"/>
      <w:bookmarkEnd w:id="855"/>
      <w:bookmarkEnd w:id="856"/>
      <w:bookmarkEnd w:id="857"/>
      <w:bookmarkEnd w:id="858"/>
      <w:bookmarkEnd w:id="859"/>
      <w:bookmarkEnd w:id="860"/>
      <w:bookmarkEnd w:id="861"/>
      <w:bookmarkEnd w:id="862"/>
      <w:bookmarkEnd w:id="863"/>
      <w:bookmarkEnd w:id="864"/>
      <w:bookmarkEnd w:id="865"/>
    </w:p>
    <w:p>
      <w:pPr>
        <w:pStyle w:val="yFootnoteheading"/>
        <w:rPr>
          <w:b/>
          <w:bCs/>
          <w:i w:val="0"/>
          <w:iCs/>
          <w:snapToGrid w:val="0"/>
        </w:rPr>
      </w:pPr>
      <w:r>
        <w:tab/>
        <w:t>[Heading inserted by No. 19 of 2010 s. 19(6).]</w:t>
      </w:r>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[First Schedule amended by No. 107 of 1973 s. 29.]</w:t>
      </w:r>
    </w:p>
    <w:p>
      <w:pPr>
        <w:pStyle w:val="yScheduleHeading"/>
        <w:rPr>
          <w:rFonts w:eastAsia="MS Mincho"/>
        </w:rPr>
      </w:pPr>
      <w:bookmarkStart w:id="866" w:name="_Toc267489749"/>
      <w:bookmarkStart w:id="867" w:name="_Toc268264246"/>
      <w:bookmarkStart w:id="868" w:name="_Toc268264348"/>
      <w:bookmarkStart w:id="869" w:name="_Toc272150739"/>
      <w:bookmarkStart w:id="870" w:name="_Toc280092170"/>
      <w:bookmarkStart w:id="871" w:name="_Toc281486035"/>
      <w:bookmarkStart w:id="872" w:name="_Toc283882251"/>
      <w:bookmarkStart w:id="873" w:name="_Toc283890208"/>
      <w:bookmarkStart w:id="874" w:name="_Toc285445243"/>
      <w:bookmarkStart w:id="875" w:name="_Toc285446761"/>
      <w:bookmarkStart w:id="876" w:name="_Toc286309729"/>
      <w:bookmarkStart w:id="877" w:name="_Toc305751271"/>
      <w:r>
        <w:rPr>
          <w:rStyle w:val="CharSchNo"/>
          <w:rFonts w:eastAsia="MS Mincho"/>
        </w:rPr>
        <w:t>Second Schedule</w:t>
      </w:r>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bookmarkEnd w:id="866"/>
      <w:bookmarkEnd w:id="867"/>
      <w:bookmarkEnd w:id="868"/>
      <w:bookmarkEnd w:id="869"/>
      <w:bookmarkEnd w:id="870"/>
      <w:bookmarkEnd w:id="871"/>
      <w:bookmarkEnd w:id="872"/>
      <w:bookmarkEnd w:id="873"/>
      <w:bookmarkEnd w:id="874"/>
      <w:bookmarkEnd w:id="875"/>
      <w:bookmarkEnd w:id="876"/>
      <w:bookmarkEnd w:id="877"/>
    </w:p>
    <w:p>
      <w:pPr>
        <w:pStyle w:val="yShoulderClause"/>
        <w:rPr>
          <w:rFonts w:eastAsia="MS Mincho"/>
        </w:rPr>
      </w:pPr>
      <w:r>
        <w:rPr>
          <w:rFonts w:eastAsia="MS Mincho"/>
        </w:rPr>
        <w:t>[s. 4 and 18]</w:t>
      </w:r>
    </w:p>
    <w:p>
      <w:pPr>
        <w:pStyle w:val="yFootnoteheading"/>
      </w:pPr>
      <w:r>
        <w:tab/>
        <w:t>[Heading inserted by No. 19 of 2010 s. 19(7).]</w:t>
      </w:r>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TableNAm"/>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TableNAm"/>
              <w:tabs>
                <w:tab w:val="left" w:pos="1080"/>
              </w:tabs>
              <w:ind w:left="1080" w:hanging="1080"/>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TableNAm"/>
              <w:tabs>
                <w:tab w:val="left" w:pos="1080"/>
              </w:tabs>
              <w:ind w:left="1080" w:hanging="1080"/>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TableNAm"/>
              <w:tabs>
                <w:tab w:val="left" w:pos="1080"/>
              </w:tabs>
              <w:ind w:left="1080" w:hanging="1080"/>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TableNAm"/>
              <w:tabs>
                <w:tab w:val="left" w:pos="1080"/>
              </w:tabs>
              <w:ind w:left="1080" w:hanging="1080"/>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TableNAm"/>
              <w:tabs>
                <w:tab w:val="left" w:pos="1080"/>
              </w:tabs>
              <w:ind w:left="1080" w:hanging="1080"/>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TableNAm"/>
              <w:rPr>
                <w:snapToGrid w:val="0"/>
              </w:rPr>
            </w:pPr>
            <w:r>
              <w:rPr>
                <w:snapToGrid w:val="0"/>
              </w:rPr>
              <w:t>Note — Where this advice is sent to a guarantor it shall be endorsed as follows — </w:t>
            </w:r>
          </w:p>
        </w:tc>
      </w:tr>
      <w:tr>
        <w:tc>
          <w:tcPr>
            <w:tcW w:w="7312" w:type="dxa"/>
          </w:tcPr>
          <w:p>
            <w:pPr>
              <w:pStyle w:val="yTableNAm"/>
              <w:ind w:left="600" w:hanging="600"/>
              <w:rPr>
                <w:snapToGrid w:val="0"/>
              </w:rPr>
            </w:pPr>
            <w:r>
              <w:rPr>
                <w:snapToGrid w:val="0"/>
              </w:rPr>
              <w:tab/>
              <w:t>This advice is sent to you as guarantor of ..................................................</w:t>
            </w:r>
          </w:p>
          <w:p>
            <w:pPr>
              <w:pStyle w:val="yTableNAm"/>
              <w:spacing w:before="0"/>
              <w:ind w:left="600" w:hanging="600"/>
              <w:rPr>
                <w:snapToGrid w:val="0"/>
              </w:rPr>
            </w:pPr>
            <w:r>
              <w:rPr>
                <w:snapToGrid w:val="0"/>
              </w:rPr>
              <w:tab/>
              <w:t>......................................................................................................................</w:t>
            </w:r>
          </w:p>
        </w:tc>
      </w:tr>
      <w:tr>
        <w:tc>
          <w:tcPr>
            <w:tcW w:w="7312" w:type="dxa"/>
          </w:tcPr>
          <w:p>
            <w:pPr>
              <w:pStyle w:val="yTableNAm"/>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[Second Schedule inserted by No. 107 of 1973 s. 29.]</w:t>
      </w:r>
    </w:p>
    <w:p>
      <w:pPr>
        <w:pStyle w:val="yScheduleHeading"/>
        <w:rPr>
          <w:rFonts w:eastAsia="MS Mincho"/>
        </w:rPr>
      </w:pPr>
      <w:bookmarkStart w:id="878" w:name="_Toc267489752"/>
      <w:bookmarkStart w:id="879" w:name="_Toc268264247"/>
      <w:bookmarkStart w:id="880" w:name="_Toc268264349"/>
      <w:bookmarkStart w:id="881" w:name="_Toc272150740"/>
      <w:bookmarkStart w:id="882" w:name="_Toc280092171"/>
      <w:bookmarkStart w:id="883" w:name="_Toc281486036"/>
      <w:bookmarkStart w:id="884" w:name="_Toc283882252"/>
      <w:bookmarkStart w:id="885" w:name="_Toc283890209"/>
      <w:bookmarkStart w:id="886" w:name="_Toc285445244"/>
      <w:bookmarkStart w:id="887" w:name="_Toc285446762"/>
      <w:bookmarkStart w:id="888" w:name="_Toc286309730"/>
      <w:bookmarkStart w:id="889" w:name="_Toc305751272"/>
      <w:r>
        <w:rPr>
          <w:rStyle w:val="CharSchNo"/>
          <w:rFonts w:eastAsia="MS Mincho"/>
        </w:rPr>
        <w:t>Third Schedule</w:t>
      </w:r>
      <w:r>
        <w:rPr>
          <w:rStyle w:val="CharSDivNo"/>
          <w:rFonts w:eastAsia="MS Mincho"/>
        </w:rPr>
        <w:t> </w:t>
      </w:r>
      <w:r>
        <w:rPr>
          <w:rFonts w:eastAsia="MS Mincho"/>
        </w:rPr>
        <w:t>—</w:t>
      </w:r>
      <w:r>
        <w:rPr>
          <w:rStyle w:val="CharSDivText"/>
          <w:rFonts w:eastAsia="MS Mincho"/>
        </w:rPr>
        <w:t> </w:t>
      </w:r>
      <w:r>
        <w:rPr>
          <w:rStyle w:val="CharSchText"/>
          <w:rFonts w:eastAsia="MS Mincho"/>
        </w:rPr>
        <w:t>Notice of intention to repossess</w:t>
      </w:r>
      <w:bookmarkEnd w:id="878"/>
      <w:bookmarkEnd w:id="879"/>
      <w:bookmarkEnd w:id="880"/>
      <w:bookmarkEnd w:id="881"/>
      <w:bookmarkEnd w:id="882"/>
      <w:bookmarkEnd w:id="883"/>
      <w:bookmarkEnd w:id="884"/>
      <w:bookmarkEnd w:id="885"/>
      <w:bookmarkEnd w:id="886"/>
      <w:bookmarkEnd w:id="887"/>
      <w:bookmarkEnd w:id="888"/>
      <w:bookmarkEnd w:id="889"/>
    </w:p>
    <w:p>
      <w:pPr>
        <w:pStyle w:val="yShoulderClause"/>
        <w:rPr>
          <w:rFonts w:eastAsia="MS Mincho"/>
        </w:rPr>
      </w:pPr>
      <w:r>
        <w:rPr>
          <w:rFonts w:eastAsia="MS Mincho"/>
        </w:rPr>
        <w:t>[s. 13(1)]</w:t>
      </w:r>
    </w:p>
    <w:p>
      <w:pPr>
        <w:pStyle w:val="yFootnoteheading"/>
      </w:pPr>
      <w:r>
        <w:tab/>
        <w:t>[Heading inserted by No. 19 of 2010 s. 19(8).]</w:t>
      </w:r>
    </w:p>
    <w:p>
      <w:pPr>
        <w:pStyle w:val="yMiscellaneousBody"/>
        <w:spacing w:before="240"/>
        <w:rPr>
          <w:snapToGrid w:val="0"/>
        </w:rPr>
      </w:pPr>
      <w:r>
        <w:rPr>
          <w:snapToGrid w:val="0"/>
        </w:rPr>
        <w:t>TAKE NOTICE that ......................................................................................., the owner of*.................................................................................................. hired by ................................................................................................ under an agreement (insert name of hirer)</w:t>
      </w:r>
    </w:p>
    <w:p>
      <w:pPr>
        <w:pStyle w:val="yMiscellaneousBody"/>
        <w:spacing w:before="0"/>
        <w:rPr>
          <w:snapToGrid w:val="0"/>
        </w:rPr>
      </w:pPr>
      <w:r>
        <w:rPr>
          <w:snapToGrid w:val="0"/>
        </w:rPr>
        <w:t>dated the ............................................... day of ......................................................</w:t>
      </w:r>
    </w:p>
    <w:p>
      <w:pPr>
        <w:pStyle w:val="yMiscellaneousBody"/>
        <w:spacing w:before="0"/>
        <w:rPr>
          <w:snapToGrid w:val="0"/>
        </w:rPr>
      </w:pPr>
      <w:r>
        <w:rPr>
          <w:snapToGrid w:val="0"/>
        </w:rPr>
        <w:t>20.........., intends to retake possession of the goods after the expiration of</w:t>
      </w:r>
      <w:r>
        <w:rPr>
          <w:snapToGrid w:val="0"/>
          <w:vertAlign w:val="superscript"/>
        </w:rPr>
        <w:t xml:space="preserve"> †</w:t>
      </w:r>
      <w:r>
        <w:rPr>
          <w:snapToGrid w:val="0"/>
        </w:rPr>
        <w:t xml:space="preserve"> ......... days from the service of this notice on the hirer and every one of his guarantors (if any) unless the arrears of instalments which now amount to $ .........................</w:t>
      </w:r>
    </w:p>
    <w:p>
      <w:pPr>
        <w:pStyle w:val="yMiscellaneousBody"/>
        <w:spacing w:before="0"/>
        <w:rPr>
          <w:snapToGrid w:val="0"/>
        </w:rPr>
      </w:pPr>
      <w:r>
        <w:rPr>
          <w:snapToGrid w:val="0"/>
        </w:rPr>
        <w:t>are paid to ................................................... at .......................................................</w:t>
      </w:r>
    </w:p>
    <w:p>
      <w:pPr>
        <w:pStyle w:val="yMiscellaneousBody"/>
        <w:spacing w:before="0"/>
        <w:rPr>
          <w:snapToGrid w:val="0"/>
        </w:rPr>
      </w:pPr>
      <w:r>
        <w:rPr>
          <w:snapToGrid w:val="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NAm"/>
            </w:pPr>
            <w:r>
              <w:t>Total amount payable ..................................................</w:t>
            </w:r>
          </w:p>
        </w:tc>
        <w:tc>
          <w:tcPr>
            <w:tcW w:w="1559" w:type="dxa"/>
          </w:tcPr>
          <w:p>
            <w:pPr>
              <w:pStyle w:val="yTableNAm"/>
            </w:pPr>
            <w:r>
              <w:t>$ ...................</w:t>
            </w:r>
          </w:p>
        </w:tc>
      </w:tr>
      <w:tr>
        <w:tc>
          <w:tcPr>
            <w:tcW w:w="5103" w:type="dxa"/>
          </w:tcPr>
          <w:p>
            <w:pPr>
              <w:pStyle w:val="yTableNAm"/>
            </w:pPr>
            <w:r>
              <w:t>Amount paid or provided by hirer to ...... / ...... /20......</w:t>
            </w:r>
          </w:p>
        </w:tc>
        <w:tc>
          <w:tcPr>
            <w:tcW w:w="1559" w:type="dxa"/>
          </w:tcPr>
          <w:p>
            <w:pPr>
              <w:pStyle w:val="yTableNAm"/>
            </w:pPr>
            <w:r>
              <w:t>$ ...................</w:t>
            </w:r>
          </w:p>
        </w:tc>
      </w:tr>
      <w:tr>
        <w:tc>
          <w:tcPr>
            <w:tcW w:w="5103" w:type="dxa"/>
          </w:tcPr>
          <w:p>
            <w:pPr>
              <w:pStyle w:val="yTableNAm"/>
            </w:pPr>
            <w:r>
              <w:t>Arrears under agreement to ...... / ...... /20......</w:t>
            </w:r>
          </w:p>
        </w:tc>
        <w:tc>
          <w:tcPr>
            <w:tcW w:w="1559" w:type="dxa"/>
          </w:tcPr>
          <w:p>
            <w:pPr>
              <w:pStyle w:val="yTableNAm"/>
            </w:pPr>
            <w: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rPr>
          <w:rFonts w:eastAsia="MS Mincho"/>
        </w:rPr>
      </w:pPr>
      <w:bookmarkStart w:id="890" w:name="_Toc267489755"/>
      <w:bookmarkStart w:id="891" w:name="_Toc268264248"/>
      <w:bookmarkStart w:id="892" w:name="_Toc268264350"/>
      <w:bookmarkStart w:id="893" w:name="_Toc272150741"/>
      <w:bookmarkStart w:id="894" w:name="_Toc280092172"/>
      <w:bookmarkStart w:id="895" w:name="_Toc281486037"/>
      <w:bookmarkStart w:id="896" w:name="_Toc283882253"/>
      <w:bookmarkStart w:id="897" w:name="_Toc283890210"/>
      <w:bookmarkStart w:id="898" w:name="_Toc285445245"/>
      <w:bookmarkStart w:id="899" w:name="_Toc285446763"/>
      <w:bookmarkStart w:id="900" w:name="_Toc286309731"/>
      <w:bookmarkStart w:id="901" w:name="_Toc305751273"/>
      <w:r>
        <w:rPr>
          <w:rStyle w:val="CharSchNo"/>
          <w:rFonts w:eastAsia="MS Mincho"/>
        </w:rPr>
        <w:t>Fourth Schedule</w:t>
      </w:r>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bookmarkEnd w:id="890"/>
      <w:bookmarkEnd w:id="891"/>
      <w:bookmarkEnd w:id="892"/>
      <w:bookmarkEnd w:id="893"/>
      <w:bookmarkEnd w:id="894"/>
      <w:bookmarkEnd w:id="895"/>
      <w:bookmarkEnd w:id="896"/>
      <w:bookmarkEnd w:id="897"/>
      <w:bookmarkEnd w:id="898"/>
      <w:bookmarkEnd w:id="899"/>
      <w:bookmarkEnd w:id="900"/>
      <w:bookmarkEnd w:id="901"/>
    </w:p>
    <w:p>
      <w:pPr>
        <w:pStyle w:val="yShoulderClause"/>
        <w:rPr>
          <w:rFonts w:eastAsia="MS Mincho"/>
        </w:rPr>
      </w:pPr>
      <w:r>
        <w:rPr>
          <w:rFonts w:eastAsia="MS Mincho"/>
        </w:rPr>
        <w:t>[s. </w:t>
      </w:r>
      <w:r>
        <w:t>11(3), 13(3), 14, 15 and 24(6)</w:t>
      </w:r>
      <w:r>
        <w:rPr>
          <w:rFonts w:eastAsia="MS Mincho"/>
        </w:rPr>
        <w:t>]</w:t>
      </w:r>
    </w:p>
    <w:p>
      <w:pPr>
        <w:pStyle w:val="yFootnoteheading"/>
      </w:pPr>
      <w:r>
        <w:tab/>
        <w:t>[Heading inserted by No. 19 of 2010 s. 19(9).]</w:t>
      </w:r>
    </w:p>
    <w:p>
      <w:pPr>
        <w:pStyle w:val="yMiscellaneousBody"/>
        <w:rPr>
          <w:snapToGrid w:val="0"/>
        </w:rPr>
      </w:pPr>
      <w:r>
        <w:rPr>
          <w:snapToGrid w:val="0"/>
        </w:rPr>
        <w:t>Now that the goods you hired have been repossessed you will be entitled to get them back —</w:t>
      </w:r>
    </w:p>
    <w:p>
      <w:pPr>
        <w:pStyle w:val="yMiscellaneousBody"/>
        <w:tabs>
          <w:tab w:val="left" w:pos="567"/>
          <w:tab w:val="left" w:pos="1134"/>
        </w:tabs>
        <w:ind w:left="1134" w:hanging="1134"/>
        <w:rPr>
          <w:snapToGrid w:val="0"/>
        </w:rPr>
      </w:pPr>
      <w:r>
        <w:rPr>
          <w:snapToGrid w:val="0"/>
        </w:rPr>
        <w:tab/>
        <w:t>(a)</w:t>
      </w:r>
      <w:r>
        <w:rPr>
          <w:snapToGrid w:val="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rPr>
      </w:pPr>
      <w:r>
        <w:rPr>
          <w:snapToGrid w:val="0"/>
        </w:rPr>
        <w:tab/>
      </w:r>
      <w:r>
        <w:rPr>
          <w:snapToGrid w:val="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NAm"/>
            </w:pPr>
            <w:r>
              <w:t>Arrears of instalments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Cost of storage, repair or maintenance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Cost of repossession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Cost of redelivery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ab/>
              <w:t>Total .........................................................</w:t>
            </w:r>
          </w:p>
        </w:tc>
        <w:tc>
          <w:tcPr>
            <w:tcW w:w="1274" w:type="dxa"/>
            <w:tcBorders>
              <w:bottom w:val="single" w:sz="4" w:space="0" w:color="auto"/>
            </w:tcBorders>
          </w:tcPr>
          <w:p>
            <w:pPr>
              <w:pStyle w:val="yTableNAm"/>
              <w:rPr>
                <w:spacing w:val="-2"/>
              </w:rPr>
            </w:pPr>
            <w:r>
              <w:rPr>
                <w:spacing w:val="-2"/>
              </w:rPr>
              <w:t>$ ..............</w:t>
            </w:r>
          </w:p>
        </w:tc>
      </w:tr>
    </w:tbl>
    <w:p>
      <w:pPr>
        <w:pStyle w:val="yMiscellaneousBody"/>
        <w:jc w:val="center"/>
        <w:rPr>
          <w:i/>
          <w:snapToGrid w:val="0"/>
        </w:rPr>
      </w:pPr>
      <w:r>
        <w:rPr>
          <w:i/>
          <w:snapToGrid w:val="0"/>
        </w:rPr>
        <w:t>— or —</w:t>
      </w:r>
    </w:p>
    <w:p>
      <w:pPr>
        <w:pStyle w:val="yMiscellaneousBody"/>
        <w:tabs>
          <w:tab w:val="left" w:pos="567"/>
          <w:tab w:val="left" w:pos="1134"/>
        </w:tabs>
        <w:ind w:left="1134" w:hanging="1134"/>
        <w:rPr>
          <w:snapToGrid w:val="0"/>
        </w:rPr>
      </w:pPr>
      <w:r>
        <w:rPr>
          <w:snapToGrid w:val="0"/>
        </w:rPr>
        <w:tab/>
        <w:t>(b)</w:t>
      </w:r>
      <w:r>
        <w:rPr>
          <w:snapToGrid w:val="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rPr>
      </w:pPr>
      <w:r>
        <w:rPr>
          <w:snapToGrid w:val="0"/>
        </w:rPr>
        <w:tab/>
      </w:r>
      <w:r>
        <w:rPr>
          <w:snapToGrid w:val="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NAm"/>
            </w:pPr>
            <w:r>
              <w:t>Total amount payable under the agreement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Less deposit and instalments paid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Balance due under agreement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Less statutory rebates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Add costs of repossession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Storage, repair or maintenance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ab/>
              <w:t>Total .......................................................</w:t>
            </w:r>
          </w:p>
        </w:tc>
        <w:tc>
          <w:tcPr>
            <w:tcW w:w="1275" w:type="dxa"/>
            <w:tcBorders>
              <w:bottom w:val="single" w:sz="4" w:space="0" w:color="auto"/>
            </w:tcBorders>
          </w:tcPr>
          <w:p>
            <w:pPr>
              <w:pStyle w:val="yTableNAm"/>
              <w:rPr>
                <w:spacing w:val="-2"/>
              </w:rPr>
            </w:pPr>
            <w:r>
              <w:rPr>
                <w:spacing w:val="-2"/>
              </w:rPr>
              <w:t>$ ..............</w:t>
            </w:r>
          </w:p>
        </w:tc>
      </w:tr>
    </w:tbl>
    <w:p>
      <w:pPr>
        <w:pStyle w:val="yMiscellaneousBody"/>
        <w:rPr>
          <w:snapToGrid w:val="0"/>
        </w:rPr>
      </w:pPr>
      <w:r>
        <w:rPr>
          <w:i/>
          <w:snapToGrid w:val="0"/>
        </w:rPr>
        <w:t>If you don’t reinstate or finalise the agreement</w:t>
      </w:r>
      <w:r>
        <w:rPr>
          <w:snapToGrid w:val="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rPr>
      </w:pPr>
      <w:r>
        <w:rPr>
          <w:snapToGrid w:val="0"/>
        </w:rPr>
        <w:tab/>
        <w:t xml:space="preserve">The owner’s estimate of the value of the goods repossessed is </w:t>
      </w:r>
      <w:r>
        <w:rPr>
          <w:spacing w:val="-2"/>
        </w:rPr>
        <w:t>$ ................</w:t>
      </w:r>
    </w:p>
    <w:p>
      <w:pPr>
        <w:pStyle w:val="yMiscellaneousBody"/>
        <w:tabs>
          <w:tab w:val="left" w:pos="567"/>
        </w:tabs>
        <w:rPr>
          <w:snapToGrid w:val="0"/>
        </w:rPr>
      </w:pPr>
      <w:r>
        <w:rPr>
          <w:snapToGrid w:val="0"/>
        </w:rPr>
        <w:tab/>
        <w:t>On the basis of that estimate you are —</w:t>
      </w:r>
    </w:p>
    <w:p>
      <w:pPr>
        <w:pStyle w:val="yTable"/>
        <w:tabs>
          <w:tab w:val="left" w:pos="1134"/>
        </w:tabs>
        <w:rPr>
          <w:snapToGrid w:val="0"/>
        </w:rPr>
      </w:pPr>
      <w:r>
        <w:rPr>
          <w:snapToGrid w:val="0"/>
        </w:rPr>
        <w:tab/>
        <w:t xml:space="preserve">* entitled to a refund of $ </w:t>
      </w:r>
      <w:r>
        <w:rPr>
          <w:spacing w:val="-2"/>
        </w:rPr>
        <w:t>..................................</w:t>
      </w:r>
    </w:p>
    <w:p>
      <w:pPr>
        <w:pStyle w:val="yTable"/>
        <w:tabs>
          <w:tab w:val="left" w:pos="1134"/>
        </w:tabs>
        <w:rPr>
          <w:snapToGrid w:val="0"/>
        </w:rPr>
      </w:pPr>
      <w:r>
        <w:rPr>
          <w:snapToGrid w:val="0"/>
        </w:rPr>
        <w:tab/>
        <w:t xml:space="preserve">liable to pay the owner $ </w:t>
      </w:r>
      <w:r>
        <w:rPr>
          <w:spacing w:val="-2"/>
        </w:rPr>
        <w:t>..................................</w:t>
      </w:r>
    </w:p>
    <w:p>
      <w:pPr>
        <w:pStyle w:val="yMiscellaneousBody"/>
        <w:rPr>
          <w:snapToGrid w:val="0"/>
        </w:rPr>
      </w:pPr>
      <w:r>
        <w:rPr>
          <w:i/>
          <w:snapToGrid w:val="0"/>
        </w:rPr>
        <w:t>Note. </w:t>
      </w:r>
      <w:r>
        <w:rPr>
          <w:snapToGrid w:val="0"/>
        </w:rPr>
        <w:t>— You may give a written notice to the owner requiring the owner to sell the goods to any cash buyer you can introduce who is willing to pay the owner’s estimate of the value, i.e.,</w:t>
      </w:r>
      <w:r>
        <w:rPr>
          <w:snapToGrid w:val="0"/>
          <w:vertAlign w:val="superscript"/>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rPr>
      </w:pPr>
      <w:r>
        <w:rPr>
          <w:snapToGrid w:val="0"/>
        </w:rPr>
        <w:t>DO NOT DELAY.</w:t>
      </w:r>
    </w:p>
    <w:p>
      <w:pPr>
        <w:pStyle w:val="yMiscellaneousBody"/>
        <w:rPr>
          <w:snapToGrid w:val="0"/>
        </w:rPr>
      </w:pPr>
      <w:r>
        <w:rPr>
          <w:snapToGrid w:val="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rPr>
      </w:pPr>
      <w:r>
        <w:rPr>
          <w:snapToGrid w:val="0"/>
        </w:rPr>
        <w:t xml:space="preserve">If you think you have any rights under the </w:t>
      </w:r>
      <w:r>
        <w:rPr>
          <w:i/>
          <w:snapToGrid w:val="0"/>
        </w:rPr>
        <w:t>Hire</w:t>
      </w:r>
      <w:r>
        <w:rPr>
          <w:i/>
          <w:snapToGrid w:val="0"/>
        </w:rPr>
        <w:noBreakHyphen/>
        <w:t>Purchase Act 1959</w:t>
      </w:r>
      <w:r>
        <w:rPr>
          <w:snapToGrid w:val="0"/>
        </w:rPr>
        <w:t>, you should seek advice at once.</w:t>
      </w:r>
    </w:p>
    <w:p>
      <w:pPr>
        <w:pStyle w:val="yMiscellaneousBody"/>
        <w:rPr>
          <w:i/>
          <w:snapToGrid w:val="0"/>
        </w:rPr>
      </w:pPr>
      <w:r>
        <w:rPr>
          <w:i/>
          <w:snapToGrid w:val="0"/>
        </w:rPr>
        <w:t>Note. — Where this notice is sent to a guarantor it shall be endorsed as follows —</w:t>
      </w:r>
    </w:p>
    <w:p>
      <w:pPr>
        <w:pStyle w:val="yMiscellaneousBody"/>
        <w:rPr>
          <w:snapToGrid w:val="0"/>
        </w:rPr>
      </w:pPr>
      <w:r>
        <w:rPr>
          <w:snapToGrid w:val="0"/>
        </w:rPr>
        <w:t xml:space="preserve">This notice is sent to you as guarantor of </w:t>
      </w:r>
      <w:r>
        <w:rPr>
          <w:spacing w:val="-2"/>
        </w:rPr>
        <w:t>.................................................................</w:t>
      </w:r>
    </w:p>
    <w:p>
      <w:pPr>
        <w:pStyle w:val="yMiscellaneousBody"/>
        <w:spacing w:before="80"/>
        <w:rPr>
          <w:snapToGrid w:val="0"/>
        </w:rPr>
      </w:pPr>
      <w:r>
        <w:rPr>
          <w:spacing w:val="-2"/>
        </w:rPr>
        <w:t>.....................................................................................................................................</w:t>
      </w:r>
    </w:p>
    <w:p>
      <w:pPr>
        <w:pStyle w:val="yMiscellaneousBody"/>
        <w:spacing w:before="120"/>
        <w:rPr>
          <w:snapToGrid w:val="0"/>
        </w:rPr>
      </w:pPr>
      <w:r>
        <w:rPr>
          <w:snapToGrid w:val="0"/>
        </w:rPr>
        <w:t xml:space="preserve">As guarantor you have certain rights under the </w:t>
      </w:r>
      <w:r>
        <w:rPr>
          <w:i/>
          <w:snapToGrid w:val="0"/>
        </w:rPr>
        <w:t>Hire</w:t>
      </w:r>
      <w:r>
        <w:rPr>
          <w:i/>
          <w:snapToGrid w:val="0"/>
        </w:rPr>
        <w:noBreakHyphen/>
        <w:t>Purchase Act 1959</w:t>
      </w:r>
      <w:r>
        <w:rPr>
          <w:snapToGrid w:val="0"/>
        </w:rPr>
        <w:t>, and you should seek advice at once.</w:t>
      </w:r>
    </w:p>
    <w:p>
      <w:pPr>
        <w:pStyle w:val="yFootnotesection"/>
      </w:pPr>
      <w:r>
        <w:tab/>
        <w:t>[Fourth Schedule amended by No. 107 of 1973 s. 29.]</w:t>
      </w:r>
    </w:p>
    <w:p>
      <w:pPr>
        <w:pStyle w:val="yScheduleHeading"/>
        <w:rPr>
          <w:rFonts w:eastAsia="MS Mincho"/>
        </w:rPr>
      </w:pPr>
      <w:bookmarkStart w:id="902" w:name="_Toc267489758"/>
      <w:bookmarkStart w:id="903" w:name="_Toc268264249"/>
      <w:bookmarkStart w:id="904" w:name="_Toc268264351"/>
      <w:bookmarkStart w:id="905" w:name="_Toc272150742"/>
      <w:bookmarkStart w:id="906" w:name="_Toc280092173"/>
      <w:bookmarkStart w:id="907" w:name="_Toc281486038"/>
      <w:bookmarkStart w:id="908" w:name="_Toc283882254"/>
      <w:bookmarkStart w:id="909" w:name="_Toc283890211"/>
      <w:bookmarkStart w:id="910" w:name="_Toc285445246"/>
      <w:bookmarkStart w:id="911" w:name="_Toc285446764"/>
      <w:bookmarkStart w:id="912" w:name="_Toc286309732"/>
      <w:bookmarkStart w:id="913" w:name="_Toc305751274"/>
      <w:r>
        <w:rPr>
          <w:rStyle w:val="CharSchNo"/>
          <w:rFonts w:eastAsia="MS Mincho"/>
        </w:rPr>
        <w:t>Fifth Schedule</w:t>
      </w:r>
      <w:r>
        <w:rPr>
          <w:rStyle w:val="CharSDivNo"/>
          <w:rFonts w:eastAsia="MS Mincho"/>
        </w:rPr>
        <w:t> </w:t>
      </w:r>
      <w:r>
        <w:rPr>
          <w:rFonts w:eastAsia="MS Mincho"/>
        </w:rPr>
        <w:t>—</w:t>
      </w:r>
      <w:r>
        <w:rPr>
          <w:rStyle w:val="CharSDivText"/>
          <w:rFonts w:eastAsia="MS Mincho"/>
        </w:rPr>
        <w:t> </w:t>
      </w:r>
      <w:r>
        <w:rPr>
          <w:rStyle w:val="CharSchText"/>
          <w:rFonts w:eastAsia="MS Mincho"/>
        </w:rPr>
        <w:t>Formula for calculating percentage rate of terms charges</w:t>
      </w:r>
      <w:bookmarkEnd w:id="902"/>
      <w:bookmarkEnd w:id="903"/>
      <w:bookmarkEnd w:id="904"/>
      <w:bookmarkEnd w:id="905"/>
      <w:bookmarkEnd w:id="906"/>
      <w:bookmarkEnd w:id="907"/>
      <w:bookmarkEnd w:id="908"/>
      <w:bookmarkEnd w:id="909"/>
      <w:bookmarkEnd w:id="910"/>
      <w:bookmarkEnd w:id="911"/>
      <w:bookmarkEnd w:id="912"/>
      <w:bookmarkEnd w:id="913"/>
    </w:p>
    <w:p>
      <w:pPr>
        <w:pStyle w:val="yShoulderClause"/>
        <w:rPr>
          <w:rFonts w:eastAsia="MS Mincho"/>
        </w:rPr>
      </w:pPr>
      <w:r>
        <w:rPr>
          <w:rFonts w:eastAsia="MS Mincho"/>
        </w:rPr>
        <w:t>[s. 3(2)(e)(ix)]</w:t>
      </w:r>
    </w:p>
    <w:p>
      <w:pPr>
        <w:pStyle w:val="yFootnoteheading"/>
      </w:pPr>
      <w:r>
        <w:tab/>
        <w:t>[Heading inserted by No. 19 of 2010 s. 19(10).]</w:t>
      </w:r>
    </w:p>
    <w:p>
      <w:pPr>
        <w:pStyle w:val="yHeading5"/>
      </w:pPr>
      <w:bookmarkStart w:id="914" w:name="_Toc286309733"/>
      <w:bookmarkStart w:id="915" w:name="_Toc305751275"/>
      <w:r>
        <w:t>1.</w:t>
      </w:r>
      <w:r>
        <w:tab/>
        <w:t>Formula for calculating percentage rate of terms charges</w:t>
      </w:r>
      <w:bookmarkEnd w:id="914"/>
      <w:bookmarkEnd w:id="915"/>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w:t>
      </w:r>
    </w:p>
    <w:p>
      <w:pPr>
        <w:pStyle w:val="yIndenta"/>
        <w:rPr>
          <w:noProof/>
        </w:rPr>
      </w:pPr>
      <w:r>
        <w:rPr>
          <w:snapToGrid w:val="0"/>
        </w:rPr>
        <w:tab/>
        <w:t>(a)</w:t>
      </w:r>
      <w:r>
        <w:rPr>
          <w:snapToGrid w:val="0"/>
        </w:rPr>
        <w:tab/>
        <w:t>to calculate the flat rate of interest per cent:</w:t>
      </w:r>
    </w:p>
    <w:p>
      <w:pPr>
        <w:pStyle w:val="Equation"/>
        <w:jc w:val="center"/>
      </w:pPr>
      <w:r>
        <w:rPr>
          <w:position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2.25pt" fillcolor="window">
            <v:imagedata r:id="rId22" o:title=""/>
          </v:shape>
        </w:pict>
      </w:r>
    </w:p>
    <w:p>
      <w:pPr>
        <w:pStyle w:val="yIndenta"/>
        <w:rPr>
          <w:snapToGrid w:val="0"/>
        </w:rPr>
      </w:pPr>
      <w:r>
        <w:rPr>
          <w:snapToGrid w:val="0"/>
        </w:rPr>
        <w:tab/>
        <w:t>(b)</w:t>
      </w:r>
      <w:r>
        <w:rPr>
          <w:snapToGrid w:val="0"/>
        </w:rPr>
        <w:tab/>
        <w:t>to convert the flat rate of interest per cent into the nominal annual percentage rate:</w:t>
      </w:r>
    </w:p>
    <w:p>
      <w:pPr>
        <w:pStyle w:val="Equation"/>
        <w:jc w:val="center"/>
        <w:rPr>
          <w:snapToGrid w:val="0"/>
        </w:rPr>
      </w:pPr>
      <w:r>
        <w:rPr>
          <w:position w:val="-28"/>
        </w:rPr>
        <w:pict>
          <v:shape id="_x0000_i1026" type="#_x0000_t75" style="width:114pt;height:32.25pt" fillcolor="window">
            <v:imagedata r:id="rId23" o:title=""/>
          </v:shape>
        </w:pict>
      </w:r>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(2B)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[Fifth Schedule inserted by No. 107 of 1973 s. 29; amended by No. 19 of 2010 s. 51.]</w:t>
      </w:r>
    </w:p>
    <w:p>
      <w:pPr>
        <w:pStyle w:val="CentredBaseLine"/>
        <w:jc w:val="center"/>
        <w:rPr>
          <w:del w:id="916" w:author="svcMRProcess" w:date="2020-02-17T02:18:00Z"/>
        </w:rPr>
      </w:pPr>
      <w:del w:id="917" w:author="svcMRProcess" w:date="2020-02-17T02:18:00Z">
        <w:r>
          <w:rPr>
            <w:noProof/>
            <w:lang w:eastAsia="en-AU"/>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918" w:author="svcMRProcess" w:date="2020-02-17T02:18:00Z"/>
        </w:rPr>
      </w:pPr>
      <w:ins w:id="919" w:author="svcMRProcess" w:date="2020-02-17T02:18:00Z">
        <w:r>
          <w:rPr>
            <w:noProof/>
            <w:lang w:eastAsia="en-AU"/>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5"/>
          <w:headerReference w:type="default" r:id="rId26"/>
          <w:headerReference w:type="first" r:id="rId27"/>
          <w:pgSz w:w="11906" w:h="16838" w:code="9"/>
          <w:pgMar w:top="2376" w:right="2404" w:bottom="3544" w:left="2404" w:header="709" w:footer="3380" w:gutter="0"/>
          <w:cols w:space="720"/>
          <w:noEndnote/>
          <w:docGrid w:linePitch="326"/>
        </w:sectPr>
      </w:pPr>
    </w:p>
    <w:p>
      <w:pPr>
        <w:pStyle w:val="nHeading2"/>
      </w:pPr>
      <w:bookmarkStart w:id="920" w:name="_Toc72200527"/>
      <w:bookmarkStart w:id="921" w:name="_Toc72200595"/>
      <w:bookmarkStart w:id="922" w:name="_Toc77655370"/>
      <w:bookmarkStart w:id="923" w:name="_Toc79372744"/>
      <w:bookmarkStart w:id="924" w:name="_Toc86551174"/>
      <w:bookmarkStart w:id="925" w:name="_Toc89521521"/>
      <w:bookmarkStart w:id="926" w:name="_Toc90954930"/>
      <w:bookmarkStart w:id="927" w:name="_Toc92858089"/>
      <w:bookmarkStart w:id="928" w:name="_Toc97107247"/>
      <w:bookmarkStart w:id="929" w:name="_Toc102365829"/>
      <w:bookmarkStart w:id="930" w:name="_Toc102883493"/>
      <w:bookmarkStart w:id="931" w:name="_Toc106763978"/>
      <w:bookmarkStart w:id="932" w:name="_Toc128471303"/>
      <w:bookmarkStart w:id="933" w:name="_Toc128471376"/>
      <w:bookmarkStart w:id="934" w:name="_Toc129067023"/>
      <w:bookmarkStart w:id="935" w:name="_Toc139355390"/>
      <w:bookmarkStart w:id="936" w:name="_Toc139447656"/>
      <w:bookmarkStart w:id="937" w:name="_Toc139448060"/>
      <w:bookmarkStart w:id="938" w:name="_Toc141245894"/>
      <w:bookmarkStart w:id="939" w:name="_Toc141763371"/>
      <w:bookmarkStart w:id="940" w:name="_Toc143314358"/>
      <w:bookmarkStart w:id="941" w:name="_Toc143405142"/>
      <w:bookmarkStart w:id="942" w:name="_Toc143405217"/>
      <w:bookmarkStart w:id="943" w:name="_Toc143405292"/>
      <w:bookmarkStart w:id="944" w:name="_Toc144024777"/>
      <w:bookmarkStart w:id="945" w:name="_Toc145732217"/>
      <w:bookmarkStart w:id="946" w:name="_Toc196122128"/>
      <w:bookmarkStart w:id="947" w:name="_Toc196801730"/>
      <w:bookmarkStart w:id="948" w:name="_Toc202172435"/>
      <w:bookmarkStart w:id="949" w:name="_Toc202172508"/>
      <w:bookmarkStart w:id="950" w:name="_Toc241049041"/>
      <w:bookmarkStart w:id="951" w:name="_Toc241051264"/>
      <w:bookmarkStart w:id="952" w:name="_Toc267489759"/>
      <w:bookmarkStart w:id="953" w:name="_Toc268264251"/>
      <w:bookmarkStart w:id="954" w:name="_Toc268264353"/>
      <w:bookmarkStart w:id="955" w:name="_Toc272150744"/>
      <w:bookmarkStart w:id="956" w:name="_Toc280092175"/>
      <w:bookmarkStart w:id="957" w:name="_Toc281486040"/>
      <w:bookmarkStart w:id="958" w:name="_Toc283882256"/>
      <w:bookmarkStart w:id="959" w:name="_Toc283890213"/>
      <w:bookmarkStart w:id="960" w:name="_Toc285445248"/>
      <w:bookmarkStart w:id="961" w:name="_Toc285446766"/>
      <w:bookmarkStart w:id="962" w:name="_Toc286309734"/>
      <w:bookmarkStart w:id="963" w:name="_Toc305751276"/>
      <w:r>
        <w:t>Notes</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p>
    <w:p>
      <w:pPr>
        <w:pStyle w:val="nSubsection"/>
        <w:rPr>
          <w:snapToGrid w:val="0"/>
        </w:rPr>
      </w:pPr>
      <w:r>
        <w:rPr>
          <w:snapToGrid w:val="0"/>
          <w:vertAlign w:val="superscript"/>
        </w:rPr>
        <w:t>1</w:t>
      </w:r>
      <w:r>
        <w:rPr>
          <w:snapToGrid w:val="0"/>
        </w:rPr>
        <w:tab/>
        <w:t xml:space="preserve">This </w:t>
      </w:r>
      <w:del w:id="964" w:author="svcMRProcess" w:date="2020-02-17T02:18:00Z">
        <w:r>
          <w:rPr>
            <w:snapToGrid w:val="0"/>
          </w:rPr>
          <w:delText xml:space="preserve">reprint </w:delText>
        </w:r>
      </w:del>
      <w:r>
        <w:rPr>
          <w:snapToGrid w:val="0"/>
        </w:rPr>
        <w:t>is a compilation</w:t>
      </w:r>
      <w:del w:id="965" w:author="svcMRProcess" w:date="2020-02-17T02:18:00Z">
        <w:r>
          <w:rPr>
            <w:snapToGrid w:val="0"/>
          </w:rPr>
          <w:delText xml:space="preserve"> as at 18 February 2011</w:delText>
        </w:r>
      </w:del>
      <w:r>
        <w:rPr>
          <w:snapToGrid w:val="0"/>
        </w:rPr>
        <w:t xml:space="preserve"> of the </w:t>
      </w:r>
      <w:r>
        <w:rPr>
          <w:i/>
          <w:noProof/>
          <w:snapToGrid w:val="0"/>
        </w:rPr>
        <w:t>Hire-Purchase Act 1959</w:t>
      </w:r>
      <w:r>
        <w:rPr>
          <w:snapToGrid w:val="0"/>
        </w:rPr>
        <w:t xml:space="preserve"> and includes the amendments made by the other written laws referred to in the following table</w:t>
      </w:r>
      <w:ins w:id="966" w:author="svcMRProcess" w:date="2020-02-17T02:18:00Z">
        <w:r>
          <w:rPr>
            <w:snapToGrid w:val="0"/>
            <w:vertAlign w:val="superscript"/>
          </w:rPr>
          <w:t> 1a</w:t>
        </w:r>
      </w:ins>
      <w:r>
        <w:rPr>
          <w:snapToGrid w:val="0"/>
        </w:rPr>
        <w:t>.  The table also contains information about any reprint.</w:t>
      </w:r>
    </w:p>
    <w:p>
      <w:pPr>
        <w:pStyle w:val="nHeading3"/>
        <w:rPr>
          <w:snapToGrid w:val="0"/>
        </w:rPr>
      </w:pPr>
      <w:bookmarkStart w:id="967" w:name="_Toc305751277"/>
      <w:bookmarkStart w:id="968" w:name="_Toc286309735"/>
      <w:r>
        <w:rPr>
          <w:snapToGrid w:val="0"/>
        </w:rPr>
        <w:t>Compilation table</w:t>
      </w:r>
      <w:bookmarkEnd w:id="967"/>
      <w:bookmarkEnd w:id="968"/>
    </w:p>
    <w:tbl>
      <w:tblPr>
        <w:tblW w:w="7088" w:type="dxa"/>
        <w:tblInd w:w="56" w:type="dxa"/>
        <w:tblLayout w:type="fixed"/>
        <w:tblCellMar>
          <w:left w:w="56" w:type="dxa"/>
          <w:right w:w="56" w:type="dxa"/>
        </w:tblCellMar>
        <w:tblLook w:val="0000" w:firstRow="0" w:lastRow="0" w:firstColumn="0" w:lastColumn="0" w:noHBand="0" w:noVBand="0"/>
      </w:tblPr>
      <w:tblGrid>
        <w:gridCol w:w="2267"/>
        <w:gridCol w:w="1134"/>
        <w:gridCol w:w="1136"/>
        <w:gridCol w:w="2551"/>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34" w:type="dxa"/>
            <w:tcBorders>
              <w:top w:val="single" w:sz="8" w:space="0" w:color="auto"/>
            </w:tcBorders>
          </w:tcPr>
          <w:p>
            <w:pPr>
              <w:pStyle w:val="nTable"/>
              <w:spacing w:after="40"/>
              <w:rPr>
                <w:sz w:val="19"/>
              </w:rPr>
            </w:pPr>
            <w:r>
              <w:rPr>
                <w:sz w:val="19"/>
              </w:rPr>
              <w:t>58 of 1959</w:t>
            </w:r>
            <w:r>
              <w:rPr>
                <w:sz w:val="19"/>
              </w:rPr>
              <w:br/>
              <w:t>(8 Eliz. II No. 58)</w:t>
            </w:r>
          </w:p>
        </w:tc>
        <w:tc>
          <w:tcPr>
            <w:tcW w:w="1136" w:type="dxa"/>
            <w:tcBorders>
              <w:top w:val="single" w:sz="8" w:space="0" w:color="auto"/>
            </w:tcBorders>
          </w:tcPr>
          <w:p>
            <w:pPr>
              <w:pStyle w:val="nTable"/>
              <w:spacing w:after="40"/>
              <w:rPr>
                <w:sz w:val="19"/>
              </w:rPr>
            </w:pPr>
            <w:r>
              <w:rPr>
                <w:sz w:val="19"/>
              </w:rPr>
              <w:t>3 Dec 1959</w:t>
            </w:r>
          </w:p>
        </w:tc>
        <w:tc>
          <w:tcPr>
            <w:tcW w:w="2551" w:type="dxa"/>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cantSplit/>
        </w:trPr>
        <w:tc>
          <w:tcPr>
            <w:tcW w:w="7088" w:type="dxa"/>
            <w:gridSpan w:val="4"/>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cantSplit/>
        </w:trPr>
        <w:tc>
          <w:tcPr>
            <w:tcW w:w="2267" w:type="dxa"/>
            <w:tcBorders>
              <w:bottom w:val="nil"/>
            </w:tcBorders>
          </w:tcPr>
          <w:p>
            <w:pPr>
              <w:pStyle w:val="Enactment"/>
              <w:spacing w:before="40" w:after="40"/>
              <w:ind w:right="113"/>
              <w:rPr>
                <w:i/>
                <w:sz w:val="19"/>
              </w:rPr>
            </w:pPr>
            <w:r>
              <w:rPr>
                <w:bCs/>
                <w:i/>
                <w:sz w:val="19"/>
              </w:rPr>
              <w:t>Decimal Currency Act 1965</w:t>
            </w:r>
          </w:p>
        </w:tc>
        <w:tc>
          <w:tcPr>
            <w:tcW w:w="1134" w:type="dxa"/>
            <w:tcBorders>
              <w:bottom w:val="nil"/>
            </w:tcBorders>
          </w:tcPr>
          <w:p>
            <w:pPr>
              <w:pStyle w:val="Enactment"/>
              <w:spacing w:before="40" w:after="40"/>
              <w:rPr>
                <w:sz w:val="19"/>
              </w:rPr>
            </w:pPr>
            <w:r>
              <w:rPr>
                <w:sz w:val="19"/>
              </w:rPr>
              <w:t>113 of 1965</w:t>
            </w:r>
          </w:p>
        </w:tc>
        <w:tc>
          <w:tcPr>
            <w:tcW w:w="1136" w:type="dxa"/>
            <w:tcBorders>
              <w:bottom w:val="nil"/>
            </w:tcBorders>
          </w:tcPr>
          <w:p>
            <w:pPr>
              <w:pStyle w:val="Enactment"/>
              <w:spacing w:before="40" w:after="40"/>
              <w:rPr>
                <w:sz w:val="19"/>
              </w:rPr>
            </w:pPr>
            <w:r>
              <w:rPr>
                <w:sz w:val="19"/>
              </w:rPr>
              <w:t>21 Dec 1965</w:t>
            </w:r>
          </w:p>
        </w:tc>
        <w:tc>
          <w:tcPr>
            <w:tcW w:w="2551" w:type="dxa"/>
            <w:tcBorders>
              <w:bottom w:val="nil"/>
            </w:tcBorders>
          </w:tcPr>
          <w:p>
            <w:pPr>
              <w:pStyle w:val="Enactment"/>
              <w:spacing w:before="40" w:after="40"/>
              <w:rPr>
                <w:sz w:val="19"/>
              </w:rPr>
            </w:pPr>
            <w:r>
              <w:rPr>
                <w:sz w:val="19"/>
              </w:rPr>
              <w:t>Act other than s. 4-9: 21 Dec 1965 (see s. 2(1));</w:t>
            </w:r>
            <w:r>
              <w:rPr>
                <w:sz w:val="19"/>
              </w:rPr>
              <w:br/>
              <w:t>s. 4-9: 14 Feb 1966 (see s. 2(2))</w:t>
            </w:r>
          </w:p>
        </w:tc>
      </w:tr>
      <w:tr>
        <w:trPr>
          <w:cantSplit/>
        </w:trPr>
        <w:tc>
          <w:tcPr>
            <w:tcW w:w="2267" w:type="dxa"/>
            <w:tcBorders>
              <w:bottom w:val="nil"/>
            </w:tcBorders>
          </w:tcPr>
          <w:p>
            <w:pPr>
              <w:pStyle w:val="nTable"/>
              <w:spacing w:after="40"/>
              <w:ind w:right="113"/>
              <w:rPr>
                <w:sz w:val="19"/>
              </w:rPr>
            </w:pPr>
            <w:r>
              <w:rPr>
                <w:i/>
                <w:sz w:val="19"/>
              </w:rPr>
              <w:t>Hire</w:t>
            </w:r>
            <w:r>
              <w:rPr>
                <w:i/>
                <w:sz w:val="19"/>
              </w:rPr>
              <w:noBreakHyphen/>
              <w:t>Purchase Act Amendment Act 1973</w:t>
            </w:r>
          </w:p>
        </w:tc>
        <w:tc>
          <w:tcPr>
            <w:tcW w:w="1134" w:type="dxa"/>
            <w:tcBorders>
              <w:bottom w:val="nil"/>
            </w:tcBorders>
          </w:tcPr>
          <w:p>
            <w:pPr>
              <w:pStyle w:val="nTable"/>
              <w:spacing w:after="40"/>
              <w:rPr>
                <w:sz w:val="19"/>
              </w:rPr>
            </w:pPr>
            <w:r>
              <w:rPr>
                <w:sz w:val="19"/>
              </w:rPr>
              <w:t>107 of 1973</w:t>
            </w:r>
          </w:p>
        </w:tc>
        <w:tc>
          <w:tcPr>
            <w:tcW w:w="1136" w:type="dxa"/>
            <w:tcBorders>
              <w:bottom w:val="nil"/>
            </w:tcBorders>
          </w:tcPr>
          <w:p>
            <w:pPr>
              <w:pStyle w:val="nTable"/>
              <w:spacing w:after="40"/>
              <w:rPr>
                <w:sz w:val="19"/>
              </w:rPr>
            </w:pPr>
            <w:r>
              <w:rPr>
                <w:sz w:val="19"/>
              </w:rPr>
              <w:t>4 Jan 1974</w:t>
            </w:r>
          </w:p>
        </w:tc>
        <w:tc>
          <w:tcPr>
            <w:tcW w:w="2551" w:type="dxa"/>
            <w:tcBorders>
              <w:bottom w:val="nil"/>
            </w:tcBorders>
          </w:tcPr>
          <w:p>
            <w:pPr>
              <w:pStyle w:val="nTable"/>
              <w:spacing w:after="40"/>
              <w:rPr>
                <w:sz w:val="19"/>
              </w:rPr>
            </w:pPr>
            <w:r>
              <w:rPr>
                <w:sz w:val="19"/>
              </w:rPr>
              <w:t>s. 1</w:t>
            </w:r>
            <w:r>
              <w:rPr>
                <w:sz w:val="19"/>
              </w:rPr>
              <w:noBreakHyphen/>
              <w:t>3 except para. (a), 4 except para. (a)(ii)</w:t>
            </w:r>
            <w:r>
              <w:rPr>
                <w:sz w:val="19"/>
              </w:rPr>
              <w:noBreakHyphen/>
              <w:t>(v) and the provision in para. (a)(vii) in respect of the interpretation of “</w:t>
            </w:r>
            <w:smartTag w:uri="urn:schemas-microsoft-com:office:smarttags" w:element="Street">
              <w:smartTag w:uri="urn:schemas-microsoft-com:office:smarttags" w:element="address">
                <w:r>
                  <w:rPr>
                    <w:sz w:val="19"/>
                  </w:rPr>
                  <w:t>Local Court</w:t>
                </w:r>
              </w:smartTag>
            </w:smartTag>
            <w:r>
              <w:rPr>
                <w:sz w:val="19"/>
              </w:rPr>
              <w:t xml:space="preserve">”, and para. (b), 19 and 28: 1 Apr 1975 (see s. 2 and </w:t>
            </w:r>
            <w:r>
              <w:rPr>
                <w:i/>
                <w:sz w:val="19"/>
              </w:rPr>
              <w:t>Gazette</w:t>
            </w:r>
            <w:r>
              <w:rPr>
                <w:sz w:val="19"/>
              </w:rPr>
              <w:t xml:space="preserve"> 24 Jan 1975 p. 173);</w:t>
            </w:r>
            <w:r>
              <w:rPr>
                <w:sz w:val="19"/>
              </w:rPr>
              <w:br/>
              <w:t xml:space="preserve">balance: 15 Sep 1975 (see s. 2 and </w:t>
            </w:r>
            <w:r>
              <w:rPr>
                <w:i/>
                <w:sz w:val="19"/>
              </w:rPr>
              <w:t>Gazette</w:t>
            </w:r>
            <w:r>
              <w:rPr>
                <w:sz w:val="19"/>
              </w:rPr>
              <w:t xml:space="preserve"> 5 Sep 1975 p. 3184)</w:t>
            </w:r>
          </w:p>
        </w:tc>
      </w:tr>
      <w:tr>
        <w:trPr>
          <w:cantSplit/>
        </w:trPr>
        <w:tc>
          <w:tcPr>
            <w:tcW w:w="2267" w:type="dxa"/>
          </w:tcPr>
          <w:p>
            <w:pPr>
              <w:pStyle w:val="nTable"/>
              <w:spacing w:after="40"/>
              <w:ind w:right="113"/>
              <w:rPr>
                <w:sz w:val="19"/>
              </w:rPr>
            </w:pPr>
            <w:r>
              <w:rPr>
                <w:i/>
                <w:sz w:val="19"/>
              </w:rPr>
              <w:t>Hire</w:t>
            </w:r>
            <w:r>
              <w:rPr>
                <w:i/>
                <w:sz w:val="19"/>
              </w:rPr>
              <w:noBreakHyphen/>
              <w:t>Purchase Act Amendment Act 1974</w:t>
            </w:r>
          </w:p>
        </w:tc>
        <w:tc>
          <w:tcPr>
            <w:tcW w:w="1134" w:type="dxa"/>
          </w:tcPr>
          <w:p>
            <w:pPr>
              <w:pStyle w:val="nTable"/>
              <w:spacing w:after="40"/>
              <w:rPr>
                <w:sz w:val="19"/>
              </w:rPr>
            </w:pPr>
            <w:r>
              <w:rPr>
                <w:sz w:val="19"/>
              </w:rPr>
              <w:t>5 of 1974</w:t>
            </w:r>
          </w:p>
        </w:tc>
        <w:tc>
          <w:tcPr>
            <w:tcW w:w="1136" w:type="dxa"/>
          </w:tcPr>
          <w:p>
            <w:pPr>
              <w:pStyle w:val="nTable"/>
              <w:spacing w:after="40"/>
              <w:rPr>
                <w:sz w:val="19"/>
              </w:rPr>
            </w:pPr>
            <w:r>
              <w:rPr>
                <w:sz w:val="19"/>
              </w:rPr>
              <w:t>19 Sep 1974</w:t>
            </w:r>
          </w:p>
        </w:tc>
        <w:tc>
          <w:tcPr>
            <w:tcW w:w="2551" w:type="dxa"/>
          </w:tcPr>
          <w:p>
            <w:pPr>
              <w:pStyle w:val="nTable"/>
              <w:spacing w:after="40"/>
              <w:rPr>
                <w:sz w:val="19"/>
              </w:rPr>
            </w:pPr>
            <w:r>
              <w:rPr>
                <w:sz w:val="19"/>
              </w:rPr>
              <w:t>Act other than s. 4</w:t>
            </w:r>
            <w:r>
              <w:rPr>
                <w:sz w:val="19"/>
              </w:rPr>
              <w:noBreakHyphen/>
              <w:t>7: 19 Sep 1974 (see s. 2(1));</w:t>
            </w:r>
            <w:r>
              <w:rPr>
                <w:sz w:val="19"/>
              </w:rPr>
              <w:br/>
              <w:t>s. 4</w:t>
            </w:r>
            <w:r>
              <w:rPr>
                <w:sz w:val="19"/>
              </w:rPr>
              <w:noBreakHyphen/>
              <w:t xml:space="preserve">7: 1 Apr 1975 (see s. 2(2) and (3) and </w:t>
            </w:r>
            <w:r>
              <w:rPr>
                <w:i/>
                <w:sz w:val="19"/>
              </w:rPr>
              <w:t>Gazette</w:t>
            </w:r>
            <w:r>
              <w:rPr>
                <w:sz w:val="19"/>
              </w:rPr>
              <w:t xml:space="preserve"> 24 Jan 1975 p. 173) </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cantSplit/>
        </w:trPr>
        <w:tc>
          <w:tcPr>
            <w:tcW w:w="2267" w:type="dxa"/>
          </w:tcPr>
          <w:p>
            <w:pPr>
              <w:pStyle w:val="nTable"/>
              <w:spacing w:after="40"/>
              <w:ind w:right="113"/>
              <w:rPr>
                <w:sz w:val="19"/>
              </w:rPr>
            </w:pPr>
            <w:r>
              <w:rPr>
                <w:i/>
                <w:sz w:val="19"/>
              </w:rPr>
              <w:t>Hire</w:t>
            </w:r>
            <w:r>
              <w:rPr>
                <w:i/>
                <w:sz w:val="19"/>
              </w:rPr>
              <w:noBreakHyphen/>
              <w:t>Purchase Act Amendment Act 1976</w:t>
            </w:r>
          </w:p>
        </w:tc>
        <w:tc>
          <w:tcPr>
            <w:tcW w:w="1134" w:type="dxa"/>
          </w:tcPr>
          <w:p>
            <w:pPr>
              <w:pStyle w:val="nTable"/>
              <w:keepNext/>
              <w:spacing w:after="40"/>
              <w:rPr>
                <w:sz w:val="19"/>
              </w:rPr>
            </w:pPr>
            <w:r>
              <w:rPr>
                <w:sz w:val="19"/>
              </w:rPr>
              <w:t>82 of 1976</w:t>
            </w:r>
          </w:p>
        </w:tc>
        <w:tc>
          <w:tcPr>
            <w:tcW w:w="1136" w:type="dxa"/>
          </w:tcPr>
          <w:p>
            <w:pPr>
              <w:pStyle w:val="nTable"/>
              <w:keepNext/>
              <w:spacing w:after="40"/>
              <w:rPr>
                <w:sz w:val="19"/>
              </w:rPr>
            </w:pPr>
            <w:r>
              <w:rPr>
                <w:sz w:val="19"/>
              </w:rPr>
              <w:t>21 Oct 1976</w:t>
            </w:r>
          </w:p>
        </w:tc>
        <w:tc>
          <w:tcPr>
            <w:tcW w:w="2551" w:type="dxa"/>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cantSplit/>
        </w:trPr>
        <w:tc>
          <w:tcPr>
            <w:tcW w:w="2267" w:type="dxa"/>
          </w:tcPr>
          <w:p>
            <w:pPr>
              <w:pStyle w:val="nTable"/>
              <w:spacing w:after="40"/>
              <w:ind w:right="113"/>
              <w:rPr>
                <w:sz w:val="19"/>
              </w:rPr>
            </w:pPr>
            <w:r>
              <w:rPr>
                <w:i/>
                <w:sz w:val="19"/>
              </w:rPr>
              <w:t>Hire</w:t>
            </w:r>
            <w:r>
              <w:rPr>
                <w:i/>
                <w:sz w:val="19"/>
              </w:rPr>
              <w:noBreakHyphen/>
              <w:t>Purchase Amendment Act 1980</w:t>
            </w:r>
          </w:p>
        </w:tc>
        <w:tc>
          <w:tcPr>
            <w:tcW w:w="1134" w:type="dxa"/>
          </w:tcPr>
          <w:p>
            <w:pPr>
              <w:pStyle w:val="nTable"/>
              <w:spacing w:after="40"/>
              <w:rPr>
                <w:sz w:val="19"/>
              </w:rPr>
            </w:pPr>
            <w:r>
              <w:rPr>
                <w:sz w:val="19"/>
              </w:rPr>
              <w:t>37 of 1980</w:t>
            </w:r>
          </w:p>
        </w:tc>
        <w:tc>
          <w:tcPr>
            <w:tcW w:w="1136" w:type="dxa"/>
          </w:tcPr>
          <w:p>
            <w:pPr>
              <w:pStyle w:val="nTable"/>
              <w:spacing w:after="40"/>
              <w:rPr>
                <w:sz w:val="19"/>
              </w:rPr>
            </w:pPr>
            <w:r>
              <w:rPr>
                <w:sz w:val="19"/>
              </w:rPr>
              <w:t>5 Nov 1980</w:t>
            </w:r>
          </w:p>
        </w:tc>
        <w:tc>
          <w:tcPr>
            <w:tcW w:w="2551" w:type="dxa"/>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cantSplit/>
        </w:trPr>
        <w:tc>
          <w:tcPr>
            <w:tcW w:w="2267" w:type="dxa"/>
          </w:tcPr>
          <w:p>
            <w:pPr>
              <w:pStyle w:val="nTable"/>
              <w:spacing w:after="40"/>
              <w:ind w:right="113"/>
              <w:rPr>
                <w:sz w:val="19"/>
              </w:rPr>
            </w:pPr>
            <w:r>
              <w:rPr>
                <w:i/>
                <w:sz w:val="19"/>
              </w:rPr>
              <w:t>Hire</w:t>
            </w:r>
            <w:r>
              <w:rPr>
                <w:i/>
                <w:sz w:val="19"/>
              </w:rPr>
              <w:noBreakHyphen/>
              <w:t>Purchase Amendment Act (No. 2) 1980</w:t>
            </w:r>
          </w:p>
        </w:tc>
        <w:tc>
          <w:tcPr>
            <w:tcW w:w="1134" w:type="dxa"/>
          </w:tcPr>
          <w:p>
            <w:pPr>
              <w:pStyle w:val="nTable"/>
              <w:spacing w:after="40"/>
              <w:rPr>
                <w:sz w:val="19"/>
              </w:rPr>
            </w:pPr>
            <w:r>
              <w:rPr>
                <w:sz w:val="19"/>
              </w:rPr>
              <w:t>88 of 1980</w:t>
            </w:r>
          </w:p>
        </w:tc>
        <w:tc>
          <w:tcPr>
            <w:tcW w:w="1136" w:type="dxa"/>
          </w:tcPr>
          <w:p>
            <w:pPr>
              <w:pStyle w:val="nTable"/>
              <w:spacing w:after="40"/>
              <w:rPr>
                <w:sz w:val="19"/>
              </w:rPr>
            </w:pPr>
            <w:r>
              <w:rPr>
                <w:sz w:val="19"/>
              </w:rPr>
              <w:t>9 Dec 1980</w:t>
            </w:r>
          </w:p>
        </w:tc>
        <w:tc>
          <w:tcPr>
            <w:tcW w:w="2551" w:type="dxa"/>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Acts Amendment and Repeal (Credit) Act 1984</w:t>
            </w:r>
            <w:r>
              <w:rPr>
                <w:sz w:val="19"/>
              </w:rPr>
              <w:t xml:space="preserve"> Pt. V</w:t>
            </w:r>
          </w:p>
        </w:tc>
        <w:tc>
          <w:tcPr>
            <w:tcW w:w="1134" w:type="dxa"/>
          </w:tcPr>
          <w:p>
            <w:pPr>
              <w:pStyle w:val="nTable"/>
              <w:keepLines/>
              <w:spacing w:after="40"/>
              <w:rPr>
                <w:sz w:val="19"/>
              </w:rPr>
            </w:pPr>
            <w:r>
              <w:rPr>
                <w:sz w:val="19"/>
              </w:rPr>
              <w:t>102 of 1984</w:t>
            </w:r>
          </w:p>
        </w:tc>
        <w:tc>
          <w:tcPr>
            <w:tcW w:w="1136" w:type="dxa"/>
          </w:tcPr>
          <w:p>
            <w:pPr>
              <w:pStyle w:val="nTable"/>
              <w:keepLines/>
              <w:spacing w:after="40"/>
              <w:rPr>
                <w:sz w:val="19"/>
              </w:rPr>
            </w:pPr>
            <w:r>
              <w:rPr>
                <w:sz w:val="19"/>
              </w:rPr>
              <w:t>19 Dec 1984</w:t>
            </w:r>
          </w:p>
        </w:tc>
        <w:tc>
          <w:tcPr>
            <w:tcW w:w="2551" w:type="dxa"/>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cantSplit/>
        </w:trPr>
        <w:tc>
          <w:tcPr>
            <w:tcW w:w="2267" w:type="dxa"/>
          </w:tcPr>
          <w:p>
            <w:pPr>
              <w:pStyle w:val="nTable"/>
              <w:spacing w:after="40"/>
              <w:ind w:right="113"/>
              <w:rPr>
                <w:sz w:val="19"/>
              </w:rPr>
            </w:pPr>
            <w:r>
              <w:rPr>
                <w:i/>
                <w:sz w:val="19"/>
              </w:rPr>
              <w:t>Acts Amendment (Department for Community Services) Act 1984</w:t>
            </w:r>
            <w:r>
              <w:rPr>
                <w:sz w:val="19"/>
              </w:rPr>
              <w:t xml:space="preserve"> Pt. VII</w:t>
            </w:r>
          </w:p>
        </w:tc>
        <w:tc>
          <w:tcPr>
            <w:tcW w:w="1134" w:type="dxa"/>
          </w:tcPr>
          <w:p>
            <w:pPr>
              <w:pStyle w:val="nTable"/>
              <w:spacing w:after="40"/>
              <w:rPr>
                <w:sz w:val="19"/>
              </w:rPr>
            </w:pPr>
            <w:r>
              <w:rPr>
                <w:sz w:val="19"/>
              </w:rPr>
              <w:t>121 of 1984</w:t>
            </w:r>
          </w:p>
        </w:tc>
        <w:tc>
          <w:tcPr>
            <w:tcW w:w="1136" w:type="dxa"/>
          </w:tcPr>
          <w:p>
            <w:pPr>
              <w:pStyle w:val="nTable"/>
              <w:spacing w:after="40"/>
              <w:rPr>
                <w:sz w:val="19"/>
              </w:rPr>
            </w:pPr>
            <w:r>
              <w:rPr>
                <w:sz w:val="19"/>
              </w:rPr>
              <w:t>19 Dec 1984</w:t>
            </w:r>
          </w:p>
        </w:tc>
        <w:tc>
          <w:tcPr>
            <w:tcW w:w="2551" w:type="dxa"/>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cantSplit/>
        </w:trPr>
        <w:tc>
          <w:tcPr>
            <w:tcW w:w="2267" w:type="dxa"/>
          </w:tcPr>
          <w:p>
            <w:pPr>
              <w:pStyle w:val="nTable"/>
              <w:spacing w:after="40"/>
              <w:ind w:right="113"/>
              <w:rPr>
                <w:sz w:val="19"/>
              </w:rPr>
            </w:pPr>
            <w:r>
              <w:rPr>
                <w:i/>
                <w:sz w:val="19"/>
              </w:rPr>
              <w:t>Acts Amendment (Consumer Affairs) Act 1985</w:t>
            </w:r>
            <w:r>
              <w:rPr>
                <w:sz w:val="19"/>
              </w:rPr>
              <w:t xml:space="preserve"> Pt. IV (s. 18</w:t>
            </w:r>
            <w:r>
              <w:rPr>
                <w:sz w:val="19"/>
              </w:rPr>
              <w:noBreakHyphen/>
              <w:t>23)</w:t>
            </w:r>
          </w:p>
        </w:tc>
        <w:tc>
          <w:tcPr>
            <w:tcW w:w="1134" w:type="dxa"/>
          </w:tcPr>
          <w:p>
            <w:pPr>
              <w:pStyle w:val="nTable"/>
              <w:spacing w:after="40"/>
              <w:rPr>
                <w:sz w:val="19"/>
              </w:rPr>
            </w:pPr>
            <w:r>
              <w:rPr>
                <w:sz w:val="19"/>
              </w:rPr>
              <w:t>1 of 1985</w:t>
            </w:r>
          </w:p>
        </w:tc>
        <w:tc>
          <w:tcPr>
            <w:tcW w:w="1136" w:type="dxa"/>
          </w:tcPr>
          <w:p>
            <w:pPr>
              <w:pStyle w:val="nTable"/>
              <w:spacing w:after="40"/>
              <w:rPr>
                <w:sz w:val="19"/>
              </w:rPr>
            </w:pPr>
            <w:r>
              <w:rPr>
                <w:sz w:val="19"/>
              </w:rPr>
              <w:t>8 Mar 1985</w:t>
            </w:r>
          </w:p>
        </w:tc>
        <w:tc>
          <w:tcPr>
            <w:tcW w:w="2551" w:type="dxa"/>
          </w:tcPr>
          <w:p>
            <w:pPr>
              <w:pStyle w:val="nTable"/>
              <w:spacing w:after="40"/>
              <w:rPr>
                <w:sz w:val="19"/>
              </w:rPr>
            </w:pPr>
            <w:r>
              <w:rPr>
                <w:sz w:val="19"/>
              </w:rPr>
              <w:t>s. 18 and 20: 6 Apr 1983 (see s. 2(1));</w:t>
            </w:r>
            <w:r>
              <w:rPr>
                <w:sz w:val="19"/>
              </w:rPr>
              <w:br/>
              <w:t>s. 19 and 21</w:t>
            </w:r>
            <w:r>
              <w:rPr>
                <w:sz w:val="19"/>
              </w:rPr>
              <w:noBreakHyphen/>
              <w:t>23: 8 Mar 1985 (see s. 2(3))</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cantSplit/>
        </w:trPr>
        <w:tc>
          <w:tcPr>
            <w:tcW w:w="2267" w:type="dxa"/>
          </w:tcPr>
          <w:p>
            <w:pPr>
              <w:pStyle w:val="nTable"/>
              <w:spacing w:after="40"/>
              <w:ind w:right="113"/>
              <w:rPr>
                <w:sz w:val="19"/>
              </w:rPr>
            </w:pPr>
            <w:r>
              <w:rPr>
                <w:i/>
                <w:sz w:val="19"/>
              </w:rPr>
              <w:t>Acts Amendment (Public Sector Management) Act 1994</w:t>
            </w:r>
            <w:r>
              <w:rPr>
                <w:sz w:val="19"/>
              </w:rPr>
              <w:t xml:space="preserve"> s. 19</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Hire</w:t>
            </w:r>
            <w:r>
              <w:rPr>
                <w:i/>
                <w:sz w:val="19"/>
              </w:rPr>
              <w:noBreakHyphen/>
              <w:t>Purchase Amendment Act 1995</w:t>
            </w:r>
          </w:p>
        </w:tc>
        <w:tc>
          <w:tcPr>
            <w:tcW w:w="1134" w:type="dxa"/>
          </w:tcPr>
          <w:p>
            <w:pPr>
              <w:pStyle w:val="nTable"/>
              <w:spacing w:after="40"/>
              <w:rPr>
                <w:sz w:val="19"/>
              </w:rPr>
            </w:pPr>
            <w:r>
              <w:rPr>
                <w:sz w:val="19"/>
              </w:rPr>
              <w:t>43 of 1995</w:t>
            </w:r>
          </w:p>
        </w:tc>
        <w:tc>
          <w:tcPr>
            <w:tcW w:w="1136" w:type="dxa"/>
          </w:tcPr>
          <w:p>
            <w:pPr>
              <w:pStyle w:val="nTable"/>
              <w:spacing w:after="40"/>
              <w:rPr>
                <w:sz w:val="19"/>
              </w:rPr>
            </w:pPr>
            <w:r>
              <w:rPr>
                <w:sz w:val="19"/>
              </w:rPr>
              <w:t>17 Oct 1995</w:t>
            </w:r>
          </w:p>
        </w:tc>
        <w:tc>
          <w:tcPr>
            <w:tcW w:w="2551" w:type="dxa"/>
          </w:tcPr>
          <w:p>
            <w:pPr>
              <w:pStyle w:val="nTable"/>
              <w:spacing w:after="40"/>
              <w:rPr>
                <w:sz w:val="19"/>
              </w:rPr>
            </w:pPr>
            <w:r>
              <w:rPr>
                <w:sz w:val="19"/>
              </w:rPr>
              <w:t>17 Oct 1995 (see s. 2)</w:t>
            </w:r>
          </w:p>
        </w:tc>
      </w:tr>
      <w:tr>
        <w:trPr>
          <w:cantSplit/>
        </w:trPr>
        <w:tc>
          <w:tcPr>
            <w:tcW w:w="2267" w:type="dxa"/>
          </w:tcPr>
          <w:p>
            <w:pPr>
              <w:pStyle w:val="nTable"/>
              <w:spacing w:after="40"/>
              <w:ind w:right="113"/>
              <w:rPr>
                <w:sz w:val="19"/>
              </w:rPr>
            </w:pPr>
            <w:r>
              <w:rPr>
                <w:i/>
                <w:sz w:val="19"/>
              </w:rPr>
              <w:t>Sentencing (Consequential Provisions) Act 1995</w:t>
            </w:r>
            <w:r>
              <w:rPr>
                <w:sz w:val="19"/>
              </w:rPr>
              <w:t xml:space="preserve"> s. 147</w:t>
            </w:r>
          </w:p>
        </w:tc>
        <w:tc>
          <w:tcPr>
            <w:tcW w:w="1134" w:type="dxa"/>
          </w:tcPr>
          <w:p>
            <w:pPr>
              <w:pStyle w:val="nTable"/>
              <w:keepNext/>
              <w:spacing w:after="40"/>
              <w:rPr>
                <w:sz w:val="19"/>
              </w:rPr>
            </w:pPr>
            <w:r>
              <w:rPr>
                <w:sz w:val="19"/>
              </w:rPr>
              <w:t>78 of 1995</w:t>
            </w:r>
          </w:p>
        </w:tc>
        <w:tc>
          <w:tcPr>
            <w:tcW w:w="1136" w:type="dxa"/>
          </w:tcPr>
          <w:p>
            <w:pPr>
              <w:pStyle w:val="nTable"/>
              <w:keepNext/>
              <w:spacing w:after="40"/>
              <w:rPr>
                <w:sz w:val="19"/>
              </w:rPr>
            </w:pPr>
            <w:r>
              <w:rPr>
                <w:sz w:val="19"/>
              </w:rPr>
              <w:t>16 Jan 1996</w:t>
            </w:r>
          </w:p>
        </w:tc>
        <w:tc>
          <w:tcPr>
            <w:tcW w:w="2551" w:type="dxa"/>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7" w:type="dxa"/>
          </w:tcPr>
          <w:p>
            <w:pPr>
              <w:pStyle w:val="nTable"/>
              <w:spacing w:after="40"/>
              <w:ind w:right="113"/>
              <w:rPr>
                <w:sz w:val="19"/>
              </w:rPr>
            </w:pPr>
            <w:r>
              <w:rPr>
                <w:i/>
                <w:sz w:val="19"/>
              </w:rPr>
              <w:t>Consumer Credit (</w:t>
            </w:r>
            <w:smartTag w:uri="urn:schemas-microsoft-com:office:smarttags" w:element="place">
              <w:smartTag w:uri="urn:schemas-microsoft-com:office:smarttags" w:element="State">
                <w:r>
                  <w:rPr>
                    <w:i/>
                    <w:sz w:val="19"/>
                  </w:rPr>
                  <w:t>Western Australia</w:t>
                </w:r>
              </w:smartTag>
            </w:smartTag>
            <w:r>
              <w:rPr>
                <w:i/>
                <w:sz w:val="19"/>
              </w:rPr>
              <w:t>) Act 1996</w:t>
            </w:r>
            <w:r>
              <w:rPr>
                <w:sz w:val="19"/>
              </w:rPr>
              <w:t xml:space="preserve"> s. 13</w:t>
            </w:r>
          </w:p>
        </w:tc>
        <w:tc>
          <w:tcPr>
            <w:tcW w:w="1134" w:type="dxa"/>
          </w:tcPr>
          <w:p>
            <w:pPr>
              <w:pStyle w:val="nTable"/>
              <w:spacing w:after="40"/>
              <w:rPr>
                <w:sz w:val="19"/>
              </w:rPr>
            </w:pPr>
            <w:r>
              <w:rPr>
                <w:sz w:val="19"/>
              </w:rPr>
              <w:t>30 of 1996</w:t>
            </w:r>
          </w:p>
        </w:tc>
        <w:tc>
          <w:tcPr>
            <w:tcW w:w="1136" w:type="dxa"/>
          </w:tcPr>
          <w:p>
            <w:pPr>
              <w:pStyle w:val="nTable"/>
              <w:spacing w:after="40"/>
              <w:rPr>
                <w:sz w:val="19"/>
              </w:rPr>
            </w:pPr>
            <w:r>
              <w:rPr>
                <w:sz w:val="19"/>
              </w:rPr>
              <w:t>10 Sep 1996</w:t>
            </w:r>
          </w:p>
        </w:tc>
        <w:tc>
          <w:tcPr>
            <w:tcW w:w="2551" w:type="dxa"/>
          </w:tcPr>
          <w:p>
            <w:pPr>
              <w:pStyle w:val="nTable"/>
              <w:spacing w:after="40"/>
              <w:rPr>
                <w:sz w:val="19"/>
              </w:rPr>
            </w:pPr>
            <w:r>
              <w:rPr>
                <w:sz w:val="19"/>
              </w:rPr>
              <w:t>1 Nov 1996 (see s. 2)</w:t>
            </w:r>
          </w:p>
        </w:tc>
      </w:tr>
      <w:tr>
        <w:trPr>
          <w:cantSplit/>
        </w:trPr>
        <w:tc>
          <w:tcPr>
            <w:tcW w:w="2267" w:type="dxa"/>
          </w:tcPr>
          <w:p>
            <w:pPr>
              <w:pStyle w:val="nTable"/>
              <w:spacing w:after="40"/>
              <w:ind w:right="113"/>
              <w:rPr>
                <w:sz w:val="19"/>
              </w:rPr>
            </w:pPr>
            <w:r>
              <w:rPr>
                <w:i/>
                <w:sz w:val="19"/>
              </w:rPr>
              <w:t>Statutes (Repeals and Minor Amendments) Act 1997</w:t>
            </w:r>
            <w:r>
              <w:rPr>
                <w:sz w:val="19"/>
              </w:rPr>
              <w:t xml:space="preserve"> s. 39(10) and 72</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cantSplit/>
        </w:trPr>
        <w:tc>
          <w:tcPr>
            <w:tcW w:w="2267" w:type="dxa"/>
          </w:tcPr>
          <w:p>
            <w:pPr>
              <w:pStyle w:val="nTable"/>
              <w:spacing w:after="40"/>
              <w:ind w:right="113"/>
              <w:rPr>
                <w:sz w:val="19"/>
              </w:rPr>
            </w:pPr>
            <w:r>
              <w:rPr>
                <w:i/>
                <w:sz w:val="19"/>
              </w:rPr>
              <w:t>Rail Freight System Act 2000</w:t>
            </w:r>
            <w:r>
              <w:rPr>
                <w:sz w:val="19"/>
              </w:rPr>
              <w:t xml:space="preserve"> Pt. 5 Div. 3</w:t>
            </w:r>
          </w:p>
        </w:tc>
        <w:tc>
          <w:tcPr>
            <w:tcW w:w="1134" w:type="dxa"/>
          </w:tcPr>
          <w:p>
            <w:pPr>
              <w:pStyle w:val="nTable"/>
              <w:spacing w:after="40"/>
              <w:rPr>
                <w:sz w:val="19"/>
              </w:rPr>
            </w:pPr>
            <w:r>
              <w:rPr>
                <w:sz w:val="19"/>
              </w:rPr>
              <w:t>13 of 2000</w:t>
            </w:r>
          </w:p>
        </w:tc>
        <w:tc>
          <w:tcPr>
            <w:tcW w:w="1136" w:type="dxa"/>
          </w:tcPr>
          <w:p>
            <w:pPr>
              <w:pStyle w:val="nTable"/>
              <w:spacing w:after="40"/>
              <w:rPr>
                <w:sz w:val="19"/>
              </w:rPr>
            </w:pPr>
            <w:r>
              <w:rPr>
                <w:sz w:val="19"/>
              </w:rPr>
              <w:t>8 Jun 2000</w:t>
            </w:r>
          </w:p>
        </w:tc>
        <w:tc>
          <w:tcPr>
            <w:tcW w:w="2551" w:type="dxa"/>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7" w:type="dxa"/>
          </w:tcPr>
          <w:p>
            <w:pPr>
              <w:pStyle w:val="nTable"/>
              <w:spacing w:after="40"/>
              <w:ind w:right="113"/>
              <w:rPr>
                <w:i/>
                <w:sz w:val="19"/>
              </w:rPr>
            </w:pPr>
            <w:r>
              <w:rPr>
                <w:i/>
                <w:sz w:val="19"/>
              </w:rPr>
              <w:t>Statutes (Repeals and Minor Amendments) Act 2000</w:t>
            </w:r>
            <w:r>
              <w:rPr>
                <w:sz w:val="19"/>
              </w:rPr>
              <w:t xml:space="preserve"> s. 53</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2267" w:type="dxa"/>
          </w:tcPr>
          <w:p>
            <w:pPr>
              <w:pStyle w:val="nTable"/>
              <w:spacing w:after="40"/>
              <w:ind w:right="113"/>
              <w:rPr>
                <w:i/>
                <w:sz w:val="19"/>
              </w:rPr>
            </w:pPr>
            <w:r>
              <w:rPr>
                <w:i/>
                <w:sz w:val="19"/>
              </w:rPr>
              <w:t>Acts Amendment and Repeal (Competition Policy) Act 2003</w:t>
            </w:r>
            <w:r>
              <w:rPr>
                <w:sz w:val="19"/>
              </w:rPr>
              <w:t xml:space="preserve"> Pt. 9</w:t>
            </w:r>
          </w:p>
        </w:tc>
        <w:tc>
          <w:tcPr>
            <w:tcW w:w="1134" w:type="dxa"/>
          </w:tcPr>
          <w:p>
            <w:pPr>
              <w:pStyle w:val="nTable"/>
              <w:spacing w:after="40"/>
              <w:rPr>
                <w:sz w:val="19"/>
              </w:rPr>
            </w:pPr>
            <w:r>
              <w:rPr>
                <w:sz w:val="19"/>
              </w:rPr>
              <w:t>70 of 2003</w:t>
            </w:r>
          </w:p>
        </w:tc>
        <w:tc>
          <w:tcPr>
            <w:tcW w:w="1136" w:type="dxa"/>
          </w:tcPr>
          <w:p>
            <w:pPr>
              <w:pStyle w:val="nTable"/>
              <w:spacing w:after="40"/>
              <w:rPr>
                <w:sz w:val="19"/>
              </w:rPr>
            </w:pPr>
            <w:r>
              <w:rPr>
                <w:sz w:val="19"/>
              </w:rPr>
              <w:t>15 Dec 2003</w:t>
            </w:r>
          </w:p>
        </w:tc>
        <w:tc>
          <w:tcPr>
            <w:tcW w:w="2551" w:type="dxa"/>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7" w:type="dxa"/>
          </w:tcPr>
          <w:p>
            <w:pPr>
              <w:pStyle w:val="nTable"/>
              <w:spacing w:after="40"/>
              <w:ind w:right="113"/>
              <w:rPr>
                <w:i/>
                <w:sz w:val="19"/>
              </w:rPr>
            </w:pPr>
            <w:r>
              <w:rPr>
                <w:i/>
                <w:sz w:val="19"/>
              </w:rPr>
              <w:t xml:space="preserve">Revenue Laws Amendment and Repeal Act 2004 </w:t>
            </w:r>
            <w:r>
              <w:rPr>
                <w:iCs/>
                <w:sz w:val="19"/>
              </w:rPr>
              <w:t>s. 39</w:t>
            </w:r>
          </w:p>
        </w:tc>
        <w:tc>
          <w:tcPr>
            <w:tcW w:w="1134" w:type="dxa"/>
          </w:tcPr>
          <w:p>
            <w:pPr>
              <w:pStyle w:val="nTable"/>
              <w:spacing w:after="40"/>
              <w:rPr>
                <w:sz w:val="19"/>
              </w:rPr>
            </w:pPr>
            <w:r>
              <w:rPr>
                <w:sz w:val="19"/>
              </w:rPr>
              <w:t>12 of 2004</w:t>
            </w:r>
          </w:p>
        </w:tc>
        <w:tc>
          <w:tcPr>
            <w:tcW w:w="1136" w:type="dxa"/>
          </w:tcPr>
          <w:p>
            <w:pPr>
              <w:pStyle w:val="nTable"/>
              <w:spacing w:after="40"/>
              <w:rPr>
                <w:sz w:val="19"/>
              </w:rPr>
            </w:pPr>
            <w:r>
              <w:rPr>
                <w:sz w:val="19"/>
              </w:rPr>
              <w:t>29 Jun 2004</w:t>
            </w:r>
          </w:p>
        </w:tc>
        <w:tc>
          <w:tcPr>
            <w:tcW w:w="2551" w:type="dxa"/>
          </w:tcPr>
          <w:p>
            <w:pPr>
              <w:pStyle w:val="nTable"/>
              <w:spacing w:after="40"/>
              <w:rPr>
                <w:sz w:val="19"/>
              </w:rPr>
            </w:pPr>
            <w:r>
              <w:rPr>
                <w:sz w:val="19"/>
              </w:rPr>
              <w:t>29 Jun 2004 (see s. 2(1))</w:t>
            </w:r>
          </w:p>
        </w:tc>
      </w:tr>
      <w:tr>
        <w:trPr>
          <w:cantSplit/>
        </w:trPr>
        <w:tc>
          <w:tcPr>
            <w:tcW w:w="7088" w:type="dxa"/>
            <w:gridSpan w:val="4"/>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7" w:type="dxa"/>
            <w:tcBorders>
              <w:top w:val="nil"/>
              <w:bottom w:val="nil"/>
            </w:tcBorders>
          </w:tcPr>
          <w:p>
            <w:pPr>
              <w:pStyle w:val="nTable"/>
              <w:spacing w:after="40"/>
              <w:rPr>
                <w:i/>
                <w:iCs/>
                <w:snapToGrid w:val="0"/>
                <w:sz w:val="19"/>
                <w:lang w:val="en-US"/>
              </w:rPr>
            </w:pPr>
            <w:r>
              <w:rPr>
                <w:i/>
                <w:snapToGrid w:val="0"/>
                <w:sz w:val="19"/>
                <w:lang w:val="en-US"/>
              </w:rPr>
              <w:t>Children and Community Services Act 2004</w:t>
            </w:r>
            <w:r>
              <w:rPr>
                <w:snapToGrid w:val="0"/>
                <w:sz w:val="19"/>
                <w:lang w:val="en-US"/>
              </w:rPr>
              <w:t xml:space="preserve"> Sch. 2 cl. 13</w:t>
            </w:r>
          </w:p>
        </w:tc>
        <w:tc>
          <w:tcPr>
            <w:tcW w:w="1134" w:type="dxa"/>
            <w:tcBorders>
              <w:top w:val="nil"/>
              <w:bottom w:val="nil"/>
            </w:tcBorders>
          </w:tcPr>
          <w:p>
            <w:pPr>
              <w:pStyle w:val="nTable"/>
              <w:spacing w:after="40"/>
              <w:rPr>
                <w:snapToGrid w:val="0"/>
                <w:sz w:val="19"/>
                <w:lang w:val="en-US"/>
              </w:rPr>
            </w:pPr>
            <w:r>
              <w:rPr>
                <w:snapToGrid w:val="0"/>
                <w:sz w:val="19"/>
                <w:lang w:val="en-US"/>
              </w:rPr>
              <w:t>34 of 2004</w:t>
            </w:r>
          </w:p>
        </w:tc>
        <w:tc>
          <w:tcPr>
            <w:tcW w:w="1136" w:type="dxa"/>
            <w:tcBorders>
              <w:top w:val="nil"/>
              <w:bottom w:val="nil"/>
            </w:tcBorders>
          </w:tcPr>
          <w:p>
            <w:pPr>
              <w:pStyle w:val="nTable"/>
              <w:spacing w:after="40"/>
              <w:rPr>
                <w:snapToGrid w:val="0"/>
                <w:sz w:val="19"/>
                <w:lang w:val="en-US"/>
              </w:rPr>
            </w:pPr>
            <w:r>
              <w:rPr>
                <w:sz w:val="19"/>
              </w:rPr>
              <w:t>20 Oct 2004</w:t>
            </w:r>
          </w:p>
        </w:tc>
        <w:tc>
          <w:tcPr>
            <w:tcW w:w="2551" w:type="dxa"/>
            <w:tcBorders>
              <w:top w:val="nil"/>
              <w:bottom w:val="nil"/>
            </w:tcBorders>
          </w:tcPr>
          <w:p>
            <w:pPr>
              <w:pStyle w:val="nTable"/>
              <w:spacing w:after="40"/>
              <w:rPr>
                <w:snapToGrid w:val="0"/>
                <w:sz w:val="19"/>
                <w:lang w:val="en-US"/>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67" w:type="dxa"/>
            <w:tcBorders>
              <w:top w:val="nil"/>
              <w:bottom w:val="nil"/>
            </w:tcBorders>
          </w:tcPr>
          <w:p>
            <w:pPr>
              <w:pStyle w:val="nTable"/>
              <w:spacing w:after="40"/>
              <w:rPr>
                <w:i/>
                <w:iCs/>
                <w:snapToGrid w:val="0"/>
                <w:sz w:val="19"/>
                <w:vertAlign w:val="superscript"/>
                <w:lang w:val="en-US"/>
              </w:rPr>
            </w:pPr>
            <w:r>
              <w:rPr>
                <w:i/>
                <w:iCs/>
                <w:snapToGrid w:val="0"/>
                <w:sz w:val="19"/>
                <w:lang w:val="en-US"/>
              </w:rPr>
              <w:t>Courts Legislation Amendment and Repeal Act 2004</w:t>
            </w:r>
            <w:r>
              <w:rPr>
                <w:snapToGrid w:val="0"/>
                <w:sz w:val="19"/>
                <w:lang w:val="en-US"/>
              </w:rPr>
              <w:t xml:space="preserve"> s. 141 </w:t>
            </w:r>
            <w:r>
              <w:rPr>
                <w:snapToGrid w:val="0"/>
                <w:sz w:val="19"/>
                <w:vertAlign w:val="superscript"/>
                <w:lang w:val="en-US"/>
              </w:rPr>
              <w:t>2</w:t>
            </w:r>
          </w:p>
        </w:tc>
        <w:tc>
          <w:tcPr>
            <w:tcW w:w="1134" w:type="dxa"/>
            <w:tcBorders>
              <w:top w:val="nil"/>
              <w:bottom w:val="nil"/>
            </w:tcBorders>
          </w:tcPr>
          <w:p>
            <w:pPr>
              <w:pStyle w:val="nTable"/>
              <w:spacing w:after="40"/>
              <w:rPr>
                <w:snapToGrid w:val="0"/>
                <w:sz w:val="19"/>
                <w:lang w:val="en-US"/>
              </w:rPr>
            </w:pPr>
            <w:r>
              <w:rPr>
                <w:snapToGrid w:val="0"/>
                <w:sz w:val="19"/>
                <w:lang w:val="en-US"/>
              </w:rPr>
              <w:t>59 of 2004 (as amended by No. 2 of 2008 s. 77(13))</w:t>
            </w:r>
          </w:p>
        </w:tc>
        <w:tc>
          <w:tcPr>
            <w:tcW w:w="1136" w:type="dxa"/>
            <w:tcBorders>
              <w:top w:val="nil"/>
              <w:bottom w:val="nil"/>
            </w:tcBorders>
          </w:tcPr>
          <w:p>
            <w:pPr>
              <w:pStyle w:val="nTable"/>
              <w:spacing w:after="40"/>
              <w:rPr>
                <w:sz w:val="19"/>
              </w:rPr>
            </w:pPr>
            <w:r>
              <w:rPr>
                <w:snapToGrid w:val="0"/>
                <w:sz w:val="19"/>
                <w:lang w:val="en-US"/>
              </w:rPr>
              <w:t>23 Nov 2004</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cantSplit/>
        </w:trPr>
        <w:tc>
          <w:tcPr>
            <w:tcW w:w="2267" w:type="dxa"/>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r>
              <w:rPr>
                <w:sz w:val="19"/>
                <w:vertAlign w:val="superscript"/>
              </w:rPr>
              <w:t>3</w:t>
            </w:r>
          </w:p>
        </w:tc>
        <w:tc>
          <w:tcPr>
            <w:tcW w:w="1134" w:type="dxa"/>
          </w:tcPr>
          <w:p>
            <w:pPr>
              <w:pStyle w:val="nTable"/>
              <w:spacing w:after="40"/>
              <w:rPr>
                <w:sz w:val="19"/>
              </w:rPr>
            </w:pPr>
            <w:r>
              <w:rPr>
                <w:rFonts w:ascii="Times" w:hAnsi="Times"/>
                <w:sz w:val="19"/>
              </w:rPr>
              <w:t>55 of 2004</w:t>
            </w:r>
          </w:p>
        </w:tc>
        <w:tc>
          <w:tcPr>
            <w:tcW w:w="1136" w:type="dxa"/>
          </w:tcPr>
          <w:p>
            <w:pPr>
              <w:pStyle w:val="nTable"/>
              <w:spacing w:after="40"/>
              <w:rPr>
                <w:sz w:val="19"/>
              </w:rPr>
            </w:pPr>
            <w:r>
              <w:rPr>
                <w:rFonts w:ascii="Times" w:hAnsi="Times"/>
                <w:sz w:val="19"/>
              </w:rPr>
              <w:t>24 Nov 2004</w:t>
            </w:r>
          </w:p>
        </w:tc>
        <w:tc>
          <w:tcPr>
            <w:tcW w:w="2551"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7" w:type="dxa"/>
          </w:tcPr>
          <w:p>
            <w:pPr>
              <w:pStyle w:val="nTable"/>
              <w:spacing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tcPr>
          <w:p>
            <w:pPr>
              <w:pStyle w:val="nTable"/>
              <w:spacing w:after="40"/>
              <w:rPr>
                <w:rFonts w:ascii="Times" w:hAnsi="Times"/>
                <w:sz w:val="19"/>
              </w:rPr>
            </w:pPr>
            <w:r>
              <w:rPr>
                <w:snapToGrid w:val="0"/>
                <w:sz w:val="19"/>
                <w:lang w:val="en-US"/>
              </w:rPr>
              <w:t>84 of 2004</w:t>
            </w:r>
          </w:p>
        </w:tc>
        <w:tc>
          <w:tcPr>
            <w:tcW w:w="1136" w:type="dxa"/>
          </w:tcPr>
          <w:p>
            <w:pPr>
              <w:pStyle w:val="nTable"/>
              <w:spacing w:after="40"/>
              <w:rPr>
                <w:rFonts w:ascii="Times" w:hAnsi="Times"/>
                <w:sz w:val="19"/>
              </w:rPr>
            </w:pPr>
            <w:r>
              <w:rPr>
                <w:sz w:val="19"/>
              </w:rPr>
              <w:t>16 Dec 2004</w:t>
            </w:r>
          </w:p>
        </w:tc>
        <w:tc>
          <w:tcPr>
            <w:tcW w:w="2551"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r>
              <w:rPr>
                <w:sz w:val="19"/>
                <w:vertAlign w:val="superscript"/>
              </w:rPr>
              <w:t> 4</w:t>
            </w:r>
          </w:p>
        </w:tc>
        <w:tc>
          <w:tcPr>
            <w:tcW w:w="1134" w:type="dxa"/>
          </w:tcPr>
          <w:p>
            <w:pPr>
              <w:pStyle w:val="nTable"/>
              <w:spacing w:after="40"/>
              <w:rPr>
                <w:rFonts w:ascii="Times" w:hAnsi="Times"/>
                <w:sz w:val="19"/>
              </w:rPr>
            </w:pPr>
            <w:r>
              <w:rPr>
                <w:rFonts w:ascii="Times" w:hAnsi="Times"/>
                <w:sz w:val="19"/>
              </w:rPr>
              <w:t>28 of 2006</w:t>
            </w:r>
          </w:p>
        </w:tc>
        <w:tc>
          <w:tcPr>
            <w:tcW w:w="1136" w:type="dxa"/>
          </w:tcPr>
          <w:p>
            <w:pPr>
              <w:pStyle w:val="nTable"/>
              <w:spacing w:after="40"/>
              <w:rPr>
                <w:rFonts w:ascii="Times" w:hAnsi="Times"/>
                <w:sz w:val="19"/>
              </w:rPr>
            </w:pPr>
            <w:r>
              <w:rPr>
                <w:rFonts w:ascii="Times" w:hAnsi="Times"/>
                <w:sz w:val="19"/>
              </w:rPr>
              <w:t>26 Jun 2006</w:t>
            </w:r>
          </w:p>
        </w:tc>
        <w:tc>
          <w:tcPr>
            <w:tcW w:w="2551"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7088" w:type="dxa"/>
            <w:gridSpan w:val="4"/>
          </w:tcPr>
          <w:p>
            <w:pPr>
              <w:pStyle w:val="nTable"/>
              <w:spacing w:after="40"/>
              <w:rPr>
                <w:sz w:val="19"/>
              </w:rPr>
            </w:pPr>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p>
        </w:tc>
      </w:tr>
      <w:tr>
        <w:trPr>
          <w:cantSplit/>
        </w:trPr>
        <w:tc>
          <w:tcPr>
            <w:tcW w:w="2267" w:type="dxa"/>
          </w:tcPr>
          <w:p>
            <w:pPr>
              <w:pStyle w:val="nTable"/>
              <w:spacing w:after="40"/>
              <w:rPr>
                <w:iCs/>
                <w:sz w:val="19"/>
                <w:vertAlign w:val="superscript"/>
              </w:rPr>
            </w:pPr>
            <w:r>
              <w:rPr>
                <w:i/>
                <w:sz w:val="19"/>
              </w:rPr>
              <w:t>Duties Legislation Amendment Act 2008</w:t>
            </w:r>
            <w:r>
              <w:rPr>
                <w:iCs/>
                <w:sz w:val="19"/>
              </w:rPr>
              <w:t xml:space="preserve"> Sch. 1 cl. 15</w:t>
            </w:r>
          </w:p>
        </w:tc>
        <w:tc>
          <w:tcPr>
            <w:tcW w:w="1134" w:type="dxa"/>
          </w:tcPr>
          <w:p>
            <w:pPr>
              <w:pStyle w:val="nTable"/>
              <w:spacing w:after="40"/>
              <w:rPr>
                <w:sz w:val="19"/>
              </w:rPr>
            </w:pPr>
            <w:r>
              <w:rPr>
                <w:sz w:val="19"/>
              </w:rPr>
              <w:t>12 of 2008</w:t>
            </w:r>
          </w:p>
        </w:tc>
        <w:tc>
          <w:tcPr>
            <w:tcW w:w="1136"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rPr>
          <w:cantSplit/>
        </w:trPr>
        <w:tc>
          <w:tcPr>
            <w:tcW w:w="2267" w:type="dxa"/>
          </w:tcPr>
          <w:p>
            <w:pPr>
              <w:pStyle w:val="nTable"/>
              <w:spacing w:after="40"/>
              <w:ind w:right="113"/>
              <w:rPr>
                <w:iCs/>
                <w:sz w:val="19"/>
              </w:rPr>
            </w:pPr>
            <w:r>
              <w:rPr>
                <w:i/>
                <w:sz w:val="19"/>
              </w:rPr>
              <w:t>Statutes (Repeals and Miscellaneous Amendments) Act 2009</w:t>
            </w:r>
            <w:r>
              <w:rPr>
                <w:iCs/>
                <w:sz w:val="19"/>
              </w:rPr>
              <w:t xml:space="preserve"> s. 74</w:t>
            </w:r>
          </w:p>
        </w:tc>
        <w:tc>
          <w:tcPr>
            <w:tcW w:w="1134"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2267" w:type="dxa"/>
          </w:tcPr>
          <w:p>
            <w:pPr>
              <w:pStyle w:val="nTable"/>
              <w:spacing w:after="40"/>
              <w:rPr>
                <w:iCs/>
                <w:snapToGrid w:val="0"/>
                <w:sz w:val="19"/>
              </w:rPr>
            </w:pPr>
            <w:r>
              <w:rPr>
                <w:i/>
                <w:snapToGrid w:val="0"/>
                <w:sz w:val="19"/>
              </w:rPr>
              <w:t>Acts Amendment (Bankruptcy) Act 2009</w:t>
            </w:r>
            <w:r>
              <w:rPr>
                <w:iCs/>
                <w:snapToGrid w:val="0"/>
                <w:sz w:val="19"/>
              </w:rPr>
              <w:t xml:space="preserve"> s. 42</w:t>
            </w:r>
          </w:p>
        </w:tc>
        <w:tc>
          <w:tcPr>
            <w:tcW w:w="1134" w:type="dxa"/>
          </w:tcPr>
          <w:p>
            <w:pPr>
              <w:pStyle w:val="nTable"/>
              <w:spacing w:after="40"/>
              <w:rPr>
                <w:sz w:val="19"/>
              </w:rPr>
            </w:pPr>
            <w:r>
              <w:rPr>
                <w:sz w:val="19"/>
              </w:rPr>
              <w:t>18 of 2009</w:t>
            </w:r>
          </w:p>
        </w:tc>
        <w:tc>
          <w:tcPr>
            <w:tcW w:w="1136"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2267" w:type="dxa"/>
          </w:tcPr>
          <w:p>
            <w:pPr>
              <w:pStyle w:val="nTable"/>
              <w:spacing w:after="40"/>
              <w:rPr>
                <w:i/>
                <w:snapToGrid w:val="0"/>
                <w:sz w:val="19"/>
              </w:rPr>
            </w:pPr>
            <w:r>
              <w:rPr>
                <w:i/>
                <w:snapToGrid w:val="0"/>
                <w:sz w:val="19"/>
              </w:rPr>
              <w:t>Credit (Commonwealth Powers) (Transitional and Consequential Provisions) Act 2010</w:t>
            </w:r>
            <w:r>
              <w:rPr>
                <w:i/>
                <w:iCs/>
                <w:snapToGrid w:val="0"/>
                <w:sz w:val="19"/>
              </w:rPr>
              <w:t xml:space="preserve"> </w:t>
            </w:r>
            <w:r>
              <w:rPr>
                <w:snapToGrid w:val="0"/>
                <w:sz w:val="19"/>
              </w:rPr>
              <w:t>s. 11</w:t>
            </w:r>
          </w:p>
        </w:tc>
        <w:tc>
          <w:tcPr>
            <w:tcW w:w="1134" w:type="dxa"/>
          </w:tcPr>
          <w:p>
            <w:pPr>
              <w:pStyle w:val="nTable"/>
              <w:spacing w:after="40"/>
              <w:rPr>
                <w:sz w:val="19"/>
              </w:rPr>
            </w:pPr>
            <w:r>
              <w:rPr>
                <w:sz w:val="19"/>
              </w:rPr>
              <w:t>14 of 2010</w:t>
            </w:r>
          </w:p>
        </w:tc>
        <w:tc>
          <w:tcPr>
            <w:tcW w:w="1136" w:type="dxa"/>
          </w:tcPr>
          <w:p>
            <w:pPr>
              <w:pStyle w:val="nTable"/>
              <w:spacing w:after="40"/>
              <w:rPr>
                <w:sz w:val="19"/>
              </w:rPr>
            </w:pPr>
            <w:r>
              <w:rPr>
                <w:sz w:val="19"/>
              </w:rPr>
              <w:t>25 Jun 2010</w:t>
            </w:r>
          </w:p>
        </w:tc>
        <w:tc>
          <w:tcPr>
            <w:tcW w:w="2551" w:type="dxa"/>
          </w:tcPr>
          <w:p>
            <w:pPr>
              <w:pStyle w:val="nTable"/>
              <w:spacing w:after="40"/>
              <w:rPr>
                <w:sz w:val="19"/>
              </w:rPr>
            </w:pPr>
            <w:r>
              <w:rPr>
                <w:sz w:val="19"/>
              </w:rPr>
              <w:t xml:space="preserve">1 Jul 2010 (see s. 2(b) and </w:t>
            </w:r>
            <w:r>
              <w:rPr>
                <w:i/>
                <w:iCs/>
                <w:sz w:val="19"/>
              </w:rPr>
              <w:t xml:space="preserve">Gazette </w:t>
            </w:r>
            <w:r>
              <w:rPr>
                <w:sz w:val="19"/>
              </w:rPr>
              <w:t>30 Jun 2010 p. 3185)</w:t>
            </w:r>
          </w:p>
        </w:tc>
      </w:tr>
      <w:tr>
        <w:trPr>
          <w:cantSplit/>
        </w:trPr>
        <w:tc>
          <w:tcPr>
            <w:tcW w:w="2267"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19 and 51</w:t>
            </w:r>
          </w:p>
        </w:tc>
        <w:tc>
          <w:tcPr>
            <w:tcW w:w="1134" w:type="dxa"/>
          </w:tcPr>
          <w:p>
            <w:pPr>
              <w:pStyle w:val="nTable"/>
              <w:spacing w:after="40"/>
              <w:rPr>
                <w:snapToGrid w:val="0"/>
                <w:sz w:val="19"/>
                <w:lang w:val="en-US"/>
              </w:rPr>
            </w:pPr>
            <w:r>
              <w:rPr>
                <w:snapToGrid w:val="0"/>
                <w:sz w:val="19"/>
                <w:lang w:val="en-US"/>
              </w:rPr>
              <w:t>19 of 2010</w:t>
            </w:r>
          </w:p>
        </w:tc>
        <w:tc>
          <w:tcPr>
            <w:tcW w:w="1136" w:type="dxa"/>
          </w:tcPr>
          <w:p>
            <w:pPr>
              <w:pStyle w:val="nTable"/>
              <w:spacing w:after="40"/>
              <w:rPr>
                <w:snapToGrid w:val="0"/>
                <w:sz w:val="19"/>
                <w:lang w:val="en-US"/>
              </w:rPr>
            </w:pPr>
            <w:r>
              <w:rPr>
                <w:snapToGrid w:val="0"/>
                <w:sz w:val="19"/>
                <w:lang w:val="en-US"/>
              </w:rPr>
              <w:t>28 Jun 2010</w:t>
            </w:r>
          </w:p>
        </w:tc>
        <w:tc>
          <w:tcPr>
            <w:tcW w:w="2551"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7" w:type="dxa"/>
          </w:tcPr>
          <w:p>
            <w:pPr>
              <w:pStyle w:val="nTable"/>
              <w:spacing w:after="40"/>
              <w:ind w:right="113"/>
              <w:rPr>
                <w:i/>
                <w:snapToGrid w:val="0"/>
                <w:sz w:val="19"/>
                <w:lang w:val="en-US"/>
              </w:rPr>
            </w:pPr>
            <w:r>
              <w:rPr>
                <w:i/>
                <w:noProof/>
                <w:snapToGrid w:val="0"/>
                <w:sz w:val="19"/>
              </w:rPr>
              <w:t>Acts Amendment (Fair Trading) Act 2010</w:t>
            </w:r>
            <w:r>
              <w:rPr>
                <w:iCs/>
                <w:noProof/>
                <w:snapToGrid w:val="0"/>
                <w:sz w:val="19"/>
              </w:rPr>
              <w:t xml:space="preserve"> s. 187</w:t>
            </w:r>
          </w:p>
        </w:tc>
        <w:tc>
          <w:tcPr>
            <w:tcW w:w="1134" w:type="dxa"/>
          </w:tcPr>
          <w:p>
            <w:pPr>
              <w:pStyle w:val="nTable"/>
              <w:spacing w:after="40"/>
              <w:rPr>
                <w:snapToGrid w:val="0"/>
                <w:sz w:val="19"/>
                <w:lang w:val="en-US"/>
              </w:rPr>
            </w:pPr>
            <w:r>
              <w:rPr>
                <w:sz w:val="19"/>
              </w:rPr>
              <w:t>58 of 2010</w:t>
            </w:r>
          </w:p>
        </w:tc>
        <w:tc>
          <w:tcPr>
            <w:tcW w:w="1136" w:type="dxa"/>
          </w:tcPr>
          <w:p>
            <w:pPr>
              <w:pStyle w:val="nTable"/>
              <w:spacing w:after="40"/>
              <w:rPr>
                <w:snapToGrid w:val="0"/>
                <w:sz w:val="19"/>
                <w:lang w:val="en-US"/>
              </w:rPr>
            </w:pPr>
            <w:r>
              <w:rPr>
                <w:sz w:val="19"/>
              </w:rPr>
              <w:t>8 Dec 2010</w:t>
            </w:r>
          </w:p>
        </w:tc>
        <w:tc>
          <w:tcPr>
            <w:tcW w:w="2551" w:type="dxa"/>
          </w:tcPr>
          <w:p>
            <w:pPr>
              <w:pStyle w:val="nTable"/>
              <w:spacing w:after="40"/>
              <w:rPr>
                <w:snapToGrid w:val="0"/>
                <w:sz w:val="19"/>
                <w:lang w:val="en-US"/>
              </w:rPr>
            </w:pPr>
            <w:r>
              <w:rPr>
                <w:sz w:val="19"/>
              </w:rPr>
              <w:t xml:space="preserve">1 Jan 2011 (see s. 2(c) and </w:t>
            </w:r>
            <w:r>
              <w:rPr>
                <w:i/>
                <w:iCs/>
                <w:sz w:val="19"/>
              </w:rPr>
              <w:t>Gazette</w:t>
            </w:r>
            <w:r>
              <w:rPr>
                <w:sz w:val="19"/>
              </w:rPr>
              <w:t xml:space="preserve"> 24 Dec 2010 p. 6805)</w:t>
            </w:r>
          </w:p>
        </w:tc>
      </w:tr>
      <w:tr>
        <w:trPr>
          <w:cantSplit/>
        </w:trPr>
        <w:tc>
          <w:tcPr>
            <w:tcW w:w="7088" w:type="dxa"/>
            <w:gridSpan w:val="4"/>
            <w:tcBorders>
              <w:bottom w:val="single" w:sz="8" w:space="0" w:color="auto"/>
            </w:tcBorders>
          </w:tcPr>
          <w:p>
            <w:pPr>
              <w:pStyle w:val="nTable"/>
              <w:spacing w:after="40"/>
              <w:rPr>
                <w:sz w:val="19"/>
              </w:rPr>
            </w:pPr>
            <w:r>
              <w:rPr>
                <w:b/>
                <w:sz w:val="19"/>
              </w:rPr>
              <w:t xml:space="preserve">Reprint 8: The </w:t>
            </w:r>
            <w:r>
              <w:rPr>
                <w:b/>
                <w:i/>
                <w:sz w:val="19"/>
              </w:rPr>
              <w:t>Hire</w:t>
            </w:r>
            <w:r>
              <w:rPr>
                <w:b/>
                <w:i/>
                <w:sz w:val="19"/>
              </w:rPr>
              <w:noBreakHyphen/>
              <w:t>Purchase Act 1959</w:t>
            </w:r>
            <w:r>
              <w:rPr>
                <w:b/>
                <w:sz w:val="19"/>
              </w:rPr>
              <w:t xml:space="preserve"> as at 18 Feb 2011</w:t>
            </w:r>
            <w:r>
              <w:rPr>
                <w:sz w:val="19"/>
              </w:rPr>
              <w:t xml:space="preserve"> (includes amendments listed above)</w:t>
            </w:r>
          </w:p>
        </w:tc>
      </w:tr>
    </w:tbl>
    <w:p>
      <w:pPr>
        <w:pStyle w:val="nSubsection"/>
        <w:spacing w:before="360"/>
        <w:ind w:left="482" w:hanging="482"/>
        <w:rPr>
          <w:ins w:id="969" w:author="svcMRProcess" w:date="2020-02-17T02:18:00Z"/>
        </w:rPr>
      </w:pPr>
      <w:ins w:id="970" w:author="svcMRProcess" w:date="2020-02-17T02:18:00Z">
        <w:r>
          <w:rPr>
            <w:vertAlign w:val="superscript"/>
          </w:rPr>
          <w:t>1a</w:t>
        </w:r>
        <w:r>
          <w:tab/>
          <w:t>On the date as at which thi</w:t>
        </w:r>
        <w:bookmarkStart w:id="971" w:name="_Hlt507390729"/>
        <w:bookmarkEnd w:id="971"/>
        <w:r>
          <w:t>s compilation was prepared, provisions referred to in the following table had not come into operation and were therefore not included in this compilation.  For the text of the provisions see the endnotes referred to in the table.</w:t>
        </w:r>
      </w:ins>
    </w:p>
    <w:p>
      <w:pPr>
        <w:pStyle w:val="nHeading3"/>
        <w:keepLines/>
        <w:rPr>
          <w:ins w:id="972" w:author="svcMRProcess" w:date="2020-02-17T02:18:00Z"/>
          <w:snapToGrid w:val="0"/>
        </w:rPr>
      </w:pPr>
      <w:bookmarkStart w:id="973" w:name="_Toc171843051"/>
      <w:bookmarkStart w:id="974" w:name="_Toc305662868"/>
      <w:bookmarkStart w:id="975" w:name="_Toc305751278"/>
      <w:ins w:id="976" w:author="svcMRProcess" w:date="2020-02-17T02:18:00Z">
        <w:r>
          <w:rPr>
            <w:snapToGrid w:val="0"/>
          </w:rPr>
          <w:t>Provisions that have not come into operation</w:t>
        </w:r>
        <w:bookmarkEnd w:id="973"/>
        <w:bookmarkEnd w:id="974"/>
        <w:bookmarkEnd w:id="975"/>
      </w:ins>
    </w:p>
    <w:tbl>
      <w:tblPr>
        <w:tblW w:w="6924" w:type="dxa"/>
        <w:tblInd w:w="103"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8"/>
        <w:gridCol w:w="2187"/>
        <w:gridCol w:w="1134"/>
        <w:gridCol w:w="1118"/>
        <w:gridCol w:w="6"/>
        <w:gridCol w:w="2457"/>
        <w:gridCol w:w="14"/>
      </w:tblGrid>
      <w:tr>
        <w:trPr>
          <w:ins w:id="977" w:author="svcMRProcess" w:date="2020-02-17T02:18:00Z"/>
        </w:trPr>
        <w:tc>
          <w:tcPr>
            <w:tcW w:w="2195" w:type="dxa"/>
            <w:gridSpan w:val="2"/>
            <w:tcBorders>
              <w:top w:val="single" w:sz="8" w:space="0" w:color="auto"/>
              <w:bottom w:val="single" w:sz="8" w:space="0" w:color="auto"/>
            </w:tcBorders>
          </w:tcPr>
          <w:p>
            <w:pPr>
              <w:pStyle w:val="nTable"/>
              <w:keepNext/>
              <w:keepLines/>
              <w:spacing w:after="40"/>
              <w:rPr>
                <w:ins w:id="978" w:author="svcMRProcess" w:date="2020-02-17T02:18:00Z"/>
                <w:b/>
                <w:snapToGrid w:val="0"/>
                <w:sz w:val="19"/>
                <w:lang w:val="en-US"/>
              </w:rPr>
            </w:pPr>
            <w:ins w:id="979" w:author="svcMRProcess" w:date="2020-02-17T02:18:00Z">
              <w:r>
                <w:rPr>
                  <w:b/>
                  <w:snapToGrid w:val="0"/>
                  <w:sz w:val="19"/>
                  <w:lang w:val="en-US"/>
                </w:rPr>
                <w:t>Short title</w:t>
              </w:r>
            </w:ins>
          </w:p>
        </w:tc>
        <w:tc>
          <w:tcPr>
            <w:tcW w:w="1134" w:type="dxa"/>
            <w:tcBorders>
              <w:top w:val="single" w:sz="8" w:space="0" w:color="auto"/>
              <w:bottom w:val="single" w:sz="8" w:space="0" w:color="auto"/>
            </w:tcBorders>
          </w:tcPr>
          <w:p>
            <w:pPr>
              <w:pStyle w:val="nTable"/>
              <w:spacing w:after="40"/>
              <w:rPr>
                <w:ins w:id="980" w:author="svcMRProcess" w:date="2020-02-17T02:18:00Z"/>
                <w:b/>
                <w:snapToGrid w:val="0"/>
                <w:sz w:val="19"/>
                <w:lang w:val="en-US"/>
              </w:rPr>
            </w:pPr>
            <w:ins w:id="981" w:author="svcMRProcess" w:date="2020-02-17T02:18:00Z">
              <w:r>
                <w:rPr>
                  <w:b/>
                  <w:snapToGrid w:val="0"/>
                  <w:sz w:val="19"/>
                  <w:lang w:val="en-US"/>
                </w:rPr>
                <w:t>Number and year</w:t>
              </w:r>
            </w:ins>
          </w:p>
        </w:tc>
        <w:tc>
          <w:tcPr>
            <w:tcW w:w="1124" w:type="dxa"/>
            <w:gridSpan w:val="2"/>
            <w:tcBorders>
              <w:top w:val="single" w:sz="8" w:space="0" w:color="auto"/>
              <w:bottom w:val="single" w:sz="8" w:space="0" w:color="auto"/>
            </w:tcBorders>
          </w:tcPr>
          <w:p>
            <w:pPr>
              <w:pStyle w:val="nTable"/>
              <w:spacing w:after="40"/>
              <w:rPr>
                <w:ins w:id="982" w:author="svcMRProcess" w:date="2020-02-17T02:18:00Z"/>
                <w:b/>
                <w:snapToGrid w:val="0"/>
                <w:sz w:val="19"/>
                <w:lang w:val="en-US"/>
              </w:rPr>
            </w:pPr>
            <w:ins w:id="983" w:author="svcMRProcess" w:date="2020-02-17T02:18:00Z">
              <w:r>
                <w:rPr>
                  <w:b/>
                  <w:snapToGrid w:val="0"/>
                  <w:sz w:val="19"/>
                  <w:lang w:val="en-US"/>
                </w:rPr>
                <w:t>Assent</w:t>
              </w:r>
            </w:ins>
          </w:p>
        </w:tc>
        <w:tc>
          <w:tcPr>
            <w:tcW w:w="2471" w:type="dxa"/>
            <w:gridSpan w:val="2"/>
            <w:tcBorders>
              <w:top w:val="single" w:sz="8" w:space="0" w:color="auto"/>
              <w:bottom w:val="single" w:sz="8" w:space="0" w:color="auto"/>
            </w:tcBorders>
          </w:tcPr>
          <w:p>
            <w:pPr>
              <w:pStyle w:val="nTable"/>
              <w:keepNext/>
              <w:keepLines/>
              <w:spacing w:after="40"/>
              <w:rPr>
                <w:ins w:id="984" w:author="svcMRProcess" w:date="2020-02-17T02:18:00Z"/>
                <w:b/>
                <w:snapToGrid w:val="0"/>
                <w:sz w:val="19"/>
                <w:lang w:val="en-US"/>
              </w:rPr>
            </w:pPr>
            <w:ins w:id="985" w:author="svcMRProcess" w:date="2020-02-17T02:18:00Z">
              <w:r>
                <w:rPr>
                  <w:b/>
                  <w:snapToGrid w:val="0"/>
                  <w:sz w:val="19"/>
                  <w:lang w:val="en-US"/>
                </w:rPr>
                <w:t>Commencement</w:t>
              </w:r>
            </w:ins>
          </w:p>
        </w:tc>
      </w:tr>
      <w:tr>
        <w:tblPrEx>
          <w:tblBorders>
            <w:top w:val="none" w:sz="0" w:space="0" w:color="auto"/>
            <w:bottom w:val="none" w:sz="0" w:space="0" w:color="auto"/>
            <w:insideH w:val="none" w:sz="0" w:space="0" w:color="auto"/>
          </w:tblBorders>
        </w:tblPrEx>
        <w:trPr>
          <w:gridBefore w:val="1"/>
          <w:gridAfter w:val="1"/>
          <w:wBefore w:w="8" w:type="dxa"/>
          <w:wAfter w:w="14" w:type="dxa"/>
          <w:cantSplit/>
          <w:ins w:id="986" w:author="svcMRProcess" w:date="2020-02-17T02:18:00Z"/>
        </w:trPr>
        <w:tc>
          <w:tcPr>
            <w:tcW w:w="2187" w:type="dxa"/>
            <w:tcBorders>
              <w:bottom w:val="single" w:sz="4" w:space="0" w:color="auto"/>
            </w:tcBorders>
          </w:tcPr>
          <w:p>
            <w:pPr>
              <w:pStyle w:val="nTable"/>
              <w:spacing w:after="40"/>
              <w:ind w:right="113"/>
              <w:rPr>
                <w:ins w:id="987" w:author="svcMRProcess" w:date="2020-02-17T02:18:00Z"/>
                <w:snapToGrid w:val="0"/>
                <w:sz w:val="19"/>
                <w:vertAlign w:val="superscript"/>
                <w:lang w:val="en-US"/>
              </w:rPr>
            </w:pPr>
            <w:ins w:id="988" w:author="svcMRProcess" w:date="2020-02-17T02:18:00Z">
              <w:r>
                <w:rPr>
                  <w:i/>
                  <w:snapToGrid w:val="0"/>
                  <w:sz w:val="19"/>
                  <w:lang w:val="en-US"/>
                </w:rPr>
                <w:t>Personal Property Securities (Consequential Repeals and Amendments) Act 2011</w:t>
              </w:r>
              <w:r>
                <w:rPr>
                  <w:snapToGrid w:val="0"/>
                  <w:sz w:val="19"/>
                  <w:lang w:val="en-US"/>
                </w:rPr>
                <w:t xml:space="preserve"> Pt. 4 Div. 6</w:t>
              </w:r>
              <w:r>
                <w:rPr>
                  <w:snapToGrid w:val="0"/>
                  <w:sz w:val="19"/>
                  <w:vertAlign w:val="superscript"/>
                  <w:lang w:val="en-US"/>
                </w:rPr>
                <w:t> 5</w:t>
              </w:r>
            </w:ins>
          </w:p>
        </w:tc>
        <w:tc>
          <w:tcPr>
            <w:tcW w:w="1134" w:type="dxa"/>
            <w:tcBorders>
              <w:bottom w:val="single" w:sz="4" w:space="0" w:color="auto"/>
            </w:tcBorders>
          </w:tcPr>
          <w:p>
            <w:pPr>
              <w:pStyle w:val="nTable"/>
              <w:spacing w:after="40"/>
              <w:ind w:right="113"/>
              <w:rPr>
                <w:ins w:id="989" w:author="svcMRProcess" w:date="2020-02-17T02:18:00Z"/>
                <w:snapToGrid w:val="0"/>
                <w:sz w:val="19"/>
                <w:lang w:val="en-US"/>
              </w:rPr>
            </w:pPr>
            <w:ins w:id="990" w:author="svcMRProcess" w:date="2020-02-17T02:18:00Z">
              <w:r>
                <w:rPr>
                  <w:snapToGrid w:val="0"/>
                  <w:sz w:val="19"/>
                  <w:lang w:val="en-US"/>
                </w:rPr>
                <w:t>42 of 2011</w:t>
              </w:r>
            </w:ins>
          </w:p>
        </w:tc>
        <w:tc>
          <w:tcPr>
            <w:tcW w:w="1118" w:type="dxa"/>
            <w:tcBorders>
              <w:bottom w:val="single" w:sz="4" w:space="0" w:color="auto"/>
            </w:tcBorders>
          </w:tcPr>
          <w:p>
            <w:pPr>
              <w:pStyle w:val="nTable"/>
              <w:spacing w:after="40"/>
              <w:rPr>
                <w:ins w:id="991" w:author="svcMRProcess" w:date="2020-02-17T02:18:00Z"/>
                <w:sz w:val="19"/>
              </w:rPr>
            </w:pPr>
            <w:ins w:id="992" w:author="svcMRProcess" w:date="2020-02-17T02:18:00Z">
              <w:r>
                <w:rPr>
                  <w:sz w:val="19"/>
                </w:rPr>
                <w:t>4 Oct 2011</w:t>
              </w:r>
            </w:ins>
          </w:p>
        </w:tc>
        <w:tc>
          <w:tcPr>
            <w:tcW w:w="2463" w:type="dxa"/>
            <w:gridSpan w:val="2"/>
            <w:tcBorders>
              <w:bottom w:val="single" w:sz="4" w:space="0" w:color="auto"/>
            </w:tcBorders>
          </w:tcPr>
          <w:p>
            <w:pPr>
              <w:pStyle w:val="nTable"/>
              <w:spacing w:after="40"/>
              <w:rPr>
                <w:ins w:id="993" w:author="svcMRProcess" w:date="2020-02-17T02:18:00Z"/>
                <w:snapToGrid w:val="0"/>
                <w:sz w:val="19"/>
                <w:lang w:val="en-US"/>
              </w:rPr>
            </w:pPr>
            <w:ins w:id="994" w:author="svcMRProcess" w:date="2020-02-17T02:18:00Z">
              <w:r>
                <w:rPr>
                  <w:snapToGrid w:val="0"/>
                  <w:sz w:val="19"/>
                  <w:lang w:val="en-US"/>
                </w:rPr>
                <w:t xml:space="preserve">Operative immediately before the registration commencement time as defined in the </w:t>
              </w:r>
              <w:r>
                <w:rPr>
                  <w:i/>
                  <w:snapToGrid w:val="0"/>
                  <w:sz w:val="19"/>
                  <w:lang w:val="en-US"/>
                </w:rPr>
                <w:t>Personal Property Securities Act 2009</w:t>
              </w:r>
              <w:r>
                <w:rPr>
                  <w:snapToGrid w:val="0"/>
                  <w:sz w:val="19"/>
                  <w:lang w:val="en-US"/>
                </w:rPr>
                <w:t xml:space="preserve"> (Cwlth) s. 306(2) (see s. 2(c))</w:t>
              </w:r>
            </w:ins>
          </w:p>
        </w:tc>
      </w:tr>
    </w:tbl>
    <w:p>
      <w:pPr>
        <w:pStyle w:val="nSubsection"/>
      </w:pPr>
      <w:r>
        <w:rPr>
          <w:vertAlign w:val="superscript"/>
        </w:rPr>
        <w:t>2</w:t>
      </w:r>
      <w:r>
        <w:rPr>
          <w:vertAlign w:val="superscript"/>
        </w:rPr>
        <w:tab/>
      </w:r>
      <w:r>
        <w:t xml:space="preserve">The </w:t>
      </w:r>
      <w:r>
        <w:rPr>
          <w:i/>
          <w:iCs/>
        </w:rPr>
        <w:t>Courts Legislation Amendment and Repeal Act 2004</w:t>
      </w:r>
      <w:r>
        <w:t xml:space="preserve"> Sch. 2 cl. 24 </w:t>
      </w:r>
      <w:r>
        <w:rPr>
          <w:snapToGrid w:val="0"/>
        </w:rPr>
        <w:t xml:space="preserve">was deleted by the </w:t>
      </w:r>
      <w:r>
        <w:rPr>
          <w:i/>
          <w:iCs/>
          <w:snapToGrid w:val="0"/>
        </w:rPr>
        <w:t>Criminal Law and Evidence Amendment Act 2008</w:t>
      </w:r>
      <w:r>
        <w:rPr>
          <w:snapToGrid w:val="0"/>
        </w:rPr>
        <w:t xml:space="preserve"> s. 77(13).</w:t>
      </w:r>
    </w:p>
    <w:p>
      <w:pPr>
        <w:pStyle w:val="nSubsection"/>
        <w:keepLines/>
        <w:rPr>
          <w:iCs/>
        </w:rPr>
      </w:pPr>
      <w:r>
        <w:rPr>
          <w:vertAlign w:val="superscript"/>
        </w:rPr>
        <w:t>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4</w:t>
      </w:r>
      <w:r>
        <w:tab/>
        <w:t xml:space="preserve">The </w:t>
      </w:r>
      <w:r>
        <w:rPr>
          <w:i/>
          <w:iCs/>
        </w:rPr>
        <w:t>Machinery of Government (Miscellaneous Amendments) Act 2006</w:t>
      </w:r>
      <w:r>
        <w:t xml:space="preserve"> Pt. 4 Div. 23 (other than s. 151) (as amended by </w:t>
      </w:r>
      <w:r>
        <w:rPr>
          <w:i/>
          <w:iCs/>
        </w:rPr>
        <w:t>Acts Amendment (Fair Trading) Act 2010</w:t>
      </w:r>
      <w:r>
        <w:t xml:space="preserve"> s. 184) reads as follows:</w:t>
      </w:r>
    </w:p>
    <w:p>
      <w:pPr>
        <w:pStyle w:val="BlankOpen"/>
      </w:pPr>
    </w:p>
    <w:p>
      <w:pPr>
        <w:pStyle w:val="nzHeading3"/>
      </w:pPr>
      <w:r>
        <w:rPr>
          <w:rStyle w:val="CharDivNo"/>
        </w:rPr>
        <w:t>Division 23</w:t>
      </w:r>
      <w:r>
        <w:t> — </w:t>
      </w:r>
      <w:r>
        <w:rPr>
          <w:rStyle w:val="CharDivText"/>
        </w:rPr>
        <w:t>Transitional provisions</w:t>
      </w:r>
    </w:p>
    <w:p>
      <w:pPr>
        <w:pStyle w:val="nEdnotesection"/>
        <w:tabs>
          <w:tab w:val="clear" w:pos="893"/>
          <w:tab w:val="left" w:pos="600"/>
        </w:tabs>
      </w:pPr>
      <w:r>
        <w:tab/>
        <w:t>[</w:t>
      </w:r>
      <w:r>
        <w:rPr>
          <w:b/>
          <w:bCs/>
        </w:rPr>
        <w:t>151.</w:t>
      </w:r>
      <w:r>
        <w:tab/>
        <w:t>Deleted by No. 58 of 2010 s. 184.]</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In this Division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BlankClose"/>
      </w:pPr>
    </w:p>
    <w:p>
      <w:pPr>
        <w:pStyle w:val="nSubsection"/>
        <w:keepLines/>
        <w:rPr>
          <w:ins w:id="995" w:author="svcMRProcess" w:date="2020-02-17T02:18:00Z"/>
          <w:snapToGrid w:val="0"/>
        </w:rPr>
      </w:pPr>
      <w:bookmarkStart w:id="996" w:name="AutoSch"/>
      <w:bookmarkEnd w:id="996"/>
      <w:ins w:id="997" w:author="svcMRProcess" w:date="2020-02-17T02:18:00Z">
        <w:r>
          <w:rPr>
            <w:snapToGrid w:val="0"/>
            <w:vertAlign w:val="superscript"/>
          </w:rPr>
          <w:t>5</w:t>
        </w:r>
        <w:r>
          <w:rPr>
            <w:snapToGrid w:val="0"/>
          </w:rPr>
          <w:tab/>
        </w:r>
        <w:r>
          <w:t xml:space="preserve">On the date as at which this compilation was prepared, </w:t>
        </w:r>
        <w:r>
          <w:rPr>
            <w:snapToGrid w:val="0"/>
          </w:rPr>
          <w:t xml:space="preserve">the </w:t>
        </w:r>
        <w:r>
          <w:rPr>
            <w:i/>
            <w:snapToGrid w:val="0"/>
          </w:rPr>
          <w:t>Personal Property Securities (Consequential Repeals and Amendments) Act 2011</w:t>
        </w:r>
        <w:r>
          <w:rPr>
            <w:snapToGrid w:val="0"/>
          </w:rPr>
          <w:t xml:space="preserve"> Pt. 4 Div. 6 had not come into operation.  It reads as follows:</w:t>
        </w:r>
      </w:ins>
    </w:p>
    <w:p>
      <w:pPr>
        <w:pStyle w:val="BlankOpen"/>
        <w:rPr>
          <w:ins w:id="998" w:author="svcMRProcess" w:date="2020-02-17T02:18:00Z"/>
        </w:rPr>
      </w:pPr>
    </w:p>
    <w:p>
      <w:pPr>
        <w:pStyle w:val="nzHeading3"/>
        <w:rPr>
          <w:ins w:id="999" w:author="svcMRProcess" w:date="2020-02-17T02:18:00Z"/>
        </w:rPr>
      </w:pPr>
      <w:bookmarkStart w:id="1000" w:name="_Toc274146085"/>
      <w:bookmarkStart w:id="1001" w:name="_Toc274150005"/>
      <w:bookmarkStart w:id="1002" w:name="_Toc284515065"/>
      <w:bookmarkStart w:id="1003" w:name="_Toc284516200"/>
      <w:bookmarkStart w:id="1004" w:name="_Toc284576209"/>
      <w:bookmarkStart w:id="1005" w:name="_Toc285022558"/>
      <w:bookmarkStart w:id="1006" w:name="_Toc301537948"/>
      <w:bookmarkStart w:id="1007" w:name="_Toc301538151"/>
      <w:bookmarkStart w:id="1008" w:name="_Toc304972792"/>
      <w:bookmarkStart w:id="1009" w:name="_Toc305571919"/>
      <w:bookmarkStart w:id="1010" w:name="_Toc305577809"/>
      <w:bookmarkStart w:id="1011" w:name="_Toc305578012"/>
      <w:bookmarkStart w:id="1012" w:name="_Toc305578215"/>
      <w:bookmarkStart w:id="1013" w:name="_Toc305578845"/>
      <w:ins w:id="1014" w:author="svcMRProcess" w:date="2020-02-17T02:18:00Z">
        <w:r>
          <w:rPr>
            <w:rStyle w:val="CharDivNo"/>
          </w:rPr>
          <w:t>Division 6</w:t>
        </w:r>
        <w:r>
          <w:t> — </w:t>
        </w:r>
        <w:r>
          <w:rPr>
            <w:rStyle w:val="CharDivText"/>
            <w:i/>
            <w:iCs/>
          </w:rPr>
          <w:t>Hire</w:t>
        </w:r>
        <w:r>
          <w:rPr>
            <w:rStyle w:val="CharDivText"/>
            <w:i/>
            <w:iCs/>
          </w:rPr>
          <w:noBreakHyphen/>
          <w:t>Purchase Act 1959</w:t>
        </w:r>
        <w:r>
          <w:rPr>
            <w:rStyle w:val="CharDivText"/>
          </w:rPr>
          <w:t xml:space="preserve"> amended</w:t>
        </w:r>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ins>
    </w:p>
    <w:p>
      <w:pPr>
        <w:pStyle w:val="nzHeading5"/>
        <w:rPr>
          <w:ins w:id="1015" w:author="svcMRProcess" w:date="2020-02-17T02:18:00Z"/>
        </w:rPr>
      </w:pPr>
      <w:bookmarkStart w:id="1016" w:name="_Toc305578013"/>
      <w:bookmarkStart w:id="1017" w:name="_Toc305578216"/>
      <w:bookmarkStart w:id="1018" w:name="_Toc305578846"/>
      <w:ins w:id="1019" w:author="svcMRProcess" w:date="2020-02-17T02:18:00Z">
        <w:r>
          <w:rPr>
            <w:rStyle w:val="CharSectno"/>
          </w:rPr>
          <w:t>51</w:t>
        </w:r>
        <w:r>
          <w:t>.</w:t>
        </w:r>
        <w:r>
          <w:tab/>
          <w:t>Act amended</w:t>
        </w:r>
        <w:bookmarkEnd w:id="1016"/>
        <w:bookmarkEnd w:id="1017"/>
        <w:bookmarkEnd w:id="1018"/>
      </w:ins>
    </w:p>
    <w:p>
      <w:pPr>
        <w:pStyle w:val="nzSubsection"/>
        <w:rPr>
          <w:ins w:id="1020" w:author="svcMRProcess" w:date="2020-02-17T02:18:00Z"/>
        </w:rPr>
      </w:pPr>
      <w:ins w:id="1021" w:author="svcMRProcess" w:date="2020-02-17T02:18:00Z">
        <w:r>
          <w:tab/>
        </w:r>
        <w:r>
          <w:tab/>
          <w:t xml:space="preserve">This Division amends the </w:t>
        </w:r>
        <w:r>
          <w:rPr>
            <w:i/>
          </w:rPr>
          <w:t>Hire</w:t>
        </w:r>
        <w:r>
          <w:rPr>
            <w:i/>
          </w:rPr>
          <w:noBreakHyphen/>
          <w:t>Purchase Act 1959</w:t>
        </w:r>
        <w:r>
          <w:t>.</w:t>
        </w:r>
      </w:ins>
    </w:p>
    <w:p>
      <w:pPr>
        <w:pStyle w:val="nzHeading5"/>
        <w:rPr>
          <w:ins w:id="1022" w:author="svcMRProcess" w:date="2020-02-17T02:18:00Z"/>
        </w:rPr>
      </w:pPr>
      <w:bookmarkStart w:id="1023" w:name="_Toc305578014"/>
      <w:bookmarkStart w:id="1024" w:name="_Toc305578217"/>
      <w:bookmarkStart w:id="1025" w:name="_Toc305578847"/>
      <w:ins w:id="1026" w:author="svcMRProcess" w:date="2020-02-17T02:18:00Z">
        <w:r>
          <w:rPr>
            <w:rStyle w:val="CharSectno"/>
          </w:rPr>
          <w:t>52</w:t>
        </w:r>
        <w:r>
          <w:t>.</w:t>
        </w:r>
        <w:r>
          <w:tab/>
          <w:t>Section 3 amended</w:t>
        </w:r>
        <w:bookmarkEnd w:id="1023"/>
        <w:bookmarkEnd w:id="1024"/>
        <w:bookmarkEnd w:id="1025"/>
      </w:ins>
    </w:p>
    <w:p>
      <w:pPr>
        <w:pStyle w:val="nzSubsection"/>
        <w:rPr>
          <w:ins w:id="1027" w:author="svcMRProcess" w:date="2020-02-17T02:18:00Z"/>
        </w:rPr>
      </w:pPr>
      <w:ins w:id="1028" w:author="svcMRProcess" w:date="2020-02-17T02:18:00Z">
        <w:r>
          <w:tab/>
        </w:r>
        <w:r>
          <w:tab/>
          <w:t>Delete section 3(2)(e)(vii).</w:t>
        </w:r>
      </w:ins>
    </w:p>
    <w:p>
      <w:pPr>
        <w:pStyle w:val="nzHeading5"/>
        <w:rPr>
          <w:ins w:id="1029" w:author="svcMRProcess" w:date="2020-02-17T02:18:00Z"/>
        </w:rPr>
      </w:pPr>
      <w:bookmarkStart w:id="1030" w:name="_Toc305578015"/>
      <w:bookmarkStart w:id="1031" w:name="_Toc305578218"/>
      <w:bookmarkStart w:id="1032" w:name="_Toc305578848"/>
      <w:ins w:id="1033" w:author="svcMRProcess" w:date="2020-02-17T02:18:00Z">
        <w:r>
          <w:rPr>
            <w:rStyle w:val="CharSectno"/>
          </w:rPr>
          <w:t>53</w:t>
        </w:r>
        <w:r>
          <w:t>.</w:t>
        </w:r>
        <w:r>
          <w:tab/>
          <w:t>Section 9 amended</w:t>
        </w:r>
        <w:bookmarkEnd w:id="1030"/>
        <w:bookmarkEnd w:id="1031"/>
        <w:bookmarkEnd w:id="1032"/>
      </w:ins>
    </w:p>
    <w:p>
      <w:pPr>
        <w:pStyle w:val="nzSubsection"/>
        <w:rPr>
          <w:ins w:id="1034" w:author="svcMRProcess" w:date="2020-02-17T02:18:00Z"/>
        </w:rPr>
      </w:pPr>
      <w:ins w:id="1035" w:author="svcMRProcess" w:date="2020-02-17T02:18:00Z">
        <w:r>
          <w:tab/>
        </w:r>
        <w:r>
          <w:tab/>
          <w:t xml:space="preserve">In section 9(4)(b) delete “counterparts and if required by the owner also the reasonable costs incurred by the owner in registering the same under the </w:t>
        </w:r>
        <w:r>
          <w:rPr>
            <w:i/>
            <w:iCs/>
          </w:rPr>
          <w:t>Bills of Sale Act 1899</w:t>
        </w:r>
        <w:r>
          <w:t>.” and insert:</w:t>
        </w:r>
      </w:ins>
    </w:p>
    <w:p>
      <w:pPr>
        <w:pStyle w:val="BlankOpen"/>
        <w:rPr>
          <w:ins w:id="1036" w:author="svcMRProcess" w:date="2020-02-17T02:18:00Z"/>
        </w:rPr>
      </w:pPr>
    </w:p>
    <w:p>
      <w:pPr>
        <w:pStyle w:val="nzSubsection"/>
        <w:rPr>
          <w:ins w:id="1037" w:author="svcMRProcess" w:date="2020-02-17T02:18:00Z"/>
        </w:rPr>
      </w:pPr>
      <w:ins w:id="1038" w:author="svcMRProcess" w:date="2020-02-17T02:18:00Z">
        <w:r>
          <w:tab/>
        </w:r>
        <w:r>
          <w:tab/>
          <w:t>counterparts.</w:t>
        </w:r>
      </w:ins>
    </w:p>
    <w:p>
      <w:pPr>
        <w:pStyle w:val="BlankClose"/>
        <w:rPr>
          <w:ins w:id="1039" w:author="svcMRProcess" w:date="2020-02-17T02:18:00Z"/>
        </w:rPr>
      </w:pPr>
    </w:p>
    <w:p>
      <w:pPr>
        <w:pStyle w:val="nzHeading5"/>
        <w:rPr>
          <w:ins w:id="1040" w:author="svcMRProcess" w:date="2020-02-17T02:18:00Z"/>
        </w:rPr>
      </w:pPr>
      <w:bookmarkStart w:id="1041" w:name="_Toc305578016"/>
      <w:bookmarkStart w:id="1042" w:name="_Toc305578219"/>
      <w:bookmarkStart w:id="1043" w:name="_Toc305578849"/>
      <w:ins w:id="1044" w:author="svcMRProcess" w:date="2020-02-17T02:18:00Z">
        <w:r>
          <w:rPr>
            <w:rStyle w:val="CharSectno"/>
          </w:rPr>
          <w:t>54</w:t>
        </w:r>
        <w:r>
          <w:t>.</w:t>
        </w:r>
        <w:r>
          <w:tab/>
          <w:t>Section 36A amended</w:t>
        </w:r>
        <w:bookmarkEnd w:id="1041"/>
        <w:bookmarkEnd w:id="1042"/>
        <w:bookmarkEnd w:id="1043"/>
      </w:ins>
    </w:p>
    <w:p>
      <w:pPr>
        <w:pStyle w:val="nzSubsection"/>
        <w:rPr>
          <w:ins w:id="1045" w:author="svcMRProcess" w:date="2020-02-17T02:18:00Z"/>
        </w:rPr>
      </w:pPr>
      <w:ins w:id="1046" w:author="svcMRProcess" w:date="2020-02-17T02:18:00Z">
        <w:r>
          <w:tab/>
        </w:r>
        <w:r>
          <w:tab/>
          <w:t>In section 36A(2a)(b) delete “and agreement registration fees”.</w:t>
        </w:r>
      </w:ins>
    </w:p>
    <w:p>
      <w:pPr>
        <w:pStyle w:val="nzHeading5"/>
        <w:rPr>
          <w:ins w:id="1047" w:author="svcMRProcess" w:date="2020-02-17T02:18:00Z"/>
        </w:rPr>
      </w:pPr>
      <w:bookmarkStart w:id="1048" w:name="_Toc305578017"/>
      <w:bookmarkStart w:id="1049" w:name="_Toc305578220"/>
      <w:bookmarkStart w:id="1050" w:name="_Toc305578850"/>
      <w:ins w:id="1051" w:author="svcMRProcess" w:date="2020-02-17T02:18:00Z">
        <w:r>
          <w:rPr>
            <w:rStyle w:val="CharSectno"/>
          </w:rPr>
          <w:t>55</w:t>
        </w:r>
        <w:r>
          <w:t>.</w:t>
        </w:r>
        <w:r>
          <w:tab/>
          <w:t>First Schedule Part 1 amended</w:t>
        </w:r>
        <w:bookmarkEnd w:id="1048"/>
        <w:bookmarkEnd w:id="1049"/>
        <w:bookmarkEnd w:id="1050"/>
      </w:ins>
    </w:p>
    <w:p>
      <w:pPr>
        <w:pStyle w:val="nzSubsection"/>
        <w:rPr>
          <w:ins w:id="1052" w:author="svcMRProcess" w:date="2020-02-17T02:18:00Z"/>
        </w:rPr>
      </w:pPr>
      <w:ins w:id="1053" w:author="svcMRProcess" w:date="2020-02-17T02:18:00Z">
        <w:r>
          <w:tab/>
        </w:r>
        <w:r>
          <w:tab/>
          <w:t>In the First Schedule Part 1 delete:</w:t>
        </w:r>
      </w:ins>
    </w:p>
    <w:p>
      <w:pPr>
        <w:pStyle w:val="BlankOpen"/>
        <w:spacing w:after="120"/>
        <w:rPr>
          <w:ins w:id="1054" w:author="svcMRProcess" w:date="2020-02-17T02:18:00Z"/>
        </w:rPr>
      </w:pPr>
    </w:p>
    <w:tbl>
      <w:tblPr>
        <w:tblW w:w="0" w:type="auto"/>
        <w:tblInd w:w="921" w:type="dxa"/>
        <w:tblCellMar>
          <w:left w:w="70" w:type="dxa"/>
          <w:right w:w="70" w:type="dxa"/>
        </w:tblCellMar>
        <w:tblLook w:val="0000" w:firstRow="0" w:lastRow="0" w:firstColumn="0" w:lastColumn="0" w:noHBand="0" w:noVBand="0"/>
      </w:tblPr>
      <w:tblGrid>
        <w:gridCol w:w="2348"/>
        <w:gridCol w:w="770"/>
        <w:gridCol w:w="851"/>
      </w:tblGrid>
      <w:tr>
        <w:trPr>
          <w:cantSplit/>
          <w:ins w:id="1055" w:author="svcMRProcess" w:date="2020-02-17T02:18:00Z"/>
        </w:trPr>
        <w:tc>
          <w:tcPr>
            <w:tcW w:w="2348" w:type="dxa"/>
            <w:tcBorders>
              <w:left w:val="single" w:sz="4" w:space="0" w:color="auto"/>
              <w:right w:val="single" w:sz="4" w:space="0" w:color="auto"/>
            </w:tcBorders>
          </w:tcPr>
          <w:p>
            <w:pPr>
              <w:pStyle w:val="nzTable"/>
              <w:rPr>
                <w:ins w:id="1056" w:author="svcMRProcess" w:date="2020-02-17T02:18:00Z"/>
              </w:rPr>
            </w:pPr>
            <w:ins w:id="1057" w:author="svcMRProcess" w:date="2020-02-17T02:18:00Z">
              <w:r>
                <w:rPr>
                  <w:sz w:val="18"/>
                </w:rPr>
                <w:tab/>
                <w:t>”</w:t>
              </w:r>
              <w:r>
                <w:rPr>
                  <w:sz w:val="18"/>
                </w:rPr>
                <w:tab/>
                <w:t>Agreement Registration Fees ...............................</w:t>
              </w:r>
            </w:ins>
          </w:p>
        </w:tc>
        <w:tc>
          <w:tcPr>
            <w:tcW w:w="770" w:type="dxa"/>
            <w:tcBorders>
              <w:left w:val="nil"/>
              <w:right w:val="single" w:sz="4" w:space="0" w:color="auto"/>
            </w:tcBorders>
          </w:tcPr>
          <w:p>
            <w:pPr>
              <w:pStyle w:val="nzTable"/>
              <w:rPr>
                <w:ins w:id="1058" w:author="svcMRProcess" w:date="2020-02-17T02:18:00Z"/>
              </w:rPr>
            </w:pPr>
            <w:ins w:id="1059" w:author="svcMRProcess" w:date="2020-02-17T02:18:00Z">
              <w:r>
                <w:rPr>
                  <w:sz w:val="18"/>
                </w:rPr>
                <w:br/>
                <w:t>..............</w:t>
              </w:r>
            </w:ins>
          </w:p>
        </w:tc>
        <w:tc>
          <w:tcPr>
            <w:tcW w:w="851" w:type="dxa"/>
            <w:tcBorders>
              <w:left w:val="single" w:sz="4" w:space="0" w:color="auto"/>
              <w:right w:val="single" w:sz="4" w:space="0" w:color="auto"/>
            </w:tcBorders>
          </w:tcPr>
          <w:p>
            <w:pPr>
              <w:pStyle w:val="nzTable"/>
              <w:rPr>
                <w:ins w:id="1060" w:author="svcMRProcess" w:date="2020-02-17T02:18:00Z"/>
              </w:rPr>
            </w:pPr>
            <w:ins w:id="1061" w:author="svcMRProcess" w:date="2020-02-17T02:18:00Z">
              <w:r>
                <w:rPr>
                  <w:sz w:val="18"/>
                </w:rPr>
                <w:br/>
                <w:t>..............</w:t>
              </w:r>
            </w:ins>
          </w:p>
        </w:tc>
      </w:tr>
    </w:tbl>
    <w:p>
      <w:pPr>
        <w:pStyle w:val="BlankClose"/>
        <w:rPr>
          <w:ins w:id="1062" w:author="svcMRProcess" w:date="2020-02-17T02:18:00Z"/>
        </w:rPr>
      </w:pPr>
    </w:p>
    <w:p>
      <w:pPr>
        <w:pStyle w:val="BlankClose"/>
        <w:rPr>
          <w:ins w:id="1063" w:author="svcMRProcess" w:date="2020-02-17T02:18:00Z"/>
        </w:rPr>
      </w:pPr>
    </w:p>
    <w:p>
      <w:pPr>
        <w:ind w:left="720" w:hanging="720"/>
        <w:rPr>
          <w:bCs/>
        </w:rPr>
      </w:pPr>
    </w:p>
    <w:p>
      <w:pPr>
        <w:ind w:left="720" w:hanging="720"/>
        <w:rPr>
          <w:bCs/>
        </w:rPr>
        <w:sectPr>
          <w:headerReference w:type="even" r:id="rId28"/>
          <w:headerReference w:type="default" r:id="rId29"/>
          <w:pgSz w:w="11906" w:h="16838" w:code="9"/>
          <w:pgMar w:top="2376" w:right="2405" w:bottom="3542" w:left="2405" w:header="706" w:footer="3380" w:gutter="0"/>
          <w:cols w:space="720"/>
          <w:noEndnote/>
          <w:docGrid w:linePitch="326"/>
        </w:sectPr>
      </w:pPr>
    </w:p>
    <w:p>
      <w:pPr>
        <w:ind w:left="720" w:hanging="720"/>
      </w:pPr>
    </w:p>
    <w:sectPr>
      <w:headerReference w:type="even" r:id="rId30"/>
      <w:headerReference w:type="default" r:id="rId31"/>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08-b0-02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2</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752"/>
      <w:gridCol w:w="551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752" w:type="dxa"/>
        </w:tcPr>
        <w:p>
          <w:pPr>
            <w:pStyle w:val="HeaderNumberLeft"/>
            <w:rPr>
              <w:b w:val="0"/>
            </w:rPr>
          </w:pPr>
          <w:r>
            <w:fldChar w:fldCharType="begin"/>
          </w:r>
          <w:r>
            <w:instrText xml:space="preserve"> styleref CharSchno </w:instrText>
          </w:r>
          <w:r>
            <w:rPr>
              <w:noProof/>
            </w:rPr>
            <w:fldChar w:fldCharType="end"/>
          </w:r>
        </w:p>
      </w:tc>
      <w:tc>
        <w:tcPr>
          <w:tcW w:w="5511" w:type="dxa"/>
        </w:tcPr>
        <w:p>
          <w:pPr>
            <w:pStyle w:val="HeaderTextLeft"/>
          </w:pPr>
          <w:r>
            <w:fldChar w:fldCharType="begin"/>
          </w:r>
          <w:r>
            <w:instrText xml:space="preserve"> styleref CharSchText </w:instrText>
          </w:r>
          <w:r>
            <w:rPr>
              <w:noProof/>
            </w:rPr>
            <w:fldChar w:fldCharType="end"/>
          </w:r>
        </w:p>
      </w:tc>
    </w:tr>
    <w:tr>
      <w:tc>
        <w:tcPr>
          <w:tcW w:w="175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511" w:type="dxa"/>
        </w:tcPr>
        <w:p>
          <w:pPr>
            <w:pStyle w:val="HeaderTextLeft"/>
          </w:pPr>
          <w:r>
            <w:fldChar w:fldCharType="begin"/>
          </w:r>
          <w:r>
            <w:instrText xml:space="preserve"> styleref CharSDivText </w:instrText>
          </w:r>
          <w:r>
            <w:rPr>
              <w:noProof/>
            </w:rPr>
            <w:fldChar w:fldCharType="end"/>
          </w:r>
        </w:p>
      </w:tc>
    </w:tr>
    <w:tr>
      <w:tc>
        <w:tcPr>
          <w:tcW w:w="1752" w:type="dxa"/>
        </w:tcPr>
        <w:p>
          <w:pPr>
            <w:pStyle w:val="HeaderNumberLeft"/>
          </w:pPr>
        </w:p>
      </w:tc>
      <w:tc>
        <w:tcPr>
          <w:tcW w:w="551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52"/>
      <w:gridCol w:w="1911"/>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52" w:type="dxa"/>
          <w:vAlign w:val="bottom"/>
        </w:tcPr>
        <w:p>
          <w:pPr>
            <w:pStyle w:val="HeaderTextRight"/>
          </w:pPr>
          <w:r>
            <w:fldChar w:fldCharType="begin"/>
          </w:r>
          <w:r>
            <w:instrText xml:space="preserve"> styleref CharSchText </w:instrText>
          </w:r>
          <w:r>
            <w:rPr>
              <w:noProof/>
            </w:rPr>
            <w:fldChar w:fldCharType="end"/>
          </w:r>
        </w:p>
      </w:tc>
      <w:tc>
        <w:tcPr>
          <w:tcW w:w="1911" w:type="dxa"/>
        </w:tcPr>
        <w:p>
          <w:pPr>
            <w:pStyle w:val="HeaderNumberRight"/>
            <w:ind w:right="17"/>
          </w:pPr>
          <w:r>
            <w:fldChar w:fldCharType="begin"/>
          </w:r>
          <w:r>
            <w:instrText xml:space="preserve"> styleref CharSchno </w:instrText>
          </w:r>
          <w:r>
            <w:rPr>
              <w:noProof/>
            </w:rPr>
            <w:fldChar w:fldCharType="end"/>
          </w:r>
        </w:p>
      </w:tc>
    </w:tr>
    <w:tr>
      <w:tc>
        <w:tcPr>
          <w:tcW w:w="5352" w:type="dxa"/>
        </w:tcPr>
        <w:p>
          <w:pPr>
            <w:pStyle w:val="HeaderTextRight"/>
          </w:pPr>
          <w:r>
            <w:fldChar w:fldCharType="begin"/>
          </w:r>
          <w:r>
            <w:instrText xml:space="preserve"> styleref CharSDivText </w:instrText>
          </w:r>
          <w:r>
            <w:rPr>
              <w:noProof/>
            </w:rPr>
            <w:fldChar w:fldCharType="end"/>
          </w:r>
        </w:p>
      </w:tc>
      <w:tc>
        <w:tcPr>
          <w:tcW w:w="191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352" w:type="dxa"/>
        </w:tcPr>
        <w:p>
          <w:pPr>
            <w:pStyle w:val="HeaderTextRight"/>
          </w:pPr>
        </w:p>
      </w:tc>
      <w:tc>
        <w:tcPr>
          <w:tcW w:w="1911"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722D1A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3A2EEE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D2AE142"/>
    <w:lvl w:ilvl="0">
      <w:start w:val="1"/>
      <w:numFmt w:val="decimal"/>
      <w:pStyle w:val="ListNumber3"/>
      <w:lvlText w:val="%1."/>
      <w:lvlJc w:val="left"/>
      <w:pPr>
        <w:tabs>
          <w:tab w:val="num" w:pos="926"/>
        </w:tabs>
        <w:ind w:left="926" w:hanging="360"/>
      </w:pPr>
    </w:lvl>
  </w:abstractNum>
  <w:abstractNum w:abstractNumId="3">
    <w:nsid w:val="FFFFFF7F"/>
    <w:multiLevelType w:val="singleLevel"/>
    <w:tmpl w:val="0B58810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2B0E45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FD6A39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7D6BCC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046E1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5DA4BC4"/>
    <w:lvl w:ilvl="0">
      <w:start w:val="1"/>
      <w:numFmt w:val="decimal"/>
      <w:pStyle w:val="ListNumber"/>
      <w:lvlText w:val="%1."/>
      <w:lvlJc w:val="left"/>
      <w:pPr>
        <w:tabs>
          <w:tab w:val="num" w:pos="360"/>
        </w:tabs>
        <w:ind w:left="360" w:hanging="360"/>
      </w:pPr>
    </w:lvl>
  </w:abstractNum>
  <w:abstractNum w:abstractNumId="9">
    <w:nsid w:val="FFFFFF89"/>
    <w:multiLevelType w:val="singleLevel"/>
    <w:tmpl w:val="DFE626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7103AF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7DE5170"/>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 w:numId="14">
    <w:abstractNumId w:val="20"/>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225"/>
    <w:docVar w:name="WAFER_20151211133225" w:val="RemoveTrackChanges"/>
    <w:docVar w:name="WAFER_20151211133225_GUID" w:val="0446a58b-e3d9-46d9-ae40-2f1cdfb3fe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7.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4.wmf"/><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19012</Words>
  <Characters>91072</Characters>
  <Application>Microsoft Office Word</Application>
  <DocSecurity>0</DocSecurity>
  <Lines>2461</Lines>
  <Paragraphs>1089</Paragraphs>
  <ScaleCrop>false</ScaleCrop>
  <HeadingPairs>
    <vt:vector size="2" baseType="variant">
      <vt:variant>
        <vt:lpstr>Title</vt:lpstr>
      </vt:variant>
      <vt:variant>
        <vt:i4>1</vt:i4>
      </vt:variant>
    </vt:vector>
  </HeadingPairs>
  <TitlesOfParts>
    <vt:vector size="1" baseType="lpstr">
      <vt:lpstr>Hire-Purchase Act 1959</vt:lpstr>
    </vt:vector>
  </TitlesOfParts>
  <Manager/>
  <Company/>
  <LinksUpToDate>false</LinksUpToDate>
  <CharactersWithSpaces>108995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08-a0-02 - 08-b0-02</dc:title>
  <dc:subject/>
  <dc:creator/>
  <cp:keywords/>
  <dc:description/>
  <cp:lastModifiedBy>svcMRProcess</cp:lastModifiedBy>
  <cp:revision>2</cp:revision>
  <cp:lastPrinted>2011-02-25T01:37:00Z</cp:lastPrinted>
  <dcterms:created xsi:type="dcterms:W3CDTF">2020-02-16T18:18:00Z</dcterms:created>
  <dcterms:modified xsi:type="dcterms:W3CDTF">2020-02-16T18:18:00Z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20111004</vt:lpwstr>
  </property>
  <property fmtid="{D5CDD505-2E9C-101B-9397-08002B2CF9AE}" pid="4" name="DocumentType">
    <vt:lpwstr>Act</vt:lpwstr>
  </property>
  <property fmtid="{D5CDD505-2E9C-101B-9397-08002B2CF9AE}" pid="5" name="OwlsUID">
    <vt:i4>351</vt:i4>
  </property>
  <property fmtid="{D5CDD505-2E9C-101B-9397-08002B2CF9AE}" pid="6" name="ReprintNo">
    <vt:lpwstr>8</vt:lpwstr>
  </property>
  <property fmtid="{D5CDD505-2E9C-101B-9397-08002B2CF9AE}" pid="7" name="ReprintedAsAt">
    <vt:filetime>2011-02-17T16:00:00Z</vt:filetime>
  </property>
  <property fmtid="{D5CDD505-2E9C-101B-9397-08002B2CF9AE}" pid="8" name="ThisVersion">
    <vt:lpwstr>08-a0-00</vt:lpwstr>
  </property>
  <property fmtid="{D5CDD505-2E9C-101B-9397-08002B2CF9AE}" pid="9" name="FromSuffix">
    <vt:lpwstr>08-a0-02</vt:lpwstr>
  </property>
  <property fmtid="{D5CDD505-2E9C-101B-9397-08002B2CF9AE}" pid="10" name="FromAsAtDate">
    <vt:lpwstr>18 Feb 2011</vt:lpwstr>
  </property>
  <property fmtid="{D5CDD505-2E9C-101B-9397-08002B2CF9AE}" pid="11" name="ToSuffix">
    <vt:lpwstr>08-b0-02</vt:lpwstr>
  </property>
  <property fmtid="{D5CDD505-2E9C-101B-9397-08002B2CF9AE}" pid="12" name="ToAsAtDate">
    <vt:lpwstr>04 Oct 2011</vt:lpwstr>
  </property>
</Properties>
</file>