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2009</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Vocational Education and Training Act 1996</w:t>
      </w:r>
    </w:p>
    <w:p>
      <w:pPr>
        <w:pStyle w:val="NameofActReg"/>
      </w:pPr>
      <w:r>
        <w:t>Vocational Education and Training (General) Regulations 2009</w:t>
      </w:r>
    </w:p>
    <w:p>
      <w:pPr>
        <w:pStyle w:val="Heading2"/>
        <w:pageBreakBefore w:val="0"/>
      </w:pPr>
      <w:bookmarkStart w:id="0" w:name="_Toc229464985"/>
      <w:bookmarkStart w:id="1" w:name="_Toc229465026"/>
      <w:bookmarkStart w:id="2" w:name="_Toc229465554"/>
      <w:bookmarkStart w:id="3" w:name="_Toc229465677"/>
      <w:bookmarkStart w:id="4" w:name="_Toc229466357"/>
      <w:bookmarkStart w:id="5" w:name="_Toc229467274"/>
      <w:bookmarkStart w:id="6" w:name="_Toc229467463"/>
      <w:bookmarkStart w:id="7" w:name="_Toc229471568"/>
      <w:bookmarkStart w:id="8" w:name="_Toc229472292"/>
      <w:bookmarkStart w:id="9" w:name="_Toc231116500"/>
      <w:bookmarkStart w:id="10" w:name="_Toc231120736"/>
      <w:bookmarkStart w:id="11" w:name="_Toc231121779"/>
      <w:bookmarkStart w:id="12" w:name="_Toc231178929"/>
      <w:bookmarkStart w:id="13" w:name="_Toc232395100"/>
      <w:bookmarkStart w:id="14" w:name="_Toc232396085"/>
      <w:bookmarkStart w:id="15" w:name="_Toc307322557"/>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7" w:name="_Toc423332722"/>
      <w:bookmarkStart w:id="18" w:name="_Toc425219441"/>
      <w:bookmarkStart w:id="19" w:name="_Toc426249308"/>
      <w:bookmarkStart w:id="20" w:name="_Toc449924704"/>
      <w:bookmarkStart w:id="21" w:name="_Toc449947722"/>
      <w:bookmarkStart w:id="22" w:name="_Toc454185713"/>
      <w:bookmarkStart w:id="23" w:name="_Toc515958686"/>
      <w:bookmarkStart w:id="24" w:name="_Toc229472293"/>
      <w:bookmarkStart w:id="25" w:name="_Toc231116501"/>
      <w:bookmarkStart w:id="26" w:name="_Toc307322558"/>
      <w:bookmarkStart w:id="27" w:name="_Toc232396086"/>
      <w:r>
        <w:rPr>
          <w:rStyle w:val="CharSectno"/>
        </w:rPr>
        <w:t>1</w:t>
      </w:r>
      <w:r>
        <w:t>.</w:t>
      </w:r>
      <w:r>
        <w:tab/>
        <w:t>Citation</w:t>
      </w:r>
      <w:bookmarkEnd w:id="17"/>
      <w:bookmarkEnd w:id="18"/>
      <w:bookmarkEnd w:id="19"/>
      <w:bookmarkEnd w:id="20"/>
      <w:bookmarkEnd w:id="21"/>
      <w:bookmarkEnd w:id="22"/>
      <w:bookmarkEnd w:id="23"/>
      <w:bookmarkEnd w:id="24"/>
      <w:bookmarkEnd w:id="25"/>
      <w:bookmarkEnd w:id="26"/>
      <w:bookmarkEnd w:id="27"/>
    </w:p>
    <w:p>
      <w:pPr>
        <w:pStyle w:val="Subsection"/>
        <w:rPr>
          <w:i/>
        </w:rPr>
      </w:pPr>
      <w:r>
        <w:tab/>
      </w:r>
      <w:r>
        <w:tab/>
      </w:r>
      <w:bookmarkStart w:id="28" w:name="Start_Cursor"/>
      <w:bookmarkEnd w:id="28"/>
      <w:r>
        <w:rPr>
          <w:spacing w:val="-2"/>
        </w:rPr>
        <w:t>These</w:t>
      </w:r>
      <w:r>
        <w:t xml:space="preserve"> </w:t>
      </w:r>
      <w:r>
        <w:rPr>
          <w:spacing w:val="-2"/>
        </w:rPr>
        <w:t>regulations</w:t>
      </w:r>
      <w:r>
        <w:t xml:space="preserve"> are the </w:t>
      </w:r>
      <w:r>
        <w:rPr>
          <w:i/>
        </w:rPr>
        <w:t>Vocational Education and Training (General) Regulations 2009 </w:t>
      </w:r>
      <w:r>
        <w:rPr>
          <w:iCs/>
          <w:vertAlign w:val="superscript"/>
        </w:rPr>
        <w:t>1</w:t>
      </w:r>
      <w:r>
        <w:t>.</w:t>
      </w:r>
    </w:p>
    <w:p>
      <w:pPr>
        <w:pStyle w:val="Heading5"/>
        <w:rPr>
          <w:spacing w:val="-2"/>
        </w:rPr>
      </w:pPr>
      <w:bookmarkStart w:id="29" w:name="_Toc423332723"/>
      <w:bookmarkStart w:id="30" w:name="_Toc425219442"/>
      <w:bookmarkStart w:id="31" w:name="_Toc426249309"/>
      <w:bookmarkStart w:id="32" w:name="_Toc449924705"/>
      <w:bookmarkStart w:id="33" w:name="_Toc449947723"/>
      <w:bookmarkStart w:id="34" w:name="_Toc454185714"/>
      <w:bookmarkStart w:id="35" w:name="_Toc515958687"/>
      <w:bookmarkStart w:id="36" w:name="_Toc229472294"/>
      <w:bookmarkStart w:id="37" w:name="_Toc231116502"/>
      <w:bookmarkStart w:id="38" w:name="_Toc307322559"/>
      <w:bookmarkStart w:id="39" w:name="_Toc232396087"/>
      <w:r>
        <w:rPr>
          <w:rStyle w:val="CharSectno"/>
        </w:rPr>
        <w:t>2</w:t>
      </w:r>
      <w:r>
        <w:rPr>
          <w:spacing w:val="-2"/>
        </w:rPr>
        <w:t>.</w:t>
      </w:r>
      <w:r>
        <w:rPr>
          <w:spacing w:val="-2"/>
        </w:rPr>
        <w:tab/>
        <w:t>Commencement</w:t>
      </w:r>
      <w:bookmarkEnd w:id="29"/>
      <w:bookmarkEnd w:id="30"/>
      <w:bookmarkEnd w:id="31"/>
      <w:bookmarkEnd w:id="32"/>
      <w:bookmarkEnd w:id="33"/>
      <w:bookmarkEnd w:id="34"/>
      <w:bookmarkEnd w:id="35"/>
      <w:bookmarkEnd w:id="36"/>
      <w:bookmarkEnd w:id="37"/>
      <w:bookmarkEnd w:id="38"/>
      <w:bookmarkEnd w:id="3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40" w:name="_Toc232329270"/>
      <w:bookmarkStart w:id="41" w:name="_Toc307322560"/>
      <w:bookmarkStart w:id="42" w:name="_Toc232396088"/>
      <w:bookmarkStart w:id="43" w:name="_Toc113695922"/>
      <w:bookmarkStart w:id="44" w:name="_Toc231120739"/>
      <w:bookmarkStart w:id="45" w:name="_Toc231121782"/>
      <w:bookmarkStart w:id="46" w:name="_Toc229304362"/>
      <w:bookmarkStart w:id="47" w:name="_Toc229472295"/>
      <w:r>
        <w:rPr>
          <w:rStyle w:val="CharSectno"/>
        </w:rPr>
        <w:t>3</w:t>
      </w:r>
      <w:r>
        <w:t>.</w:t>
      </w:r>
      <w:r>
        <w:tab/>
        <w:t>Terms used</w:t>
      </w:r>
      <w:bookmarkEnd w:id="40"/>
      <w:bookmarkEnd w:id="41"/>
      <w:bookmarkEnd w:id="42"/>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 Implementation handbook</w:t>
      </w:r>
      <w:r>
        <w:t xml:space="preserve"> means the </w:t>
      </w:r>
      <w:r>
        <w:rPr>
          <w:i/>
          <w:iCs/>
        </w:rPr>
        <w:t>Australian Qualifications Framework Implementation Handbook</w:t>
      </w:r>
      <w:r>
        <w:t>, Fourth Edition, 2007, published by the Australian Qualifications Framework Advisory Board (ISBN 978-186366-644-2);</w:t>
      </w:r>
    </w:p>
    <w:p>
      <w:pPr>
        <w:pStyle w:val="Defstart"/>
      </w:pPr>
      <w:r>
        <w:tab/>
      </w:r>
      <w:r>
        <w:rPr>
          <w:rStyle w:val="CharDefText"/>
        </w:rPr>
        <w:t>AQTF</w:t>
      </w:r>
      <w:r>
        <w:t xml:space="preserve"> means the Australian Quality Training Framework;</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NTIS</w:t>
      </w:r>
      <w:r>
        <w:t xml:space="preserve"> means the National Training Information Service managed by the Commonwealth;</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w:t>
      </w:r>
    </w:p>
    <w:p>
      <w:pPr>
        <w:pStyle w:val="Defstart"/>
      </w:pPr>
      <w:r>
        <w:tab/>
      </w:r>
      <w:r>
        <w:rPr>
          <w:rStyle w:val="CharDefText"/>
        </w:rPr>
        <w:t>WA</w:t>
      </w:r>
      <w:r>
        <w:t xml:space="preserve"> means </w:t>
      </w:r>
      <w:smartTag w:uri="urn:schemas-microsoft-com:office:smarttags" w:element="State">
        <w:smartTag w:uri="urn:schemas-microsoft-com:office:smarttags" w:element="plac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Heading2"/>
      </w:pPr>
      <w:bookmarkStart w:id="48" w:name="_Toc232329271"/>
      <w:bookmarkStart w:id="49" w:name="_Toc232395104"/>
      <w:bookmarkStart w:id="50" w:name="_Toc232396089"/>
      <w:bookmarkStart w:id="51" w:name="_Toc307322561"/>
      <w:r>
        <w:rPr>
          <w:rStyle w:val="CharPartNo"/>
        </w:rPr>
        <w:t>Part 2</w:t>
      </w:r>
      <w:r>
        <w:rPr>
          <w:rStyle w:val="CharDivNo"/>
        </w:rPr>
        <w:t> </w:t>
      </w:r>
      <w:r>
        <w:t>—</w:t>
      </w:r>
      <w:r>
        <w:rPr>
          <w:rStyle w:val="CharDivText"/>
        </w:rPr>
        <w:t> </w:t>
      </w:r>
      <w:r>
        <w:rPr>
          <w:rStyle w:val="CharPartText"/>
        </w:rPr>
        <w:t>General matters</w:t>
      </w:r>
      <w:bookmarkEnd w:id="48"/>
      <w:bookmarkEnd w:id="49"/>
      <w:bookmarkEnd w:id="50"/>
      <w:bookmarkEnd w:id="51"/>
    </w:p>
    <w:p>
      <w:pPr>
        <w:pStyle w:val="Heading5"/>
      </w:pPr>
      <w:bookmarkStart w:id="52" w:name="_Toc232329272"/>
      <w:bookmarkStart w:id="53" w:name="_Toc307322562"/>
      <w:bookmarkStart w:id="54" w:name="_Toc232396090"/>
      <w:r>
        <w:rPr>
          <w:rStyle w:val="CharSectno"/>
        </w:rPr>
        <w:t>4</w:t>
      </w:r>
      <w:r>
        <w:t>.</w:t>
      </w:r>
      <w:r>
        <w:tab/>
        <w:t>Approved VET courses (Act s. 5)</w:t>
      </w:r>
      <w:bookmarkEnd w:id="52"/>
      <w:bookmarkEnd w:id="53"/>
      <w:bookmarkEnd w:id="54"/>
    </w:p>
    <w:p>
      <w:pPr>
        <w:pStyle w:val="Subsection"/>
      </w:pPr>
      <w:r>
        <w:tab/>
        <w:t>(1)</w:t>
      </w:r>
      <w:r>
        <w:tab/>
        <w:t>In this regulation —</w:t>
      </w:r>
    </w:p>
    <w:p>
      <w:pPr>
        <w:pStyle w:val="Defstart"/>
      </w:pPr>
      <w:r>
        <w:tab/>
      </w:r>
      <w:r>
        <w:rPr>
          <w:rStyle w:val="CharDefText"/>
        </w:rPr>
        <w:t>listed</w:t>
      </w:r>
      <w:r>
        <w:t xml:space="preserve"> means listed on the NTIS.</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Heading5"/>
      </w:pPr>
      <w:bookmarkStart w:id="55" w:name="_Toc232329273"/>
      <w:bookmarkStart w:id="56" w:name="_Toc307322563"/>
      <w:bookmarkStart w:id="57" w:name="_Toc232396091"/>
      <w:r>
        <w:rPr>
          <w:rStyle w:val="CharSectno"/>
        </w:rPr>
        <w:t>5</w:t>
      </w:r>
      <w:r>
        <w:t>.</w:t>
      </w:r>
      <w:r>
        <w:tab/>
        <w:t>Corresponding laws (Act s. 5)</w:t>
      </w:r>
      <w:bookmarkEnd w:id="55"/>
      <w:bookmarkEnd w:id="56"/>
      <w:bookmarkEnd w:id="57"/>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State">
              <w:smartTag w:uri="urn:schemas-microsoft-com:office:smarttags" w:element="plac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State">
              <w:smartTag w:uri="urn:schemas-microsoft-com:office:smarttags" w:element="plac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State">
              <w:smartTag w:uri="urn:schemas-microsoft-com:office:smarttags" w:element="place">
                <w:r>
                  <w:t>Northern Territory</w:t>
                </w:r>
              </w:smartTag>
            </w:smartTag>
          </w:p>
        </w:tc>
        <w:tc>
          <w:tcPr>
            <w:tcW w:w="4162" w:type="dxa"/>
          </w:tcPr>
          <w:p>
            <w:pPr>
              <w:pStyle w:val="TableNAm"/>
              <w:spacing w:before="0"/>
            </w:pPr>
            <w:smartTag w:uri="urn:schemas-microsoft-com:office:smarttags" w:element="State">
              <w:smartTag w:uri="urn:schemas-microsoft-com:office:smarttags" w:element="plac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State">
              <w:smartTag w:uri="urn:schemas-microsoft-com:office:smarttags" w:element="plac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State">
              <w:smartTag w:uri="urn:schemas-microsoft-com:office:smarttags" w:element="plac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State">
              <w:smartTag w:uri="urn:schemas-microsoft-com:office:smarttags" w:element="plac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State">
              <w:smartTag w:uri="urn:schemas-microsoft-com:office:smarttags" w:element="plac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58" w:name="_Toc232329274"/>
      <w:bookmarkStart w:id="59" w:name="_Toc307322564"/>
      <w:bookmarkStart w:id="60" w:name="_Toc232396092"/>
      <w:r>
        <w:rPr>
          <w:rStyle w:val="CharSectno"/>
        </w:rPr>
        <w:t>6</w:t>
      </w:r>
      <w:r>
        <w:t>.</w:t>
      </w:r>
      <w:r>
        <w:tab/>
        <w:t>Prescribed VET qualifications (Act s. 5)</w:t>
      </w:r>
      <w:bookmarkEnd w:id="58"/>
      <w:bookmarkEnd w:id="59"/>
      <w:bookmarkEnd w:id="60"/>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61" w:name="_Toc232329275"/>
      <w:bookmarkStart w:id="62" w:name="_Toc232395108"/>
      <w:bookmarkStart w:id="63" w:name="_Toc232396093"/>
      <w:bookmarkStart w:id="64" w:name="_Toc307322565"/>
      <w:r>
        <w:rPr>
          <w:rStyle w:val="CharPartNo"/>
        </w:rPr>
        <w:t>Part 3</w:t>
      </w:r>
      <w:r>
        <w:t> — </w:t>
      </w:r>
      <w:r>
        <w:rPr>
          <w:rStyle w:val="CharPartText"/>
        </w:rPr>
        <w:t>Regulations for Part 7A of the Act</w:t>
      </w:r>
      <w:bookmarkEnd w:id="61"/>
      <w:bookmarkEnd w:id="62"/>
      <w:bookmarkEnd w:id="63"/>
      <w:bookmarkEnd w:id="64"/>
    </w:p>
    <w:p>
      <w:pPr>
        <w:pStyle w:val="Heading3"/>
      </w:pPr>
      <w:bookmarkStart w:id="65" w:name="_Toc232329276"/>
      <w:bookmarkStart w:id="66" w:name="_Toc232395109"/>
      <w:bookmarkStart w:id="67" w:name="_Toc232396094"/>
      <w:bookmarkStart w:id="68" w:name="_Toc307322566"/>
      <w:r>
        <w:rPr>
          <w:rStyle w:val="CharDivNo"/>
        </w:rPr>
        <w:t>Division 1</w:t>
      </w:r>
      <w:r>
        <w:t> — </w:t>
      </w:r>
      <w:r>
        <w:rPr>
          <w:rStyle w:val="CharDivText"/>
        </w:rPr>
        <w:t>General matters</w:t>
      </w:r>
      <w:bookmarkEnd w:id="65"/>
      <w:bookmarkEnd w:id="66"/>
      <w:bookmarkEnd w:id="67"/>
      <w:bookmarkEnd w:id="68"/>
    </w:p>
    <w:p>
      <w:pPr>
        <w:pStyle w:val="Heading5"/>
      </w:pPr>
      <w:bookmarkStart w:id="69" w:name="_Toc232329277"/>
      <w:bookmarkStart w:id="70" w:name="_Toc307322567"/>
      <w:bookmarkStart w:id="71" w:name="_Toc232396095"/>
      <w:r>
        <w:rPr>
          <w:rStyle w:val="CharSectno"/>
        </w:rPr>
        <w:t>7</w:t>
      </w:r>
      <w:r>
        <w:t>.</w:t>
      </w:r>
      <w:r>
        <w:tab/>
        <w:t>Terms used</w:t>
      </w:r>
      <w:bookmarkEnd w:id="69"/>
      <w:bookmarkEnd w:id="70"/>
      <w:bookmarkEnd w:id="71"/>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rPr>
          <w:ins w:id="72" w:author="Master Repository Process" w:date="2021-09-18T19:55:00Z"/>
        </w:rPr>
      </w:pPr>
      <w:ins w:id="73" w:author="Master Repository Process" w:date="2021-09-18T19:55:00Z">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ins>
    </w:p>
    <w:p>
      <w:pPr>
        <w:pStyle w:val="Defstart"/>
        <w:rPr>
          <w:ins w:id="74" w:author="Master Repository Process" w:date="2021-09-18T19:55:00Z"/>
        </w:rPr>
      </w:pPr>
      <w:ins w:id="75" w:author="Master Repository Process" w:date="2021-09-18T19:55:00Z">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ins>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w:t>
      </w:r>
      <w:r>
        <w:rPr>
          <w:i/>
          <w:iCs/>
        </w:rPr>
        <w:t xml:space="preserve">AQTF 2007 Standards for State and Territory Registering Bodies </w:t>
      </w:r>
      <w:r>
        <w:t>(published by the Commonwealth of Australia 2007);</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rPr>
          <w:ins w:id="76" w:author="Master Repository Process" w:date="2021-09-18T19:55:00Z"/>
        </w:rPr>
      </w:pPr>
      <w:r>
        <w:tab/>
      </w:r>
      <w:r>
        <w:rPr>
          <w:rStyle w:val="CharDefText"/>
        </w:rPr>
        <w:t xml:space="preserve">registration </w:t>
      </w:r>
      <w:del w:id="77" w:author="Master Repository Process" w:date="2021-09-18T19:55:00Z">
        <w:r>
          <w:rPr>
            <w:rStyle w:val="CharDefText"/>
          </w:rPr>
          <w:delText>standards</w:delText>
        </w:r>
      </w:del>
      <w:ins w:id="78" w:author="Master Repository Process" w:date="2021-09-18T19:55:00Z">
        <w:r>
          <w:rPr>
            <w:rStyle w:val="CharDefText"/>
          </w:rPr>
          <w:t>requirements</w:t>
        </w:r>
      </w:ins>
      <w:r>
        <w:t xml:space="preserve"> means</w:t>
      </w:r>
      <w:del w:id="79" w:author="Master Repository Process" w:date="2021-09-18T19:55:00Z">
        <w:r>
          <w:delText xml:space="preserve"> </w:delText>
        </w:r>
      </w:del>
      <w:ins w:id="80" w:author="Master Repository Process" w:date="2021-09-18T19:55:00Z">
        <w:r>
          <w:t> —</w:t>
        </w:r>
      </w:ins>
    </w:p>
    <w:p>
      <w:pPr>
        <w:pStyle w:val="Defpara"/>
        <w:rPr>
          <w:ins w:id="81" w:author="Master Repository Process" w:date="2021-09-18T19:55:00Z"/>
        </w:rPr>
      </w:pPr>
      <w:ins w:id="82" w:author="Master Repository Process" w:date="2021-09-18T19:55:00Z">
        <w:r>
          <w:tab/>
          <w:t>(a)</w:t>
        </w:r>
        <w:r>
          <w:tab/>
        </w:r>
      </w:ins>
      <w:r>
        <w:t xml:space="preserve">the </w:t>
      </w:r>
      <w:del w:id="83" w:author="Master Repository Process" w:date="2021-09-18T19:55:00Z">
        <w:r>
          <w:rPr>
            <w:i/>
            <w:iCs/>
          </w:rPr>
          <w:delText xml:space="preserve">AQTF 2007 Essential Standards for Registration </w:delText>
        </w:r>
        <w:r>
          <w:delText xml:space="preserve">(published by </w:delText>
        </w:r>
      </w:del>
      <w:ins w:id="84" w:author="Master Repository Process" w:date="2021-09-18T19:55:00Z">
        <w:r>
          <w:t>initial registration requirements; and</w:t>
        </w:r>
      </w:ins>
    </w:p>
    <w:p>
      <w:pPr>
        <w:pStyle w:val="Defpara"/>
      </w:pPr>
      <w:ins w:id="85" w:author="Master Repository Process" w:date="2021-09-18T19:55:00Z">
        <w:r>
          <w:tab/>
          <w:t>(b)</w:t>
        </w:r>
        <w:r>
          <w:tab/>
        </w:r>
      </w:ins>
      <w:r>
        <w:t xml:space="preserve">the </w:t>
      </w:r>
      <w:del w:id="86" w:author="Master Repository Process" w:date="2021-09-18T19:55:00Z">
        <w:r>
          <w:delText>Commonwealth of Australia 2007);</w:delText>
        </w:r>
      </w:del>
      <w:ins w:id="87" w:author="Master Repository Process" w:date="2021-09-18T19:55:00Z">
        <w:r>
          <w:t>continuing registration requirements;</w:t>
        </w:r>
      </w:ins>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is a reference to the standard as published from time to time.</w:t>
      </w:r>
    </w:p>
    <w:p>
      <w:pPr>
        <w:pStyle w:val="Footnotesection"/>
        <w:rPr>
          <w:ins w:id="88" w:author="Master Repository Process" w:date="2021-09-18T19:55:00Z"/>
        </w:rPr>
      </w:pPr>
      <w:ins w:id="89" w:author="Master Repository Process" w:date="2021-09-18T19:55:00Z">
        <w:r>
          <w:tab/>
          <w:t>[Regulation 7 amended in Gazette 25 Oct 2011 p. 4509.]</w:t>
        </w:r>
      </w:ins>
    </w:p>
    <w:p>
      <w:pPr>
        <w:pStyle w:val="Heading5"/>
      </w:pPr>
      <w:bookmarkStart w:id="90" w:name="_Toc232329278"/>
      <w:bookmarkStart w:id="91" w:name="_Toc307322568"/>
      <w:bookmarkStart w:id="92" w:name="_Toc232396096"/>
      <w:r>
        <w:rPr>
          <w:rStyle w:val="CharSectno"/>
        </w:rPr>
        <w:t>8</w:t>
      </w:r>
      <w:r>
        <w:t>.</w:t>
      </w:r>
      <w:r>
        <w:tab/>
        <w:t>AQTF standards, use of by Council</w:t>
      </w:r>
      <w:bookmarkEnd w:id="90"/>
      <w:bookmarkEnd w:id="91"/>
      <w:bookmarkEnd w:id="92"/>
    </w:p>
    <w:p>
      <w:pPr>
        <w:pStyle w:val="Subsection"/>
      </w:pPr>
      <w:r>
        <w:tab/>
        <w:t>(1)</w:t>
      </w:r>
      <w:r>
        <w:tab/>
        <w:t>In performing its functions under Part 7A of the Act, the Council must have regard to —</w:t>
      </w:r>
    </w:p>
    <w:p>
      <w:pPr>
        <w:pStyle w:val="Indenta"/>
      </w:pPr>
      <w:r>
        <w:tab/>
        <w:t>(a)</w:t>
      </w:r>
      <w:r>
        <w:tab/>
        <w:t xml:space="preserve">the </w:t>
      </w:r>
      <w:r>
        <w:rPr>
          <w:i/>
          <w:iCs/>
        </w:rPr>
        <w:t xml:space="preserve">AQTF 2007 Standards for State and Territory Registering Bodies </w:t>
      </w:r>
      <w:r>
        <w:t>(published by the Commonwealth of Australia 2007); and</w:t>
      </w:r>
    </w:p>
    <w:p>
      <w:pPr>
        <w:pStyle w:val="Indenta"/>
      </w:pPr>
      <w:r>
        <w:tab/>
        <w:t>(b)</w:t>
      </w:r>
      <w:r>
        <w:tab/>
        <w:t xml:space="preserve">the </w:t>
      </w:r>
      <w:r>
        <w:rPr>
          <w:i/>
          <w:iCs/>
        </w:rPr>
        <w:t xml:space="preserve">AQTF 2007 Standards for State and Territory Course Accrediting Bodies </w:t>
      </w:r>
      <w:r>
        <w:t>(published by the Commonwealth of Australia 2007).</w:t>
      </w:r>
    </w:p>
    <w:p>
      <w:pPr>
        <w:pStyle w:val="Subsection"/>
      </w:pPr>
      <w:r>
        <w:tab/>
        <w:t>(2)</w:t>
      </w:r>
      <w:r>
        <w:tab/>
        <w:t>In performing its functions under Part 7A of the Act, the Council must apply —</w:t>
      </w:r>
    </w:p>
    <w:p>
      <w:pPr>
        <w:pStyle w:val="Indenta"/>
      </w:pPr>
      <w:r>
        <w:tab/>
        <w:t>(a)</w:t>
      </w:r>
      <w:r>
        <w:tab/>
        <w:t xml:space="preserve">the registration </w:t>
      </w:r>
      <w:del w:id="93" w:author="Master Repository Process" w:date="2021-09-18T19:55:00Z">
        <w:r>
          <w:delText>standards</w:delText>
        </w:r>
      </w:del>
      <w:ins w:id="94" w:author="Master Repository Process" w:date="2021-09-18T19:55:00Z">
        <w:r>
          <w:t>requirements</w:t>
        </w:r>
      </w:ins>
      <w:r>
        <w:t>; and</w:t>
      </w:r>
    </w:p>
    <w:p>
      <w:pPr>
        <w:pStyle w:val="Indenta"/>
      </w:pPr>
      <w:r>
        <w:tab/>
        <w:t>(b)</w:t>
      </w:r>
      <w:r>
        <w:tab/>
        <w:t>the accreditation standards.</w:t>
      </w:r>
    </w:p>
    <w:p>
      <w:pPr>
        <w:pStyle w:val="Footnotesection"/>
        <w:rPr>
          <w:ins w:id="95" w:author="Master Repository Process" w:date="2021-09-18T19:55:00Z"/>
        </w:rPr>
      </w:pPr>
      <w:bookmarkStart w:id="96" w:name="_Toc232329279"/>
      <w:ins w:id="97" w:author="Master Repository Process" w:date="2021-09-18T19:55:00Z">
        <w:r>
          <w:tab/>
          <w:t>[Regulation 8 amended in Gazette 25 Oct 2011 p. 4509.]</w:t>
        </w:r>
      </w:ins>
    </w:p>
    <w:p>
      <w:pPr>
        <w:pStyle w:val="Heading5"/>
      </w:pPr>
      <w:bookmarkStart w:id="98" w:name="_Toc307322569"/>
      <w:bookmarkStart w:id="99" w:name="_Toc232396097"/>
      <w:r>
        <w:rPr>
          <w:rStyle w:val="CharSectno"/>
        </w:rPr>
        <w:t>9</w:t>
      </w:r>
      <w:r>
        <w:t>.</w:t>
      </w:r>
      <w:r>
        <w:tab/>
        <w:t>Register</w:t>
      </w:r>
      <w:bookmarkEnd w:id="96"/>
      <w:bookmarkEnd w:id="98"/>
      <w:bookmarkEnd w:id="99"/>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NTIS as soon as practicable after it is recorded on the register.</w:t>
      </w:r>
    </w:p>
    <w:p>
      <w:pPr>
        <w:pStyle w:val="Heading3"/>
      </w:pPr>
      <w:bookmarkStart w:id="100" w:name="_Toc232329280"/>
      <w:bookmarkStart w:id="101" w:name="_Toc232395113"/>
      <w:bookmarkStart w:id="102" w:name="_Toc232396098"/>
      <w:bookmarkStart w:id="103" w:name="_Toc307322570"/>
      <w:r>
        <w:rPr>
          <w:rStyle w:val="CharDivNo"/>
        </w:rPr>
        <w:t>Division 2</w:t>
      </w:r>
      <w:r>
        <w:t> — </w:t>
      </w:r>
      <w:r>
        <w:rPr>
          <w:rStyle w:val="CharDivText"/>
        </w:rPr>
        <w:t>Registration of training providers</w:t>
      </w:r>
      <w:bookmarkEnd w:id="100"/>
      <w:bookmarkEnd w:id="101"/>
      <w:bookmarkEnd w:id="102"/>
      <w:bookmarkEnd w:id="103"/>
    </w:p>
    <w:p>
      <w:pPr>
        <w:pStyle w:val="Heading5"/>
      </w:pPr>
      <w:bookmarkStart w:id="104" w:name="_Toc232329281"/>
      <w:bookmarkStart w:id="105" w:name="_Toc307322571"/>
      <w:bookmarkStart w:id="106" w:name="_Toc232396099"/>
      <w:r>
        <w:rPr>
          <w:rStyle w:val="CharSectno"/>
        </w:rPr>
        <w:t>10</w:t>
      </w:r>
      <w:r>
        <w:t>.</w:t>
      </w:r>
      <w:r>
        <w:tab/>
        <w:t>Applying to be a registered training provider</w:t>
      </w:r>
      <w:bookmarkEnd w:id="104"/>
      <w:bookmarkEnd w:id="105"/>
      <w:bookmarkEnd w:id="106"/>
    </w:p>
    <w:p>
      <w:pPr>
        <w:pStyle w:val="Subsection"/>
        <w:keepNext/>
      </w:pPr>
      <w:r>
        <w:tab/>
        <w:t>(1)</w:t>
      </w:r>
      <w:r>
        <w:tab/>
        <w:t>If a person is or intends to be a training provider and —</w:t>
      </w:r>
    </w:p>
    <w:p>
      <w:pPr>
        <w:pStyle w:val="Indenta"/>
      </w:pPr>
      <w:r>
        <w:tab/>
        <w:t>(a)</w:t>
      </w:r>
      <w:r>
        <w:tab/>
        <w:t>the person’s principal place of business; or</w:t>
      </w:r>
    </w:p>
    <w:p>
      <w:pPr>
        <w:pStyle w:val="Indenta"/>
      </w:pPr>
      <w:r>
        <w:tab/>
        <w:t>(b)</w:t>
      </w:r>
      <w:r>
        <w:tab/>
        <w:t>all or most of the vocational education and training that the person provides or intends to provide,</w:t>
      </w:r>
    </w:p>
    <w:p>
      <w:pPr>
        <w:pStyle w:val="Subsection"/>
      </w:pPr>
      <w:r>
        <w:tab/>
      </w:r>
      <w:r>
        <w:tab/>
        <w:t>is or will be in WA, the person may apply to be registered under section 58B of the Act.</w:t>
      </w:r>
    </w:p>
    <w:p>
      <w:pPr>
        <w:pStyle w:val="Subsection"/>
      </w:pPr>
      <w:r>
        <w:tab/>
        <w:t>(2)</w:t>
      </w:r>
      <w:r>
        <w:tab/>
        <w:t>A person who is or intends to be a training provider and who under subregulation (1) cannot apply to be registered under section 58B of the Act may apply under a corresponding law to be registered.</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Heading5"/>
      </w:pPr>
      <w:bookmarkStart w:id="107" w:name="_Toc232329282"/>
      <w:bookmarkStart w:id="108" w:name="_Toc307322572"/>
      <w:bookmarkStart w:id="109" w:name="_Toc232396100"/>
      <w:r>
        <w:rPr>
          <w:rStyle w:val="CharSectno"/>
        </w:rPr>
        <w:t>11</w:t>
      </w:r>
      <w:r>
        <w:t>.</w:t>
      </w:r>
      <w:r>
        <w:tab/>
        <w:t>Dealing with applications</w:t>
      </w:r>
      <w:bookmarkEnd w:id="107"/>
      <w:bookmarkEnd w:id="108"/>
      <w:bookmarkEnd w:id="109"/>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110" w:name="_Toc232329283"/>
      <w:bookmarkStart w:id="111" w:name="_Toc307322573"/>
      <w:bookmarkStart w:id="112" w:name="_Toc232396101"/>
      <w:r>
        <w:rPr>
          <w:rStyle w:val="CharSectno"/>
        </w:rPr>
        <w:t>12</w:t>
      </w:r>
      <w:r>
        <w:t>.</w:t>
      </w:r>
      <w:r>
        <w:tab/>
        <w:t>Registering training providers</w:t>
      </w:r>
      <w:bookmarkEnd w:id="110"/>
      <w:bookmarkEnd w:id="111"/>
      <w:bookmarkEnd w:id="112"/>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regulation 10(1) applies to the provider and that —</w:t>
      </w:r>
    </w:p>
    <w:p>
      <w:pPr>
        <w:pStyle w:val="Indenta"/>
      </w:pPr>
      <w:r>
        <w:tab/>
        <w:t>(a)</w:t>
      </w:r>
      <w:r>
        <w:tab/>
        <w:t xml:space="preserve">the provider </w:t>
      </w:r>
      <w:del w:id="113" w:author="Master Repository Process" w:date="2021-09-18T19:55:00Z">
        <w:r>
          <w:delText>will meet the 3 standards, and will comply</w:delText>
        </w:r>
      </w:del>
      <w:ins w:id="114" w:author="Master Repository Process" w:date="2021-09-18T19:55:00Z">
        <w:r>
          <w:t>complies</w:t>
        </w:r>
      </w:ins>
      <w:r>
        <w:t xml:space="preserve"> with the conditions of registration, </w:t>
      </w:r>
      <w:ins w:id="115" w:author="Master Repository Process" w:date="2021-09-18T19:55:00Z">
        <w:r>
          <w:t xml:space="preserve">and meets the standards, </w:t>
        </w:r>
      </w:ins>
      <w:r>
        <w:t xml:space="preserve">in the </w:t>
      </w:r>
      <w:ins w:id="116" w:author="Master Repository Process" w:date="2021-09-18T19:55:00Z">
        <w:r>
          <w:t xml:space="preserve">initial </w:t>
        </w:r>
      </w:ins>
      <w:r>
        <w:t xml:space="preserve">registration </w:t>
      </w:r>
      <w:del w:id="117" w:author="Master Repository Process" w:date="2021-09-18T19:55:00Z">
        <w:r>
          <w:delText>standards</w:delText>
        </w:r>
      </w:del>
      <w:ins w:id="118" w:author="Master Repository Process" w:date="2021-09-18T19:55:00Z">
        <w:r>
          <w:t>requirements</w:t>
        </w:r>
      </w:ins>
      <w:r>
        <w:t>; or</w:t>
      </w:r>
    </w:p>
    <w:p>
      <w:pPr>
        <w:pStyle w:val="Indenta"/>
      </w:pPr>
      <w:r>
        <w:tab/>
        <w:t>(b)</w:t>
      </w:r>
      <w:r>
        <w:tab/>
        <w:t>a compliance audit has been conducted on the provider within the previous 3</w:t>
      </w:r>
      <w:del w:id="119" w:author="Master Repository Process" w:date="2021-09-18T19:55:00Z">
        <w:r>
          <w:delText xml:space="preserve"> </w:delText>
        </w:r>
      </w:del>
      <w:ins w:id="120" w:author="Master Repository Process" w:date="2021-09-18T19:55:00Z">
        <w:r>
          <w:t> </w:t>
        </w:r>
      </w:ins>
      <w:r>
        <w:t xml:space="preserve">months and the provider has been found to </w:t>
      </w:r>
      <w:del w:id="121" w:author="Master Repository Process" w:date="2021-09-18T19:55:00Z">
        <w:r>
          <w:delText xml:space="preserve">meet those 3 standards and to </w:delText>
        </w:r>
      </w:del>
      <w:r>
        <w:t>comply with those conditions of registration</w:t>
      </w:r>
      <w:ins w:id="122" w:author="Master Repository Process" w:date="2021-09-18T19:55:00Z">
        <w:r>
          <w:t xml:space="preserve"> and to meet those standards</w:t>
        </w:r>
      </w:ins>
      <w:r>
        <w:t>;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until the Council receives a notice from the registering body under that law that the provider’s registration under that law has been cancelled.</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rPr>
          <w:ins w:id="123" w:author="Master Repository Process" w:date="2021-09-18T19:55:00Z"/>
        </w:rPr>
      </w:pPr>
      <w:bookmarkStart w:id="124" w:name="_Toc232329284"/>
      <w:ins w:id="125" w:author="Master Repository Process" w:date="2021-09-18T19:55:00Z">
        <w:r>
          <w:tab/>
          <w:t>[Regulation 12 amended in Gazette 25 Oct 2011 p. 4509.]</w:t>
        </w:r>
      </w:ins>
    </w:p>
    <w:p>
      <w:pPr>
        <w:pStyle w:val="Heading5"/>
      </w:pPr>
      <w:bookmarkStart w:id="126" w:name="_Toc307322574"/>
      <w:bookmarkStart w:id="127" w:name="_Toc232396102"/>
      <w:r>
        <w:rPr>
          <w:rStyle w:val="CharSectno"/>
        </w:rPr>
        <w:t>13</w:t>
      </w:r>
      <w:r>
        <w:t>.</w:t>
      </w:r>
      <w:r>
        <w:tab/>
        <w:t>Conditions of registration</w:t>
      </w:r>
      <w:bookmarkEnd w:id="124"/>
      <w:bookmarkEnd w:id="126"/>
      <w:bookmarkEnd w:id="127"/>
    </w:p>
    <w:p>
      <w:pPr>
        <w:pStyle w:val="Subsection"/>
        <w:keepNext/>
      </w:pPr>
      <w:r>
        <w:tab/>
        <w:t>(1)</w:t>
      </w:r>
      <w:r>
        <w:tab/>
        <w:t>A WA registered provider’s registration is subject to —</w:t>
      </w:r>
    </w:p>
    <w:p>
      <w:pPr>
        <w:pStyle w:val="Indenta"/>
      </w:pPr>
      <w:r>
        <w:tab/>
        <w:t>(a)</w:t>
      </w:r>
      <w:r>
        <w:tab/>
        <w:t xml:space="preserve">the conditions of registration in the </w:t>
      </w:r>
      <w:ins w:id="128" w:author="Master Repository Process" w:date="2021-09-18T19:55:00Z">
        <w:r>
          <w:t xml:space="preserve">continuing </w:t>
        </w:r>
      </w:ins>
      <w:r>
        <w:t xml:space="preserve">registration </w:t>
      </w:r>
      <w:del w:id="129" w:author="Master Repository Process" w:date="2021-09-18T19:55:00Z">
        <w:r>
          <w:delText>standards</w:delText>
        </w:r>
      </w:del>
      <w:ins w:id="130" w:author="Master Repository Process" w:date="2021-09-18T19:55:00Z">
        <w:r>
          <w:t>requirements</w:t>
        </w:r>
      </w:ins>
      <w:r>
        <w:t>;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 xml:space="preserve">the provider must meet the </w:t>
      </w:r>
      <w:del w:id="131" w:author="Master Repository Process" w:date="2021-09-18T19:55:00Z">
        <w:r>
          <w:delText xml:space="preserve">3 </w:delText>
        </w:r>
      </w:del>
      <w:r>
        <w:t xml:space="preserve">standards in the </w:t>
      </w:r>
      <w:ins w:id="132" w:author="Master Repository Process" w:date="2021-09-18T19:55:00Z">
        <w:r>
          <w:t xml:space="preserve">continuing </w:t>
        </w:r>
      </w:ins>
      <w:r>
        <w:t xml:space="preserve">registration </w:t>
      </w:r>
      <w:del w:id="133" w:author="Master Repository Process" w:date="2021-09-18T19:55:00Z">
        <w:r>
          <w:delText>standards</w:delText>
        </w:r>
      </w:del>
      <w:ins w:id="134" w:author="Master Repository Process" w:date="2021-09-18T19:55:00Z">
        <w:r>
          <w:t>requirements</w:t>
        </w:r>
      </w:ins>
      <w:r>
        <w:t>;</w:t>
      </w:r>
    </w:p>
    <w:p>
      <w:pPr>
        <w:pStyle w:val="Indenta"/>
      </w:pPr>
      <w:r>
        <w:tab/>
        <w:t>(b)</w:t>
      </w:r>
      <w:r>
        <w:tab/>
        <w:t>the provider must, if a compliance audit shows the provider does meet those 3 standards, take all steps necessary to meet them;</w:t>
      </w:r>
    </w:p>
    <w:p>
      <w:pPr>
        <w:pStyle w:val="Indenta"/>
        <w:rPr>
          <w:del w:id="135" w:author="Master Repository Process" w:date="2021-09-18T19:55:00Z"/>
        </w:rPr>
      </w:pPr>
      <w:del w:id="136" w:author="Master Repository Process" w:date="2021-09-18T19:55:00Z">
        <w:r>
          <w:tab/>
          <w:delText>(c)</w:delText>
        </w:r>
        <w:r>
          <w:tab/>
          <w:delText>the provider must record and keep the information that is necessary for the purposes of the 3 quality indicators in the registration standards;</w:delText>
        </w:r>
      </w:del>
    </w:p>
    <w:p>
      <w:pPr>
        <w:pStyle w:val="Ednotepara"/>
        <w:rPr>
          <w:ins w:id="137" w:author="Master Repository Process" w:date="2021-09-18T19:55:00Z"/>
        </w:rPr>
      </w:pPr>
      <w:ins w:id="138" w:author="Master Repository Process" w:date="2021-09-18T19:55:00Z">
        <w:r>
          <w:tab/>
          <w:t>[(c)</w:t>
        </w:r>
        <w:r>
          <w:tab/>
          <w:t>deleted]</w:t>
        </w:r>
      </w:ins>
    </w:p>
    <w:p>
      <w:pPr>
        <w:pStyle w:val="Indenta"/>
      </w:pPr>
      <w:r>
        <w:tab/>
        <w:t>(d)</w:t>
      </w:r>
      <w:r>
        <w:tab/>
        <w:t>the provider must, if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pPr>
      <w:bookmarkStart w:id="139" w:name="_Toc232329285"/>
      <w:r>
        <w:tab/>
        <w:t>(4)</w:t>
      </w:r>
      <w:r>
        <w:tab/>
        <w:t>Any condition imposed under subregulation</w:t>
      </w:r>
      <w:del w:id="140" w:author="Master Repository Process" w:date="2021-09-18T19:55:00Z">
        <w:r>
          <w:delText xml:space="preserve"> </w:delText>
        </w:r>
      </w:del>
      <w:ins w:id="141" w:author="Master Repository Process" w:date="2021-09-18T19:55:00Z">
        <w:r>
          <w:t> </w:t>
        </w:r>
      </w:ins>
      <w:r>
        <w:t xml:space="preserve">(3) must be consistent with the </w:t>
      </w:r>
      <w:ins w:id="142" w:author="Master Repository Process" w:date="2021-09-18T19:55:00Z">
        <w:r>
          <w:t xml:space="preserve">continuing </w:t>
        </w:r>
      </w:ins>
      <w:r>
        <w:t xml:space="preserve">registration </w:t>
      </w:r>
      <w:del w:id="143" w:author="Master Repository Process" w:date="2021-09-18T19:55:00Z">
        <w:r>
          <w:delText>standards</w:delText>
        </w:r>
      </w:del>
      <w:ins w:id="144" w:author="Master Repository Process" w:date="2021-09-18T19:55:00Z">
        <w:r>
          <w:t>requirements</w:t>
        </w:r>
      </w:ins>
      <w:r>
        <w:t>.</w:t>
      </w:r>
    </w:p>
    <w:p>
      <w:pPr>
        <w:pStyle w:val="Footnotesection"/>
        <w:rPr>
          <w:ins w:id="145" w:author="Master Repository Process" w:date="2021-09-18T19:55:00Z"/>
        </w:rPr>
      </w:pPr>
      <w:ins w:id="146" w:author="Master Repository Process" w:date="2021-09-18T19:55:00Z">
        <w:r>
          <w:tab/>
          <w:t>[Regulation 13 amended in Gazette 25 Oct 2011 p. 4510.]</w:t>
        </w:r>
      </w:ins>
    </w:p>
    <w:p>
      <w:pPr>
        <w:pStyle w:val="Heading5"/>
      </w:pPr>
      <w:bookmarkStart w:id="147" w:name="_Toc307322575"/>
      <w:bookmarkStart w:id="148" w:name="_Toc232396103"/>
      <w:r>
        <w:rPr>
          <w:rStyle w:val="CharSectno"/>
        </w:rPr>
        <w:t>14</w:t>
      </w:r>
      <w:r>
        <w:t>.</w:t>
      </w:r>
      <w:r>
        <w:tab/>
        <w:t>Period of registration</w:t>
      </w:r>
      <w:bookmarkEnd w:id="139"/>
      <w:bookmarkEnd w:id="147"/>
      <w:bookmarkEnd w:id="148"/>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149" w:name="_Toc232329286"/>
      <w:bookmarkStart w:id="150" w:name="_Toc307322576"/>
      <w:bookmarkStart w:id="151" w:name="_Toc232396104"/>
      <w:r>
        <w:rPr>
          <w:rStyle w:val="CharSectno"/>
        </w:rPr>
        <w:t>15</w:t>
      </w:r>
      <w:r>
        <w:t>.</w:t>
      </w:r>
      <w:r>
        <w:tab/>
        <w:t>Annual fees payable by registered training providers</w:t>
      </w:r>
      <w:bookmarkEnd w:id="149"/>
      <w:bookmarkEnd w:id="150"/>
      <w:bookmarkEnd w:id="151"/>
    </w:p>
    <w:p>
      <w:pPr>
        <w:pStyle w:val="Subsection"/>
      </w:pPr>
      <w:r>
        <w:tab/>
      </w:r>
      <w:r>
        <w:tab/>
        <w:t>A WA registered provider must pay an annual fee set under regulation 23 on or before each anniversary of the provider’s registration or its renewal.</w:t>
      </w:r>
    </w:p>
    <w:p>
      <w:pPr>
        <w:pStyle w:val="Heading5"/>
      </w:pPr>
      <w:bookmarkStart w:id="152" w:name="_Toc232329287"/>
      <w:bookmarkStart w:id="153" w:name="_Toc307322577"/>
      <w:bookmarkStart w:id="154" w:name="_Toc232396105"/>
      <w:r>
        <w:rPr>
          <w:rStyle w:val="CharSectno"/>
        </w:rPr>
        <w:t>16</w:t>
      </w:r>
      <w:r>
        <w:t>.</w:t>
      </w:r>
      <w:r>
        <w:tab/>
        <w:t>Renewal of registration</w:t>
      </w:r>
      <w:bookmarkEnd w:id="152"/>
      <w:bookmarkEnd w:id="153"/>
      <w:bookmarkEnd w:id="154"/>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regulation 10(1) applies to the provider; and</w:t>
      </w:r>
    </w:p>
    <w:p>
      <w:pPr>
        <w:pStyle w:val="Indenti"/>
      </w:pPr>
      <w:r>
        <w:tab/>
        <w:t>(ii)</w:t>
      </w:r>
      <w:r>
        <w:tab/>
        <w:t xml:space="preserve">the provider meets the </w:t>
      </w:r>
      <w:del w:id="155" w:author="Master Repository Process" w:date="2021-09-18T19:55:00Z">
        <w:r>
          <w:delText xml:space="preserve">3 </w:delText>
        </w:r>
      </w:del>
      <w:r>
        <w:t xml:space="preserve">standards </w:t>
      </w:r>
      <w:del w:id="156" w:author="Master Repository Process" w:date="2021-09-18T19:55:00Z">
        <w:r>
          <w:delText xml:space="preserve">contained </w:delText>
        </w:r>
      </w:del>
      <w:r>
        <w:t xml:space="preserve">in the </w:t>
      </w:r>
      <w:ins w:id="157" w:author="Master Repository Process" w:date="2021-09-18T19:55:00Z">
        <w:r>
          <w:t xml:space="preserve">continuing </w:t>
        </w:r>
      </w:ins>
      <w:r>
        <w:t xml:space="preserve">registration </w:t>
      </w:r>
      <w:del w:id="158" w:author="Master Repository Process" w:date="2021-09-18T19:55:00Z">
        <w:r>
          <w:delText>standards</w:delText>
        </w:r>
      </w:del>
      <w:ins w:id="159" w:author="Master Repository Process" w:date="2021-09-18T19:55:00Z">
        <w:r>
          <w:t>requirements</w:t>
        </w:r>
      </w:ins>
      <w:r>
        <w:t>;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rPr>
          <w:ins w:id="160" w:author="Master Repository Process" w:date="2021-09-18T19:55:00Z"/>
        </w:rPr>
      </w:pPr>
      <w:bookmarkStart w:id="161" w:name="_Toc232329288"/>
      <w:ins w:id="162" w:author="Master Repository Process" w:date="2021-09-18T19:55:00Z">
        <w:r>
          <w:tab/>
          <w:t>[Regulation 16 amended in Gazette 25 Oct 2011 p. 4510.]</w:t>
        </w:r>
      </w:ins>
    </w:p>
    <w:p>
      <w:pPr>
        <w:pStyle w:val="Heading5"/>
      </w:pPr>
      <w:bookmarkStart w:id="163" w:name="_Toc307322578"/>
      <w:bookmarkStart w:id="164" w:name="_Toc232396106"/>
      <w:r>
        <w:rPr>
          <w:rStyle w:val="CharSectno"/>
        </w:rPr>
        <w:t>17</w:t>
      </w:r>
      <w:r>
        <w:t>.</w:t>
      </w:r>
      <w:r>
        <w:tab/>
        <w:t>Varying registrations</w:t>
      </w:r>
      <w:bookmarkEnd w:id="161"/>
      <w:bookmarkEnd w:id="163"/>
      <w:bookmarkEnd w:id="164"/>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pPr>
      <w:r>
        <w:tab/>
        <w:t>(3)</w:t>
      </w:r>
      <w:r>
        <w:tab/>
        <w:t xml:space="preserve">The Council, on its own initiative, may vary a WA registered provider’s registration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pPr>
      <w:r>
        <w:tab/>
        <w:t>(4)</w:t>
      </w:r>
      <w:r>
        <w:tab/>
        <w:t>The Council must not vary a WA registered provider’s registration to change the provider’s scope of registration unless it is satisfied that regulation 10(1) applies to the provider and that —</w:t>
      </w:r>
    </w:p>
    <w:p>
      <w:pPr>
        <w:pStyle w:val="Indenta"/>
      </w:pPr>
      <w:r>
        <w:tab/>
        <w:t>(a)</w:t>
      </w:r>
      <w:r>
        <w:tab/>
        <w:t xml:space="preserve">the provider meets the </w:t>
      </w:r>
      <w:del w:id="165" w:author="Master Repository Process" w:date="2021-09-18T19:55:00Z">
        <w:r>
          <w:delText xml:space="preserve">3 </w:delText>
        </w:r>
      </w:del>
      <w:r>
        <w:t xml:space="preserve">standards </w:t>
      </w:r>
      <w:del w:id="166" w:author="Master Repository Process" w:date="2021-09-18T19:55:00Z">
        <w:r>
          <w:delText xml:space="preserve">contained </w:delText>
        </w:r>
      </w:del>
      <w:r>
        <w:t xml:space="preserve">in the </w:t>
      </w:r>
      <w:ins w:id="167" w:author="Master Repository Process" w:date="2021-09-18T19:55:00Z">
        <w:r>
          <w:t xml:space="preserve">continuing </w:t>
        </w:r>
      </w:ins>
      <w:r>
        <w:t xml:space="preserve">registration </w:t>
      </w:r>
      <w:del w:id="168" w:author="Master Repository Process" w:date="2021-09-18T19:55:00Z">
        <w:r>
          <w:delText>standards</w:delText>
        </w:r>
      </w:del>
      <w:ins w:id="169" w:author="Master Repository Process" w:date="2021-09-18T19:55:00Z">
        <w:r>
          <w:t>requirements</w:t>
        </w:r>
      </w:ins>
      <w:r>
        <w:t>; or</w:t>
      </w:r>
    </w:p>
    <w:p>
      <w:pPr>
        <w:pStyle w:val="Indenta"/>
      </w:pPr>
      <w:r>
        <w:tab/>
        <w:t>(b)</w:t>
      </w:r>
      <w:r>
        <w:tab/>
        <w:t>a compliance audit has been conducted on the provider within the previous 3</w:t>
      </w:r>
      <w:del w:id="170" w:author="Master Repository Process" w:date="2021-09-18T19:55:00Z">
        <w:r>
          <w:delText xml:space="preserve"> </w:delText>
        </w:r>
      </w:del>
      <w:ins w:id="171" w:author="Master Repository Process" w:date="2021-09-18T19:55:00Z">
        <w:r>
          <w:t> </w:t>
        </w:r>
      </w:ins>
      <w:r>
        <w:t xml:space="preserve">months and the provider has been found to meet </w:t>
      </w:r>
      <w:del w:id="172" w:author="Master Repository Process" w:date="2021-09-18T19:55:00Z">
        <w:r>
          <w:delText>the 3 standards contained in the registration</w:delText>
        </w:r>
      </w:del>
      <w:ins w:id="173" w:author="Master Repository Process" w:date="2021-09-18T19:55:00Z">
        <w:r>
          <w:t>those</w:t>
        </w:r>
      </w:ins>
      <w:r>
        <w:t xml:space="preserve"> standards,</w:t>
      </w:r>
    </w:p>
    <w:p>
      <w:pPr>
        <w:pStyle w:val="Subsection"/>
      </w:pPr>
      <w:r>
        <w:tab/>
      </w:r>
      <w:r>
        <w:tab/>
        <w:t>in relation to any operations that the change would authorise the provider to conduct and that, without the change, the provider is not authorised to conduct.</w:t>
      </w:r>
    </w:p>
    <w:p>
      <w:pPr>
        <w:pStyle w:val="Subsection"/>
      </w:pPr>
      <w:r>
        <w:tab/>
        <w:t>(5)</w:t>
      </w:r>
      <w:r>
        <w:tab/>
        <w:t>If the Council varies a WA registered provider’s registration, the Council must give the provider written notice of its decision and, if the decision is made under subregulation (3), the reasons for it.</w:t>
      </w:r>
    </w:p>
    <w:p>
      <w:pPr>
        <w:pStyle w:val="Footnotesection"/>
        <w:rPr>
          <w:ins w:id="174" w:author="Master Repository Process" w:date="2021-09-18T19:55:00Z"/>
        </w:rPr>
      </w:pPr>
      <w:bookmarkStart w:id="175" w:name="_Toc232329289"/>
      <w:ins w:id="176" w:author="Master Repository Process" w:date="2021-09-18T19:55:00Z">
        <w:r>
          <w:tab/>
          <w:t>[Regulation 17 amended in Gazette 25 Oct 2011 p. 4510.]</w:t>
        </w:r>
      </w:ins>
    </w:p>
    <w:p>
      <w:pPr>
        <w:pStyle w:val="Heading5"/>
      </w:pPr>
      <w:bookmarkStart w:id="177" w:name="_Toc307322579"/>
      <w:bookmarkStart w:id="178" w:name="_Toc232396107"/>
      <w:r>
        <w:rPr>
          <w:rStyle w:val="CharSectno"/>
        </w:rPr>
        <w:t>18</w:t>
      </w:r>
      <w:r>
        <w:t>.</w:t>
      </w:r>
      <w:r>
        <w:tab/>
        <w:t>Cancelling registration if provider’s operations change</w:t>
      </w:r>
      <w:bookmarkEnd w:id="175"/>
      <w:bookmarkEnd w:id="177"/>
      <w:bookmarkEnd w:id="178"/>
    </w:p>
    <w:p>
      <w:pPr>
        <w:pStyle w:val="Subsection"/>
      </w:pPr>
      <w:r>
        <w:tab/>
        <w:t>(1)</w:t>
      </w:r>
      <w:r>
        <w:tab/>
        <w:t>Under section 58B of the Act, the Council may cancel a WA registered provider’s registration if it is satisfied —</w:t>
      </w:r>
    </w:p>
    <w:p>
      <w:pPr>
        <w:pStyle w:val="Indenta"/>
      </w:pPr>
      <w:r>
        <w:tab/>
        <w:t>(a)</w:t>
      </w:r>
      <w:r>
        <w:tab/>
        <w:t>the provider’s principal place of business is not in WA; or</w:t>
      </w:r>
    </w:p>
    <w:p>
      <w:pPr>
        <w:pStyle w:val="Indenta"/>
      </w:pPr>
      <w:r>
        <w:tab/>
        <w:t>(b)</w:t>
      </w:r>
      <w:r>
        <w:tab/>
        <w:t>all or most of the vocational education and training that the provider provides is not in WA.</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the Council must not cancel the registration until the application is decided.</w:t>
      </w:r>
    </w:p>
    <w:p>
      <w:pPr>
        <w:pStyle w:val="Heading5"/>
      </w:pPr>
      <w:bookmarkStart w:id="179" w:name="_Toc232329290"/>
      <w:bookmarkStart w:id="180" w:name="_Toc307322580"/>
      <w:bookmarkStart w:id="181" w:name="_Toc232396108"/>
      <w:r>
        <w:rPr>
          <w:rStyle w:val="CharSectno"/>
        </w:rPr>
        <w:t>19</w:t>
      </w:r>
      <w:r>
        <w:t>.</w:t>
      </w:r>
      <w:r>
        <w:tab/>
        <w:t>Suspending or cancelling registration</w:t>
      </w:r>
      <w:bookmarkEnd w:id="179"/>
      <w:bookmarkEnd w:id="180"/>
      <w:bookmarkEnd w:id="181"/>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 xml:space="preserve">the provider does not meet the </w:t>
      </w:r>
      <w:del w:id="182" w:author="Master Repository Process" w:date="2021-09-18T19:55:00Z">
        <w:r>
          <w:delText xml:space="preserve">3 </w:delText>
        </w:r>
      </w:del>
      <w:r>
        <w:t xml:space="preserve">standards </w:t>
      </w:r>
      <w:del w:id="183" w:author="Master Repository Process" w:date="2021-09-18T19:55:00Z">
        <w:r>
          <w:delText xml:space="preserve">contained </w:delText>
        </w:r>
      </w:del>
      <w:r>
        <w:t xml:space="preserve">in the </w:t>
      </w:r>
      <w:ins w:id="184" w:author="Master Repository Process" w:date="2021-09-18T19:55:00Z">
        <w:r>
          <w:t xml:space="preserve">continuing </w:t>
        </w:r>
      </w:ins>
      <w:r>
        <w:t xml:space="preserve">registration </w:t>
      </w:r>
      <w:del w:id="185" w:author="Master Repository Process" w:date="2021-09-18T19:55:00Z">
        <w:r>
          <w:delText>standards</w:delText>
        </w:r>
      </w:del>
      <w:ins w:id="186" w:author="Master Repository Process" w:date="2021-09-18T19:55:00Z">
        <w:r>
          <w:t>requirements</w:t>
        </w:r>
      </w:ins>
      <w:r>
        <w:t>;</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provider’s principal place of business is no longer in WA; or</w:t>
      </w:r>
    </w:p>
    <w:p>
      <w:pPr>
        <w:pStyle w:val="Indenta"/>
      </w:pPr>
      <w:r>
        <w:tab/>
        <w:t>(b)</w:t>
      </w:r>
      <w:r>
        <w:tab/>
        <w:t>all or most of the vocational education and training that the provider provides is no longer in WA,</w:t>
      </w:r>
    </w:p>
    <w:p>
      <w:pPr>
        <w:pStyle w:val="Subsection"/>
      </w:pPr>
      <w:r>
        <w:tab/>
      </w:r>
      <w:r>
        <w:tab/>
        <w:t>and even if the provider has applied to another registering body to be registered as a training provider under a corresponding law.</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the registering body of any other jurisdiction where the provider operates.</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rPr>
          <w:ins w:id="187" w:author="Master Repository Process" w:date="2021-09-18T19:55:00Z"/>
        </w:rPr>
      </w:pPr>
      <w:bookmarkStart w:id="188" w:name="_Toc232329291"/>
      <w:ins w:id="189" w:author="Master Repository Process" w:date="2021-09-18T19:55:00Z">
        <w:r>
          <w:tab/>
          <w:t>[Regulation 19 amended in Gazette 25 Oct 2011 p. 4510.]</w:t>
        </w:r>
      </w:ins>
    </w:p>
    <w:p>
      <w:pPr>
        <w:pStyle w:val="Heading5"/>
      </w:pPr>
      <w:bookmarkStart w:id="190" w:name="_Toc307322581"/>
      <w:bookmarkStart w:id="191" w:name="_Toc232396109"/>
      <w:r>
        <w:rPr>
          <w:rStyle w:val="CharSectno"/>
        </w:rPr>
        <w:t>20</w:t>
      </w:r>
      <w:r>
        <w:t>.</w:t>
      </w:r>
      <w:r>
        <w:tab/>
        <w:t>Suspension of WA registered provider may be on terms</w:t>
      </w:r>
      <w:bookmarkEnd w:id="188"/>
      <w:bookmarkEnd w:id="190"/>
      <w:bookmarkEnd w:id="191"/>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192" w:name="_Toc232329292"/>
      <w:bookmarkStart w:id="193" w:name="_Toc307322582"/>
      <w:bookmarkStart w:id="194" w:name="_Toc232396110"/>
      <w:r>
        <w:rPr>
          <w:rStyle w:val="CharSectno"/>
        </w:rPr>
        <w:t>21</w:t>
      </w:r>
      <w:r>
        <w:t>.</w:t>
      </w:r>
      <w:r>
        <w:tab/>
        <w:t>Effect of suspension of WA registered provider</w:t>
      </w:r>
      <w:bookmarkEnd w:id="192"/>
      <w:bookmarkEnd w:id="193"/>
      <w:bookmarkEnd w:id="194"/>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pPr>
      <w:bookmarkStart w:id="195" w:name="_Toc232329293"/>
      <w:bookmarkStart w:id="196" w:name="_Toc307322583"/>
      <w:bookmarkStart w:id="197" w:name="_Toc232396111"/>
      <w:r>
        <w:rPr>
          <w:rStyle w:val="CharSectno"/>
        </w:rPr>
        <w:t>22</w:t>
      </w:r>
      <w:r>
        <w:t>.</w:t>
      </w:r>
      <w:r>
        <w:tab/>
        <w:t>Orders against providers registered outside WA</w:t>
      </w:r>
      <w:bookmarkEnd w:id="195"/>
      <w:bookmarkEnd w:id="196"/>
      <w:bookmarkEnd w:id="197"/>
    </w:p>
    <w:p>
      <w:pPr>
        <w:pStyle w:val="Subsection"/>
      </w:pPr>
      <w:r>
        <w:tab/>
        <w:t>(1)</w:t>
      </w:r>
      <w:r>
        <w:tab/>
        <w:t>The Council may make an order under section 58B(c) of the Act against a registered training provider who is not a WA registered provider if the Council is satisfied as to any of these matters —</w:t>
      </w:r>
    </w:p>
    <w:p>
      <w:pPr>
        <w:pStyle w:val="Indenta"/>
      </w:pPr>
      <w:r>
        <w:tab/>
        <w:t>(a)</w:t>
      </w:r>
      <w:r>
        <w:tab/>
        <w:t xml:space="preserve">the provider does not meet the </w:t>
      </w:r>
      <w:del w:id="198" w:author="Master Repository Process" w:date="2021-09-18T19:55:00Z">
        <w:r>
          <w:delText xml:space="preserve">3 </w:delText>
        </w:r>
      </w:del>
      <w:r>
        <w:t xml:space="preserve">standards </w:t>
      </w:r>
      <w:del w:id="199" w:author="Master Repository Process" w:date="2021-09-18T19:55:00Z">
        <w:r>
          <w:delText xml:space="preserve">contained </w:delText>
        </w:r>
      </w:del>
      <w:r>
        <w:t xml:space="preserve">in the </w:t>
      </w:r>
      <w:ins w:id="200" w:author="Master Repository Process" w:date="2021-09-18T19:55:00Z">
        <w:r>
          <w:t xml:space="preserve">continuing </w:t>
        </w:r>
      </w:ins>
      <w:r>
        <w:t xml:space="preserve">registration </w:t>
      </w:r>
      <w:del w:id="201" w:author="Master Repository Process" w:date="2021-09-18T19:55:00Z">
        <w:r>
          <w:delText>standards</w:delText>
        </w:r>
      </w:del>
      <w:ins w:id="202" w:author="Master Repository Process" w:date="2021-09-18T19:55:00Z">
        <w:r>
          <w:t>requirements</w:t>
        </w:r>
      </w:ins>
      <w:r>
        <w:t>;</w:t>
      </w:r>
    </w:p>
    <w:p>
      <w:pPr>
        <w:pStyle w:val="Indenta"/>
      </w:pPr>
      <w:r>
        <w:tab/>
        <w:t>(b)</w:t>
      </w:r>
      <w:r>
        <w:tab/>
        <w:t>the provider has contravened a condition to which its registration is subject;</w:t>
      </w:r>
    </w:p>
    <w:p>
      <w:pPr>
        <w:pStyle w:val="Indenta"/>
      </w:pPr>
      <w:r>
        <w:tab/>
        <w:t>(c)</w:t>
      </w:r>
      <w:r>
        <w:tab/>
        <w:t>the provider is not a fit and proper person to be registered having regard to the matters in regulation 12(6).</w:t>
      </w:r>
    </w:p>
    <w:p>
      <w:pPr>
        <w:pStyle w:val="Subsection"/>
      </w:pPr>
      <w:r>
        <w:tab/>
        <w:t>(2)</w:t>
      </w:r>
      <w:r>
        <w:tab/>
        <w:t>An order made under section 58B(c) of the Act against a registered training provider who is not a WA registered provider may relate to the whole or a part of the provider’s scope of registration, as the Council decides.</w:t>
      </w:r>
    </w:p>
    <w:p>
      <w:pPr>
        <w:pStyle w:val="Subsection"/>
      </w:pPr>
      <w:r>
        <w:tab/>
        <w:t>(3)</w:t>
      </w:r>
      <w:r>
        <w:tab/>
        <w:t>Any order made under section 58B(c) of the Act against a registered training provider who is not a WA registered provider —</w:t>
      </w:r>
    </w:p>
    <w:p>
      <w:pPr>
        <w:pStyle w:val="Indenta"/>
      </w:pPr>
      <w:r>
        <w:tab/>
        <w:t>(a)</w:t>
      </w:r>
      <w:r>
        <w:tab/>
        <w:t xml:space="preserve">must be consistent with the </w:t>
      </w:r>
      <w:ins w:id="203" w:author="Master Repository Process" w:date="2021-09-18T19:55:00Z">
        <w:r>
          <w:t xml:space="preserve">continuing </w:t>
        </w:r>
      </w:ins>
      <w:r>
        <w:t xml:space="preserve">registration </w:t>
      </w:r>
      <w:del w:id="204" w:author="Master Repository Process" w:date="2021-09-18T19:55:00Z">
        <w:r>
          <w:delText>standards</w:delText>
        </w:r>
      </w:del>
      <w:ins w:id="205" w:author="Master Repository Process" w:date="2021-09-18T19:55:00Z">
        <w:r>
          <w:t>requirements</w:t>
        </w:r>
      </w:ins>
      <w:r>
        <w:t>; and</w:t>
      </w:r>
    </w:p>
    <w:p>
      <w:pPr>
        <w:pStyle w:val="Indenta"/>
      </w:pPr>
      <w:r>
        <w:tab/>
        <w:t>(b)</w:t>
      </w:r>
      <w:r>
        <w:tab/>
        <w:t>must be in writing and be given to the provider.</w:t>
      </w:r>
    </w:p>
    <w:p>
      <w:pPr>
        <w:pStyle w:val="Footnotesection"/>
        <w:rPr>
          <w:ins w:id="206" w:author="Master Repository Process" w:date="2021-09-18T19:55:00Z"/>
        </w:rPr>
      </w:pPr>
      <w:bookmarkStart w:id="207" w:name="_Toc232329294"/>
      <w:ins w:id="208" w:author="Master Repository Process" w:date="2021-09-18T19:55:00Z">
        <w:r>
          <w:tab/>
          <w:t>[Regulation 22 amended in Gazette 25 Oct 2011 p. 4511.]</w:t>
        </w:r>
      </w:ins>
    </w:p>
    <w:p>
      <w:pPr>
        <w:pStyle w:val="Heading5"/>
      </w:pPr>
      <w:bookmarkStart w:id="209" w:name="_Toc307322584"/>
      <w:bookmarkStart w:id="210" w:name="_Toc232396112"/>
      <w:r>
        <w:rPr>
          <w:rStyle w:val="CharSectno"/>
        </w:rPr>
        <w:t>23</w:t>
      </w:r>
      <w:r>
        <w:t>.</w:t>
      </w:r>
      <w:r>
        <w:tab/>
        <w:t>Fees</w:t>
      </w:r>
      <w:bookmarkEnd w:id="207"/>
      <w:bookmarkEnd w:id="209"/>
      <w:bookmarkEnd w:id="210"/>
    </w:p>
    <w:p>
      <w:pPr>
        <w:pStyle w:val="Subsection"/>
      </w:pPr>
      <w:r>
        <w:tab/>
        <w:t>(1)</w:t>
      </w:r>
      <w:r>
        <w:tab/>
        <w:t>The fees payable under this Division are to be set by the Council.</w:t>
      </w:r>
    </w:p>
    <w:p>
      <w:pPr>
        <w:pStyle w:val="Subsection"/>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211" w:name="_Toc232329295"/>
      <w:bookmarkStart w:id="212" w:name="_Toc232395128"/>
      <w:bookmarkStart w:id="213" w:name="_Toc232396113"/>
      <w:bookmarkStart w:id="214" w:name="_Toc307322585"/>
      <w:r>
        <w:rPr>
          <w:rStyle w:val="CharDivNo"/>
        </w:rPr>
        <w:t>Division 3</w:t>
      </w:r>
      <w:r>
        <w:t> — </w:t>
      </w:r>
      <w:r>
        <w:rPr>
          <w:rStyle w:val="CharDivText"/>
        </w:rPr>
        <w:t>Audits of training providers</w:t>
      </w:r>
      <w:bookmarkEnd w:id="211"/>
      <w:bookmarkEnd w:id="212"/>
      <w:bookmarkEnd w:id="213"/>
      <w:bookmarkEnd w:id="214"/>
    </w:p>
    <w:p>
      <w:pPr>
        <w:pStyle w:val="Heading5"/>
      </w:pPr>
      <w:bookmarkStart w:id="215" w:name="_Toc232329296"/>
      <w:bookmarkStart w:id="216" w:name="_Toc307322586"/>
      <w:bookmarkStart w:id="217" w:name="_Toc232396114"/>
      <w:r>
        <w:rPr>
          <w:rStyle w:val="CharSectno"/>
        </w:rPr>
        <w:t>24</w:t>
      </w:r>
      <w:r>
        <w:t>.</w:t>
      </w:r>
      <w:r>
        <w:tab/>
        <w:t>Term used: compliance audit</w:t>
      </w:r>
      <w:bookmarkEnd w:id="215"/>
      <w:bookmarkEnd w:id="216"/>
      <w:bookmarkEnd w:id="217"/>
    </w:p>
    <w:p>
      <w:pPr>
        <w:pStyle w:val="Subsection"/>
        <w:keepNext/>
      </w:pPr>
      <w:r>
        <w:tab/>
      </w:r>
      <w:r>
        <w:tab/>
        <w:t>In this Division —</w:t>
      </w:r>
    </w:p>
    <w:p>
      <w:pPr>
        <w:pStyle w:val="Defstart"/>
      </w:pPr>
      <w:r>
        <w:tab/>
      </w:r>
      <w:r>
        <w:rPr>
          <w:rStyle w:val="CharDefText"/>
        </w:rPr>
        <w:t>compliance audit</w:t>
      </w:r>
      <w:r>
        <w:t xml:space="preserve"> means an audit to establish whether a person meets the </w:t>
      </w:r>
      <w:ins w:id="218" w:author="Master Repository Process" w:date="2021-09-18T19:55:00Z">
        <w:r>
          <w:t xml:space="preserve">relevant </w:t>
        </w:r>
      </w:ins>
      <w:r>
        <w:t xml:space="preserve">registration </w:t>
      </w:r>
      <w:del w:id="219" w:author="Master Repository Process" w:date="2021-09-18T19:55:00Z">
        <w:r>
          <w:delText>standards</w:delText>
        </w:r>
      </w:del>
      <w:ins w:id="220" w:author="Master Repository Process" w:date="2021-09-18T19:55:00Z">
        <w:r>
          <w:t>requirements</w:t>
        </w:r>
      </w:ins>
      <w:r>
        <w:t>.</w:t>
      </w:r>
    </w:p>
    <w:p>
      <w:pPr>
        <w:pStyle w:val="Footnotesection"/>
        <w:rPr>
          <w:ins w:id="221" w:author="Master Repository Process" w:date="2021-09-18T19:55:00Z"/>
        </w:rPr>
      </w:pPr>
      <w:bookmarkStart w:id="222" w:name="_Toc232329297"/>
      <w:ins w:id="223" w:author="Master Repository Process" w:date="2021-09-18T19:55:00Z">
        <w:r>
          <w:tab/>
          <w:t>[Regulation 24 amended in Gazette 25 Oct 2011 p. 4511.]</w:t>
        </w:r>
      </w:ins>
    </w:p>
    <w:p>
      <w:pPr>
        <w:pStyle w:val="Heading5"/>
      </w:pPr>
      <w:bookmarkStart w:id="224" w:name="_Toc307322587"/>
      <w:bookmarkStart w:id="225" w:name="_Toc232396115"/>
      <w:r>
        <w:rPr>
          <w:rStyle w:val="CharSectno"/>
        </w:rPr>
        <w:t>25</w:t>
      </w:r>
      <w:r>
        <w:t>.</w:t>
      </w:r>
      <w:r>
        <w:tab/>
        <w:t>Audits</w:t>
      </w:r>
      <w:bookmarkEnd w:id="222"/>
      <w:bookmarkEnd w:id="224"/>
      <w:bookmarkEnd w:id="225"/>
    </w:p>
    <w:p>
      <w:pPr>
        <w:pStyle w:val="Subsection"/>
      </w:pPr>
      <w:r>
        <w:tab/>
        <w:t>(1)</w:t>
      </w:r>
      <w:r>
        <w:tab/>
        <w:t>An inquiry conducted under section 58D of the Act may be in the form of a compliance audit.</w:t>
      </w:r>
    </w:p>
    <w:p>
      <w:pPr>
        <w:pStyle w:val="Subsection"/>
      </w:pPr>
      <w:r>
        <w:tab/>
        <w:t>(2)</w:t>
      </w:r>
      <w:r>
        <w:tab/>
        <w:t xml:space="preserve">A compliance audit must comply with the </w:t>
      </w:r>
      <w:r>
        <w:rPr>
          <w:i/>
          <w:iCs/>
        </w:rPr>
        <w:t xml:space="preserve">AQTF 2007 Standards for State and Territory Registering Bodies </w:t>
      </w:r>
      <w:r>
        <w:t>(published by the Commonwealth of Australia 2007).</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Heading3"/>
      </w:pPr>
      <w:bookmarkStart w:id="226" w:name="_Toc232329298"/>
      <w:bookmarkStart w:id="227" w:name="_Toc232395131"/>
      <w:bookmarkStart w:id="228" w:name="_Toc232396116"/>
      <w:bookmarkStart w:id="229" w:name="_Toc307322588"/>
      <w:r>
        <w:rPr>
          <w:rStyle w:val="CharDivNo"/>
        </w:rPr>
        <w:t>Division 4</w:t>
      </w:r>
      <w:r>
        <w:t> — </w:t>
      </w:r>
      <w:r>
        <w:rPr>
          <w:rStyle w:val="CharDivText"/>
        </w:rPr>
        <w:t>Obligations of registered training providers</w:t>
      </w:r>
      <w:bookmarkEnd w:id="226"/>
      <w:bookmarkEnd w:id="227"/>
      <w:bookmarkEnd w:id="228"/>
      <w:bookmarkEnd w:id="229"/>
    </w:p>
    <w:p>
      <w:pPr>
        <w:pStyle w:val="Heading5"/>
      </w:pPr>
      <w:bookmarkStart w:id="230" w:name="_Toc232329299"/>
      <w:bookmarkStart w:id="231" w:name="_Toc307322589"/>
      <w:bookmarkStart w:id="232" w:name="_Toc232396117"/>
      <w:r>
        <w:rPr>
          <w:rStyle w:val="CharSectno"/>
        </w:rPr>
        <w:t>26</w:t>
      </w:r>
      <w:r>
        <w:t>.</w:t>
      </w:r>
      <w:r>
        <w:tab/>
        <w:t>Reporting to the Council</w:t>
      </w:r>
      <w:bookmarkEnd w:id="230"/>
      <w:bookmarkEnd w:id="231"/>
      <w:bookmarkEnd w:id="232"/>
    </w:p>
    <w:p>
      <w:pPr>
        <w:pStyle w:val="Subsection"/>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pPr>
      <w:r>
        <w:tab/>
        <w:t>(2)</w:t>
      </w:r>
      <w:r>
        <w:tab/>
        <w:t>The Council must not require a WA registered provider to give it a return more frequently than once in every 6 months.</w:t>
      </w:r>
    </w:p>
    <w:p>
      <w:pPr>
        <w:pStyle w:val="Subsection"/>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personal details of the persons to whom the courses were provided;</w:t>
      </w:r>
    </w:p>
    <w:p>
      <w:pPr>
        <w:pStyle w:val="Indenta"/>
      </w:pPr>
      <w:r>
        <w:tab/>
        <w:t>(c)</w:t>
      </w:r>
      <w:r>
        <w:tab/>
        <w:t>the approved VET qualifications and prescribed VET qualifications the provider conferred;</w:t>
      </w:r>
    </w:p>
    <w:p>
      <w:pPr>
        <w:pStyle w:val="Indenta"/>
      </w:pPr>
      <w:r>
        <w:tab/>
        <w:t>(d)</w:t>
      </w:r>
      <w:r>
        <w:tab/>
        <w:t>the personal details of the persons on whom the qualifications were conferred.</w:t>
      </w:r>
    </w:p>
    <w:p>
      <w:pPr>
        <w:pStyle w:val="Subsection"/>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Heading5"/>
      </w:pPr>
      <w:bookmarkStart w:id="233" w:name="_Toc232329300"/>
      <w:bookmarkStart w:id="234" w:name="_Toc307322590"/>
      <w:bookmarkStart w:id="235" w:name="_Toc232396118"/>
      <w:r>
        <w:rPr>
          <w:rStyle w:val="CharSectno"/>
        </w:rPr>
        <w:t>27</w:t>
      </w:r>
      <w:r>
        <w:t>.</w:t>
      </w:r>
      <w:r>
        <w:tab/>
        <w:t>Giving Council information on ceasing operations</w:t>
      </w:r>
      <w:bookmarkEnd w:id="233"/>
      <w:bookmarkEnd w:id="234"/>
      <w:bookmarkEnd w:id="235"/>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 xml:space="preserve">the information, and the means of reproducing or retrieving it, that the provider has kept in accordance with the conditions of registration in the </w:t>
      </w:r>
      <w:ins w:id="236" w:author="Master Repository Process" w:date="2021-09-18T19:55:00Z">
        <w:r>
          <w:t xml:space="preserve">continuing </w:t>
        </w:r>
      </w:ins>
      <w:r>
        <w:t xml:space="preserve">registration </w:t>
      </w:r>
      <w:del w:id="237" w:author="Master Repository Process" w:date="2021-09-18T19:55:00Z">
        <w:r>
          <w:delText>standards</w:delText>
        </w:r>
      </w:del>
      <w:ins w:id="238" w:author="Master Repository Process" w:date="2021-09-18T19:55:00Z">
        <w:r>
          <w:t>requirements</w:t>
        </w:r>
      </w:ins>
      <w:r>
        <w:t xml:space="preserve">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rPr>
          <w:ins w:id="239" w:author="Master Repository Process" w:date="2021-09-18T19:55:00Z"/>
        </w:rPr>
      </w:pPr>
      <w:bookmarkStart w:id="240" w:name="_Toc232329301"/>
      <w:bookmarkStart w:id="241" w:name="_Toc232395134"/>
      <w:bookmarkStart w:id="242" w:name="_Toc232396119"/>
      <w:ins w:id="243" w:author="Master Repository Process" w:date="2021-09-18T19:55:00Z">
        <w:r>
          <w:tab/>
          <w:t>[Regulation 27 amended in Gazette 25 Oct 2011 p. 4511.]</w:t>
        </w:r>
      </w:ins>
    </w:p>
    <w:p>
      <w:pPr>
        <w:pStyle w:val="Heading3"/>
      </w:pPr>
      <w:bookmarkStart w:id="244" w:name="_Toc307322591"/>
      <w:r>
        <w:rPr>
          <w:rStyle w:val="CharDivNo"/>
        </w:rPr>
        <w:t>Division 5</w:t>
      </w:r>
      <w:r>
        <w:t> — </w:t>
      </w:r>
      <w:r>
        <w:rPr>
          <w:rStyle w:val="CharDivText"/>
        </w:rPr>
        <w:t>Accreditation of VET courses</w:t>
      </w:r>
      <w:bookmarkEnd w:id="240"/>
      <w:bookmarkEnd w:id="241"/>
      <w:bookmarkEnd w:id="242"/>
      <w:bookmarkEnd w:id="244"/>
    </w:p>
    <w:p>
      <w:pPr>
        <w:pStyle w:val="Heading5"/>
      </w:pPr>
      <w:bookmarkStart w:id="245" w:name="_Toc232329302"/>
      <w:bookmarkStart w:id="246" w:name="_Toc307322592"/>
      <w:bookmarkStart w:id="247" w:name="_Toc232396120"/>
      <w:r>
        <w:rPr>
          <w:rStyle w:val="CharSectno"/>
        </w:rPr>
        <w:t>28</w:t>
      </w:r>
      <w:r>
        <w:t>.</w:t>
      </w:r>
      <w:r>
        <w:tab/>
        <w:t>Applying to have a VET course accredited</w:t>
      </w:r>
      <w:bookmarkEnd w:id="245"/>
      <w:bookmarkEnd w:id="246"/>
      <w:bookmarkEnd w:id="247"/>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$1 080;</w:t>
      </w:r>
    </w:p>
    <w:p>
      <w:pPr>
        <w:pStyle w:val="Indenti"/>
      </w:pPr>
      <w:r>
        <w:tab/>
        <w:t>(ii)</w:t>
      </w:r>
      <w:r>
        <w:tab/>
        <w:t>for any other VET course — $540.</w:t>
      </w:r>
    </w:p>
    <w:p>
      <w:pPr>
        <w:pStyle w:val="Heading5"/>
      </w:pPr>
      <w:bookmarkStart w:id="248" w:name="_Toc232329303"/>
      <w:bookmarkStart w:id="249" w:name="_Toc307322593"/>
      <w:bookmarkStart w:id="250" w:name="_Toc232396121"/>
      <w:r>
        <w:rPr>
          <w:rStyle w:val="CharSectno"/>
        </w:rPr>
        <w:t>29</w:t>
      </w:r>
      <w:r>
        <w:t>.</w:t>
      </w:r>
      <w:r>
        <w:tab/>
        <w:t>Dealing with applications</w:t>
      </w:r>
      <w:bookmarkEnd w:id="248"/>
      <w:bookmarkEnd w:id="249"/>
      <w:bookmarkEnd w:id="250"/>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251" w:name="_Toc232329304"/>
      <w:bookmarkStart w:id="252" w:name="_Toc307322594"/>
      <w:bookmarkStart w:id="253" w:name="_Toc232396122"/>
      <w:r>
        <w:rPr>
          <w:rStyle w:val="CharSectno"/>
        </w:rPr>
        <w:t>30</w:t>
      </w:r>
      <w:r>
        <w:t>.</w:t>
      </w:r>
      <w:r>
        <w:tab/>
        <w:t>Accrediting VET courses</w:t>
      </w:r>
      <w:bookmarkEnd w:id="251"/>
      <w:bookmarkEnd w:id="252"/>
      <w:bookmarkEnd w:id="253"/>
    </w:p>
    <w:p>
      <w:pPr>
        <w:pStyle w:val="Subsection"/>
        <w:keepNext/>
      </w:pPr>
      <w:r>
        <w:tab/>
        <w:t>(1)</w:t>
      </w:r>
      <w:r>
        <w:tab/>
        <w:t xml:space="preserve">The Council must not accredit a VET course unless — </w:t>
      </w:r>
    </w:p>
    <w:p>
      <w:pPr>
        <w:pStyle w:val="Indenta"/>
      </w:pPr>
      <w:r>
        <w:tab/>
        <w:t>(a)</w:t>
      </w:r>
      <w:r>
        <w:tab/>
        <w:t xml:space="preserve">it has assessed the VET course in accordance with the </w:t>
      </w:r>
      <w:r>
        <w:rPr>
          <w:i/>
          <w:iCs/>
        </w:rPr>
        <w:t xml:space="preserve">AQTF 2007 Standards for State and Territory Course Accrediting Bodies </w:t>
      </w:r>
      <w:r>
        <w:t>(published by the Commonwealth of Australia 2007); and</w:t>
      </w:r>
    </w:p>
    <w:p>
      <w:pPr>
        <w:pStyle w:val="Indenta"/>
      </w:pPr>
      <w:r>
        <w:tab/>
        <w:t>(b)</w:t>
      </w:r>
      <w:r>
        <w:tab/>
        <w:t>it is satisfied the VET course meets the accreditation standards; and</w:t>
      </w:r>
    </w:p>
    <w:p>
      <w:pPr>
        <w:pStyle w:val="Indenta"/>
      </w:pPr>
      <w:r>
        <w:tab/>
        <w:t>(c)</w:t>
      </w:r>
      <w:r>
        <w:tab/>
        <w:t>in the case of a VET course for a prescribed VET qualification — it is satisfied the course complies with the guidelines in the AQF Implementation Handbook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 xml:space="preserve">give that person a course accreditation document in accordance with the </w:t>
      </w:r>
      <w:r>
        <w:rPr>
          <w:i/>
          <w:iCs/>
        </w:rPr>
        <w:t xml:space="preserve">AQTF 2007 Standards for State and Territory Course Accrediting Bodies </w:t>
      </w:r>
      <w:r>
        <w:t>(published by the Commonwealth of Australia 2007);</w:t>
      </w:r>
    </w:p>
    <w:p>
      <w:pPr>
        <w:pStyle w:val="Indenta"/>
      </w:pPr>
      <w:r>
        <w:tab/>
        <w:t>(c)</w:t>
      </w:r>
      <w:r>
        <w:tab/>
        <w:t>give that person written notice of any condition to which the accreditation is subject.</w:t>
      </w:r>
    </w:p>
    <w:p>
      <w:pPr>
        <w:pStyle w:val="Heading5"/>
      </w:pPr>
      <w:bookmarkStart w:id="254" w:name="_Toc232329305"/>
      <w:bookmarkStart w:id="255" w:name="_Toc307322595"/>
      <w:bookmarkStart w:id="256" w:name="_Toc232396123"/>
      <w:r>
        <w:rPr>
          <w:rStyle w:val="CharSectno"/>
        </w:rPr>
        <w:t>31</w:t>
      </w:r>
      <w:r>
        <w:t>.</w:t>
      </w:r>
      <w:r>
        <w:tab/>
        <w:t>Period of accreditation</w:t>
      </w:r>
      <w:bookmarkEnd w:id="254"/>
      <w:bookmarkEnd w:id="255"/>
      <w:bookmarkEnd w:id="256"/>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257" w:name="_Toc232329306"/>
      <w:bookmarkStart w:id="258" w:name="_Toc307322596"/>
      <w:bookmarkStart w:id="259" w:name="_Toc232396124"/>
      <w:r>
        <w:rPr>
          <w:rStyle w:val="CharSectno"/>
        </w:rPr>
        <w:t>32</w:t>
      </w:r>
      <w:r>
        <w:t>.</w:t>
      </w:r>
      <w:r>
        <w:tab/>
        <w:t>Renewing accreditation</w:t>
      </w:r>
      <w:bookmarkEnd w:id="257"/>
      <w:bookmarkEnd w:id="258"/>
      <w:bookmarkEnd w:id="259"/>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260" w:name="_Toc232329307"/>
      <w:bookmarkStart w:id="261" w:name="_Toc307322597"/>
      <w:bookmarkStart w:id="262" w:name="_Toc232396125"/>
      <w:r>
        <w:rPr>
          <w:rStyle w:val="CharSectno"/>
        </w:rPr>
        <w:t>33</w:t>
      </w:r>
      <w:r>
        <w:t>.</w:t>
      </w:r>
      <w:r>
        <w:tab/>
        <w:t>Cancelling accreditation</w:t>
      </w:r>
      <w:bookmarkEnd w:id="260"/>
      <w:bookmarkEnd w:id="261"/>
      <w:bookmarkEnd w:id="262"/>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263" w:name="_Toc232329308"/>
      <w:bookmarkStart w:id="264" w:name="_Toc232395141"/>
      <w:bookmarkStart w:id="265" w:name="_Toc232396126"/>
      <w:bookmarkStart w:id="266" w:name="_Toc307322598"/>
      <w:r>
        <w:rPr>
          <w:rStyle w:val="CharPartNo"/>
        </w:rPr>
        <w:t>Part 4</w:t>
      </w:r>
      <w:r>
        <w:t> — </w:t>
      </w:r>
      <w:r>
        <w:rPr>
          <w:rStyle w:val="CharPartText"/>
        </w:rPr>
        <w:t>Regulations for Part 7 of the Act</w:t>
      </w:r>
      <w:bookmarkEnd w:id="263"/>
      <w:bookmarkEnd w:id="264"/>
      <w:bookmarkEnd w:id="265"/>
      <w:bookmarkEnd w:id="266"/>
    </w:p>
    <w:p>
      <w:pPr>
        <w:pStyle w:val="Heading3"/>
      </w:pPr>
      <w:bookmarkStart w:id="267" w:name="_Toc232329309"/>
      <w:bookmarkStart w:id="268" w:name="_Toc232395142"/>
      <w:bookmarkStart w:id="269" w:name="_Toc232396127"/>
      <w:bookmarkStart w:id="270" w:name="_Toc307322599"/>
      <w:r>
        <w:rPr>
          <w:rStyle w:val="CharDivNo"/>
        </w:rPr>
        <w:t>Division 1</w:t>
      </w:r>
      <w:r>
        <w:t> — </w:t>
      </w:r>
      <w:r>
        <w:rPr>
          <w:rStyle w:val="CharDivText"/>
        </w:rPr>
        <w:t>General matters</w:t>
      </w:r>
      <w:bookmarkEnd w:id="267"/>
      <w:bookmarkEnd w:id="268"/>
      <w:bookmarkEnd w:id="269"/>
      <w:bookmarkEnd w:id="270"/>
    </w:p>
    <w:p>
      <w:pPr>
        <w:pStyle w:val="Heading5"/>
      </w:pPr>
      <w:bookmarkStart w:id="271" w:name="_Toc232329310"/>
      <w:bookmarkStart w:id="272" w:name="_Toc307322600"/>
      <w:bookmarkStart w:id="273" w:name="_Toc232396128"/>
      <w:r>
        <w:rPr>
          <w:rStyle w:val="CharSectno"/>
        </w:rPr>
        <w:t>34</w:t>
      </w:r>
      <w:r>
        <w:t>.</w:t>
      </w:r>
      <w:r>
        <w:tab/>
        <w:t>Term used: nominated training provider</w:t>
      </w:r>
      <w:bookmarkEnd w:id="271"/>
      <w:bookmarkEnd w:id="272"/>
      <w:bookmarkEnd w:id="273"/>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274" w:name="_Toc232329311"/>
      <w:bookmarkStart w:id="275" w:name="_Toc307322601"/>
      <w:bookmarkStart w:id="276" w:name="_Toc232396129"/>
      <w:r>
        <w:rPr>
          <w:rStyle w:val="CharSectno"/>
        </w:rPr>
        <w:t>35</w:t>
      </w:r>
      <w:r>
        <w:t>.</w:t>
      </w:r>
      <w:r>
        <w:tab/>
        <w:t>Chief executive may delegate</w:t>
      </w:r>
      <w:bookmarkEnd w:id="274"/>
      <w:bookmarkEnd w:id="275"/>
      <w:bookmarkEnd w:id="276"/>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277" w:name="_Toc232329312"/>
      <w:bookmarkStart w:id="278" w:name="_Toc232395145"/>
      <w:bookmarkStart w:id="279" w:name="_Toc232396130"/>
      <w:bookmarkStart w:id="280" w:name="_Toc307322602"/>
      <w:r>
        <w:rPr>
          <w:rStyle w:val="CharDivNo"/>
        </w:rPr>
        <w:t>Division 2</w:t>
      </w:r>
      <w:r>
        <w:t> — </w:t>
      </w:r>
      <w:r>
        <w:rPr>
          <w:rStyle w:val="CharDivText"/>
        </w:rPr>
        <w:t>Classifying prescribed VET qualifications</w:t>
      </w:r>
      <w:bookmarkEnd w:id="277"/>
      <w:bookmarkEnd w:id="278"/>
      <w:bookmarkEnd w:id="279"/>
      <w:bookmarkEnd w:id="280"/>
    </w:p>
    <w:p>
      <w:pPr>
        <w:pStyle w:val="Heading5"/>
      </w:pPr>
      <w:bookmarkStart w:id="281" w:name="_Toc232329313"/>
      <w:bookmarkStart w:id="282" w:name="_Toc307322603"/>
      <w:bookmarkStart w:id="283" w:name="_Toc232396131"/>
      <w:r>
        <w:rPr>
          <w:rStyle w:val="CharSectno"/>
        </w:rPr>
        <w:t>36</w:t>
      </w:r>
      <w:r>
        <w:t>.</w:t>
      </w:r>
      <w:r>
        <w:tab/>
        <w:t>Who Board must consult (Act s. 60C)</w:t>
      </w:r>
      <w:bookmarkEnd w:id="281"/>
      <w:bookmarkEnd w:id="282"/>
      <w:bookmarkEnd w:id="283"/>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284" w:name="_Toc232329314"/>
      <w:bookmarkStart w:id="285" w:name="_Toc307322604"/>
      <w:bookmarkStart w:id="286" w:name="_Toc232396132"/>
      <w:r>
        <w:rPr>
          <w:rStyle w:val="CharSectno"/>
        </w:rPr>
        <w:t>37</w:t>
      </w:r>
      <w:r>
        <w:t>.</w:t>
      </w:r>
      <w:r>
        <w:tab/>
        <w:t>Board’s advice and recommendations to Minister (Act s. 60C)</w:t>
      </w:r>
      <w:bookmarkEnd w:id="284"/>
      <w:bookmarkEnd w:id="285"/>
      <w:bookmarkEnd w:id="286"/>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 Implementation Handbook.</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Heading3"/>
      </w:pPr>
      <w:bookmarkStart w:id="287" w:name="_Toc232329315"/>
      <w:bookmarkStart w:id="288" w:name="_Toc232395148"/>
      <w:bookmarkStart w:id="289" w:name="_Toc232396133"/>
      <w:bookmarkStart w:id="290" w:name="_Toc307322605"/>
      <w:r>
        <w:rPr>
          <w:rStyle w:val="CharDivNo"/>
        </w:rPr>
        <w:t>Division 3</w:t>
      </w:r>
      <w:r>
        <w:t> — </w:t>
      </w:r>
      <w:r>
        <w:rPr>
          <w:rStyle w:val="CharDivText"/>
        </w:rPr>
        <w:t>Training contracts</w:t>
      </w:r>
      <w:bookmarkEnd w:id="287"/>
      <w:bookmarkEnd w:id="288"/>
      <w:bookmarkEnd w:id="289"/>
      <w:bookmarkEnd w:id="290"/>
    </w:p>
    <w:p>
      <w:pPr>
        <w:pStyle w:val="Heading5"/>
      </w:pPr>
      <w:bookmarkStart w:id="291" w:name="_Toc232329316"/>
      <w:bookmarkStart w:id="292" w:name="_Toc307322606"/>
      <w:bookmarkStart w:id="293" w:name="_Toc232396134"/>
      <w:r>
        <w:rPr>
          <w:rStyle w:val="CharSectno"/>
        </w:rPr>
        <w:t>38</w:t>
      </w:r>
      <w:r>
        <w:t>.</w:t>
      </w:r>
      <w:r>
        <w:tab/>
        <w:t>Form and content of training contracts</w:t>
      </w:r>
      <w:bookmarkEnd w:id="291"/>
      <w:bookmarkEnd w:id="292"/>
      <w:bookmarkEnd w:id="293"/>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pPr>
      <w:bookmarkStart w:id="294" w:name="_Toc232329317"/>
      <w:bookmarkStart w:id="295" w:name="_Toc307322607"/>
      <w:bookmarkStart w:id="296" w:name="_Toc232396135"/>
      <w:r>
        <w:rPr>
          <w:rStyle w:val="CharSectno"/>
        </w:rPr>
        <w:t>39</w:t>
      </w:r>
      <w:r>
        <w:t>.</w:t>
      </w:r>
      <w:r>
        <w:tab/>
        <w:t>Probation periods of training contracts</w:t>
      </w:r>
      <w:bookmarkEnd w:id="294"/>
      <w:bookmarkEnd w:id="295"/>
      <w:bookmarkEnd w:id="296"/>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pPr>
      <w:bookmarkStart w:id="297" w:name="_Toc232329318"/>
      <w:bookmarkStart w:id="298" w:name="_Toc307322608"/>
      <w:bookmarkStart w:id="299" w:name="_Toc232396136"/>
      <w:r>
        <w:rPr>
          <w:rStyle w:val="CharSectno"/>
        </w:rPr>
        <w:t>40</w:t>
      </w:r>
      <w:r>
        <w:t>.</w:t>
      </w:r>
      <w:r>
        <w:tab/>
        <w:t>Children’s capacity to enter into training contracts</w:t>
      </w:r>
      <w:bookmarkEnd w:id="297"/>
      <w:bookmarkEnd w:id="298"/>
      <w:bookmarkEnd w:id="299"/>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300" w:name="_Toc232329319"/>
      <w:bookmarkStart w:id="301" w:name="_Toc307322609"/>
      <w:bookmarkStart w:id="302" w:name="_Toc232396137"/>
      <w:r>
        <w:rPr>
          <w:rStyle w:val="CharSectno"/>
        </w:rPr>
        <w:t>41</w:t>
      </w:r>
      <w:r>
        <w:t>.</w:t>
      </w:r>
      <w:r>
        <w:tab/>
        <w:t>Lodging training contracts for registration (Act s. 60F)</w:t>
      </w:r>
      <w:bookmarkEnd w:id="300"/>
      <w:bookmarkEnd w:id="301"/>
      <w:bookmarkEnd w:id="302"/>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303" w:name="_Toc232329320"/>
      <w:bookmarkStart w:id="304" w:name="_Toc307322610"/>
      <w:bookmarkStart w:id="305" w:name="_Toc232396138"/>
      <w:r>
        <w:rPr>
          <w:rStyle w:val="CharSectno"/>
        </w:rPr>
        <w:t>42</w:t>
      </w:r>
      <w:r>
        <w:t>.</w:t>
      </w:r>
      <w:r>
        <w:tab/>
        <w:t>Registering training contracts (Act s. 60F)</w:t>
      </w:r>
      <w:bookmarkEnd w:id="303"/>
      <w:bookmarkEnd w:id="304"/>
      <w:bookmarkEnd w:id="305"/>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306" w:name="_Toc232329321"/>
      <w:bookmarkStart w:id="307" w:name="_Toc307322611"/>
      <w:bookmarkStart w:id="308" w:name="_Toc232396139"/>
      <w:r>
        <w:rPr>
          <w:rStyle w:val="CharSectno"/>
        </w:rPr>
        <w:t>43</w:t>
      </w:r>
      <w:r>
        <w:t>.</w:t>
      </w:r>
      <w:r>
        <w:tab/>
        <w:t>Training plans for training contracts</w:t>
      </w:r>
      <w:bookmarkEnd w:id="306"/>
      <w:bookmarkEnd w:id="307"/>
      <w:bookmarkEnd w:id="308"/>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309" w:name="_Toc232329322"/>
      <w:bookmarkStart w:id="310" w:name="_Toc307322612"/>
      <w:bookmarkStart w:id="311" w:name="_Toc232396140"/>
      <w:r>
        <w:rPr>
          <w:rStyle w:val="CharSectno"/>
        </w:rPr>
        <w:t>44</w:t>
      </w:r>
      <w:r>
        <w:t>.</w:t>
      </w:r>
      <w:r>
        <w:tab/>
        <w:t>Cancellation of registration by chief executive (Act s. 60F)</w:t>
      </w:r>
      <w:bookmarkEnd w:id="309"/>
      <w:bookmarkEnd w:id="310"/>
      <w:bookmarkEnd w:id="311"/>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312" w:name="_Toc232329323"/>
      <w:bookmarkStart w:id="313" w:name="_Toc307322613"/>
      <w:bookmarkStart w:id="314" w:name="_Toc232396141"/>
      <w:r>
        <w:rPr>
          <w:rStyle w:val="CharSectno"/>
        </w:rPr>
        <w:t>45</w:t>
      </w:r>
      <w:r>
        <w:t>.</w:t>
      </w:r>
      <w:r>
        <w:tab/>
        <w:t>Chief executive may require persons involved in training contracts to provide information</w:t>
      </w:r>
      <w:bookmarkEnd w:id="312"/>
      <w:bookmarkEnd w:id="313"/>
      <w:bookmarkEnd w:id="314"/>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315" w:name="_Toc232329324"/>
      <w:bookmarkStart w:id="316" w:name="_Toc307322614"/>
      <w:bookmarkStart w:id="317" w:name="_Toc232396142"/>
      <w:r>
        <w:rPr>
          <w:rStyle w:val="CharSectno"/>
        </w:rPr>
        <w:t>46</w:t>
      </w:r>
      <w:r>
        <w:t>.</w:t>
      </w:r>
      <w:r>
        <w:tab/>
        <w:t>Variation of training contract by parties (Act s. 60E)</w:t>
      </w:r>
      <w:bookmarkEnd w:id="315"/>
      <w:bookmarkEnd w:id="316"/>
      <w:bookmarkEnd w:id="317"/>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318" w:name="_Toc232329325"/>
      <w:bookmarkStart w:id="319" w:name="_Toc307322615"/>
      <w:bookmarkStart w:id="320" w:name="_Toc232396143"/>
      <w:r>
        <w:rPr>
          <w:rStyle w:val="CharSectno"/>
        </w:rPr>
        <w:t>47</w:t>
      </w:r>
      <w:r>
        <w:t>.</w:t>
      </w:r>
      <w:r>
        <w:tab/>
        <w:t>Assignment of training contract to another employer (Act s. 60E)</w:t>
      </w:r>
      <w:bookmarkEnd w:id="318"/>
      <w:bookmarkEnd w:id="319"/>
      <w:bookmarkEnd w:id="320"/>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321" w:name="_Toc232329326"/>
      <w:bookmarkStart w:id="322" w:name="_Toc307322616"/>
      <w:bookmarkStart w:id="323" w:name="_Toc232396144"/>
      <w:r>
        <w:rPr>
          <w:rStyle w:val="CharSectno"/>
        </w:rPr>
        <w:t>48</w:t>
      </w:r>
      <w:r>
        <w:t>.</w:t>
      </w:r>
      <w:r>
        <w:tab/>
        <w:t>Suspension of training contract by parties (Act s. 60E)</w:t>
      </w:r>
      <w:bookmarkEnd w:id="321"/>
      <w:bookmarkEnd w:id="322"/>
      <w:bookmarkEnd w:id="323"/>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324" w:name="_Toc232329327"/>
      <w:bookmarkStart w:id="325" w:name="_Toc307322617"/>
      <w:bookmarkStart w:id="326" w:name="_Toc232396145"/>
      <w:r>
        <w:rPr>
          <w:rStyle w:val="CharSectno"/>
        </w:rPr>
        <w:t>49</w:t>
      </w:r>
      <w:r>
        <w:t>.</w:t>
      </w:r>
      <w:r>
        <w:tab/>
        <w:t>Suspension by employer (Act s. 60E)</w:t>
      </w:r>
      <w:bookmarkEnd w:id="324"/>
      <w:bookmarkEnd w:id="325"/>
      <w:bookmarkEnd w:id="326"/>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327" w:name="_Toc232329328"/>
      <w:bookmarkStart w:id="328" w:name="_Toc307322618"/>
      <w:bookmarkStart w:id="329" w:name="_Toc232396146"/>
      <w:r>
        <w:rPr>
          <w:rStyle w:val="CharSectno"/>
        </w:rPr>
        <w:t>50</w:t>
      </w:r>
      <w:r>
        <w:t>.</w:t>
      </w:r>
      <w:r>
        <w:tab/>
        <w:t>Termination of training contract by parties (Act s. 60G)</w:t>
      </w:r>
      <w:bookmarkEnd w:id="327"/>
      <w:bookmarkEnd w:id="328"/>
      <w:bookmarkEnd w:id="329"/>
    </w:p>
    <w:p>
      <w:pPr>
        <w:pStyle w:val="Subsection"/>
      </w:pPr>
      <w:r>
        <w:tab/>
      </w:r>
      <w:r>
        <w:tab/>
        <w:t>A party to a training contract may terminate the contract during the contract’s probation period without the approval of the chief executive.</w:t>
      </w:r>
    </w:p>
    <w:p>
      <w:pPr>
        <w:pStyle w:val="Heading5"/>
      </w:pPr>
      <w:bookmarkStart w:id="330" w:name="_Toc232329329"/>
      <w:bookmarkStart w:id="331" w:name="_Toc307322619"/>
      <w:bookmarkStart w:id="332" w:name="_Toc232396147"/>
      <w:r>
        <w:rPr>
          <w:rStyle w:val="CharSectno"/>
        </w:rPr>
        <w:t>51</w:t>
      </w:r>
      <w:r>
        <w:t>.</w:t>
      </w:r>
      <w:r>
        <w:tab/>
        <w:t>Approval of termination of training contract by chief executive (Act s. 60G)</w:t>
      </w:r>
      <w:bookmarkEnd w:id="330"/>
      <w:bookmarkEnd w:id="331"/>
      <w:bookmarkEnd w:id="332"/>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333" w:name="_Toc232329330"/>
      <w:bookmarkStart w:id="334" w:name="_Toc307322620"/>
      <w:bookmarkStart w:id="335" w:name="_Toc232396148"/>
      <w:r>
        <w:rPr>
          <w:rStyle w:val="CharSectno"/>
        </w:rPr>
        <w:t>52</w:t>
      </w:r>
      <w:r>
        <w:t>.</w:t>
      </w:r>
      <w:r>
        <w:tab/>
        <w:t>Completion of training contract</w:t>
      </w:r>
      <w:bookmarkEnd w:id="333"/>
      <w:bookmarkEnd w:id="334"/>
      <w:bookmarkEnd w:id="335"/>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336" w:name="_Toc232329331"/>
      <w:bookmarkStart w:id="337" w:name="_Toc232395164"/>
      <w:bookmarkStart w:id="338" w:name="_Toc232396149"/>
      <w:bookmarkStart w:id="339" w:name="_Toc307322621"/>
      <w:r>
        <w:rPr>
          <w:rStyle w:val="CharDivNo"/>
        </w:rPr>
        <w:t>Division 4</w:t>
      </w:r>
      <w:r>
        <w:t> — </w:t>
      </w:r>
      <w:r>
        <w:rPr>
          <w:rStyle w:val="CharDivText"/>
        </w:rPr>
        <w:t>Procedure and appeals</w:t>
      </w:r>
      <w:bookmarkEnd w:id="336"/>
      <w:bookmarkEnd w:id="337"/>
      <w:bookmarkEnd w:id="338"/>
      <w:bookmarkEnd w:id="339"/>
    </w:p>
    <w:p>
      <w:pPr>
        <w:pStyle w:val="Heading5"/>
      </w:pPr>
      <w:bookmarkStart w:id="340" w:name="_Toc232329332"/>
      <w:bookmarkStart w:id="341" w:name="_Toc307322622"/>
      <w:bookmarkStart w:id="342" w:name="_Toc232396150"/>
      <w:r>
        <w:rPr>
          <w:rStyle w:val="CharSectno"/>
        </w:rPr>
        <w:t>53</w:t>
      </w:r>
      <w:r>
        <w:t>.</w:t>
      </w:r>
      <w:r>
        <w:tab/>
        <w:t>Procedure on applications</w:t>
      </w:r>
      <w:bookmarkEnd w:id="340"/>
      <w:bookmarkEnd w:id="341"/>
      <w:bookmarkEnd w:id="342"/>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343" w:name="_Toc232329333"/>
      <w:bookmarkStart w:id="344" w:name="_Toc307322623"/>
      <w:bookmarkStart w:id="345" w:name="_Toc232396151"/>
      <w:r>
        <w:rPr>
          <w:rStyle w:val="CharSectno"/>
        </w:rPr>
        <w:t>54</w:t>
      </w:r>
      <w:r>
        <w:t>.</w:t>
      </w:r>
      <w:r>
        <w:tab/>
        <w:t>Appeals</w:t>
      </w:r>
      <w:bookmarkEnd w:id="343"/>
      <w:bookmarkEnd w:id="344"/>
      <w:bookmarkEnd w:id="345"/>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346" w:name="_Toc232329334"/>
      <w:bookmarkStart w:id="347" w:name="_Toc232395167"/>
      <w:bookmarkStart w:id="348" w:name="_Toc232396152"/>
      <w:bookmarkStart w:id="349" w:name="_Toc307322624"/>
      <w:r>
        <w:rPr>
          <w:rStyle w:val="CharPartNo"/>
        </w:rPr>
        <w:t>Part 5</w:t>
      </w:r>
      <w:r>
        <w:rPr>
          <w:rStyle w:val="CharDivNo"/>
        </w:rPr>
        <w:t> </w:t>
      </w:r>
      <w:r>
        <w:t>—</w:t>
      </w:r>
      <w:r>
        <w:rPr>
          <w:rStyle w:val="CharDivText"/>
        </w:rPr>
        <w:t> </w:t>
      </w:r>
      <w:r>
        <w:rPr>
          <w:rStyle w:val="CharPartText"/>
        </w:rPr>
        <w:t>Repeals and transitional matters</w:t>
      </w:r>
      <w:bookmarkEnd w:id="346"/>
      <w:bookmarkEnd w:id="347"/>
      <w:bookmarkEnd w:id="348"/>
      <w:bookmarkEnd w:id="349"/>
    </w:p>
    <w:p>
      <w:pPr>
        <w:pStyle w:val="Heading5"/>
      </w:pPr>
      <w:bookmarkStart w:id="350" w:name="_Toc232329335"/>
      <w:bookmarkStart w:id="351" w:name="_Toc307322625"/>
      <w:bookmarkStart w:id="352" w:name="_Toc232396153"/>
      <w:r>
        <w:rPr>
          <w:rStyle w:val="CharSectno"/>
        </w:rPr>
        <w:t>55</w:t>
      </w:r>
      <w:r>
        <w:t>.</w:t>
      </w:r>
      <w:r>
        <w:tab/>
        <w:t>Term used: commencement</w:t>
      </w:r>
      <w:bookmarkEnd w:id="350"/>
      <w:bookmarkEnd w:id="351"/>
      <w:bookmarkEnd w:id="352"/>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Heading5"/>
      </w:pPr>
      <w:bookmarkStart w:id="353" w:name="_Toc232329336"/>
      <w:bookmarkStart w:id="354" w:name="_Toc307322626"/>
      <w:bookmarkStart w:id="355" w:name="_Toc232396154"/>
      <w:r>
        <w:rPr>
          <w:rStyle w:val="CharSectno"/>
        </w:rPr>
        <w:t>56</w:t>
      </w:r>
      <w:r>
        <w:t>.</w:t>
      </w:r>
      <w:r>
        <w:tab/>
        <w:t>Repeals</w:t>
      </w:r>
      <w:bookmarkEnd w:id="353"/>
      <w:bookmarkEnd w:id="354"/>
      <w:bookmarkEnd w:id="355"/>
    </w:p>
    <w:p>
      <w:pPr>
        <w:pStyle w:val="Subsection"/>
      </w:pPr>
      <w:r>
        <w:tab/>
        <w:t>(1)</w:t>
      </w:r>
      <w:r>
        <w:tab/>
        <w:t xml:space="preserve">The </w:t>
      </w:r>
      <w:r>
        <w:rPr>
          <w:i/>
          <w:iCs/>
        </w:rPr>
        <w:t xml:space="preserve">Industrial Training (Apprenticeship Training) Regulations 1981 </w:t>
      </w:r>
      <w:r>
        <w:t>are repealed.</w:t>
      </w:r>
    </w:p>
    <w:p>
      <w:pPr>
        <w:pStyle w:val="Subsection"/>
      </w:pPr>
      <w:r>
        <w:tab/>
        <w:t>(2)</w:t>
      </w:r>
      <w:r>
        <w:tab/>
        <w:t xml:space="preserve">The </w:t>
      </w:r>
      <w:r>
        <w:rPr>
          <w:i/>
          <w:iCs/>
        </w:rPr>
        <w:t xml:space="preserve">Industrial Training (General Apprenticeship) Regulations 1981 </w:t>
      </w:r>
      <w:r>
        <w:t>are repealed.</w:t>
      </w:r>
    </w:p>
    <w:p>
      <w:pPr>
        <w:pStyle w:val="Heading5"/>
      </w:pPr>
      <w:bookmarkStart w:id="356" w:name="_Toc232329337"/>
      <w:bookmarkStart w:id="357" w:name="_Toc307322627"/>
      <w:bookmarkStart w:id="358" w:name="_Toc232396155"/>
      <w:r>
        <w:rPr>
          <w:rStyle w:val="CharSectno"/>
        </w:rPr>
        <w:t>57</w:t>
      </w:r>
      <w:r>
        <w:t>.</w:t>
      </w:r>
      <w:r>
        <w:tab/>
        <w:t>Registered training providers</w:t>
      </w:r>
      <w:bookmarkEnd w:id="356"/>
      <w:bookmarkEnd w:id="357"/>
      <w:bookmarkEnd w:id="358"/>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359" w:name="_Toc232329338"/>
      <w:bookmarkStart w:id="360" w:name="_Toc307322628"/>
      <w:bookmarkStart w:id="361" w:name="_Toc232396156"/>
      <w:r>
        <w:rPr>
          <w:rStyle w:val="CharSectno"/>
        </w:rPr>
        <w:t>58</w:t>
      </w:r>
      <w:r>
        <w:t>.</w:t>
      </w:r>
      <w:r>
        <w:tab/>
        <w:t>Accredited courses</w:t>
      </w:r>
      <w:bookmarkEnd w:id="359"/>
      <w:bookmarkEnd w:id="360"/>
      <w:bookmarkEnd w:id="361"/>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362" w:name="_Toc232329339"/>
      <w:bookmarkStart w:id="363" w:name="_Toc307322629"/>
      <w:bookmarkStart w:id="364" w:name="_Toc232396157"/>
      <w:r>
        <w:rPr>
          <w:rStyle w:val="CharSectno"/>
        </w:rPr>
        <w:t>59</w:t>
      </w:r>
      <w:r>
        <w:t>.</w:t>
      </w:r>
      <w:r>
        <w:tab/>
        <w:t>Traineeship contracts</w:t>
      </w:r>
      <w:bookmarkEnd w:id="362"/>
      <w:bookmarkEnd w:id="363"/>
      <w:bookmarkEnd w:id="364"/>
    </w:p>
    <w:p>
      <w:pPr>
        <w:pStyle w:val="Subsection"/>
      </w:pPr>
      <w:r>
        <w:tab/>
      </w:r>
      <w:r>
        <w:tab/>
        <w:t>If —</w:t>
      </w:r>
    </w:p>
    <w:p>
      <w:pPr>
        <w:pStyle w:val="Indenta"/>
        <w:rPr>
          <w:iCs/>
        </w:rPr>
      </w:pPr>
      <w:r>
        <w:tab/>
        <w:t>(a)</w:t>
      </w:r>
      <w:r>
        <w:tab/>
        <w:t xml:space="preserve">immediately before commencement the Director of Industrial Training appointed under the </w:t>
      </w:r>
      <w:r>
        <w:rPr>
          <w:i/>
        </w:rPr>
        <w:t xml:space="preserve">Industrial Training Act 1975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365" w:name="_Toc232329340"/>
      <w:bookmarkStart w:id="366" w:name="_Toc307322630"/>
      <w:bookmarkStart w:id="367" w:name="_Toc232396158"/>
      <w:r>
        <w:rPr>
          <w:rStyle w:val="CharSectno"/>
        </w:rPr>
        <w:t>60</w:t>
      </w:r>
      <w:r>
        <w:t>.</w:t>
      </w:r>
      <w:r>
        <w:tab/>
        <w:t>Apprentices learning trades, transitional provisions for</w:t>
      </w:r>
      <w:bookmarkEnd w:id="365"/>
      <w:bookmarkEnd w:id="366"/>
      <w:bookmarkEnd w:id="367"/>
    </w:p>
    <w:p>
      <w:pPr>
        <w:pStyle w:val="Subsection"/>
      </w:pPr>
      <w:r>
        <w:tab/>
      </w:r>
      <w:r>
        <w:tab/>
        <w:t>Schedule 1 sets out transitional provisions.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68" w:name="_Toc232329341"/>
      <w:bookmarkStart w:id="369" w:name="_Toc232395174"/>
      <w:bookmarkStart w:id="370" w:name="_Toc232396159"/>
      <w:bookmarkStart w:id="371" w:name="_Toc307322631"/>
      <w:bookmarkStart w:id="372" w:name="_Toc70311421"/>
      <w:bookmarkStart w:id="373" w:name="_Toc113695913"/>
      <w:bookmarkStart w:id="374" w:name="_Toc231178932"/>
      <w:r>
        <w:rPr>
          <w:rStyle w:val="CharSchNo"/>
        </w:rPr>
        <w:t>Schedule 1</w:t>
      </w:r>
      <w:r>
        <w:rPr>
          <w:rStyle w:val="CharSDivNo"/>
        </w:rPr>
        <w:t> </w:t>
      </w:r>
      <w:r>
        <w:t>—</w:t>
      </w:r>
      <w:r>
        <w:rPr>
          <w:rStyle w:val="CharSDivText"/>
        </w:rPr>
        <w:t> </w:t>
      </w:r>
      <w:r>
        <w:rPr>
          <w:rStyle w:val="CharSchText"/>
        </w:rPr>
        <w:t>Training contract</w:t>
      </w:r>
      <w:bookmarkEnd w:id="368"/>
      <w:bookmarkEnd w:id="369"/>
      <w:bookmarkEnd w:id="370"/>
      <w:bookmarkEnd w:id="371"/>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State">
        <w:smartTag w:uri="urn:schemas-microsoft-com:office:smarttags" w:element="plac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State">
        <w:smartTag w:uri="urn:schemas-microsoft-com:office:smarttags" w:element="place">
          <w:r>
            <w:rPr>
              <w:rFonts w:ascii="Arial" w:hAnsi="Arial" w:cs="Arial"/>
              <w:b/>
              <w:bCs/>
              <w:sz w:val="18"/>
            </w:rPr>
            <w:t>Western Australia</w:t>
          </w:r>
        </w:smartTag>
      </w:smartTag>
      <w:r>
        <w:rPr>
          <w:rFonts w:ascii="Arial" w:hAnsi="Arial" w:cs="Arial"/>
          <w:b/>
          <w:bCs/>
          <w:sz w:val="18"/>
        </w:rPr>
        <w:t xml:space="preserve"> Government</w:t>
      </w:r>
    </w:p>
    <w:p>
      <w:pPr>
        <w:pStyle w:val="yMiscellaneousBody"/>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City">
              <w:smartTag w:uri="urn:schemas-microsoft-com:office:smarttags" w:element="place">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country-region">
              <w:smartTag w:uri="urn:schemas-microsoft-com:office:smarttags" w:element="place">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country-region">
              <w:smartTag w:uri="urn:schemas-microsoft-com:office:smarttags" w:element="place">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30</w:t>
            </w:r>
          </w:p>
        </w:tc>
        <w:tc>
          <w:tcPr>
            <w:tcW w:w="6521" w:type="dxa"/>
          </w:tcPr>
          <w:p>
            <w:pPr>
              <w:pStyle w:val="yTableNAm"/>
              <w:tabs>
                <w:tab w:val="clear" w:pos="567"/>
              </w:tabs>
              <w:spacing w:before="0"/>
              <w:rPr>
                <w:rFonts w:ascii="Arial" w:hAnsi="Arial" w:cs="Arial"/>
                <w:sz w:val="20"/>
              </w:rPr>
            </w:pPr>
            <w:r>
              <w:rPr>
                <w:rFonts w:ascii="Arial" w:hAnsi="Arial" w:cs="Arial"/>
                <w:sz w:val="20"/>
              </w:rPr>
              <w:t>Trading name</w:t>
            </w:r>
          </w:p>
          <w:p>
            <w:pPr>
              <w:pStyle w:val="yTableNAm"/>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City">
              <w:smartTag w:uri="urn:schemas-microsoft-com:office:smarttags" w:element="place">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4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Training Information Service website (www.ntis.gov.au).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country-region">
        <w:smartTag w:uri="urn:schemas-microsoft-com:office:smarttags" w:element="place">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country-region">
        <w:smartTag w:uri="urn:schemas-microsoft-com:office:smarttags" w:element="place">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country-region">
        <w:smartTag w:uri="urn:schemas-microsoft-com:office:smarttags" w:element="place">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spacing w:before="40"/>
        <w:rPr>
          <w:rFonts w:ascii="Arial" w:hAnsi="Arial" w:cs="Arial"/>
          <w:sz w:val="18"/>
        </w:rPr>
      </w:pPr>
      <w:r>
        <w:rPr>
          <w:rFonts w:ascii="Arial" w:hAnsi="Arial" w:cs="Arial"/>
          <w:b/>
          <w:bCs/>
          <w:sz w:val="18"/>
        </w:rPr>
        <w:t>Question 19 – Australian School-based Apprenticeship</w:t>
      </w:r>
    </w:p>
    <w:p>
      <w:pPr>
        <w:pStyle w:val="yMiscellaneousBody"/>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375" w:name="_Toc232329342"/>
    </w:p>
    <w:p>
      <w:pPr>
        <w:pStyle w:val="yScheduleHeading"/>
        <w:pageBreakBefore w:val="0"/>
      </w:pPr>
      <w:bookmarkStart w:id="376" w:name="_Toc232395175"/>
      <w:bookmarkStart w:id="377" w:name="_Toc232396160"/>
      <w:bookmarkStart w:id="378" w:name="_Toc307322632"/>
      <w:r>
        <w:rPr>
          <w:rStyle w:val="CharSchNo"/>
        </w:rPr>
        <w:t>Schedule 2</w:t>
      </w:r>
      <w:r>
        <w:rPr>
          <w:rStyle w:val="CharSDivNo"/>
        </w:rPr>
        <w:t> </w:t>
      </w:r>
      <w:r>
        <w:t>—</w:t>
      </w:r>
      <w:r>
        <w:rPr>
          <w:rStyle w:val="CharSDivText"/>
        </w:rPr>
        <w:t> </w:t>
      </w:r>
      <w:r>
        <w:rPr>
          <w:rStyle w:val="CharSchText"/>
        </w:rPr>
        <w:t>Provisions about old agreements and old training contracts</w:t>
      </w:r>
      <w:bookmarkEnd w:id="375"/>
      <w:bookmarkEnd w:id="376"/>
      <w:bookmarkEnd w:id="377"/>
      <w:bookmarkEnd w:id="378"/>
    </w:p>
    <w:p>
      <w:pPr>
        <w:pStyle w:val="yShoulderClause"/>
      </w:pPr>
      <w:r>
        <w:t>[r. 60]</w:t>
      </w:r>
    </w:p>
    <w:p>
      <w:pPr>
        <w:pStyle w:val="yHeading5"/>
      </w:pPr>
      <w:bookmarkStart w:id="379" w:name="_Toc232329343"/>
      <w:bookmarkStart w:id="380" w:name="_Toc307322633"/>
      <w:bookmarkStart w:id="381" w:name="_Toc232396161"/>
      <w:r>
        <w:rPr>
          <w:rStyle w:val="CharSClsNo"/>
        </w:rPr>
        <w:t>1</w:t>
      </w:r>
      <w:r>
        <w:t>.</w:t>
      </w:r>
      <w:r>
        <w:tab/>
        <w:t>Terms used</w:t>
      </w:r>
      <w:bookmarkEnd w:id="379"/>
      <w:bookmarkEnd w:id="380"/>
      <w:bookmarkEnd w:id="381"/>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t>, whether or not the contract also specifies the apprentice is being trained for a prescribed VET qualification.</w:t>
      </w:r>
    </w:p>
    <w:p>
      <w:pPr>
        <w:pStyle w:val="yHeading5"/>
      </w:pPr>
      <w:bookmarkStart w:id="382" w:name="_Toc232329344"/>
      <w:bookmarkStart w:id="383" w:name="_Toc307322634"/>
      <w:bookmarkStart w:id="384" w:name="_Toc232396162"/>
      <w:r>
        <w:rPr>
          <w:rStyle w:val="CharSClsNo"/>
        </w:rPr>
        <w:t>2</w:t>
      </w:r>
      <w:r>
        <w:t>.</w:t>
      </w:r>
      <w:r>
        <w:tab/>
        <w:t>Old agreements to be read with modifications</w:t>
      </w:r>
      <w:bookmarkEnd w:id="382"/>
      <w:bookmarkEnd w:id="383"/>
      <w:bookmarkEnd w:id="384"/>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385" w:name="_Toc232329345"/>
      <w:bookmarkStart w:id="386" w:name="_Toc307322635"/>
      <w:bookmarkStart w:id="387" w:name="_Toc232396163"/>
      <w:r>
        <w:rPr>
          <w:rStyle w:val="CharSClsNo"/>
        </w:rPr>
        <w:t>3</w:t>
      </w:r>
      <w:r>
        <w:t>.</w:t>
      </w:r>
      <w:r>
        <w:tab/>
        <w:t>Old agreements and contracts not terminated by sale of business</w:t>
      </w:r>
      <w:bookmarkEnd w:id="385"/>
      <w:bookmarkEnd w:id="386"/>
      <w:bookmarkEnd w:id="387"/>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388" w:name="_Toc232329346"/>
      <w:bookmarkStart w:id="389" w:name="_Toc307322636"/>
      <w:bookmarkStart w:id="390" w:name="_Toc232396164"/>
      <w:r>
        <w:rPr>
          <w:rStyle w:val="CharSClsNo"/>
        </w:rPr>
        <w:t>4</w:t>
      </w:r>
      <w:r>
        <w:t>.</w:t>
      </w:r>
      <w:r>
        <w:tab/>
        <w:t>Technical instruction requirements for trade apprentices</w:t>
      </w:r>
      <w:bookmarkEnd w:id="388"/>
      <w:bookmarkEnd w:id="389"/>
      <w:bookmarkEnd w:id="390"/>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391" w:name="_Toc232329347"/>
      <w:bookmarkStart w:id="392" w:name="_Toc307322637"/>
      <w:bookmarkStart w:id="393" w:name="_Toc232396165"/>
      <w:r>
        <w:rPr>
          <w:rStyle w:val="CharSClsNo"/>
        </w:rPr>
        <w:t>5</w:t>
      </w:r>
      <w:r>
        <w:t>.</w:t>
      </w:r>
      <w:r>
        <w:tab/>
        <w:t>Final certificates for trade apprentices</w:t>
      </w:r>
      <w:bookmarkEnd w:id="391"/>
      <w:bookmarkEnd w:id="392"/>
      <w:bookmarkEnd w:id="393"/>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bookmarkEnd w:id="372"/>
    <w:bookmarkEnd w:id="373"/>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rPr>
          <w:del w:id="394" w:author="Master Repository Process" w:date="2021-09-18T19:55:00Z"/>
        </w:rPr>
      </w:pPr>
      <w:bookmarkStart w:id="395" w:name="_Toc232395181"/>
      <w:bookmarkStart w:id="396" w:name="_Toc232396166"/>
      <w:bookmarkEnd w:id="43"/>
      <w:bookmarkEnd w:id="44"/>
      <w:bookmarkEnd w:id="45"/>
      <w:bookmarkEnd w:id="46"/>
      <w:bookmarkEnd w:id="47"/>
      <w:bookmarkEnd w:id="374"/>
      <w:del w:id="397" w:author="Master Repository Process" w:date="2021-09-18T19:55:00Z">
        <w:r>
          <w:delText>Notes</w:delText>
        </w:r>
        <w:bookmarkEnd w:id="395"/>
        <w:bookmarkEnd w:id="396"/>
      </w:del>
    </w:p>
    <w:p>
      <w:pPr>
        <w:pStyle w:val="nSubsection"/>
        <w:rPr>
          <w:del w:id="398" w:author="Master Repository Process" w:date="2021-09-18T19:55:00Z"/>
          <w:snapToGrid w:val="0"/>
        </w:rPr>
      </w:pPr>
      <w:del w:id="399" w:author="Master Repository Process" w:date="2021-09-18T19:55:00Z">
        <w:r>
          <w:rPr>
            <w:snapToGrid w:val="0"/>
            <w:vertAlign w:val="superscript"/>
          </w:rPr>
          <w:delText>1</w:delText>
        </w:r>
        <w:r>
          <w:rPr>
            <w:snapToGrid w:val="0"/>
          </w:rPr>
          <w:tab/>
          <w:delText xml:space="preserve">This is a compilation of the </w:delText>
        </w:r>
        <w:r>
          <w:rPr>
            <w:i/>
            <w:noProof/>
            <w:snapToGrid w:val="0"/>
          </w:rPr>
          <w:delText>Vocational Education and Training (General) Regulations 2009</w:delText>
        </w:r>
        <w:r>
          <w:rPr>
            <w:snapToGrid w:val="0"/>
          </w:rPr>
          <w:delText xml:space="preserve">.  The following table contains information about those regulations. </w:delText>
        </w:r>
      </w:del>
    </w:p>
    <w:p>
      <w:pPr>
        <w:pStyle w:val="nHeading3"/>
        <w:rPr>
          <w:del w:id="400" w:author="Master Repository Process" w:date="2021-09-18T19:55:00Z"/>
        </w:rPr>
      </w:pPr>
      <w:bookmarkStart w:id="401" w:name="_Toc70311430"/>
      <w:bookmarkStart w:id="402" w:name="_Toc232396167"/>
      <w:del w:id="403" w:author="Master Repository Process" w:date="2021-09-18T19:55:00Z">
        <w:r>
          <w:delText>Compilation table</w:delText>
        </w:r>
        <w:bookmarkEnd w:id="401"/>
        <w:bookmarkEnd w:id="40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04" w:author="Master Repository Process" w:date="2021-09-18T19:55:00Z"/>
        </w:trPr>
        <w:tc>
          <w:tcPr>
            <w:tcW w:w="3118" w:type="dxa"/>
          </w:tcPr>
          <w:p>
            <w:pPr>
              <w:pStyle w:val="nTable"/>
              <w:spacing w:after="40"/>
              <w:rPr>
                <w:del w:id="405" w:author="Master Repository Process" w:date="2021-09-18T19:55:00Z"/>
                <w:b/>
                <w:sz w:val="19"/>
              </w:rPr>
            </w:pPr>
            <w:del w:id="406" w:author="Master Repository Process" w:date="2021-09-18T19:55:00Z">
              <w:r>
                <w:rPr>
                  <w:b/>
                  <w:sz w:val="19"/>
                </w:rPr>
                <w:delText>Citation</w:delText>
              </w:r>
            </w:del>
          </w:p>
        </w:tc>
        <w:tc>
          <w:tcPr>
            <w:tcW w:w="1276" w:type="dxa"/>
          </w:tcPr>
          <w:p>
            <w:pPr>
              <w:pStyle w:val="nTable"/>
              <w:spacing w:after="40"/>
              <w:rPr>
                <w:del w:id="407" w:author="Master Repository Process" w:date="2021-09-18T19:55:00Z"/>
                <w:b/>
                <w:sz w:val="19"/>
              </w:rPr>
            </w:pPr>
            <w:del w:id="408" w:author="Master Repository Process" w:date="2021-09-18T19:55:00Z">
              <w:r>
                <w:rPr>
                  <w:b/>
                  <w:sz w:val="19"/>
                </w:rPr>
                <w:delText>Gazettal</w:delText>
              </w:r>
            </w:del>
          </w:p>
        </w:tc>
        <w:tc>
          <w:tcPr>
            <w:tcW w:w="2693" w:type="dxa"/>
          </w:tcPr>
          <w:p>
            <w:pPr>
              <w:pStyle w:val="nTable"/>
              <w:spacing w:after="40"/>
              <w:rPr>
                <w:del w:id="409" w:author="Master Repository Process" w:date="2021-09-18T19:55:00Z"/>
                <w:b/>
                <w:sz w:val="19"/>
              </w:rPr>
            </w:pPr>
            <w:del w:id="410" w:author="Master Repository Process" w:date="2021-09-18T19:55:00Z">
              <w:r>
                <w:rPr>
                  <w:b/>
                  <w:sz w:val="19"/>
                </w:rPr>
                <w:delText>Commencement</w:delText>
              </w:r>
            </w:del>
          </w:p>
        </w:tc>
      </w:tr>
      <w:tr>
        <w:trPr>
          <w:del w:id="411" w:author="Master Repository Process" w:date="2021-09-18T19:55:00Z"/>
        </w:trPr>
        <w:tc>
          <w:tcPr>
            <w:tcW w:w="3118" w:type="dxa"/>
          </w:tcPr>
          <w:p>
            <w:pPr>
              <w:pStyle w:val="nTable"/>
              <w:spacing w:after="40"/>
              <w:rPr>
                <w:del w:id="412" w:author="Master Repository Process" w:date="2021-09-18T19:55:00Z"/>
                <w:iCs/>
                <w:sz w:val="19"/>
              </w:rPr>
            </w:pPr>
            <w:del w:id="413" w:author="Master Repository Process" w:date="2021-09-18T19:55:00Z">
              <w:r>
                <w:rPr>
                  <w:i/>
                  <w:noProof/>
                  <w:snapToGrid w:val="0"/>
                  <w:sz w:val="19"/>
                </w:rPr>
                <w:delText>Vocational Education and Training (General) Regulations 2009</w:delText>
              </w:r>
            </w:del>
          </w:p>
        </w:tc>
        <w:tc>
          <w:tcPr>
            <w:tcW w:w="1276" w:type="dxa"/>
          </w:tcPr>
          <w:p>
            <w:pPr>
              <w:pStyle w:val="nTable"/>
              <w:spacing w:after="40"/>
              <w:rPr>
                <w:del w:id="414" w:author="Master Repository Process" w:date="2021-09-18T19:55:00Z"/>
                <w:sz w:val="19"/>
              </w:rPr>
            </w:pPr>
            <w:del w:id="415" w:author="Master Repository Process" w:date="2021-09-18T19:55:00Z">
              <w:r>
                <w:rPr>
                  <w:sz w:val="19"/>
                </w:rPr>
                <w:delText>22 May 2009 p. 1731</w:delText>
              </w:r>
              <w:r>
                <w:rPr>
                  <w:sz w:val="19"/>
                </w:rPr>
                <w:noBreakHyphen/>
                <w:delText>97</w:delText>
              </w:r>
            </w:del>
          </w:p>
        </w:tc>
        <w:tc>
          <w:tcPr>
            <w:tcW w:w="2693" w:type="dxa"/>
          </w:tcPr>
          <w:p>
            <w:pPr>
              <w:pStyle w:val="nTable"/>
              <w:spacing w:after="40"/>
              <w:rPr>
                <w:del w:id="416" w:author="Master Repository Process" w:date="2021-09-18T19:55:00Z"/>
                <w:sz w:val="19"/>
              </w:rPr>
            </w:pPr>
            <w:del w:id="417" w:author="Master Repository Process" w:date="2021-09-18T19:55:00Z">
              <w:r>
                <w:rPr>
                  <w:sz w:val="19"/>
                </w:rPr>
                <w:delText>r. 1 and 2: 22 May 2009 (see r. 2(a))</w:delText>
              </w:r>
              <w:r>
                <w:rPr>
                  <w:sz w:val="19"/>
                </w:rPr>
                <w:br/>
                <w:delText>Regulation</w:delText>
              </w:r>
              <w:bookmarkStart w:id="418" w:name="UpToHere"/>
              <w:bookmarkEnd w:id="418"/>
              <w:r>
                <w:rPr>
                  <w:sz w:val="19"/>
                </w:rPr>
                <w:delText>s other than r. 1 and 2: 10 Jun 2009 (see r. 2(b) and No. 44 of 2008 s. 2(2))</w:delText>
              </w:r>
            </w:del>
          </w:p>
        </w:tc>
      </w:tr>
    </w:tbl>
    <w:p>
      <w:pPr>
        <w:rPr>
          <w:del w:id="419" w:author="Master Repository Process" w:date="2021-09-18T19:55:00Z"/>
        </w:rPr>
      </w:pPr>
      <w:bookmarkStart w:id="420" w:name="AutoSch"/>
      <w:bookmarkEnd w:id="420"/>
    </w:p>
    <w:p>
      <w:pPr>
        <w:rPr>
          <w:del w:id="421" w:author="Master Repository Process" w:date="2021-09-18T19:55:00Z"/>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(General)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451"/>
    <w:docVar w:name="WAFER_20151209165451" w:val="RemoveTrackChanges"/>
    <w:docVar w:name="WAFER_20151209165451_GUID" w:val="c54a7af6-c4bf-4e91-b7fa-377904b21b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CADDF57-BCCB-4CEB-8408-BD08474D0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14281</Words>
  <Characters>75837</Characters>
  <Application>Microsoft Office Word</Application>
  <DocSecurity>0</DocSecurity>
  <Lines>2049</Lines>
  <Paragraphs>1234</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 matters</vt:lpstr>
      <vt:lpstr>    Part 2 — General matters</vt:lpstr>
      <vt:lpstr>    Part 3 — Regulations for Part 7A of the Act</vt:lpstr>
      <vt:lpstr>        Division 1 — General matters</vt:lpstr>
      <vt:lpstr>        Division 2 — Registration of training providers</vt:lpstr>
      <vt:lpstr>        Division 3 — Audits of training providers</vt:lpstr>
      <vt:lpstr>        Division 4 — Obligations of registered training providers</vt:lpstr>
      <vt:lpstr>        Division 5 — Accreditation of VET courses</vt:lpstr>
      <vt:lpstr>    Part 4 — Regulations for Part 7 of the Act</vt:lpstr>
      <vt:lpstr>        Division 1 — General matters</vt:lpstr>
      <vt:lpstr>        Division 2 — Classifying prescribed VET qualifications</vt:lpstr>
      <vt:lpstr>        Division 3 — Training contracts</vt:lpstr>
      <vt:lpstr>        Division 4 — Procedure and appeals</vt:lpstr>
      <vt:lpstr>    Part 5 — Repeals and transitional matters</vt:lpstr>
      <vt:lpstr>    Schedule 1 — Training contract</vt:lpstr>
      <vt:lpstr>    Schedule 2 — Provisions about old agreements and old training contracts</vt:lpstr>
      <vt:lpstr>    Notes</vt:lpstr>
      <vt:lpstr>    Defined Terms</vt:lpstr>
    </vt:vector>
  </TitlesOfParts>
  <Manager/>
  <Company/>
  <LinksUpToDate>false</LinksUpToDate>
  <CharactersWithSpaces>88884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00-b0-03 - 00-c0-02</dc:title>
  <dc:subject/>
  <dc:creator/>
  <cp:keywords/>
  <dc:description/>
  <cp:lastModifiedBy>Master Repository Process</cp:lastModifiedBy>
  <cp:revision>2</cp:revision>
  <cp:lastPrinted>2009-06-10T03:07:00Z</cp:lastPrinted>
  <dcterms:created xsi:type="dcterms:W3CDTF">2021-09-18T11:55:00Z</dcterms:created>
  <dcterms:modified xsi:type="dcterms:W3CDTF">2021-09-18T11:55:00Z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20111026</vt:lpwstr>
  </property>
  <property fmtid="{D5CDD505-2E9C-101B-9397-08002B2CF9AE}" pid="4" name="OwlsUID">
    <vt:i4>41125</vt:i4>
  </property>
  <property fmtid="{D5CDD505-2E9C-101B-9397-08002B2CF9AE}" pid="5" name="DocumentType">
    <vt:lpwstr>Reg</vt:lpwstr>
  </property>
  <property fmtid="{D5CDD505-2E9C-101B-9397-08002B2CF9AE}" pid="6" name="FromSuffix">
    <vt:lpwstr>00-b0-03</vt:lpwstr>
  </property>
  <property fmtid="{D5CDD505-2E9C-101B-9397-08002B2CF9AE}" pid="7" name="FromAsAtDate">
    <vt:lpwstr>10 Jun 2009</vt:lpwstr>
  </property>
  <property fmtid="{D5CDD505-2E9C-101B-9397-08002B2CF9AE}" pid="8" name="ToSuffix">
    <vt:lpwstr>00-c0-02</vt:lpwstr>
  </property>
  <property fmtid="{D5CDD505-2E9C-101B-9397-08002B2CF9AE}" pid="9" name="ToAsAtDate">
    <vt:lpwstr>26 Oct 2011</vt:lpwstr>
  </property>
</Properties>
</file>