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bookmarkStart w:id="5" w:name="_Toc306283845"/>
      <w:bookmarkStart w:id="6" w:name="_Toc30965267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pPr>
      <w:bookmarkStart w:id="8" w:name="_Toc283891673"/>
      <w:bookmarkStart w:id="9" w:name="_Toc309652680"/>
      <w:bookmarkStart w:id="10" w:name="_Toc306283846"/>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2" w:name="_Toc283891674"/>
      <w:bookmarkStart w:id="13" w:name="_Toc309652681"/>
      <w:bookmarkStart w:id="14" w:name="_Toc306283847"/>
      <w:r>
        <w:rPr>
          <w:rStyle w:val="CharSectno"/>
        </w:rPr>
        <w:t>2</w:t>
      </w:r>
      <w:r>
        <w:rPr>
          <w:spacing w:val="-2"/>
        </w:rPr>
        <w:t>.</w:t>
      </w:r>
      <w:r>
        <w:rPr>
          <w:spacing w:val="-2"/>
        </w:rPr>
        <w:tab/>
        <w:t>Commencement</w:t>
      </w:r>
      <w:bookmarkEnd w:id="12"/>
      <w:bookmarkEnd w:id="13"/>
      <w:bookmarkEnd w:id="14"/>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5" w:name="_Toc283891675"/>
      <w:bookmarkStart w:id="16" w:name="_Toc283891759"/>
      <w:bookmarkStart w:id="17" w:name="_Toc283893609"/>
      <w:bookmarkStart w:id="18" w:name="_Toc283893869"/>
      <w:bookmarkStart w:id="19" w:name="_Toc297297232"/>
      <w:bookmarkStart w:id="20" w:name="_Toc306283848"/>
      <w:bookmarkStart w:id="21" w:name="_Toc309652682"/>
      <w:r>
        <w:rPr>
          <w:rStyle w:val="CharPartNo"/>
        </w:rPr>
        <w:t>Part 2</w:t>
      </w:r>
      <w:r>
        <w:rPr>
          <w:rStyle w:val="CharDivNo"/>
        </w:rPr>
        <w:t> </w:t>
      </w:r>
      <w:r>
        <w:t>—</w:t>
      </w:r>
      <w:r>
        <w:rPr>
          <w:rStyle w:val="CharDivText"/>
        </w:rPr>
        <w:t> </w:t>
      </w:r>
      <w:r>
        <w:rPr>
          <w:rStyle w:val="CharPartText"/>
        </w:rPr>
        <w:t>Accreditation</w:t>
      </w:r>
      <w:bookmarkEnd w:id="15"/>
      <w:bookmarkEnd w:id="16"/>
      <w:bookmarkEnd w:id="17"/>
      <w:bookmarkEnd w:id="18"/>
      <w:bookmarkEnd w:id="19"/>
      <w:bookmarkEnd w:id="20"/>
      <w:bookmarkEnd w:id="21"/>
    </w:p>
    <w:p>
      <w:pPr>
        <w:pStyle w:val="Heading5"/>
      </w:pPr>
      <w:bookmarkStart w:id="22" w:name="_Toc283891676"/>
      <w:bookmarkStart w:id="23" w:name="_Toc309652683"/>
      <w:bookmarkStart w:id="24" w:name="_Toc306283849"/>
      <w:r>
        <w:rPr>
          <w:rStyle w:val="CharSectno"/>
        </w:rPr>
        <w:t>3</w:t>
      </w:r>
      <w:r>
        <w:t>.</w:t>
      </w:r>
      <w:r>
        <w:tab/>
        <w:t>Application for accreditation</w:t>
      </w:r>
      <w:bookmarkEnd w:id="22"/>
      <w:bookmarkEnd w:id="23"/>
      <w:bookmarkEnd w:id="24"/>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5" w:name="_Toc283891677"/>
      <w:bookmarkStart w:id="26" w:name="_Toc309652684"/>
      <w:bookmarkStart w:id="27" w:name="_Toc306283850"/>
      <w:r>
        <w:rPr>
          <w:rStyle w:val="CharSectno"/>
        </w:rPr>
        <w:t>4</w:t>
      </w:r>
      <w:r>
        <w:t>.</w:t>
      </w:r>
      <w:r>
        <w:tab/>
        <w:t>Prescribed details of accredited person</w:t>
      </w:r>
      <w:bookmarkEnd w:id="25"/>
      <w:bookmarkEnd w:id="26"/>
      <w:bookmarkEnd w:id="2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8" w:name="_Toc283891678"/>
      <w:bookmarkStart w:id="29" w:name="_Toc309652685"/>
      <w:bookmarkStart w:id="30" w:name="_Toc306283851"/>
      <w:r>
        <w:rPr>
          <w:rStyle w:val="CharSectno"/>
        </w:rPr>
        <w:t>5</w:t>
      </w:r>
      <w:r>
        <w:t>.</w:t>
      </w:r>
      <w:r>
        <w:tab/>
        <w:t>Prescribed conditions of, or restrictions on, accreditation</w:t>
      </w:r>
      <w:bookmarkEnd w:id="28"/>
      <w:bookmarkEnd w:id="29"/>
      <w:bookmarkEnd w:id="30"/>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1" w:name="_Toc283891679"/>
      <w:bookmarkStart w:id="32" w:name="_Toc309652686"/>
      <w:bookmarkStart w:id="33" w:name="_Toc306283852"/>
      <w:r>
        <w:rPr>
          <w:rStyle w:val="CharSectno"/>
        </w:rPr>
        <w:t>6</w:t>
      </w:r>
      <w:r>
        <w:t>.</w:t>
      </w:r>
      <w:r>
        <w:tab/>
        <w:t>Surrender of accreditation</w:t>
      </w:r>
      <w:bookmarkEnd w:id="31"/>
      <w:bookmarkEnd w:id="32"/>
      <w:bookmarkEnd w:id="33"/>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4" w:name="_Toc283891680"/>
      <w:bookmarkStart w:id="35" w:name="_Toc309652687"/>
      <w:bookmarkStart w:id="36" w:name="_Toc306283853"/>
      <w:r>
        <w:rPr>
          <w:rStyle w:val="CharSectno"/>
        </w:rPr>
        <w:t>7</w:t>
      </w:r>
      <w:r>
        <w:t>.</w:t>
      </w:r>
      <w:r>
        <w:tab/>
        <w:t>Application for a variation of an accreditation</w:t>
      </w:r>
      <w:bookmarkEnd w:id="34"/>
      <w:bookmarkEnd w:id="35"/>
      <w:bookmarkEnd w:id="36"/>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7" w:name="_Toc283891681"/>
      <w:bookmarkStart w:id="38" w:name="_Toc283891765"/>
      <w:bookmarkStart w:id="39" w:name="_Toc283893615"/>
      <w:bookmarkStart w:id="40" w:name="_Toc283893875"/>
      <w:bookmarkStart w:id="41" w:name="_Toc297297238"/>
      <w:bookmarkStart w:id="42" w:name="_Toc306283854"/>
      <w:bookmarkStart w:id="43" w:name="_Toc309652688"/>
      <w:r>
        <w:rPr>
          <w:rStyle w:val="CharPartNo"/>
        </w:rPr>
        <w:t>Part 3</w:t>
      </w:r>
      <w:r>
        <w:t> — </w:t>
      </w:r>
      <w:r>
        <w:rPr>
          <w:rStyle w:val="CharPartText"/>
        </w:rPr>
        <w:t>Safety management</w:t>
      </w:r>
      <w:bookmarkEnd w:id="37"/>
      <w:bookmarkEnd w:id="38"/>
      <w:bookmarkEnd w:id="39"/>
      <w:bookmarkEnd w:id="40"/>
      <w:bookmarkEnd w:id="41"/>
      <w:bookmarkEnd w:id="42"/>
      <w:bookmarkEnd w:id="43"/>
    </w:p>
    <w:p>
      <w:pPr>
        <w:pStyle w:val="Heading3"/>
      </w:pPr>
      <w:bookmarkStart w:id="44" w:name="_Toc283891682"/>
      <w:bookmarkStart w:id="45" w:name="_Toc283891766"/>
      <w:bookmarkStart w:id="46" w:name="_Toc283893616"/>
      <w:bookmarkStart w:id="47" w:name="_Toc283893876"/>
      <w:bookmarkStart w:id="48" w:name="_Toc297297239"/>
      <w:bookmarkStart w:id="49" w:name="_Toc306283855"/>
      <w:bookmarkStart w:id="50" w:name="_Toc309652689"/>
      <w:r>
        <w:rPr>
          <w:rStyle w:val="CharDivNo"/>
        </w:rPr>
        <w:t>Division 1</w:t>
      </w:r>
      <w:r>
        <w:t> — </w:t>
      </w:r>
      <w:r>
        <w:rPr>
          <w:rStyle w:val="CharDivText"/>
        </w:rPr>
        <w:t>Safety management systems</w:t>
      </w:r>
      <w:bookmarkEnd w:id="44"/>
      <w:bookmarkEnd w:id="45"/>
      <w:bookmarkEnd w:id="46"/>
      <w:bookmarkEnd w:id="47"/>
      <w:bookmarkEnd w:id="48"/>
      <w:bookmarkEnd w:id="49"/>
      <w:bookmarkEnd w:id="50"/>
    </w:p>
    <w:p>
      <w:pPr>
        <w:pStyle w:val="Heading5"/>
      </w:pPr>
      <w:bookmarkStart w:id="51" w:name="_Toc283891683"/>
      <w:bookmarkStart w:id="52" w:name="_Toc309652690"/>
      <w:bookmarkStart w:id="53" w:name="_Toc306283856"/>
      <w:r>
        <w:rPr>
          <w:rStyle w:val="CharSectno"/>
        </w:rPr>
        <w:t>8</w:t>
      </w:r>
      <w:r>
        <w:t>.</w:t>
      </w:r>
      <w:r>
        <w:tab/>
        <w:t>Prescribed requirements for a safety management system</w:t>
      </w:r>
      <w:bookmarkEnd w:id="51"/>
      <w:bookmarkEnd w:id="52"/>
      <w:bookmarkEnd w:id="53"/>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54" w:name="_Toc283891684"/>
      <w:bookmarkStart w:id="55" w:name="_Toc283891768"/>
      <w:bookmarkStart w:id="56" w:name="_Toc283893618"/>
      <w:bookmarkStart w:id="57" w:name="_Toc283893878"/>
      <w:bookmarkStart w:id="58" w:name="_Toc297297241"/>
      <w:bookmarkStart w:id="59" w:name="_Toc306283857"/>
      <w:bookmarkStart w:id="60" w:name="_Toc309652691"/>
      <w:r>
        <w:rPr>
          <w:rStyle w:val="CharDivNo"/>
        </w:rPr>
        <w:t>Division 2</w:t>
      </w:r>
      <w:r>
        <w:t> — </w:t>
      </w:r>
      <w:r>
        <w:rPr>
          <w:rStyle w:val="CharDivText"/>
        </w:rPr>
        <w:t>Private sidings</w:t>
      </w:r>
      <w:bookmarkEnd w:id="54"/>
      <w:bookmarkEnd w:id="55"/>
      <w:bookmarkEnd w:id="56"/>
      <w:bookmarkEnd w:id="57"/>
      <w:bookmarkEnd w:id="58"/>
      <w:bookmarkEnd w:id="59"/>
      <w:bookmarkEnd w:id="60"/>
    </w:p>
    <w:p>
      <w:pPr>
        <w:pStyle w:val="Heading5"/>
      </w:pPr>
      <w:bookmarkStart w:id="61" w:name="_Toc283891685"/>
      <w:bookmarkStart w:id="62" w:name="_Toc309652692"/>
      <w:bookmarkStart w:id="63" w:name="_Toc306283858"/>
      <w:r>
        <w:rPr>
          <w:rStyle w:val="CharSectno"/>
        </w:rPr>
        <w:t>9</w:t>
      </w:r>
      <w:r>
        <w:t>.</w:t>
      </w:r>
      <w:r>
        <w:tab/>
        <w:t>Maintenance and operational conditions</w:t>
      </w:r>
      <w:bookmarkEnd w:id="61"/>
      <w:bookmarkEnd w:id="62"/>
      <w:bookmarkEnd w:id="63"/>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64" w:name="_Toc283891686"/>
      <w:bookmarkStart w:id="65" w:name="_Toc283891770"/>
      <w:bookmarkStart w:id="66" w:name="_Toc283893620"/>
      <w:bookmarkStart w:id="67" w:name="_Toc283893880"/>
      <w:bookmarkStart w:id="68" w:name="_Toc297297243"/>
      <w:bookmarkStart w:id="69" w:name="_Toc306283859"/>
      <w:bookmarkStart w:id="70" w:name="_Toc309652693"/>
      <w:r>
        <w:rPr>
          <w:rStyle w:val="CharDivNo"/>
        </w:rPr>
        <w:t>Division 3</w:t>
      </w:r>
      <w:r>
        <w:t> — </w:t>
      </w:r>
      <w:r>
        <w:rPr>
          <w:rStyle w:val="CharDivText"/>
        </w:rPr>
        <w:t>Interface coordination plans</w:t>
      </w:r>
      <w:bookmarkEnd w:id="64"/>
      <w:bookmarkEnd w:id="65"/>
      <w:bookmarkEnd w:id="66"/>
      <w:bookmarkEnd w:id="67"/>
      <w:bookmarkEnd w:id="68"/>
      <w:bookmarkEnd w:id="69"/>
      <w:bookmarkEnd w:id="70"/>
    </w:p>
    <w:p>
      <w:pPr>
        <w:pStyle w:val="Heading5"/>
      </w:pPr>
      <w:bookmarkStart w:id="71" w:name="_Toc283891687"/>
      <w:bookmarkStart w:id="72" w:name="_Toc309652694"/>
      <w:bookmarkStart w:id="73" w:name="_Toc306283860"/>
      <w:r>
        <w:rPr>
          <w:rStyle w:val="CharSectno"/>
        </w:rPr>
        <w:t>10</w:t>
      </w:r>
      <w:r>
        <w:t>.</w:t>
      </w:r>
      <w:r>
        <w:tab/>
        <w:t>Term used: interface agreement</w:t>
      </w:r>
      <w:bookmarkEnd w:id="71"/>
      <w:bookmarkEnd w:id="72"/>
      <w:bookmarkEnd w:id="73"/>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74" w:name="_Toc283891689"/>
      <w:bookmarkStart w:id="75" w:name="_Toc283891773"/>
      <w:bookmarkStart w:id="76" w:name="_Toc283893623"/>
      <w:bookmarkStart w:id="77" w:name="_Toc283893882"/>
      <w:bookmarkStart w:id="78" w:name="_Toc297297245"/>
      <w:bookmarkStart w:id="79" w:name="_Toc306283861"/>
      <w:bookmarkStart w:id="80" w:name="_Toc309652695"/>
      <w:r>
        <w:rPr>
          <w:rStyle w:val="CharDivNo"/>
        </w:rPr>
        <w:t>Division 4</w:t>
      </w:r>
      <w:r>
        <w:t> — </w:t>
      </w:r>
      <w:r>
        <w:rPr>
          <w:rStyle w:val="CharDivText"/>
        </w:rPr>
        <w:t>Security management plans</w:t>
      </w:r>
      <w:bookmarkEnd w:id="74"/>
      <w:bookmarkEnd w:id="75"/>
      <w:bookmarkEnd w:id="76"/>
      <w:bookmarkEnd w:id="77"/>
      <w:bookmarkEnd w:id="78"/>
      <w:bookmarkEnd w:id="79"/>
      <w:bookmarkEnd w:id="80"/>
    </w:p>
    <w:p>
      <w:pPr>
        <w:pStyle w:val="Heading5"/>
      </w:pPr>
      <w:bookmarkStart w:id="81" w:name="_Toc283891690"/>
      <w:bookmarkStart w:id="82" w:name="_Toc309652696"/>
      <w:bookmarkStart w:id="83" w:name="_Toc306283862"/>
      <w:r>
        <w:rPr>
          <w:rStyle w:val="CharSectno"/>
        </w:rPr>
        <w:t>12</w:t>
      </w:r>
      <w:r>
        <w:t>.</w:t>
      </w:r>
      <w:r>
        <w:tab/>
        <w:t>Security management plan</w:t>
      </w:r>
      <w:bookmarkEnd w:id="81"/>
      <w:bookmarkEnd w:id="82"/>
      <w:bookmarkEnd w:id="83"/>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84" w:name="_Toc283891691"/>
      <w:bookmarkStart w:id="85" w:name="_Toc283891775"/>
      <w:bookmarkStart w:id="86" w:name="_Toc283893625"/>
      <w:bookmarkStart w:id="87" w:name="_Toc283893884"/>
      <w:bookmarkStart w:id="88" w:name="_Toc297297247"/>
      <w:bookmarkStart w:id="89" w:name="_Toc306283863"/>
      <w:bookmarkStart w:id="90" w:name="_Toc309652697"/>
      <w:r>
        <w:rPr>
          <w:rStyle w:val="CharDivNo"/>
        </w:rPr>
        <w:t>Division 5</w:t>
      </w:r>
      <w:r>
        <w:t> — </w:t>
      </w:r>
      <w:r>
        <w:rPr>
          <w:rStyle w:val="CharDivText"/>
        </w:rPr>
        <w:t>Emergency management plans</w:t>
      </w:r>
      <w:bookmarkEnd w:id="84"/>
      <w:bookmarkEnd w:id="85"/>
      <w:bookmarkEnd w:id="86"/>
      <w:bookmarkEnd w:id="87"/>
      <w:bookmarkEnd w:id="88"/>
      <w:bookmarkEnd w:id="89"/>
      <w:bookmarkEnd w:id="90"/>
    </w:p>
    <w:p>
      <w:pPr>
        <w:pStyle w:val="Heading5"/>
      </w:pPr>
      <w:bookmarkStart w:id="91" w:name="_Toc283891692"/>
      <w:bookmarkStart w:id="92" w:name="_Toc309652698"/>
      <w:bookmarkStart w:id="93" w:name="_Toc306283864"/>
      <w:r>
        <w:rPr>
          <w:rStyle w:val="CharSectno"/>
        </w:rPr>
        <w:t>13</w:t>
      </w:r>
      <w:r>
        <w:t>.</w:t>
      </w:r>
      <w:r>
        <w:tab/>
        <w:t>Preparation of an emergency management plan</w:t>
      </w:r>
      <w:bookmarkEnd w:id="91"/>
      <w:bookmarkEnd w:id="92"/>
      <w:bookmarkEnd w:id="93"/>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94" w:name="_Toc283891693"/>
      <w:bookmarkStart w:id="95" w:name="_Toc309652699"/>
      <w:bookmarkStart w:id="96" w:name="_Toc306283865"/>
      <w:r>
        <w:rPr>
          <w:rStyle w:val="CharSectno"/>
        </w:rPr>
        <w:t>14</w:t>
      </w:r>
      <w:r>
        <w:t>.</w:t>
      </w:r>
      <w:r>
        <w:tab/>
        <w:t>Matters to be included in an emergency management plan</w:t>
      </w:r>
      <w:bookmarkEnd w:id="94"/>
      <w:bookmarkEnd w:id="95"/>
      <w:bookmarkEnd w:id="96"/>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97" w:name="_Toc283891694"/>
      <w:bookmarkStart w:id="98" w:name="_Toc309652700"/>
      <w:bookmarkStart w:id="99" w:name="_Toc306283866"/>
      <w:r>
        <w:rPr>
          <w:rStyle w:val="CharSectno"/>
        </w:rPr>
        <w:t>15</w:t>
      </w:r>
      <w:r>
        <w:t>.</w:t>
      </w:r>
      <w:r>
        <w:tab/>
        <w:t>Keeping, maintaining and testing an emergency management plan</w:t>
      </w:r>
      <w:bookmarkEnd w:id="97"/>
      <w:bookmarkEnd w:id="98"/>
      <w:bookmarkEnd w:id="99"/>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00" w:name="_Toc283891695"/>
      <w:bookmarkStart w:id="101" w:name="_Toc283891779"/>
      <w:bookmarkStart w:id="102" w:name="_Toc283893629"/>
      <w:bookmarkStart w:id="103" w:name="_Toc283893888"/>
      <w:bookmarkStart w:id="104" w:name="_Toc297297251"/>
      <w:bookmarkStart w:id="105" w:name="_Toc306283867"/>
      <w:bookmarkStart w:id="106" w:name="_Toc309652701"/>
      <w:r>
        <w:rPr>
          <w:rStyle w:val="CharDivNo"/>
        </w:rPr>
        <w:t>Division 6</w:t>
      </w:r>
      <w:r>
        <w:t> — </w:t>
      </w:r>
      <w:r>
        <w:rPr>
          <w:rStyle w:val="CharDivText"/>
        </w:rPr>
        <w:t>Review</w:t>
      </w:r>
      <w:bookmarkEnd w:id="100"/>
      <w:bookmarkEnd w:id="101"/>
      <w:bookmarkEnd w:id="102"/>
      <w:bookmarkEnd w:id="103"/>
      <w:bookmarkEnd w:id="104"/>
      <w:bookmarkEnd w:id="105"/>
      <w:bookmarkEnd w:id="106"/>
    </w:p>
    <w:p>
      <w:pPr>
        <w:pStyle w:val="Heading5"/>
      </w:pPr>
      <w:bookmarkStart w:id="107" w:name="_Toc283891696"/>
      <w:bookmarkStart w:id="108" w:name="_Toc309652702"/>
      <w:bookmarkStart w:id="109" w:name="_Toc306283868"/>
      <w:r>
        <w:rPr>
          <w:rStyle w:val="CharSectno"/>
        </w:rPr>
        <w:t>16</w:t>
      </w:r>
      <w:r>
        <w:t>.</w:t>
      </w:r>
      <w:r>
        <w:tab/>
        <w:t>Review of safety management system</w:t>
      </w:r>
      <w:bookmarkEnd w:id="107"/>
      <w:bookmarkEnd w:id="108"/>
      <w:bookmarkEnd w:id="109"/>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10" w:name="_Toc283891697"/>
      <w:bookmarkStart w:id="111" w:name="_Toc283891781"/>
      <w:bookmarkStart w:id="112" w:name="_Toc283893631"/>
      <w:bookmarkStart w:id="113" w:name="_Toc283893890"/>
      <w:bookmarkStart w:id="114" w:name="_Toc297297253"/>
      <w:bookmarkStart w:id="115" w:name="_Toc306283869"/>
      <w:bookmarkStart w:id="116" w:name="_Toc309652703"/>
      <w:r>
        <w:rPr>
          <w:rStyle w:val="CharPartNo"/>
        </w:rPr>
        <w:t>Part 4</w:t>
      </w:r>
      <w:r>
        <w:rPr>
          <w:rStyle w:val="CharDivNo"/>
        </w:rPr>
        <w:t> </w:t>
      </w:r>
      <w:r>
        <w:t>—</w:t>
      </w:r>
      <w:r>
        <w:rPr>
          <w:rStyle w:val="CharDivText"/>
        </w:rPr>
        <w:t> </w:t>
      </w:r>
      <w:r>
        <w:rPr>
          <w:rStyle w:val="CharPartText"/>
        </w:rPr>
        <w:t>Rail safety workers</w:t>
      </w:r>
      <w:bookmarkEnd w:id="110"/>
      <w:bookmarkEnd w:id="111"/>
      <w:bookmarkEnd w:id="112"/>
      <w:bookmarkEnd w:id="113"/>
      <w:bookmarkEnd w:id="114"/>
      <w:bookmarkEnd w:id="115"/>
      <w:bookmarkEnd w:id="116"/>
    </w:p>
    <w:p>
      <w:pPr>
        <w:pStyle w:val="Heading5"/>
      </w:pPr>
      <w:bookmarkStart w:id="117" w:name="_Toc283891698"/>
      <w:bookmarkStart w:id="118" w:name="_Toc309652704"/>
      <w:bookmarkStart w:id="119" w:name="_Toc306283870"/>
      <w:r>
        <w:rPr>
          <w:rStyle w:val="CharSectno"/>
        </w:rPr>
        <w:t>17</w:t>
      </w:r>
      <w:r>
        <w:t>.</w:t>
      </w:r>
      <w:r>
        <w:tab/>
        <w:t>Health and fitness management programme</w:t>
      </w:r>
      <w:bookmarkEnd w:id="117"/>
      <w:bookmarkEnd w:id="118"/>
      <w:bookmarkEnd w:id="11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20" w:name="_Toc283891699"/>
      <w:bookmarkStart w:id="121" w:name="_Toc309652705"/>
      <w:bookmarkStart w:id="122" w:name="_Toc306283871"/>
      <w:r>
        <w:rPr>
          <w:rStyle w:val="CharSectno"/>
        </w:rPr>
        <w:t>18</w:t>
      </w:r>
      <w:r>
        <w:t>.</w:t>
      </w:r>
      <w:r>
        <w:tab/>
        <w:t>Matters to be included in alcohol and drug management programme</w:t>
      </w:r>
      <w:bookmarkEnd w:id="120"/>
      <w:bookmarkEnd w:id="121"/>
      <w:bookmarkEnd w:id="122"/>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23" w:name="_Toc283891700"/>
      <w:bookmarkStart w:id="124" w:name="_Toc309652706"/>
      <w:bookmarkStart w:id="125" w:name="_Toc306283872"/>
      <w:r>
        <w:rPr>
          <w:rStyle w:val="CharSectno"/>
        </w:rPr>
        <w:t>19</w:t>
      </w:r>
      <w:r>
        <w:t>.</w:t>
      </w:r>
      <w:r>
        <w:tab/>
        <w:t>Fatigue management programme</w:t>
      </w:r>
      <w:bookmarkEnd w:id="123"/>
      <w:bookmarkEnd w:id="124"/>
      <w:bookmarkEnd w:id="125"/>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26" w:name="_Toc283891701"/>
      <w:bookmarkStart w:id="127" w:name="_Toc309652707"/>
      <w:bookmarkStart w:id="128" w:name="_Toc306283873"/>
      <w:r>
        <w:rPr>
          <w:rStyle w:val="CharSectno"/>
        </w:rPr>
        <w:t>20</w:t>
      </w:r>
      <w:r>
        <w:t>.</w:t>
      </w:r>
      <w:r>
        <w:tab/>
        <w:t>Records of competence</w:t>
      </w:r>
      <w:bookmarkEnd w:id="126"/>
      <w:bookmarkEnd w:id="127"/>
      <w:bookmarkEnd w:id="128"/>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29" w:name="_Toc283891702"/>
      <w:bookmarkStart w:id="130" w:name="_Toc283891786"/>
      <w:bookmarkStart w:id="131" w:name="_Toc283893636"/>
      <w:bookmarkStart w:id="132" w:name="_Toc283893895"/>
      <w:bookmarkStart w:id="133" w:name="_Toc297297258"/>
      <w:bookmarkStart w:id="134" w:name="_Toc306283874"/>
      <w:bookmarkStart w:id="135" w:name="_Toc309652708"/>
      <w:r>
        <w:rPr>
          <w:rStyle w:val="CharPartNo"/>
        </w:rPr>
        <w:t>Part 5</w:t>
      </w:r>
      <w:r>
        <w:rPr>
          <w:rStyle w:val="CharDivNo"/>
        </w:rPr>
        <w:t> </w:t>
      </w:r>
      <w:r>
        <w:t>—</w:t>
      </w:r>
      <w:r>
        <w:rPr>
          <w:rStyle w:val="CharDivText"/>
        </w:rPr>
        <w:t> </w:t>
      </w:r>
      <w:r>
        <w:rPr>
          <w:rStyle w:val="CharPartText"/>
        </w:rPr>
        <w:t>Investigation powers</w:t>
      </w:r>
      <w:bookmarkEnd w:id="129"/>
      <w:bookmarkEnd w:id="130"/>
      <w:bookmarkEnd w:id="131"/>
      <w:bookmarkEnd w:id="132"/>
      <w:bookmarkEnd w:id="133"/>
      <w:bookmarkEnd w:id="134"/>
      <w:bookmarkEnd w:id="135"/>
    </w:p>
    <w:p>
      <w:pPr>
        <w:pStyle w:val="Heading5"/>
        <w:rPr>
          <w:snapToGrid w:val="0"/>
        </w:rPr>
      </w:pPr>
      <w:bookmarkStart w:id="136" w:name="_Toc283891703"/>
      <w:bookmarkStart w:id="137" w:name="_Toc309652709"/>
      <w:bookmarkStart w:id="138" w:name="_Toc306283875"/>
      <w:r>
        <w:rPr>
          <w:rStyle w:val="CharSectno"/>
        </w:rPr>
        <w:t>21</w:t>
      </w:r>
      <w:r>
        <w:rPr>
          <w:snapToGrid w:val="0"/>
        </w:rPr>
        <w:t>.</w:t>
      </w:r>
      <w:r>
        <w:rPr>
          <w:snapToGrid w:val="0"/>
        </w:rPr>
        <w:tab/>
        <w:t>Terms used</w:t>
      </w:r>
      <w:bookmarkEnd w:id="136"/>
      <w:bookmarkEnd w:id="137"/>
      <w:bookmarkEnd w:id="138"/>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39" w:name="_Toc283891704"/>
      <w:bookmarkStart w:id="140" w:name="_Toc309652710"/>
      <w:bookmarkStart w:id="141" w:name="_Toc306283876"/>
      <w:r>
        <w:rPr>
          <w:rStyle w:val="CharSectno"/>
        </w:rPr>
        <w:t>22</w:t>
      </w:r>
      <w:r>
        <w:t>.</w:t>
      </w:r>
      <w:r>
        <w:tab/>
        <w:t>Prescribed drugs</w:t>
      </w:r>
      <w:bookmarkEnd w:id="139"/>
      <w:bookmarkEnd w:id="140"/>
      <w:bookmarkEnd w:id="141"/>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42" w:name="_Toc283891706"/>
      <w:r>
        <w:t>[</w:t>
      </w:r>
      <w:r>
        <w:rPr>
          <w:b/>
        </w:rPr>
        <w:t>23.</w:t>
      </w:r>
      <w:r>
        <w:tab/>
        <w:t>Deleted in Gazette 14 Oct 2011 p. 4343.]</w:t>
      </w:r>
    </w:p>
    <w:p>
      <w:pPr>
        <w:pStyle w:val="Heading5"/>
      </w:pPr>
      <w:bookmarkStart w:id="143" w:name="_Toc309652711"/>
      <w:bookmarkStart w:id="144" w:name="_Toc306283877"/>
      <w:r>
        <w:rPr>
          <w:rStyle w:val="CharSectno"/>
        </w:rPr>
        <w:t>24</w:t>
      </w:r>
      <w:r>
        <w:t>.</w:t>
      </w:r>
      <w:r>
        <w:tab/>
        <w:t>Breath test</w:t>
      </w:r>
      <w:bookmarkEnd w:id="142"/>
      <w:bookmarkEnd w:id="143"/>
      <w:bookmarkEnd w:id="144"/>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45" w:name="_Toc283891707"/>
      <w:bookmarkStart w:id="146" w:name="_Toc309652712"/>
      <w:bookmarkStart w:id="147" w:name="_Toc306283878"/>
      <w:r>
        <w:rPr>
          <w:rStyle w:val="CharSectno"/>
        </w:rPr>
        <w:t>25</w:t>
      </w:r>
      <w:r>
        <w:t>.</w:t>
      </w:r>
      <w:r>
        <w:tab/>
        <w:t>Taking blood or urine sample</w:t>
      </w:r>
      <w:bookmarkEnd w:id="145"/>
      <w:bookmarkEnd w:id="146"/>
      <w:bookmarkEnd w:id="147"/>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48" w:name="_Toc283891708"/>
      <w:bookmarkStart w:id="149" w:name="_Toc309652713"/>
      <w:bookmarkStart w:id="150" w:name="_Toc306283879"/>
      <w:r>
        <w:rPr>
          <w:rStyle w:val="CharSectno"/>
        </w:rPr>
        <w:t>26</w:t>
      </w:r>
      <w:r>
        <w:t>.</w:t>
      </w:r>
      <w:r>
        <w:tab/>
        <w:t>Procedures relating to blood or urine tests</w:t>
      </w:r>
      <w:bookmarkEnd w:id="148"/>
      <w:bookmarkEnd w:id="149"/>
      <w:bookmarkEnd w:id="150"/>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51" w:name="_Toc283891709"/>
      <w:bookmarkStart w:id="152" w:name="_Toc309652714"/>
      <w:bookmarkStart w:id="153" w:name="_Toc306283880"/>
      <w:r>
        <w:rPr>
          <w:rStyle w:val="CharSectno"/>
        </w:rPr>
        <w:t>27</w:t>
      </w:r>
      <w:r>
        <w:t>.</w:t>
      </w:r>
      <w:r>
        <w:tab/>
        <w:t>Destruction of sample</w:t>
      </w:r>
      <w:bookmarkEnd w:id="151"/>
      <w:bookmarkEnd w:id="152"/>
      <w:bookmarkEnd w:id="153"/>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54" w:name="_Toc283891710"/>
      <w:bookmarkStart w:id="155" w:name="_Toc283891794"/>
      <w:bookmarkStart w:id="156" w:name="_Toc283893644"/>
      <w:bookmarkStart w:id="157" w:name="_Toc283893903"/>
      <w:bookmarkStart w:id="158" w:name="_Toc297297266"/>
      <w:r>
        <w:tab/>
        <w:t>[Regulation 27 amended in Gazette 14 Oct 2011 p. 4343.]</w:t>
      </w:r>
    </w:p>
    <w:p>
      <w:pPr>
        <w:pStyle w:val="Heading2"/>
      </w:pPr>
      <w:bookmarkStart w:id="159" w:name="_Toc306283881"/>
      <w:bookmarkStart w:id="160" w:name="_Toc309652715"/>
      <w:r>
        <w:rPr>
          <w:rStyle w:val="CharPartNo"/>
        </w:rPr>
        <w:t>Part 6</w:t>
      </w:r>
      <w:r>
        <w:rPr>
          <w:rStyle w:val="CharDivNo"/>
        </w:rPr>
        <w:t> </w:t>
      </w:r>
      <w:r>
        <w:t>—</w:t>
      </w:r>
      <w:r>
        <w:rPr>
          <w:rStyle w:val="CharDivText"/>
        </w:rPr>
        <w:t> </w:t>
      </w:r>
      <w:r>
        <w:rPr>
          <w:rStyle w:val="CharPartText"/>
        </w:rPr>
        <w:t>Miscellaneous</w:t>
      </w:r>
      <w:bookmarkEnd w:id="154"/>
      <w:bookmarkEnd w:id="155"/>
      <w:bookmarkEnd w:id="156"/>
      <w:bookmarkEnd w:id="157"/>
      <w:bookmarkEnd w:id="158"/>
      <w:bookmarkEnd w:id="159"/>
      <w:bookmarkEnd w:id="160"/>
    </w:p>
    <w:p>
      <w:pPr>
        <w:pStyle w:val="Heading5"/>
      </w:pPr>
      <w:bookmarkStart w:id="161" w:name="_Toc283891711"/>
      <w:bookmarkStart w:id="162" w:name="_Toc309652716"/>
      <w:bookmarkStart w:id="163" w:name="_Toc306283882"/>
      <w:r>
        <w:rPr>
          <w:rStyle w:val="CharSectno"/>
        </w:rPr>
        <w:t>28</w:t>
      </w:r>
      <w:r>
        <w:t>.</w:t>
      </w:r>
      <w:r>
        <w:tab/>
        <w:t>Prescribed concentration of alcohol in blood of rail safety worker: section 28(3)(c)(i)</w:t>
      </w:r>
      <w:bookmarkEnd w:id="161"/>
      <w:bookmarkEnd w:id="162"/>
      <w:bookmarkEnd w:id="163"/>
    </w:p>
    <w:p>
      <w:pPr>
        <w:pStyle w:val="Subsection"/>
      </w:pPr>
      <w:r>
        <w:tab/>
      </w:r>
      <w:r>
        <w:tab/>
        <w:t>For the purposes of section 28(3)(c)(i) of the Act, the concentration prescribed is 0.02% of alcohol.</w:t>
      </w:r>
    </w:p>
    <w:p>
      <w:pPr>
        <w:pStyle w:val="Heading5"/>
      </w:pPr>
      <w:bookmarkStart w:id="164" w:name="_Toc283891712"/>
      <w:bookmarkStart w:id="165" w:name="_Toc309652717"/>
      <w:bookmarkStart w:id="166" w:name="_Toc306283883"/>
      <w:r>
        <w:rPr>
          <w:rStyle w:val="CharSectno"/>
        </w:rPr>
        <w:t>29</w:t>
      </w:r>
      <w:r>
        <w:t>.</w:t>
      </w:r>
      <w:r>
        <w:tab/>
        <w:t>Periodic returns</w:t>
      </w:r>
      <w:bookmarkEnd w:id="164"/>
      <w:bookmarkEnd w:id="165"/>
      <w:bookmarkEnd w:id="166"/>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67" w:name="_Toc283891713"/>
      <w:bookmarkStart w:id="168" w:name="_Toc309652718"/>
      <w:bookmarkStart w:id="169" w:name="_Toc306283884"/>
      <w:r>
        <w:rPr>
          <w:rStyle w:val="CharSectno"/>
        </w:rPr>
        <w:t>30</w:t>
      </w:r>
      <w:r>
        <w:t>.</w:t>
      </w:r>
      <w:r>
        <w:tab/>
        <w:t>Prescribed public road: section 64(a)(i)</w:t>
      </w:r>
      <w:bookmarkEnd w:id="167"/>
      <w:bookmarkEnd w:id="168"/>
      <w:bookmarkEnd w:id="169"/>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70" w:name="_Toc283891714"/>
      <w:bookmarkStart w:id="171" w:name="_Toc309652719"/>
      <w:bookmarkStart w:id="172" w:name="_Toc306283885"/>
      <w:r>
        <w:rPr>
          <w:rStyle w:val="CharSectno"/>
        </w:rPr>
        <w:t>31</w:t>
      </w:r>
      <w:r>
        <w:t>.</w:t>
      </w:r>
      <w:r>
        <w:tab/>
        <w:t>Periodic information to be supplied</w:t>
      </w:r>
      <w:bookmarkEnd w:id="170"/>
      <w:bookmarkEnd w:id="171"/>
      <w:bookmarkEnd w:id="172"/>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73" w:name="_Toc283891715"/>
      <w:bookmarkStart w:id="174" w:name="_Toc309652720"/>
      <w:bookmarkStart w:id="175" w:name="_Toc306283886"/>
      <w:r>
        <w:rPr>
          <w:rStyle w:val="CharSectno"/>
        </w:rPr>
        <w:t>32</w:t>
      </w:r>
      <w:r>
        <w:t>.</w:t>
      </w:r>
      <w:r>
        <w:tab/>
        <w:t>Reporting of notifiable occurrences</w:t>
      </w:r>
      <w:bookmarkEnd w:id="173"/>
      <w:bookmarkEnd w:id="174"/>
      <w:bookmarkEnd w:id="175"/>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76" w:name="_Toc283891716"/>
      <w:bookmarkStart w:id="177" w:name="_Toc309652721"/>
      <w:bookmarkStart w:id="178" w:name="_Toc306283887"/>
      <w:r>
        <w:rPr>
          <w:rStyle w:val="CharSectno"/>
        </w:rPr>
        <w:t>33</w:t>
      </w:r>
      <w:r>
        <w:t>.</w:t>
      </w:r>
      <w:r>
        <w:tab/>
        <w:t>Documents to be made available for public inspection</w:t>
      </w:r>
      <w:bookmarkEnd w:id="176"/>
      <w:bookmarkEnd w:id="177"/>
      <w:bookmarkEnd w:id="178"/>
    </w:p>
    <w:p>
      <w:pPr>
        <w:pStyle w:val="Subsection"/>
      </w:pPr>
      <w:r>
        <w:tab/>
      </w:r>
      <w:r>
        <w:tab/>
        <w:t>For the purposes of section 48(c) of the Act, each annual safety performance report prepared under section 62 of the Act is prescribed.</w:t>
      </w:r>
    </w:p>
    <w:p>
      <w:pPr>
        <w:pStyle w:val="Heading5"/>
      </w:pPr>
      <w:bookmarkStart w:id="179" w:name="_Toc283891717"/>
      <w:bookmarkStart w:id="180" w:name="_Toc309652722"/>
      <w:bookmarkStart w:id="181" w:name="_Toc306283888"/>
      <w:r>
        <w:rPr>
          <w:rStyle w:val="CharSectno"/>
        </w:rPr>
        <w:t>34</w:t>
      </w:r>
      <w:r>
        <w:t>.</w:t>
      </w:r>
      <w:r>
        <w:tab/>
        <w:t>Embargo notices</w:t>
      </w:r>
      <w:bookmarkEnd w:id="179"/>
      <w:bookmarkEnd w:id="180"/>
      <w:bookmarkEnd w:id="181"/>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82" w:name="_Toc283891718"/>
      <w:bookmarkStart w:id="183" w:name="_Toc309652723"/>
      <w:bookmarkStart w:id="184" w:name="_Toc306283889"/>
      <w:r>
        <w:rPr>
          <w:rStyle w:val="CharSectno"/>
        </w:rPr>
        <w:t>35</w:t>
      </w:r>
      <w:r>
        <w:t>.</w:t>
      </w:r>
      <w:r>
        <w:tab/>
        <w:t>Act not to apply in certain cases</w:t>
      </w:r>
      <w:bookmarkEnd w:id="182"/>
      <w:bookmarkEnd w:id="183"/>
      <w:bookmarkEnd w:id="184"/>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85" w:name="_Toc283891719"/>
      <w:bookmarkStart w:id="186" w:name="_Toc309652724"/>
      <w:bookmarkStart w:id="187" w:name="_Toc306283890"/>
      <w:r>
        <w:rPr>
          <w:rStyle w:val="CharSectno"/>
        </w:rPr>
        <w:t>36</w:t>
      </w:r>
      <w:r>
        <w:t>.</w:t>
      </w:r>
      <w:r>
        <w:tab/>
        <w:t>Service of documents or notice</w:t>
      </w:r>
      <w:bookmarkEnd w:id="185"/>
      <w:bookmarkEnd w:id="186"/>
      <w:bookmarkEnd w:id="187"/>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88" w:name="_Toc283891720"/>
      <w:bookmarkStart w:id="189" w:name="_Toc283891804"/>
      <w:bookmarkStart w:id="190" w:name="_Toc283893654"/>
      <w:bookmarkStart w:id="191" w:name="_Toc283893913"/>
      <w:bookmarkStart w:id="192" w:name="_Toc297297276"/>
      <w:bookmarkStart w:id="193" w:name="_Toc306283891"/>
      <w:bookmarkStart w:id="194" w:name="_Toc309652725"/>
      <w:r>
        <w:rPr>
          <w:rStyle w:val="CharPartNo"/>
        </w:rPr>
        <w:t>Part 7</w:t>
      </w:r>
      <w:r>
        <w:rPr>
          <w:rStyle w:val="CharDivNo"/>
        </w:rPr>
        <w:t> </w:t>
      </w:r>
      <w:r>
        <w:t>—</w:t>
      </w:r>
      <w:r>
        <w:rPr>
          <w:rStyle w:val="CharDivText"/>
        </w:rPr>
        <w:t> </w:t>
      </w:r>
      <w:r>
        <w:rPr>
          <w:rStyle w:val="CharPartText"/>
        </w:rPr>
        <w:t>Fees</w:t>
      </w:r>
      <w:bookmarkEnd w:id="188"/>
      <w:bookmarkEnd w:id="189"/>
      <w:bookmarkEnd w:id="190"/>
      <w:bookmarkEnd w:id="191"/>
      <w:bookmarkEnd w:id="192"/>
      <w:bookmarkEnd w:id="193"/>
      <w:bookmarkEnd w:id="194"/>
    </w:p>
    <w:p>
      <w:pPr>
        <w:pStyle w:val="Heading5"/>
      </w:pPr>
      <w:bookmarkStart w:id="195" w:name="_Toc283891721"/>
      <w:bookmarkStart w:id="196" w:name="_Toc309652726"/>
      <w:bookmarkStart w:id="197" w:name="_Toc306283892"/>
      <w:r>
        <w:rPr>
          <w:rStyle w:val="CharSectno"/>
        </w:rPr>
        <w:t>37</w:t>
      </w:r>
      <w:r>
        <w:t>.</w:t>
      </w:r>
      <w:r>
        <w:tab/>
        <w:t>Annual fees for private sidings</w:t>
      </w:r>
      <w:bookmarkEnd w:id="195"/>
      <w:bookmarkEnd w:id="196"/>
      <w:bookmarkEnd w:id="197"/>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98" w:name="_Toc283891722"/>
      <w:bookmarkStart w:id="199" w:name="_Toc309652727"/>
      <w:bookmarkStart w:id="200" w:name="_Toc306283893"/>
      <w:r>
        <w:rPr>
          <w:rStyle w:val="CharSectno"/>
        </w:rPr>
        <w:t>38</w:t>
      </w:r>
      <w:r>
        <w:t>.</w:t>
      </w:r>
      <w:r>
        <w:tab/>
        <w:t>Application fees</w:t>
      </w:r>
      <w:bookmarkEnd w:id="198"/>
      <w:bookmarkEnd w:id="199"/>
      <w:bookmarkEnd w:id="200"/>
    </w:p>
    <w:p>
      <w:pPr>
        <w:pStyle w:val="Subsection"/>
      </w:pPr>
      <w:r>
        <w:tab/>
      </w:r>
      <w:r>
        <w:tab/>
        <w:t>A rail transport operator must pay the relevant fee set out in item 2 of the Table in Schedule 2.</w:t>
      </w:r>
    </w:p>
    <w:p>
      <w:pPr>
        <w:pStyle w:val="Heading5"/>
      </w:pPr>
      <w:bookmarkStart w:id="201" w:name="_Toc283891723"/>
      <w:bookmarkStart w:id="202" w:name="_Toc309652728"/>
      <w:bookmarkStart w:id="203" w:name="_Toc306283894"/>
      <w:r>
        <w:rPr>
          <w:rStyle w:val="CharSectno"/>
        </w:rPr>
        <w:t>39</w:t>
      </w:r>
      <w:r>
        <w:t>.</w:t>
      </w:r>
      <w:r>
        <w:tab/>
        <w:t>Annual fees</w:t>
      </w:r>
      <w:bookmarkEnd w:id="201"/>
      <w:bookmarkEnd w:id="202"/>
      <w:bookmarkEnd w:id="203"/>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04" w:name="_Toc283891724"/>
      <w:bookmarkStart w:id="205" w:name="_Toc309652729"/>
      <w:bookmarkStart w:id="206" w:name="_Toc306283895"/>
      <w:r>
        <w:rPr>
          <w:rStyle w:val="CharSectno"/>
        </w:rPr>
        <w:t>40</w:t>
      </w:r>
      <w:r>
        <w:t>.</w:t>
      </w:r>
      <w:r>
        <w:tab/>
        <w:t>Late fees</w:t>
      </w:r>
      <w:bookmarkEnd w:id="204"/>
      <w:bookmarkEnd w:id="205"/>
      <w:bookmarkEnd w:id="206"/>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07" w:name="_Toc283891725"/>
      <w:bookmarkStart w:id="208" w:name="_Toc309652730"/>
      <w:bookmarkStart w:id="209" w:name="_Toc306283896"/>
      <w:r>
        <w:rPr>
          <w:rStyle w:val="CharSectno"/>
        </w:rPr>
        <w:t>41</w:t>
      </w:r>
      <w:r>
        <w:t>.</w:t>
      </w:r>
      <w:r>
        <w:tab/>
        <w:t>Reduction, waiver or refund of fees</w:t>
      </w:r>
      <w:bookmarkEnd w:id="207"/>
      <w:bookmarkEnd w:id="208"/>
      <w:bookmarkEnd w:id="209"/>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10" w:name="_Toc283891726"/>
      <w:bookmarkStart w:id="211" w:name="_Toc283891810"/>
    </w:p>
    <w:p>
      <w:pPr>
        <w:pStyle w:val="yScheduleHeading"/>
      </w:pPr>
      <w:bookmarkStart w:id="212" w:name="_Toc283893660"/>
      <w:bookmarkStart w:id="213" w:name="_Toc283893919"/>
      <w:bookmarkStart w:id="214" w:name="_Toc297297282"/>
      <w:bookmarkStart w:id="215" w:name="_Toc306283897"/>
      <w:bookmarkStart w:id="216" w:name="_Toc309652731"/>
      <w:r>
        <w:rPr>
          <w:rStyle w:val="CharSchNo"/>
        </w:rPr>
        <w:t>Schedule 1</w:t>
      </w:r>
      <w:r>
        <w:rPr>
          <w:rStyle w:val="CharSDivNo"/>
        </w:rPr>
        <w:t> </w:t>
      </w:r>
      <w:r>
        <w:t>—</w:t>
      </w:r>
      <w:bookmarkStart w:id="217" w:name="AutoSch"/>
      <w:bookmarkEnd w:id="217"/>
      <w:r>
        <w:rPr>
          <w:rStyle w:val="CharSDivText"/>
        </w:rPr>
        <w:t> </w:t>
      </w:r>
      <w:r>
        <w:rPr>
          <w:rStyle w:val="CharSchText"/>
        </w:rPr>
        <w:t>Content of the safety management system</w:t>
      </w:r>
      <w:bookmarkEnd w:id="210"/>
      <w:bookmarkEnd w:id="211"/>
      <w:bookmarkEnd w:id="212"/>
      <w:bookmarkEnd w:id="213"/>
      <w:bookmarkEnd w:id="214"/>
      <w:bookmarkEnd w:id="215"/>
      <w:bookmarkEnd w:id="216"/>
    </w:p>
    <w:p>
      <w:pPr>
        <w:pStyle w:val="yShoulderClause"/>
      </w:pPr>
      <w:r>
        <w:t>[r. 8]</w:t>
      </w:r>
    </w:p>
    <w:p>
      <w:pPr>
        <w:pStyle w:val="yHeading5"/>
      </w:pPr>
      <w:bookmarkStart w:id="218" w:name="_Toc283891727"/>
      <w:bookmarkStart w:id="219" w:name="_Toc309652732"/>
      <w:bookmarkStart w:id="220" w:name="_Toc306283898"/>
      <w:r>
        <w:rPr>
          <w:rStyle w:val="CharSClsNo"/>
        </w:rPr>
        <w:t>1</w:t>
      </w:r>
      <w:r>
        <w:t>.</w:t>
      </w:r>
      <w:r>
        <w:tab/>
        <w:t>Safety policy</w:t>
      </w:r>
      <w:bookmarkEnd w:id="218"/>
      <w:bookmarkEnd w:id="219"/>
      <w:bookmarkEnd w:id="220"/>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21" w:name="_Toc283891728"/>
      <w:bookmarkStart w:id="222" w:name="_Toc309652733"/>
      <w:bookmarkStart w:id="223" w:name="_Toc306283899"/>
      <w:r>
        <w:rPr>
          <w:rStyle w:val="CharSClsNo"/>
        </w:rPr>
        <w:t>2</w:t>
      </w:r>
      <w:r>
        <w:t>.</w:t>
      </w:r>
      <w:r>
        <w:tab/>
        <w:t>Safety culture</w:t>
      </w:r>
      <w:bookmarkEnd w:id="221"/>
      <w:bookmarkEnd w:id="222"/>
      <w:bookmarkEnd w:id="223"/>
    </w:p>
    <w:p>
      <w:pPr>
        <w:pStyle w:val="ySubsection"/>
      </w:pPr>
      <w:r>
        <w:tab/>
      </w:r>
      <w:r>
        <w:tab/>
        <w:t>Systems and procedures to enable and enhance the development, improvement and assessment of a positive safety culture.</w:t>
      </w:r>
    </w:p>
    <w:p>
      <w:pPr>
        <w:pStyle w:val="yHeading5"/>
      </w:pPr>
      <w:bookmarkStart w:id="224" w:name="_Toc283891729"/>
      <w:bookmarkStart w:id="225" w:name="_Toc309652734"/>
      <w:bookmarkStart w:id="226" w:name="_Toc306283900"/>
      <w:r>
        <w:rPr>
          <w:rStyle w:val="CharSClsNo"/>
        </w:rPr>
        <w:t>3</w:t>
      </w:r>
      <w:r>
        <w:t>.</w:t>
      </w:r>
      <w:r>
        <w:tab/>
        <w:t>Governance and internal control arrangements</w:t>
      </w:r>
      <w:bookmarkEnd w:id="224"/>
      <w:bookmarkEnd w:id="225"/>
      <w:bookmarkEnd w:id="226"/>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27" w:name="_Toc283891730"/>
      <w:bookmarkStart w:id="228" w:name="_Toc309652735"/>
      <w:bookmarkStart w:id="229" w:name="_Toc306283901"/>
      <w:r>
        <w:rPr>
          <w:rStyle w:val="CharSClsNo"/>
        </w:rPr>
        <w:t>4</w:t>
      </w:r>
      <w:r>
        <w:t>.</w:t>
      </w:r>
      <w:r>
        <w:tab/>
        <w:t>Management, responsibilities, accountabilities and authorities</w:t>
      </w:r>
      <w:bookmarkEnd w:id="227"/>
      <w:bookmarkEnd w:id="228"/>
      <w:bookmarkEnd w:id="229"/>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30" w:name="_Toc283891731"/>
      <w:bookmarkStart w:id="231" w:name="_Toc309652736"/>
      <w:bookmarkStart w:id="232" w:name="_Toc306283902"/>
      <w:r>
        <w:rPr>
          <w:rStyle w:val="CharSClsNo"/>
        </w:rPr>
        <w:t>5</w:t>
      </w:r>
      <w:r>
        <w:t>.</w:t>
      </w:r>
      <w:r>
        <w:tab/>
        <w:t>Regulatory compliance</w:t>
      </w:r>
      <w:bookmarkEnd w:id="230"/>
      <w:bookmarkEnd w:id="231"/>
      <w:bookmarkEnd w:id="232"/>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33" w:name="_Toc283891732"/>
      <w:bookmarkStart w:id="234" w:name="_Toc309652737"/>
      <w:bookmarkStart w:id="235" w:name="_Toc306283903"/>
      <w:r>
        <w:rPr>
          <w:rStyle w:val="CharSClsNo"/>
        </w:rPr>
        <w:t>6</w:t>
      </w:r>
      <w:r>
        <w:t>.</w:t>
      </w:r>
      <w:r>
        <w:tab/>
        <w:t>Document control arrangements and information management</w:t>
      </w:r>
      <w:bookmarkEnd w:id="233"/>
      <w:bookmarkEnd w:id="234"/>
      <w:bookmarkEnd w:id="235"/>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36" w:name="_Toc283891733"/>
      <w:bookmarkStart w:id="237" w:name="_Toc309652738"/>
      <w:bookmarkStart w:id="238" w:name="_Toc306283904"/>
      <w:r>
        <w:rPr>
          <w:rStyle w:val="CharSClsNo"/>
        </w:rPr>
        <w:t>7</w:t>
      </w:r>
      <w:r>
        <w:t>.</w:t>
      </w:r>
      <w:r>
        <w:tab/>
        <w:t>Review of the safety management system</w:t>
      </w:r>
      <w:bookmarkEnd w:id="236"/>
      <w:bookmarkEnd w:id="237"/>
      <w:bookmarkEnd w:id="238"/>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39" w:name="_Toc283891734"/>
      <w:bookmarkStart w:id="240" w:name="_Toc309652739"/>
      <w:bookmarkStart w:id="241" w:name="_Toc306283905"/>
      <w:r>
        <w:rPr>
          <w:rStyle w:val="CharSClsNo"/>
        </w:rPr>
        <w:t>8</w:t>
      </w:r>
      <w:r>
        <w:t>.</w:t>
      </w:r>
      <w:r>
        <w:tab/>
        <w:t>Safety performance measures</w:t>
      </w:r>
      <w:bookmarkEnd w:id="239"/>
      <w:bookmarkEnd w:id="240"/>
      <w:bookmarkEnd w:id="241"/>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42" w:name="_Toc283891735"/>
      <w:bookmarkStart w:id="243" w:name="_Toc309652740"/>
      <w:bookmarkStart w:id="244" w:name="_Toc306283906"/>
      <w:r>
        <w:rPr>
          <w:rStyle w:val="CharSClsNo"/>
        </w:rPr>
        <w:t>9</w:t>
      </w:r>
      <w:r>
        <w:t>.</w:t>
      </w:r>
      <w:r>
        <w:tab/>
        <w:t>Safety audit arrangements</w:t>
      </w:r>
      <w:bookmarkEnd w:id="242"/>
      <w:bookmarkEnd w:id="243"/>
      <w:bookmarkEnd w:id="244"/>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45" w:name="_Toc283891736"/>
      <w:bookmarkStart w:id="246" w:name="_Toc309652741"/>
      <w:bookmarkStart w:id="247" w:name="_Toc306283907"/>
      <w:r>
        <w:rPr>
          <w:rStyle w:val="CharSClsNo"/>
        </w:rPr>
        <w:t>10</w:t>
      </w:r>
      <w:r>
        <w:t>.</w:t>
      </w:r>
      <w:r>
        <w:tab/>
        <w:t>Corrective action</w:t>
      </w:r>
      <w:bookmarkEnd w:id="245"/>
      <w:bookmarkEnd w:id="246"/>
      <w:bookmarkEnd w:id="247"/>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48" w:name="_Toc265846251"/>
      <w:bookmarkStart w:id="249" w:name="_Toc283039601"/>
      <w:bookmarkStart w:id="250" w:name="_Toc309652742"/>
      <w:bookmarkStart w:id="251" w:name="_Toc306283908"/>
      <w:bookmarkStart w:id="252" w:name="_Toc283891738"/>
      <w:r>
        <w:rPr>
          <w:rStyle w:val="CharSClsNo"/>
        </w:rPr>
        <w:t>11</w:t>
      </w:r>
      <w:r>
        <w:t>.</w:t>
      </w:r>
      <w:r>
        <w:tab/>
        <w:t>Management of change</w:t>
      </w:r>
      <w:bookmarkEnd w:id="248"/>
      <w:bookmarkEnd w:id="249"/>
      <w:bookmarkEnd w:id="250"/>
      <w:bookmarkEnd w:id="251"/>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53" w:name="_Toc309652743"/>
      <w:bookmarkStart w:id="254" w:name="_Toc306283909"/>
      <w:r>
        <w:rPr>
          <w:rStyle w:val="CharSClsNo"/>
        </w:rPr>
        <w:t>12</w:t>
      </w:r>
      <w:r>
        <w:t>.</w:t>
      </w:r>
      <w:r>
        <w:tab/>
        <w:t>Consultation</w:t>
      </w:r>
      <w:bookmarkEnd w:id="252"/>
      <w:bookmarkEnd w:id="253"/>
      <w:bookmarkEnd w:id="254"/>
    </w:p>
    <w:p>
      <w:pPr>
        <w:pStyle w:val="ySubsection"/>
      </w:pPr>
      <w:r>
        <w:tab/>
      </w:r>
      <w:r>
        <w:tab/>
        <w:t>Systems and procedures to ensure that the consultation required by section 59(2) of the Act occurs when the safety management system is reviewed or varied.</w:t>
      </w:r>
    </w:p>
    <w:p>
      <w:pPr>
        <w:pStyle w:val="yHeading5"/>
      </w:pPr>
      <w:bookmarkStart w:id="255" w:name="_Toc283891739"/>
      <w:bookmarkStart w:id="256" w:name="_Toc309652744"/>
      <w:bookmarkStart w:id="257" w:name="_Toc306283910"/>
      <w:r>
        <w:rPr>
          <w:rStyle w:val="CharSClsNo"/>
        </w:rPr>
        <w:t>13</w:t>
      </w:r>
      <w:r>
        <w:t>.</w:t>
      </w:r>
      <w:r>
        <w:tab/>
        <w:t>Internal Communication</w:t>
      </w:r>
      <w:bookmarkEnd w:id="255"/>
      <w:bookmarkEnd w:id="256"/>
      <w:bookmarkEnd w:id="257"/>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58" w:name="_Toc283891740"/>
      <w:bookmarkStart w:id="259" w:name="_Toc309652745"/>
      <w:bookmarkStart w:id="260" w:name="_Toc306283911"/>
      <w:r>
        <w:rPr>
          <w:rStyle w:val="CharSClsNo"/>
        </w:rPr>
        <w:t>14</w:t>
      </w:r>
      <w:r>
        <w:t>.</w:t>
      </w:r>
      <w:r>
        <w:tab/>
        <w:t>Risk management</w:t>
      </w:r>
      <w:bookmarkEnd w:id="258"/>
      <w:bookmarkEnd w:id="259"/>
      <w:bookmarkEnd w:id="260"/>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61" w:name="_Toc283891741"/>
      <w:bookmarkStart w:id="262" w:name="_Toc309652746"/>
      <w:bookmarkStart w:id="263" w:name="_Toc306283912"/>
      <w:r>
        <w:rPr>
          <w:rStyle w:val="CharSClsNo"/>
        </w:rPr>
        <w:t>15</w:t>
      </w:r>
      <w:r>
        <w:t>.</w:t>
      </w:r>
      <w:r>
        <w:tab/>
        <w:t>Human factors</w:t>
      </w:r>
      <w:bookmarkEnd w:id="261"/>
      <w:bookmarkEnd w:id="262"/>
      <w:bookmarkEnd w:id="263"/>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64" w:name="_Toc283891742"/>
      <w:bookmarkStart w:id="265" w:name="_Toc309652747"/>
      <w:bookmarkStart w:id="266" w:name="_Toc306283913"/>
      <w:r>
        <w:rPr>
          <w:rStyle w:val="CharSClsNo"/>
        </w:rPr>
        <w:t>16</w:t>
      </w:r>
      <w:r>
        <w:t>.</w:t>
      </w:r>
      <w:r>
        <w:tab/>
        <w:t>Procurement and contract management</w:t>
      </w:r>
      <w:bookmarkEnd w:id="264"/>
      <w:bookmarkEnd w:id="265"/>
      <w:bookmarkEnd w:id="266"/>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67" w:name="_Toc283891743"/>
      <w:bookmarkStart w:id="268" w:name="_Toc309652748"/>
      <w:bookmarkStart w:id="269" w:name="_Toc306283914"/>
      <w:r>
        <w:rPr>
          <w:rStyle w:val="CharSClsNo"/>
        </w:rPr>
        <w:t>17</w:t>
      </w:r>
      <w:r>
        <w:t>.</w:t>
      </w:r>
      <w:r>
        <w:tab/>
        <w:t>General engineering and operational systems safety requirements</w:t>
      </w:r>
      <w:bookmarkEnd w:id="267"/>
      <w:bookmarkEnd w:id="268"/>
      <w:bookmarkEnd w:id="269"/>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70" w:name="_Toc283891744"/>
      <w:bookmarkStart w:id="271" w:name="_Toc309652749"/>
      <w:bookmarkStart w:id="272" w:name="_Toc306283915"/>
      <w:r>
        <w:rPr>
          <w:rStyle w:val="CharSClsNo"/>
        </w:rPr>
        <w:t>18</w:t>
      </w:r>
      <w:r>
        <w:t>.</w:t>
      </w:r>
      <w:r>
        <w:tab/>
        <w:t>Process control</w:t>
      </w:r>
      <w:bookmarkEnd w:id="270"/>
      <w:bookmarkEnd w:id="271"/>
      <w:bookmarkEnd w:id="272"/>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73" w:name="_Toc283891745"/>
      <w:bookmarkStart w:id="274" w:name="_Toc309652750"/>
      <w:bookmarkStart w:id="275" w:name="_Toc306283916"/>
      <w:r>
        <w:rPr>
          <w:rStyle w:val="CharSClsNo"/>
        </w:rPr>
        <w:t>19</w:t>
      </w:r>
      <w:r>
        <w:t>.</w:t>
      </w:r>
      <w:r>
        <w:tab/>
        <w:t>Asset management</w:t>
      </w:r>
      <w:bookmarkEnd w:id="273"/>
      <w:bookmarkEnd w:id="274"/>
      <w:bookmarkEnd w:id="275"/>
    </w:p>
    <w:p>
      <w:pPr>
        <w:pStyle w:val="ySubsection"/>
      </w:pPr>
      <w:r>
        <w:tab/>
      </w:r>
      <w:r>
        <w:tab/>
        <w:t>An asset management policy and processes that address all phases of the asset lifecycle of the rail infrastructure or rolling stock operations.</w:t>
      </w:r>
    </w:p>
    <w:p>
      <w:pPr>
        <w:pStyle w:val="yHeading5"/>
      </w:pPr>
      <w:bookmarkStart w:id="276" w:name="_Toc283891746"/>
      <w:bookmarkStart w:id="277" w:name="_Toc309652751"/>
      <w:bookmarkStart w:id="278" w:name="_Toc306283917"/>
      <w:r>
        <w:rPr>
          <w:rStyle w:val="CharSClsNo"/>
        </w:rPr>
        <w:t>20</w:t>
      </w:r>
      <w:r>
        <w:t>.</w:t>
      </w:r>
      <w:r>
        <w:tab/>
        <w:t>Safety interface coordination</w:t>
      </w:r>
      <w:bookmarkEnd w:id="276"/>
      <w:bookmarkEnd w:id="277"/>
      <w:bookmarkEnd w:id="278"/>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79" w:name="_Toc283891747"/>
      <w:bookmarkStart w:id="280" w:name="_Toc309652752"/>
      <w:bookmarkStart w:id="281" w:name="_Toc306283918"/>
      <w:r>
        <w:rPr>
          <w:rStyle w:val="CharSClsNo"/>
        </w:rPr>
        <w:t>21</w:t>
      </w:r>
      <w:r>
        <w:t>.</w:t>
      </w:r>
      <w:r>
        <w:tab/>
        <w:t>Management of notifiable occurrences</w:t>
      </w:r>
      <w:bookmarkEnd w:id="279"/>
      <w:bookmarkEnd w:id="280"/>
      <w:bookmarkEnd w:id="281"/>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82" w:name="_Toc283891748"/>
      <w:bookmarkStart w:id="283" w:name="_Toc309652753"/>
      <w:bookmarkStart w:id="284" w:name="_Toc306283919"/>
      <w:r>
        <w:rPr>
          <w:rStyle w:val="CharSClsNo"/>
        </w:rPr>
        <w:t>22</w:t>
      </w:r>
      <w:r>
        <w:t>.</w:t>
      </w:r>
      <w:r>
        <w:tab/>
        <w:t>Rail safety worker competence</w:t>
      </w:r>
      <w:bookmarkEnd w:id="282"/>
      <w:bookmarkEnd w:id="283"/>
      <w:bookmarkEnd w:id="284"/>
    </w:p>
    <w:p>
      <w:pPr>
        <w:pStyle w:val="ySubsection"/>
      </w:pPr>
      <w:r>
        <w:tab/>
      </w:r>
      <w:r>
        <w:tab/>
        <w:t>Procedures, and where necessary standards, to ensure compliance with section 77 of the Act and with regulation 20.</w:t>
      </w:r>
    </w:p>
    <w:p>
      <w:pPr>
        <w:pStyle w:val="yHeading5"/>
      </w:pPr>
      <w:bookmarkStart w:id="285" w:name="_Toc283891749"/>
      <w:bookmarkStart w:id="286" w:name="_Toc309652754"/>
      <w:bookmarkStart w:id="287" w:name="_Toc306283920"/>
      <w:r>
        <w:rPr>
          <w:rStyle w:val="CharSClsNo"/>
        </w:rPr>
        <w:t>23</w:t>
      </w:r>
      <w:r>
        <w:t>.</w:t>
      </w:r>
      <w:r>
        <w:tab/>
        <w:t>Security management</w:t>
      </w:r>
      <w:bookmarkEnd w:id="285"/>
      <w:bookmarkEnd w:id="286"/>
      <w:bookmarkEnd w:id="287"/>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88" w:name="_Toc283891750"/>
      <w:bookmarkStart w:id="289" w:name="_Toc309652755"/>
      <w:bookmarkStart w:id="290" w:name="_Toc306283921"/>
      <w:r>
        <w:rPr>
          <w:rStyle w:val="CharSClsNo"/>
        </w:rPr>
        <w:t>24</w:t>
      </w:r>
      <w:r>
        <w:t>.</w:t>
      </w:r>
      <w:r>
        <w:tab/>
        <w:t>Emergency management</w:t>
      </w:r>
      <w:bookmarkEnd w:id="288"/>
      <w:bookmarkEnd w:id="289"/>
      <w:bookmarkEnd w:id="290"/>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91" w:name="_Toc283891751"/>
      <w:bookmarkStart w:id="292" w:name="_Toc309652756"/>
      <w:bookmarkStart w:id="293" w:name="_Toc306283922"/>
      <w:r>
        <w:rPr>
          <w:rStyle w:val="CharSClsNo"/>
        </w:rPr>
        <w:t>25</w:t>
      </w:r>
      <w:r>
        <w:t>.</w:t>
      </w:r>
      <w:r>
        <w:tab/>
        <w:t>Fatigue</w:t>
      </w:r>
      <w:bookmarkEnd w:id="291"/>
      <w:bookmarkEnd w:id="292"/>
      <w:bookmarkEnd w:id="293"/>
    </w:p>
    <w:p>
      <w:pPr>
        <w:pStyle w:val="ySubsection"/>
      </w:pPr>
      <w:r>
        <w:tab/>
      </w:r>
      <w:r>
        <w:tab/>
        <w:t>Systems and procedures to ensure compliance with section 76 of the Act and regulation 19.</w:t>
      </w:r>
    </w:p>
    <w:p>
      <w:pPr>
        <w:pStyle w:val="yHeading5"/>
      </w:pPr>
      <w:bookmarkStart w:id="294" w:name="_Toc283891752"/>
      <w:bookmarkStart w:id="295" w:name="_Toc309652757"/>
      <w:bookmarkStart w:id="296" w:name="_Toc306283923"/>
      <w:r>
        <w:rPr>
          <w:rStyle w:val="CharSClsNo"/>
        </w:rPr>
        <w:t>26</w:t>
      </w:r>
      <w:r>
        <w:t>.</w:t>
      </w:r>
      <w:r>
        <w:tab/>
        <w:t>Drugs and alcohol</w:t>
      </w:r>
      <w:bookmarkEnd w:id="294"/>
      <w:bookmarkEnd w:id="295"/>
      <w:bookmarkEnd w:id="296"/>
    </w:p>
    <w:p>
      <w:pPr>
        <w:pStyle w:val="ySubsection"/>
      </w:pPr>
      <w:r>
        <w:tab/>
      </w:r>
      <w:r>
        <w:tab/>
        <w:t>Systems and procedures to ensure compliance with sections 74 and 75 of the Act and with regulation 18 and Part 5.</w:t>
      </w:r>
    </w:p>
    <w:p>
      <w:pPr>
        <w:pStyle w:val="yHeading5"/>
      </w:pPr>
      <w:bookmarkStart w:id="297" w:name="_Toc283891753"/>
      <w:bookmarkStart w:id="298" w:name="_Toc309652758"/>
      <w:bookmarkStart w:id="299" w:name="_Toc306283924"/>
      <w:r>
        <w:rPr>
          <w:rStyle w:val="CharSClsNo"/>
        </w:rPr>
        <w:t>27</w:t>
      </w:r>
      <w:r>
        <w:t>.</w:t>
      </w:r>
      <w:r>
        <w:tab/>
        <w:t>Health and fitness</w:t>
      </w:r>
      <w:bookmarkEnd w:id="297"/>
      <w:bookmarkEnd w:id="298"/>
      <w:bookmarkEnd w:id="299"/>
    </w:p>
    <w:p>
      <w:pPr>
        <w:pStyle w:val="ySubsection"/>
      </w:pPr>
      <w:r>
        <w:tab/>
      </w:r>
      <w:r>
        <w:tab/>
        <w:t>Systems and procedures to ensure compliance with section 73 of the Act and with regulation 17.</w:t>
      </w:r>
    </w:p>
    <w:p>
      <w:pPr>
        <w:pStyle w:val="yHeading5"/>
      </w:pPr>
      <w:bookmarkStart w:id="300" w:name="_Toc283891754"/>
      <w:bookmarkStart w:id="301" w:name="_Toc309652759"/>
      <w:bookmarkStart w:id="302" w:name="_Toc306283925"/>
      <w:r>
        <w:rPr>
          <w:rStyle w:val="CharSClsNo"/>
        </w:rPr>
        <w:t>28</w:t>
      </w:r>
      <w:r>
        <w:t>.</w:t>
      </w:r>
      <w:r>
        <w:tab/>
        <w:t>Resource availability</w:t>
      </w:r>
      <w:bookmarkEnd w:id="300"/>
      <w:bookmarkEnd w:id="301"/>
      <w:bookmarkEnd w:id="302"/>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03" w:name="_Toc297297311"/>
      <w:bookmarkStart w:id="304" w:name="_Toc306283926"/>
      <w:bookmarkStart w:id="305" w:name="_Toc309652760"/>
      <w:bookmarkStart w:id="306" w:name="_Toc113695922"/>
      <w:r>
        <w:rPr>
          <w:rStyle w:val="CharSchNo"/>
        </w:rPr>
        <w:t>Schedule 2</w:t>
      </w:r>
      <w:r>
        <w:rPr>
          <w:rStyle w:val="CharSDivNo"/>
        </w:rPr>
        <w:t> </w:t>
      </w:r>
      <w:r>
        <w:t>—</w:t>
      </w:r>
      <w:r>
        <w:rPr>
          <w:rStyle w:val="CharSDivText"/>
        </w:rPr>
        <w:t> </w:t>
      </w:r>
      <w:r>
        <w:rPr>
          <w:rStyle w:val="CharSchText"/>
        </w:rPr>
        <w:t>Fees</w:t>
      </w:r>
      <w:bookmarkEnd w:id="303"/>
      <w:bookmarkEnd w:id="304"/>
      <w:bookmarkEnd w:id="305"/>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w:t>
            </w:r>
            <w:del w:id="307" w:author="Master Repository Process" w:date="2021-09-12T09:06:00Z">
              <w:r>
                <w:rPr>
                  <w:sz w:val="20"/>
                </w:rPr>
                <w:delText>0315</w:delText>
              </w:r>
            </w:del>
            <w:ins w:id="308" w:author="Master Repository Process" w:date="2021-09-12T09:06:00Z">
              <w:r>
                <w:rPr>
                  <w:sz w:val="20"/>
                </w:rPr>
                <w:t>0324</w:t>
              </w:r>
            </w:ins>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w:t>
            </w:r>
            <w:del w:id="309" w:author="Master Repository Process" w:date="2021-09-12T09:06:00Z">
              <w:r>
                <w:rPr>
                  <w:sz w:val="20"/>
                </w:rPr>
                <w:delText>0315</w:delText>
              </w:r>
            </w:del>
            <w:ins w:id="310" w:author="Master Repository Process" w:date="2021-09-12T09:06:00Z">
              <w:r>
                <w:rPr>
                  <w:sz w:val="20"/>
                </w:rPr>
                <w:t>0324</w:t>
              </w:r>
            </w:ins>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w:t>
      </w:r>
      <w:del w:id="311" w:author="Master Repository Process" w:date="2021-09-12T09:06:00Z">
        <w:r>
          <w:delText>2254-5</w:delText>
        </w:r>
      </w:del>
      <w:ins w:id="312" w:author="Master Repository Process" w:date="2021-09-12T09:06:00Z">
        <w:r>
          <w:t>2254-5; amended in Gazette 22 Nov 2011 p. 4854.]</w:t>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13" w:name="_Toc283893689"/>
      <w:bookmarkStart w:id="314" w:name="_Toc283893948"/>
      <w:bookmarkStart w:id="315" w:name="_Toc297297312"/>
      <w:bookmarkStart w:id="316" w:name="_Toc306283927"/>
      <w:bookmarkStart w:id="317" w:name="_Toc309652761"/>
      <w:r>
        <w:t>Notes</w:t>
      </w:r>
      <w:bookmarkEnd w:id="306"/>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xml:space="preserve">.  </w:t>
      </w:r>
    </w:p>
    <w:p>
      <w:pPr>
        <w:pStyle w:val="nHeading3"/>
      </w:pPr>
      <w:bookmarkStart w:id="318" w:name="_Toc70311430"/>
      <w:bookmarkStart w:id="319" w:name="_Toc113695923"/>
      <w:bookmarkStart w:id="320" w:name="_Toc309652762"/>
      <w:bookmarkStart w:id="321" w:name="_Toc306283928"/>
      <w:r>
        <w:t>Compilation table</w:t>
      </w:r>
      <w:bookmarkEnd w:id="318"/>
      <w:bookmarkEnd w:id="319"/>
      <w:bookmarkEnd w:id="320"/>
      <w:bookmarkEnd w:id="3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rPr>
          <w:ins w:id="322" w:author="Master Repository Process" w:date="2021-09-12T09:06:00Z"/>
        </w:trPr>
        <w:tc>
          <w:tcPr>
            <w:tcW w:w="3118" w:type="dxa"/>
            <w:tcBorders>
              <w:top w:val="nil"/>
              <w:bottom w:val="single" w:sz="4" w:space="0" w:color="auto"/>
            </w:tcBorders>
          </w:tcPr>
          <w:p>
            <w:pPr>
              <w:pStyle w:val="nTable"/>
              <w:spacing w:after="40"/>
              <w:rPr>
                <w:ins w:id="323" w:author="Master Repository Process" w:date="2021-09-12T09:06:00Z"/>
                <w:i/>
              </w:rPr>
            </w:pPr>
            <w:ins w:id="324" w:author="Master Repository Process" w:date="2021-09-12T09:06:00Z">
              <w:r>
                <w:rPr>
                  <w:i/>
                </w:rPr>
                <w:t>Rail Safety Amendment Regulations (No. 3) 2011</w:t>
              </w:r>
            </w:ins>
          </w:p>
        </w:tc>
        <w:tc>
          <w:tcPr>
            <w:tcW w:w="1276" w:type="dxa"/>
            <w:tcBorders>
              <w:top w:val="nil"/>
              <w:bottom w:val="single" w:sz="4" w:space="0" w:color="auto"/>
            </w:tcBorders>
          </w:tcPr>
          <w:p>
            <w:pPr>
              <w:pStyle w:val="nTable"/>
              <w:spacing w:after="40"/>
              <w:rPr>
                <w:ins w:id="325" w:author="Master Repository Process" w:date="2021-09-12T09:06:00Z"/>
                <w:sz w:val="19"/>
              </w:rPr>
            </w:pPr>
            <w:ins w:id="326" w:author="Master Repository Process" w:date="2021-09-12T09:06:00Z">
              <w:r>
                <w:rPr>
                  <w:sz w:val="19"/>
                </w:rPr>
                <w:t>22 Nov 2011 p. 4853-4</w:t>
              </w:r>
            </w:ins>
          </w:p>
        </w:tc>
        <w:tc>
          <w:tcPr>
            <w:tcW w:w="2693" w:type="dxa"/>
            <w:tcBorders>
              <w:top w:val="nil"/>
              <w:bottom w:val="single" w:sz="4" w:space="0" w:color="auto"/>
            </w:tcBorders>
          </w:tcPr>
          <w:p>
            <w:pPr>
              <w:pStyle w:val="nTable"/>
              <w:spacing w:after="40"/>
              <w:rPr>
                <w:ins w:id="327" w:author="Master Repository Process" w:date="2021-09-12T09:06:00Z"/>
                <w:snapToGrid w:val="0"/>
                <w:spacing w:val="-2"/>
                <w:sz w:val="19"/>
                <w:lang w:val="en-US"/>
              </w:rPr>
            </w:pPr>
            <w:ins w:id="328" w:author="Master Repository Process" w:date="2021-09-12T09:06:00Z">
              <w:r>
                <w:rPr>
                  <w:snapToGrid w:val="0"/>
                  <w:spacing w:val="-2"/>
                  <w:sz w:val="19"/>
                  <w:lang w:val="en-US"/>
                </w:rPr>
                <w:t>r. 1 and 2: 22 Nov 2011 (see r. 2(a));</w:t>
              </w:r>
              <w:r>
                <w:rPr>
                  <w:snapToGrid w:val="0"/>
                  <w:spacing w:val="-2"/>
                  <w:sz w:val="19"/>
                  <w:lang w:val="en-US"/>
                </w:rPr>
                <w:br/>
                <w:t>Regulations other than r. 1 and 2: 1 Dec 2011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9" w:name="_Toc7405065"/>
      <w:bookmarkStart w:id="330" w:name="_Toc309652763"/>
      <w:bookmarkStart w:id="331" w:name="_Toc306283929"/>
      <w:r>
        <w:t>Provisions that have not come into operation</w:t>
      </w:r>
      <w:bookmarkEnd w:id="329"/>
      <w:bookmarkEnd w:id="330"/>
      <w:bookmarkEnd w:id="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332" w:name="_Toc265846189"/>
      <w:bookmarkStart w:id="333" w:name="_Toc283039552"/>
      <w:r>
        <w:rPr>
          <w:rStyle w:val="CharSectno"/>
        </w:rPr>
        <w:t>11</w:t>
      </w:r>
      <w:r>
        <w:t>.</w:t>
      </w:r>
      <w:r>
        <w:tab/>
        <w:t>Obligations on rail transport operators</w:t>
      </w:r>
      <w:bookmarkEnd w:id="332"/>
      <w:bookmarkEnd w:id="333"/>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007"/>
    <w:docVar w:name="WAFER_20151209114007" w:val="RemoveTrackChanges"/>
    <w:docVar w:name="WAFER_20151209114007_GUID" w:val="2deaa05b-5534-4689-a5df-06160202b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3499849-DA8E-4E8B-83C3-29A4A18B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9712</Words>
  <Characters>49823</Characters>
  <Application>Microsoft Office Word</Application>
  <DocSecurity>0</DocSecurity>
  <Lines>1465</Lines>
  <Paragraphs>734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58801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00-c0-02 - 00-d0-02</dc:title>
  <dc:subject/>
  <dc:creator/>
  <cp:keywords/>
  <dc:description/>
  <cp:lastModifiedBy>Master Repository Process</cp:lastModifiedBy>
  <cp:revision>2</cp:revision>
  <cp:lastPrinted>2011-01-14T06:47:00Z</cp:lastPrinted>
  <dcterms:created xsi:type="dcterms:W3CDTF">2021-09-12T01:06:00Z</dcterms:created>
  <dcterms:modified xsi:type="dcterms:W3CDTF">2021-09-12T01:06:00Z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20111201</vt:lpwstr>
  </property>
  <property fmtid="{D5CDD505-2E9C-101B-9397-08002B2CF9AE}" pid="4" name="DocumentType">
    <vt:lpwstr>Reg</vt:lpwstr>
  </property>
  <property fmtid="{D5CDD505-2E9C-101B-9397-08002B2CF9AE}" pid="5" name="FromSuffix">
    <vt:lpwstr>00-c0-02</vt:lpwstr>
  </property>
  <property fmtid="{D5CDD505-2E9C-101B-9397-08002B2CF9AE}" pid="6" name="FromAsAtDate">
    <vt:lpwstr>15 Oct 2011</vt:lpwstr>
  </property>
  <property fmtid="{D5CDD505-2E9C-101B-9397-08002B2CF9AE}" pid="7" name="ToSuffix">
    <vt:lpwstr>00-d0-02</vt:lpwstr>
  </property>
  <property fmtid="{D5CDD505-2E9C-101B-9397-08002B2CF9AE}" pid="8" name="ToAsAtDate">
    <vt:lpwstr>01 Dec 2011</vt:lpwstr>
  </property>
</Properties>
</file>