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2011</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312419367"/>
      <w:bookmarkStart w:id="9" w:name="_Toc28742840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312419368"/>
      <w:bookmarkStart w:id="20" w:name="_Toc28742840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1318"/>
      <w:bookmarkStart w:id="23" w:name="_Toc102451447"/>
      <w:bookmarkStart w:id="24" w:name="_Toc312419369"/>
      <w:bookmarkStart w:id="25" w:name="_Toc287428409"/>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312419370"/>
      <w:bookmarkStart w:id="37" w:name="_Toc28742841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312419371"/>
      <w:bookmarkStart w:id="49" w:name="_Toc287428411"/>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312419372"/>
      <w:bookmarkStart w:id="53" w:name="_Toc287428412"/>
      <w:r>
        <w:rPr>
          <w:rStyle w:val="CharSectno"/>
        </w:rPr>
        <w:t>6</w:t>
      </w:r>
      <w:r>
        <w:t>.</w:t>
      </w:r>
      <w:r>
        <w:tab/>
        <w:t>Fees subject to conditions or waiver</w:t>
      </w:r>
      <w:bookmarkEnd w:id="50"/>
      <w:bookmarkEnd w:id="51"/>
      <w:bookmarkEnd w:id="52"/>
      <w:bookmarkEnd w:id="5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312419373"/>
      <w:bookmarkStart w:id="65" w:name="_Toc287428413"/>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312419374"/>
      <w:bookmarkStart w:id="77" w:name="_Toc287428414"/>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84" w:name="_Toc61252563"/>
      <w:bookmarkStart w:id="85" w:name="_Toc96402835"/>
      <w:bookmarkStart w:id="86" w:name="_Toc100631324"/>
      <w:bookmarkStart w:id="87" w:name="_Toc102451453"/>
      <w:bookmarkStart w:id="88" w:name="_Toc312419375"/>
      <w:bookmarkStart w:id="89" w:name="_Toc287428415"/>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312419376"/>
      <w:bookmarkStart w:id="96" w:name="_Toc287428416"/>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312419377"/>
      <w:bookmarkStart w:id="103" w:name="_Toc287428417"/>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312419378"/>
      <w:bookmarkStart w:id="105" w:name="_Toc287428418"/>
      <w:bookmarkStart w:id="106" w:name="_Toc96398500"/>
      <w:bookmarkStart w:id="107" w:name="_Toc100631328"/>
      <w:bookmarkStart w:id="108" w:name="_Toc102451457"/>
      <w:r>
        <w:rPr>
          <w:rStyle w:val="CharSectno"/>
        </w:rPr>
        <w:t>12</w:t>
      </w:r>
      <w:r>
        <w:t>.</w:t>
      </w:r>
      <w:r>
        <w:tab/>
        <w:t>Fees for searchable information</w:t>
      </w:r>
      <w:bookmarkEnd w:id="104"/>
      <w:bookmarkEnd w:id="105"/>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09" w:name="_Toc312419379"/>
      <w:bookmarkStart w:id="110" w:name="_Toc287428419"/>
      <w:r>
        <w:rPr>
          <w:rStyle w:val="CharSectno"/>
        </w:rPr>
        <w:t>13</w:t>
      </w:r>
      <w:r>
        <w:t>.</w:t>
      </w:r>
      <w:r>
        <w:tab/>
        <w:t>Resolution of disputes as to fees</w:t>
      </w:r>
      <w:bookmarkEnd w:id="106"/>
      <w:bookmarkEnd w:id="107"/>
      <w:bookmarkEnd w:id="108"/>
      <w:bookmarkEnd w:id="109"/>
      <w:bookmarkEnd w:id="11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1" w:name="_Toc100631329"/>
      <w:bookmarkStart w:id="112" w:name="_Toc102451458"/>
      <w:bookmarkStart w:id="113" w:name="_Toc312419380"/>
      <w:bookmarkStart w:id="114" w:name="_Toc287428420"/>
      <w:r>
        <w:rPr>
          <w:rStyle w:val="CharSectno"/>
        </w:rPr>
        <w:t>14</w:t>
      </w:r>
      <w:r>
        <w:t>.</w:t>
      </w:r>
      <w:r>
        <w:tab/>
        <w:t>Recovery of unpaid fees</w:t>
      </w:r>
      <w:bookmarkEnd w:id="111"/>
      <w:bookmarkEnd w:id="112"/>
      <w:bookmarkEnd w:id="113"/>
      <w:bookmarkEnd w:id="114"/>
    </w:p>
    <w:p>
      <w:pPr>
        <w:pStyle w:val="Subsection"/>
      </w:pPr>
      <w:r>
        <w:tab/>
      </w:r>
      <w:r>
        <w:tab/>
        <w:t>Any unpaid fee is a debt due to the State and may be recovered by action in a court of competent jurisdiction.</w:t>
      </w:r>
    </w:p>
    <w:p>
      <w:pPr>
        <w:pStyle w:val="Heading5"/>
      </w:pPr>
      <w:bookmarkStart w:id="115" w:name="_Toc533482764"/>
      <w:bookmarkStart w:id="116" w:name="_Toc61252567"/>
      <w:bookmarkStart w:id="117" w:name="_Toc96402839"/>
      <w:bookmarkStart w:id="118" w:name="_Toc100631330"/>
      <w:bookmarkStart w:id="119" w:name="_Toc102451459"/>
      <w:bookmarkStart w:id="120" w:name="_Toc312419381"/>
      <w:bookmarkStart w:id="121" w:name="_Toc287428421"/>
      <w:r>
        <w:rPr>
          <w:rStyle w:val="CharSectno"/>
        </w:rPr>
        <w:t>15</w:t>
      </w:r>
      <w:r>
        <w:t>.</w:t>
      </w:r>
      <w:r>
        <w:tab/>
        <w:t>Transitional</w:t>
      </w:r>
      <w:bookmarkEnd w:id="115"/>
      <w:bookmarkEnd w:id="116"/>
      <w:bookmarkEnd w:id="117"/>
      <w:bookmarkEnd w:id="118"/>
      <w:bookmarkEnd w:id="119"/>
      <w:bookmarkEnd w:id="120"/>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2" w:name="_Toc100631331"/>
      <w:bookmarkStart w:id="123" w:name="_Toc102451460"/>
    </w:p>
    <w:p>
      <w:pPr>
        <w:pStyle w:val="yScheduleHeading"/>
      </w:pPr>
      <w:bookmarkStart w:id="124" w:name="_Toc239746324"/>
      <w:bookmarkStart w:id="125" w:name="_Toc239759647"/>
      <w:bookmarkStart w:id="126" w:name="_Toc268173413"/>
      <w:bookmarkStart w:id="127" w:name="_Toc287428422"/>
      <w:bookmarkStart w:id="128" w:name="_Toc312142993"/>
      <w:bookmarkStart w:id="129" w:name="_Toc312419382"/>
      <w:bookmarkStart w:id="130" w:name="_Toc100631335"/>
      <w:bookmarkStart w:id="131" w:name="_Toc102451464"/>
      <w:bookmarkStart w:id="132" w:name="_Toc139104719"/>
      <w:bookmarkStart w:id="133" w:name="_Toc139276717"/>
      <w:bookmarkStart w:id="134" w:name="_Toc171051736"/>
      <w:bookmarkStart w:id="135" w:name="_Toc198631556"/>
      <w:bookmarkStart w:id="136" w:name="_Toc202521836"/>
      <w:bookmarkStart w:id="137" w:name="_Toc203535231"/>
      <w:bookmarkStart w:id="138" w:name="_Toc207168616"/>
      <w:bookmarkStart w:id="139" w:name="_Toc210114992"/>
      <w:bookmarkStart w:id="140" w:name="_Toc210119120"/>
      <w:bookmarkStart w:id="141" w:name="_Toc219794096"/>
      <w:bookmarkStart w:id="142" w:name="_Toc219794293"/>
      <w:bookmarkStart w:id="143" w:name="_Toc222114926"/>
      <w:bookmarkStart w:id="144" w:name="_Toc222212438"/>
      <w:bookmarkStart w:id="145" w:name="_Toc224024223"/>
      <w:bookmarkStart w:id="146" w:name="_Toc224024308"/>
      <w:bookmarkStart w:id="147" w:name="_Toc232310091"/>
      <w:bookmarkEnd w:id="122"/>
      <w:bookmarkEnd w:id="123"/>
      <w:r>
        <w:rPr>
          <w:rStyle w:val="CharSchNo"/>
        </w:rPr>
        <w:t>Schedule 1</w:t>
      </w:r>
      <w:r>
        <w:t> — </w:t>
      </w:r>
      <w:r>
        <w:rPr>
          <w:rStyle w:val="CharSchText"/>
        </w:rPr>
        <w:t>Fees</w:t>
      </w:r>
      <w:bookmarkEnd w:id="124"/>
      <w:bookmarkEnd w:id="125"/>
      <w:bookmarkEnd w:id="126"/>
      <w:bookmarkEnd w:id="127"/>
      <w:bookmarkEnd w:id="128"/>
      <w:bookmarkEnd w:id="129"/>
    </w:p>
    <w:p>
      <w:pPr>
        <w:pStyle w:val="yShoulderClause"/>
      </w:pPr>
      <w:r>
        <w:t>[r. 4]</w:t>
      </w:r>
    </w:p>
    <w:p>
      <w:pPr>
        <w:pStyle w:val="yFootnoteheading"/>
      </w:pPr>
      <w:r>
        <w:tab/>
        <w:t>[Heading inserted in Gazette 4 Sep 2009 p. 3473.]</w:t>
      </w:r>
    </w:p>
    <w:p>
      <w:pPr>
        <w:pStyle w:val="yHeading3"/>
        <w:rPr>
          <w:rStyle w:val="CharSDivText"/>
        </w:rPr>
      </w:pPr>
      <w:bookmarkStart w:id="148" w:name="_Toc239746325"/>
      <w:bookmarkStart w:id="149" w:name="_Toc239759648"/>
      <w:bookmarkStart w:id="150" w:name="_Toc268173414"/>
      <w:bookmarkStart w:id="151" w:name="_Toc287428423"/>
      <w:bookmarkStart w:id="152" w:name="_Toc312142994"/>
      <w:bookmarkStart w:id="153" w:name="_Toc312419383"/>
      <w:r>
        <w:rPr>
          <w:rStyle w:val="CharSDivNo"/>
        </w:rPr>
        <w:t>Division 1</w:t>
      </w:r>
      <w:r>
        <w:t> — </w:t>
      </w:r>
      <w:r>
        <w:rPr>
          <w:rStyle w:val="CharSDivText"/>
        </w:rPr>
        <w:t>General</w:t>
      </w:r>
      <w:bookmarkEnd w:id="148"/>
      <w:bookmarkEnd w:id="149"/>
      <w:bookmarkEnd w:id="150"/>
      <w:bookmarkEnd w:id="151"/>
      <w:bookmarkEnd w:id="152"/>
      <w:bookmarkEnd w:id="153"/>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del w:id="154" w:author="Master Repository Process" w:date="2021-08-29T09:46:00Z">
              <w:r>
                <w:delText>45.50</w:delText>
              </w:r>
            </w:del>
            <w:ins w:id="155" w:author="Master Repository Process" w:date="2021-08-29T09:46:00Z">
              <w:r>
                <w:rPr>
                  <w:szCs w:val="22"/>
                </w:rPr>
                <w:t>46.90</w:t>
              </w:r>
            </w:ins>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r>
            <w:r>
              <w:rPr>
                <w:szCs w:val="22"/>
              </w:rPr>
              <w:t>1.</w:t>
            </w:r>
            <w:del w:id="156" w:author="Master Repository Process" w:date="2021-08-29T09:46:00Z">
              <w:r>
                <w:delText>15</w:delText>
              </w:r>
            </w:del>
            <w:ins w:id="157" w:author="Master Repository Process" w:date="2021-08-29T09:46:00Z">
              <w:r>
                <w:rPr>
                  <w:szCs w:val="22"/>
                </w:rPr>
                <w:t>20</w:t>
              </w:r>
            </w:ins>
          </w:p>
          <w:p>
            <w:pPr>
              <w:pStyle w:val="yTableNAm"/>
              <w:jc w:val="center"/>
            </w:pPr>
            <w:r>
              <w:br/>
            </w:r>
            <w:r>
              <w:rPr>
                <w:szCs w:val="22"/>
              </w:rPr>
              <w:t>1.</w:t>
            </w:r>
            <w:del w:id="158" w:author="Master Repository Process" w:date="2021-08-29T09:46:00Z">
              <w:r>
                <w:delText>25</w:delText>
              </w:r>
            </w:del>
            <w:ins w:id="159" w:author="Master Repository Process" w:date="2021-08-29T09:46:00Z">
              <w:r>
                <w:rPr>
                  <w:szCs w:val="22"/>
                </w:rPr>
                <w:t>30</w:t>
              </w:r>
            </w:ins>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r>
            <w:del w:id="160" w:author="Master Repository Process" w:date="2021-08-29T09:46:00Z">
              <w:r>
                <w:delText>26.50</w:delText>
              </w:r>
            </w:del>
            <w:ins w:id="161" w:author="Master Repository Process" w:date="2021-08-29T09:46:00Z">
              <w:r>
                <w:rPr>
                  <w:szCs w:val="22"/>
                </w:rPr>
                <w:t>27.30</w:t>
              </w:r>
            </w:ins>
          </w:p>
          <w:p>
            <w:pPr>
              <w:pStyle w:val="yTableNAm"/>
              <w:jc w:val="center"/>
            </w:pPr>
            <w:r>
              <w:br/>
            </w:r>
            <w:r>
              <w:br/>
            </w:r>
            <w:del w:id="162" w:author="Master Repository Process" w:date="2021-08-29T09:46:00Z">
              <w:r>
                <w:delText>26.50</w:delText>
              </w:r>
            </w:del>
            <w:ins w:id="163" w:author="Master Repository Process" w:date="2021-08-29T09:46:00Z">
              <w:r>
                <w:rPr>
                  <w:szCs w:val="22"/>
                </w:rPr>
                <w:t>27.30</w:t>
              </w:r>
            </w:ins>
          </w:p>
          <w:p>
            <w:pPr>
              <w:pStyle w:val="yTableNAm"/>
              <w:jc w:val="center"/>
            </w:pPr>
            <w:r>
              <w:br/>
            </w:r>
            <w:del w:id="164" w:author="Master Repository Process" w:date="2021-08-29T09:46:00Z">
              <w:r>
                <w:delText>65</w:delText>
              </w:r>
            </w:del>
            <w:ins w:id="165" w:author="Master Repository Process" w:date="2021-08-29T09:46:00Z">
              <w:r>
                <w:rPr>
                  <w:szCs w:val="22"/>
                </w:rPr>
                <w:t>67</w:t>
              </w:r>
            </w:ins>
            <w:r>
              <w:rPr>
                <w:szCs w:val="22"/>
              </w:rPr>
              <w:t>.50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rPr>
                <w:szCs w:val="22"/>
              </w:rPr>
              <w:t>1.</w:t>
            </w:r>
            <w:del w:id="166" w:author="Master Repository Process" w:date="2021-08-29T09:46:00Z">
              <w:r>
                <w:delText>15</w:delText>
              </w:r>
            </w:del>
            <w:ins w:id="167" w:author="Master Repository Process" w:date="2021-08-29T09:46:00Z">
              <w:r>
                <w:rPr>
                  <w:szCs w:val="22"/>
                </w:rPr>
                <w:t>20</w:t>
              </w:r>
            </w:ins>
          </w:p>
          <w:p>
            <w:pPr>
              <w:pStyle w:val="yTableNAm"/>
              <w:jc w:val="center"/>
            </w:pPr>
            <w:r>
              <w:br/>
            </w:r>
            <w:del w:id="168" w:author="Master Repository Process" w:date="2021-08-29T09:46:00Z">
              <w:r>
                <w:delText>38 130</w:delText>
              </w:r>
            </w:del>
            <w:ins w:id="169" w:author="Master Repository Process" w:date="2021-08-29T09:46:00Z">
              <w:r>
                <w:rPr>
                  <w:szCs w:val="22"/>
                </w:rPr>
                <w:t>39 274</w:t>
              </w:r>
            </w:ins>
            <w:r>
              <w:rPr>
                <w:szCs w:val="22"/>
              </w:rPr>
              <w:t>.00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del w:id="170" w:author="Master Repository Process" w:date="2021-08-29T09:46:00Z">
              <w:r>
                <w:delText>39.00</w:delText>
              </w:r>
            </w:del>
            <w:ins w:id="171" w:author="Master Repository Process" w:date="2021-08-29T09:46:00Z">
              <w:r>
                <w:rPr>
                  <w:szCs w:val="22"/>
                </w:rPr>
                <w:t>40.20</w:t>
              </w:r>
            </w:ins>
          </w:p>
          <w:p>
            <w:pPr>
              <w:pStyle w:val="yTableNAm"/>
              <w:jc w:val="center"/>
            </w:pPr>
            <w:r>
              <w:br/>
            </w:r>
            <w:r>
              <w:br/>
            </w:r>
            <w:r>
              <w:br/>
            </w:r>
            <w:r>
              <w:br/>
            </w:r>
            <w:r>
              <w:br/>
            </w:r>
            <w:del w:id="172" w:author="Master Repository Process" w:date="2021-08-29T09:46:00Z">
              <w:r>
                <w:delText>65</w:delText>
              </w:r>
            </w:del>
            <w:ins w:id="173" w:author="Master Repository Process" w:date="2021-08-29T09:46:00Z">
              <w:r>
                <w:rPr>
                  <w:szCs w:val="22"/>
                </w:rPr>
                <w:t>67</w:t>
              </w:r>
            </w:ins>
            <w:r>
              <w:rPr>
                <w:szCs w:val="22"/>
              </w:rPr>
              <w:t>.50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rPr>
                <w:ins w:id="174" w:author="Master Repository Process" w:date="2021-08-29T09:46:00Z"/>
              </w:rPr>
            </w:pPr>
            <w:r>
              <w:br/>
            </w:r>
            <w:r>
              <w:br/>
            </w:r>
            <w:r>
              <w:br/>
            </w:r>
            <w:r>
              <w:rPr>
                <w:szCs w:val="22"/>
              </w:rPr>
              <w:t>9.</w:t>
            </w:r>
            <w:ins w:id="175" w:author="Master Repository Process" w:date="2021-08-29T09:46:00Z">
              <w:r>
                <w:rPr>
                  <w:szCs w:val="22"/>
                </w:rPr>
                <w:t>50</w:t>
              </w:r>
            </w:ins>
          </w:p>
          <w:p>
            <w:pPr>
              <w:pStyle w:val="yTableNAm"/>
              <w:jc w:val="center"/>
            </w:pPr>
            <w:ins w:id="176" w:author="Master Repository Process" w:date="2021-08-29T09:46:00Z">
              <w:r>
                <w:br/>
              </w:r>
              <w:r>
                <w:rPr>
                  <w:szCs w:val="22"/>
                </w:rPr>
                <w:t>1.</w:t>
              </w:r>
            </w:ins>
            <w:r>
              <w:rPr>
                <w:szCs w:val="22"/>
              </w:rPr>
              <w:t>20</w:t>
            </w:r>
          </w:p>
          <w:p>
            <w:pPr>
              <w:pStyle w:val="yTableNAm"/>
              <w:jc w:val="center"/>
              <w:rPr>
                <w:del w:id="177" w:author="Master Repository Process" w:date="2021-08-29T09:46:00Z"/>
              </w:rPr>
            </w:pPr>
            <w:r>
              <w:br/>
            </w:r>
            <w:del w:id="178" w:author="Master Repository Process" w:date="2021-08-29T09:46:00Z">
              <w:r>
                <w:delText>1</w:delText>
              </w:r>
            </w:del>
            <w:ins w:id="179" w:author="Master Repository Process" w:date="2021-08-29T09:46:00Z">
              <w:r>
                <w:rPr>
                  <w:szCs w:val="22"/>
                </w:rPr>
                <w:t>13</w:t>
              </w:r>
            </w:ins>
            <w:r>
              <w:rPr>
                <w:szCs w:val="22"/>
              </w:rPr>
              <w:t>.15</w:t>
            </w:r>
          </w:p>
          <w:p>
            <w:pPr>
              <w:pStyle w:val="yTableNAm"/>
              <w:jc w:val="center"/>
            </w:pPr>
            <w:del w:id="180" w:author="Master Repository Process" w:date="2021-08-29T09:46:00Z">
              <w:r>
                <w:br/>
                <w:delText>12.75</w:delText>
              </w:r>
            </w:del>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rPr>
                <w:ins w:id="181" w:author="Master Repository Process" w:date="2021-08-29T09:46:00Z"/>
              </w:rPr>
            </w:pPr>
            <w:r>
              <w:br/>
            </w:r>
            <w:r>
              <w:rPr>
                <w:szCs w:val="22"/>
              </w:rPr>
              <w:t>5.</w:t>
            </w:r>
            <w:ins w:id="182" w:author="Master Repository Process" w:date="2021-08-29T09:46:00Z">
              <w:r>
                <w:rPr>
                  <w:szCs w:val="22"/>
                </w:rPr>
                <w:t>30</w:t>
              </w:r>
            </w:ins>
          </w:p>
          <w:p>
            <w:pPr>
              <w:pStyle w:val="yTableNAm"/>
              <w:jc w:val="center"/>
            </w:pPr>
            <w:ins w:id="183" w:author="Master Repository Process" w:date="2021-08-29T09:46:00Z">
              <w:r>
                <w:br/>
              </w:r>
              <w:r>
                <w:br/>
              </w:r>
              <w:r>
                <w:br/>
              </w:r>
              <w:r>
                <w:br/>
              </w:r>
              <w:r>
                <w:rPr>
                  <w:szCs w:val="22"/>
                </w:rPr>
                <w:t>13.</w:t>
              </w:r>
            </w:ins>
            <w:r>
              <w:rPr>
                <w:szCs w:val="22"/>
              </w:rPr>
              <w:t>15</w:t>
            </w:r>
          </w:p>
          <w:p>
            <w:pPr>
              <w:pStyle w:val="yTableNAm"/>
              <w:jc w:val="center"/>
              <w:rPr>
                <w:del w:id="184" w:author="Master Repository Process" w:date="2021-08-29T09:46:00Z"/>
              </w:rPr>
            </w:pPr>
            <w:del w:id="185" w:author="Master Repository Process" w:date="2021-08-29T09:46:00Z">
              <w:r>
                <w:br/>
              </w:r>
              <w:r>
                <w:br/>
              </w:r>
              <w:r>
                <w:br/>
              </w:r>
              <w:r>
                <w:br/>
                <w:delText>12.75</w:delText>
              </w:r>
            </w:del>
          </w:p>
          <w:p>
            <w:pPr>
              <w:pStyle w:val="yTableNAm"/>
              <w:jc w:val="center"/>
            </w:pPr>
            <w:r>
              <w:br/>
            </w:r>
            <w:r>
              <w:br/>
            </w:r>
            <w:r>
              <w:br/>
            </w:r>
            <w:r>
              <w:br/>
              <w:t>1.50</w:t>
            </w:r>
          </w:p>
        </w:tc>
      </w:tr>
      <w:tr>
        <w:trPr>
          <w:cantSplit/>
        </w:trPr>
        <w:tc>
          <w:tcPr>
            <w:tcW w:w="6662" w:type="dxa"/>
            <w:gridSpan w:val="3"/>
          </w:tcPr>
          <w:p>
            <w:pPr>
              <w:pStyle w:val="yTableNAm"/>
            </w:pPr>
            <w:r>
              <w:t>NOTE 1</w:t>
            </w:r>
            <w:r>
              <w:br/>
              <w:t xml:space="preserve">A minimum fee of </w:t>
            </w:r>
            <w:r>
              <w:rPr>
                <w:szCs w:val="22"/>
              </w:rPr>
              <w:t>$18.</w:t>
            </w:r>
            <w:del w:id="186" w:author="Master Repository Process" w:date="2021-08-29T09:46:00Z">
              <w:r>
                <w:delText>30</w:delText>
              </w:r>
            </w:del>
            <w:ins w:id="187" w:author="Master Repository Process" w:date="2021-08-29T09:46:00Z">
              <w:r>
                <w:rPr>
                  <w:szCs w:val="22"/>
                </w:rPr>
                <w:t>85</w:t>
              </w:r>
            </w:ins>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w:t>
      </w:r>
      <w:ins w:id="188" w:author="Master Repository Process" w:date="2021-08-29T09:46:00Z">
        <w:r>
          <w:t>; 20 Dec 2011 p. 5388</w:t>
        </w:r>
      </w:ins>
      <w:r>
        <w:t>.]</w:t>
      </w:r>
    </w:p>
    <w:p>
      <w:pPr>
        <w:pStyle w:val="yHeading3"/>
        <w:keepLines/>
        <w:rPr>
          <w:rStyle w:val="CharSDivText"/>
        </w:rPr>
      </w:pPr>
      <w:bookmarkStart w:id="189" w:name="_Toc239746326"/>
      <w:bookmarkStart w:id="190" w:name="_Toc239759649"/>
      <w:bookmarkStart w:id="191" w:name="_Toc268173415"/>
      <w:bookmarkStart w:id="192" w:name="_Toc287428424"/>
      <w:bookmarkStart w:id="193" w:name="_Toc312142995"/>
      <w:bookmarkStart w:id="194" w:name="_Toc312419384"/>
      <w:r>
        <w:rPr>
          <w:rStyle w:val="CharSDivNo"/>
        </w:rPr>
        <w:t>Division 2</w:t>
      </w:r>
      <w:r>
        <w:rPr>
          <w:b w:val="0"/>
        </w:rPr>
        <w:t> — </w:t>
      </w:r>
      <w:r>
        <w:rPr>
          <w:rStyle w:val="CharSDivText"/>
        </w:rPr>
        <w:t>Civil jurisdiction</w:t>
      </w:r>
      <w:bookmarkEnd w:id="189"/>
      <w:bookmarkEnd w:id="190"/>
      <w:bookmarkEnd w:id="191"/>
      <w:bookmarkEnd w:id="192"/>
      <w:bookmarkEnd w:id="193"/>
      <w:bookmarkEnd w:id="194"/>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76.00</w:t>
            </w:r>
          </w:p>
        </w:tc>
        <w:tc>
          <w:tcPr>
            <w:tcW w:w="806" w:type="dxa"/>
            <w:tcBorders>
              <w:top w:val="single" w:sz="4" w:space="0" w:color="auto"/>
            </w:tcBorders>
            <w:vAlign w:val="bottom"/>
          </w:tcPr>
          <w:p>
            <w:pPr>
              <w:pStyle w:val="yTableNAm"/>
              <w:keepNext/>
              <w:keepLines/>
              <w:jc w:val="center"/>
              <w:rPr>
                <w:sz w:val="18"/>
                <w:szCs w:val="18"/>
              </w:rPr>
            </w:pPr>
            <w:r>
              <w:rPr>
                <w:sz w:val="18"/>
                <w:szCs w:val="18"/>
              </w:rPr>
              <w:t>149.00</w:t>
            </w:r>
          </w:p>
        </w:tc>
        <w:tc>
          <w:tcPr>
            <w:tcW w:w="850" w:type="dxa"/>
            <w:tcBorders>
              <w:top w:val="single" w:sz="4" w:space="0" w:color="auto"/>
            </w:tcBorders>
            <w:vAlign w:val="bottom"/>
          </w:tcPr>
          <w:p>
            <w:pPr>
              <w:pStyle w:val="yTableNAm"/>
              <w:keepNext/>
              <w:keepLines/>
              <w:jc w:val="center"/>
              <w:rPr>
                <w:sz w:val="18"/>
                <w:szCs w:val="18"/>
              </w:rPr>
            </w:pPr>
            <w:r>
              <w:rPr>
                <w:sz w:val="18"/>
                <w:szCs w:val="18"/>
              </w:rPr>
              <w:t>194.50</w:t>
            </w:r>
          </w:p>
        </w:tc>
        <w:tc>
          <w:tcPr>
            <w:tcW w:w="851" w:type="dxa"/>
            <w:tcBorders>
              <w:top w:val="single" w:sz="4" w:space="0" w:color="auto"/>
            </w:tcBorders>
            <w:vAlign w:val="bottom"/>
          </w:tcPr>
          <w:p>
            <w:pPr>
              <w:pStyle w:val="yTableNAm"/>
              <w:keepNext/>
              <w:keepLines/>
              <w:jc w:val="center"/>
              <w:rPr>
                <w:sz w:val="18"/>
                <w:szCs w:val="18"/>
              </w:rPr>
            </w:pPr>
            <w:r>
              <w:rPr>
                <w:sz w:val="18"/>
                <w:szCs w:val="18"/>
              </w:rPr>
              <w:t>381.00</w:t>
            </w:r>
          </w:p>
        </w:tc>
        <w:tc>
          <w:tcPr>
            <w:tcW w:w="850" w:type="dxa"/>
            <w:tcBorders>
              <w:top w:val="single" w:sz="4" w:space="0" w:color="auto"/>
            </w:tcBorders>
            <w:vAlign w:val="bottom"/>
          </w:tcPr>
          <w:p>
            <w:pPr>
              <w:pStyle w:val="yTableNAm"/>
              <w:keepNext/>
              <w:keepLines/>
              <w:jc w:val="center"/>
              <w:rPr>
                <w:sz w:val="18"/>
                <w:szCs w:val="18"/>
              </w:rPr>
            </w:pPr>
            <w:r>
              <w:rPr>
                <w:sz w:val="18"/>
                <w:szCs w:val="18"/>
              </w:rPr>
              <w:t>310.00</w:t>
            </w:r>
          </w:p>
        </w:tc>
        <w:tc>
          <w:tcPr>
            <w:tcW w:w="851" w:type="dxa"/>
            <w:tcBorders>
              <w:top w:val="single" w:sz="4" w:space="0" w:color="auto"/>
            </w:tcBorders>
            <w:vAlign w:val="bottom"/>
          </w:tcPr>
          <w:p>
            <w:pPr>
              <w:pStyle w:val="yTableNAm"/>
              <w:keepNext/>
              <w:keepLines/>
              <w:jc w:val="center"/>
              <w:rPr>
                <w:sz w:val="18"/>
                <w:szCs w:val="18"/>
              </w:rPr>
            </w:pPr>
            <w:r>
              <w:rPr>
                <w:sz w:val="18"/>
                <w:szCs w:val="18"/>
              </w:rPr>
              <w:t>604.00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49.50</w:t>
            </w:r>
          </w:p>
        </w:tc>
        <w:tc>
          <w:tcPr>
            <w:tcW w:w="851" w:type="dxa"/>
            <w:gridSpan w:val="2"/>
            <w:vAlign w:val="bottom"/>
          </w:tcPr>
          <w:p>
            <w:pPr>
              <w:pStyle w:val="yTableNAm"/>
              <w:jc w:val="center"/>
              <w:rPr>
                <w:sz w:val="18"/>
                <w:szCs w:val="18"/>
              </w:rPr>
            </w:pPr>
            <w:r>
              <w:rPr>
                <w:sz w:val="18"/>
                <w:szCs w:val="18"/>
              </w:rPr>
              <w:t>96.50</w:t>
            </w:r>
          </w:p>
        </w:tc>
        <w:tc>
          <w:tcPr>
            <w:tcW w:w="850" w:type="dxa"/>
            <w:vAlign w:val="bottom"/>
          </w:tcPr>
          <w:p>
            <w:pPr>
              <w:pStyle w:val="yTableNAm"/>
              <w:jc w:val="center"/>
              <w:rPr>
                <w:sz w:val="18"/>
                <w:szCs w:val="18"/>
              </w:rPr>
            </w:pPr>
            <w:r>
              <w:rPr>
                <w:sz w:val="18"/>
                <w:szCs w:val="18"/>
              </w:rPr>
              <w:t>90.50</w:t>
            </w:r>
          </w:p>
        </w:tc>
        <w:tc>
          <w:tcPr>
            <w:tcW w:w="851" w:type="dxa"/>
            <w:vAlign w:val="bottom"/>
          </w:tcPr>
          <w:p>
            <w:pPr>
              <w:pStyle w:val="yTableNAm"/>
              <w:jc w:val="center"/>
              <w:rPr>
                <w:sz w:val="18"/>
                <w:szCs w:val="18"/>
              </w:rPr>
            </w:pPr>
            <w:r>
              <w:rPr>
                <w:sz w:val="18"/>
                <w:szCs w:val="18"/>
              </w:rPr>
              <w:t>151.00</w:t>
            </w:r>
          </w:p>
        </w:tc>
        <w:tc>
          <w:tcPr>
            <w:tcW w:w="850" w:type="dxa"/>
            <w:vAlign w:val="bottom"/>
          </w:tcPr>
          <w:p>
            <w:pPr>
              <w:pStyle w:val="yTableNAm"/>
              <w:jc w:val="center"/>
              <w:rPr>
                <w:sz w:val="18"/>
                <w:szCs w:val="18"/>
              </w:rPr>
            </w:pPr>
            <w:r>
              <w:rPr>
                <w:sz w:val="18"/>
                <w:szCs w:val="18"/>
              </w:rPr>
              <w:t>144.00</w:t>
            </w:r>
          </w:p>
        </w:tc>
        <w:tc>
          <w:tcPr>
            <w:tcW w:w="851" w:type="dxa"/>
            <w:vAlign w:val="bottom"/>
          </w:tcPr>
          <w:p>
            <w:pPr>
              <w:pStyle w:val="yTableNAm"/>
              <w:jc w:val="center"/>
              <w:rPr>
                <w:sz w:val="18"/>
                <w:szCs w:val="18"/>
              </w:rPr>
            </w:pPr>
            <w:r>
              <w:rPr>
                <w:sz w:val="18"/>
                <w:szCs w:val="18"/>
              </w:rPr>
              <w:t>241.00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25.50</w:t>
            </w:r>
          </w:p>
        </w:tc>
        <w:tc>
          <w:tcPr>
            <w:tcW w:w="851" w:type="dxa"/>
            <w:gridSpan w:val="2"/>
          </w:tcPr>
          <w:p>
            <w:pPr>
              <w:pStyle w:val="yTableNAm"/>
              <w:jc w:val="center"/>
              <w:rPr>
                <w:sz w:val="18"/>
              </w:rPr>
            </w:pPr>
            <w:r>
              <w:rPr>
                <w:sz w:val="18"/>
              </w:rPr>
              <w:br/>
              <w:t>65.50</w:t>
            </w:r>
          </w:p>
        </w:tc>
        <w:tc>
          <w:tcPr>
            <w:tcW w:w="850" w:type="dxa"/>
          </w:tcPr>
          <w:p>
            <w:pPr>
              <w:pStyle w:val="yTableNAm"/>
              <w:jc w:val="center"/>
              <w:rPr>
                <w:sz w:val="18"/>
              </w:rPr>
            </w:pPr>
            <w:r>
              <w:rPr>
                <w:sz w:val="18"/>
              </w:rPr>
              <w:br/>
              <w:t>38.50</w:t>
            </w:r>
          </w:p>
        </w:tc>
        <w:tc>
          <w:tcPr>
            <w:tcW w:w="851" w:type="dxa"/>
          </w:tcPr>
          <w:p>
            <w:pPr>
              <w:pStyle w:val="yTableNAm"/>
              <w:jc w:val="center"/>
              <w:rPr>
                <w:sz w:val="18"/>
              </w:rPr>
            </w:pPr>
            <w:r>
              <w:rPr>
                <w:sz w:val="18"/>
              </w:rPr>
              <w:br/>
              <w:t>100.00</w:t>
            </w:r>
          </w:p>
        </w:tc>
        <w:tc>
          <w:tcPr>
            <w:tcW w:w="850" w:type="dxa"/>
          </w:tcPr>
          <w:p>
            <w:pPr>
              <w:pStyle w:val="yTableNAm"/>
              <w:jc w:val="center"/>
              <w:rPr>
                <w:sz w:val="18"/>
              </w:rPr>
            </w:pPr>
            <w:r>
              <w:rPr>
                <w:sz w:val="18"/>
              </w:rPr>
              <w:br/>
              <w:t>51.50</w:t>
            </w:r>
          </w:p>
        </w:tc>
        <w:tc>
          <w:tcPr>
            <w:tcW w:w="851" w:type="dxa"/>
          </w:tcPr>
          <w:p>
            <w:pPr>
              <w:pStyle w:val="yTableNAm"/>
              <w:jc w:val="center"/>
              <w:rPr>
                <w:sz w:val="18"/>
              </w:rPr>
            </w:pPr>
            <w:r>
              <w:rPr>
                <w:sz w:val="18"/>
              </w:rPr>
              <w:br/>
              <w:t>134.00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t>121.00</w:t>
            </w:r>
          </w:p>
        </w:tc>
        <w:tc>
          <w:tcPr>
            <w:tcW w:w="851" w:type="dxa"/>
            <w:gridSpan w:val="2"/>
          </w:tcPr>
          <w:p>
            <w:pPr>
              <w:pStyle w:val="yTableNAm"/>
              <w:jc w:val="center"/>
              <w:rPr>
                <w:sz w:val="18"/>
              </w:rPr>
            </w:pPr>
            <w:r>
              <w:rPr>
                <w:sz w:val="18"/>
              </w:rPr>
              <w:br/>
              <w:t>235.00</w:t>
            </w:r>
          </w:p>
        </w:tc>
        <w:tc>
          <w:tcPr>
            <w:tcW w:w="850" w:type="dxa"/>
          </w:tcPr>
          <w:p>
            <w:pPr>
              <w:pStyle w:val="yTableNAm"/>
              <w:jc w:val="center"/>
              <w:rPr>
                <w:sz w:val="18"/>
              </w:rPr>
            </w:pPr>
            <w:r>
              <w:rPr>
                <w:sz w:val="18"/>
              </w:rPr>
              <w:br/>
              <w:t>220.00</w:t>
            </w:r>
          </w:p>
        </w:tc>
        <w:tc>
          <w:tcPr>
            <w:tcW w:w="851" w:type="dxa"/>
          </w:tcPr>
          <w:p>
            <w:pPr>
              <w:pStyle w:val="yTableNAm"/>
              <w:jc w:val="center"/>
              <w:rPr>
                <w:sz w:val="18"/>
              </w:rPr>
            </w:pPr>
            <w:r>
              <w:rPr>
                <w:sz w:val="18"/>
              </w:rPr>
              <w:br/>
              <w:t>426.00</w:t>
            </w:r>
          </w:p>
        </w:tc>
        <w:tc>
          <w:tcPr>
            <w:tcW w:w="850" w:type="dxa"/>
          </w:tcPr>
          <w:p>
            <w:pPr>
              <w:pStyle w:val="yTableNAm"/>
              <w:jc w:val="center"/>
              <w:rPr>
                <w:sz w:val="18"/>
              </w:rPr>
            </w:pPr>
            <w:r>
              <w:rPr>
                <w:sz w:val="18"/>
              </w:rPr>
              <w:br/>
              <w:t>245.00</w:t>
            </w:r>
          </w:p>
        </w:tc>
        <w:tc>
          <w:tcPr>
            <w:tcW w:w="851" w:type="dxa"/>
          </w:tcPr>
          <w:p>
            <w:pPr>
              <w:pStyle w:val="yTableNAm"/>
              <w:jc w:val="center"/>
              <w:rPr>
                <w:sz w:val="18"/>
              </w:rPr>
            </w:pPr>
            <w:r>
              <w:rPr>
                <w:sz w:val="18"/>
              </w:rPr>
              <w:br/>
              <w:t>475.00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rPr>
              <w:t>70.00</w:t>
            </w:r>
          </w:p>
        </w:tc>
        <w:tc>
          <w:tcPr>
            <w:tcW w:w="851" w:type="dxa"/>
            <w:gridSpan w:val="2"/>
            <w:vAlign w:val="bottom"/>
          </w:tcPr>
          <w:p>
            <w:pPr>
              <w:pStyle w:val="yTableNAm"/>
              <w:jc w:val="center"/>
              <w:rPr>
                <w:sz w:val="18"/>
              </w:rPr>
            </w:pPr>
            <w:r>
              <w:rPr>
                <w:sz w:val="18"/>
              </w:rPr>
              <w:t>182.00</w:t>
            </w:r>
          </w:p>
        </w:tc>
        <w:tc>
          <w:tcPr>
            <w:tcW w:w="850" w:type="dxa"/>
            <w:vAlign w:val="bottom"/>
          </w:tcPr>
          <w:p>
            <w:pPr>
              <w:pStyle w:val="yTableNAm"/>
              <w:jc w:val="center"/>
              <w:rPr>
                <w:sz w:val="18"/>
              </w:rPr>
            </w:pPr>
            <w:r>
              <w:rPr>
                <w:sz w:val="18"/>
              </w:rPr>
              <w:t>122.50</w:t>
            </w:r>
          </w:p>
        </w:tc>
        <w:tc>
          <w:tcPr>
            <w:tcW w:w="851" w:type="dxa"/>
            <w:vAlign w:val="bottom"/>
          </w:tcPr>
          <w:p>
            <w:pPr>
              <w:pStyle w:val="yTableNAm"/>
              <w:jc w:val="center"/>
              <w:rPr>
                <w:sz w:val="18"/>
              </w:rPr>
            </w:pPr>
            <w:r>
              <w:rPr>
                <w:sz w:val="18"/>
              </w:rPr>
              <w:t>318.50</w:t>
            </w:r>
          </w:p>
        </w:tc>
        <w:tc>
          <w:tcPr>
            <w:tcW w:w="850" w:type="dxa"/>
            <w:vAlign w:val="bottom"/>
          </w:tcPr>
          <w:p>
            <w:pPr>
              <w:pStyle w:val="yTableNAm"/>
              <w:jc w:val="center"/>
              <w:rPr>
                <w:sz w:val="18"/>
              </w:rPr>
            </w:pPr>
            <w:r>
              <w:rPr>
                <w:sz w:val="18"/>
              </w:rPr>
              <w:t>175.00</w:t>
            </w:r>
          </w:p>
        </w:tc>
        <w:tc>
          <w:tcPr>
            <w:tcW w:w="851" w:type="dxa"/>
            <w:vAlign w:val="bottom"/>
          </w:tcPr>
          <w:p>
            <w:pPr>
              <w:pStyle w:val="yTableNAm"/>
              <w:jc w:val="center"/>
              <w:rPr>
                <w:sz w:val="18"/>
              </w:rPr>
            </w:pPr>
            <w:r>
              <w:rPr>
                <w:sz w:val="18"/>
              </w:rPr>
              <w:t>454.50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rPr>
              <w:t>70.00</w:t>
            </w:r>
          </w:p>
        </w:tc>
        <w:tc>
          <w:tcPr>
            <w:tcW w:w="851" w:type="dxa"/>
            <w:gridSpan w:val="2"/>
            <w:vAlign w:val="bottom"/>
          </w:tcPr>
          <w:p>
            <w:pPr>
              <w:pStyle w:val="yTableNAm"/>
              <w:jc w:val="center"/>
              <w:rPr>
                <w:sz w:val="18"/>
              </w:rPr>
            </w:pPr>
            <w:r>
              <w:rPr>
                <w:sz w:val="18"/>
              </w:rPr>
              <w:t>182.00</w:t>
            </w:r>
          </w:p>
        </w:tc>
        <w:tc>
          <w:tcPr>
            <w:tcW w:w="850" w:type="dxa"/>
            <w:vAlign w:val="bottom"/>
          </w:tcPr>
          <w:p>
            <w:pPr>
              <w:pStyle w:val="yTableNAm"/>
              <w:jc w:val="center"/>
              <w:rPr>
                <w:sz w:val="18"/>
              </w:rPr>
            </w:pPr>
            <w:r>
              <w:rPr>
                <w:sz w:val="18"/>
              </w:rPr>
              <w:t>122.50</w:t>
            </w:r>
          </w:p>
        </w:tc>
        <w:tc>
          <w:tcPr>
            <w:tcW w:w="851" w:type="dxa"/>
            <w:vAlign w:val="bottom"/>
          </w:tcPr>
          <w:p>
            <w:pPr>
              <w:pStyle w:val="yTableNAm"/>
              <w:jc w:val="center"/>
              <w:rPr>
                <w:sz w:val="18"/>
              </w:rPr>
            </w:pPr>
            <w:r>
              <w:rPr>
                <w:sz w:val="18"/>
              </w:rPr>
              <w:t>318.50</w:t>
            </w:r>
          </w:p>
        </w:tc>
        <w:tc>
          <w:tcPr>
            <w:tcW w:w="850" w:type="dxa"/>
            <w:vAlign w:val="bottom"/>
          </w:tcPr>
          <w:p>
            <w:pPr>
              <w:pStyle w:val="yTableNAm"/>
              <w:jc w:val="center"/>
              <w:rPr>
                <w:sz w:val="18"/>
              </w:rPr>
            </w:pPr>
            <w:r>
              <w:rPr>
                <w:sz w:val="18"/>
              </w:rPr>
              <w:t>175.00</w:t>
            </w:r>
          </w:p>
        </w:tc>
        <w:tc>
          <w:tcPr>
            <w:tcW w:w="851" w:type="dxa"/>
            <w:vAlign w:val="bottom"/>
          </w:tcPr>
          <w:p>
            <w:pPr>
              <w:pStyle w:val="yTableNAm"/>
              <w:jc w:val="center"/>
              <w:rPr>
                <w:sz w:val="18"/>
              </w:rPr>
            </w:pPr>
            <w:r>
              <w:rPr>
                <w:sz w:val="18"/>
              </w:rPr>
              <w:t>454.50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64.00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124.00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77.00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149.50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203.50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rPr>
              <w:t>64.00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rPr>
              <w:t>124.00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77.00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149.50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103.50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203.50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83.00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83.00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22.00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rPr>
              <w:t>76.00</w:t>
            </w:r>
          </w:p>
        </w:tc>
      </w:tr>
    </w:tbl>
    <w:p>
      <w:pPr>
        <w:pStyle w:val="yFootnotesection"/>
      </w:pPr>
      <w:r>
        <w:tab/>
        <w:t>[Division 2 inserted in Gazette 4 Sep 2009 p. 3475-8; amended in Gazette 30 Jul 2010 p. 3499-500; 8 Mar 2011 p. 788</w:t>
      </w:r>
      <w:r>
        <w:noBreakHyphen/>
        <w:t>90.]</w:t>
      </w:r>
    </w:p>
    <w:p>
      <w:pPr>
        <w:pStyle w:val="yHeading3"/>
      </w:pPr>
      <w:bookmarkStart w:id="195" w:name="_Toc239746327"/>
      <w:bookmarkStart w:id="196" w:name="_Toc239759650"/>
      <w:bookmarkStart w:id="197" w:name="_Toc268173416"/>
      <w:bookmarkStart w:id="198" w:name="_Toc287428425"/>
      <w:bookmarkStart w:id="199" w:name="_Toc312142996"/>
      <w:bookmarkStart w:id="200" w:name="_Toc312419385"/>
      <w:r>
        <w:rPr>
          <w:rStyle w:val="CharSDivNo"/>
        </w:rPr>
        <w:t>Division 3</w:t>
      </w:r>
      <w:r>
        <w:rPr>
          <w:b w:val="0"/>
        </w:rPr>
        <w:t> — </w:t>
      </w:r>
      <w:r>
        <w:rPr>
          <w:rStyle w:val="CharSDivText"/>
        </w:rPr>
        <w:t>Criminal jurisdiction</w:t>
      </w:r>
      <w:bookmarkEnd w:id="195"/>
      <w:bookmarkEnd w:id="196"/>
      <w:bookmarkEnd w:id="197"/>
      <w:bookmarkEnd w:id="198"/>
      <w:bookmarkEnd w:id="199"/>
      <w:bookmarkEnd w:id="200"/>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t>64.00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12.25</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pPr>
            <w:r>
              <w:t>64.00</w:t>
            </w:r>
          </w:p>
          <w:p>
            <w:pPr>
              <w:pStyle w:val="yTableNAm"/>
              <w:jc w:val="center"/>
            </w:pPr>
            <w:r>
              <w:t>83.00</w:t>
            </w:r>
          </w:p>
        </w:tc>
      </w:tr>
    </w:tbl>
    <w:p>
      <w:pPr>
        <w:pStyle w:val="yFootnotesection"/>
      </w:pPr>
      <w:r>
        <w:tab/>
        <w:t>[Division 3 inserted in Gazette 4 Sep 2009 p. 3478</w:t>
      </w:r>
      <w:r>
        <w:noBreakHyphen/>
        <w:t>9; amended in Gazette 8 Mar 2011 p. 790.]</w:t>
      </w:r>
    </w:p>
    <w:p>
      <w:pPr>
        <w:pStyle w:val="yScheduleHeading"/>
      </w:pPr>
      <w:bookmarkStart w:id="201" w:name="_Toc239746328"/>
      <w:bookmarkStart w:id="202" w:name="_Toc239759651"/>
      <w:bookmarkStart w:id="203" w:name="_Toc268173417"/>
      <w:bookmarkStart w:id="204" w:name="_Toc287428426"/>
      <w:bookmarkStart w:id="205" w:name="_Toc312142997"/>
      <w:bookmarkStart w:id="206" w:name="_Toc312419386"/>
      <w:r>
        <w:rPr>
          <w:rStyle w:val="CharSchNo"/>
        </w:rPr>
        <w:t>Schedule 2</w:t>
      </w:r>
      <w:r>
        <w:rPr>
          <w:rStyle w:val="CharSDivNo"/>
        </w:rPr>
        <w:t> </w:t>
      </w:r>
      <w:r>
        <w:t>—</w:t>
      </w:r>
      <w:r>
        <w:rPr>
          <w:rStyle w:val="CharSDivText"/>
        </w:rPr>
        <w:t> </w:t>
      </w:r>
      <w:r>
        <w:rPr>
          <w:rStyle w:val="CharSchText"/>
        </w:rPr>
        <w:t>Forms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201"/>
      <w:bookmarkEnd w:id="202"/>
      <w:bookmarkEnd w:id="203"/>
      <w:bookmarkEnd w:id="204"/>
      <w:bookmarkEnd w:id="205"/>
      <w:bookmarkEnd w:id="206"/>
    </w:p>
    <w:p>
      <w:pPr>
        <w:pStyle w:val="yShoulderClause"/>
      </w:pPr>
      <w:r>
        <w:t>[r. 4(6), 8(6), 13(2)]</w:t>
      </w:r>
    </w:p>
    <w:p>
      <w:pPr>
        <w:pStyle w:val="yHeading5"/>
      </w:pPr>
      <w:bookmarkStart w:id="207" w:name="_Toc96398510"/>
      <w:bookmarkStart w:id="208" w:name="_Toc96417044"/>
      <w:bookmarkStart w:id="209" w:name="_Toc100631336"/>
      <w:bookmarkStart w:id="210" w:name="_Toc102451465"/>
      <w:bookmarkStart w:id="211" w:name="_Toc222114927"/>
      <w:bookmarkStart w:id="212" w:name="_Toc312419387"/>
      <w:bookmarkStart w:id="213" w:name="_Toc287428427"/>
      <w:r>
        <w:t>1.</w:t>
      </w:r>
      <w:r>
        <w:tab/>
        <w:t>Declaration that a person is a small business or a non</w:t>
      </w:r>
      <w:r>
        <w:noBreakHyphen/>
        <w:t>profit association</w:t>
      </w:r>
      <w:bookmarkEnd w:id="207"/>
      <w:bookmarkEnd w:id="208"/>
      <w:bookmarkEnd w:id="209"/>
      <w:bookmarkEnd w:id="210"/>
      <w:bookmarkEnd w:id="211"/>
      <w:bookmarkEnd w:id="212"/>
      <w:bookmarkEnd w:id="21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14" w:name="_Toc96398511"/>
      <w:bookmarkStart w:id="215" w:name="_Toc96417045"/>
      <w:bookmarkStart w:id="216" w:name="_Toc100631337"/>
      <w:bookmarkStart w:id="217" w:name="_Toc102451466"/>
      <w:bookmarkStart w:id="218" w:name="_Toc222114928"/>
      <w:bookmarkStart w:id="219" w:name="_Toc312419388"/>
      <w:bookmarkStart w:id="220" w:name="_Toc287428428"/>
      <w:r>
        <w:t>2.</w:t>
      </w:r>
      <w:r>
        <w:tab/>
        <w:t>Application to remit fees</w:t>
      </w:r>
      <w:bookmarkEnd w:id="214"/>
      <w:bookmarkEnd w:id="215"/>
      <w:bookmarkEnd w:id="216"/>
      <w:bookmarkEnd w:id="217"/>
      <w:bookmarkEnd w:id="218"/>
      <w:bookmarkEnd w:id="219"/>
      <w:bookmarkEnd w:id="22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21" w:name="_Toc100631338"/>
      <w:bookmarkStart w:id="222" w:name="_Toc102451467"/>
      <w:bookmarkStart w:id="223" w:name="_Toc222114929"/>
      <w:bookmarkStart w:id="224" w:name="_Toc312419389"/>
      <w:bookmarkStart w:id="225" w:name="_Toc287428429"/>
      <w:r>
        <w:t>3.</w:t>
      </w:r>
      <w:r>
        <w:tab/>
        <w:t>Application for determination of dispute about fees</w:t>
      </w:r>
      <w:bookmarkEnd w:id="221"/>
      <w:bookmarkEnd w:id="222"/>
      <w:bookmarkEnd w:id="223"/>
      <w:bookmarkEnd w:id="224"/>
      <w:bookmarkEnd w:id="22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226" w:name="_Toc102451468"/>
      <w:bookmarkStart w:id="227" w:name="_Toc139104723"/>
      <w:bookmarkStart w:id="228" w:name="_Toc139276721"/>
      <w:bookmarkStart w:id="229" w:name="_Toc171051740"/>
      <w:bookmarkStart w:id="230" w:name="_Toc198631560"/>
      <w:bookmarkStart w:id="231" w:name="_Toc202521840"/>
      <w:bookmarkStart w:id="232" w:name="_Toc203535235"/>
      <w:bookmarkStart w:id="233" w:name="_Toc207168620"/>
      <w:bookmarkStart w:id="234" w:name="_Toc210114996"/>
      <w:bookmarkStart w:id="235" w:name="_Toc210119124"/>
      <w:bookmarkStart w:id="236" w:name="_Toc219794100"/>
      <w:bookmarkStart w:id="237" w:name="_Toc219794297"/>
      <w:bookmarkStart w:id="238" w:name="_Toc222114930"/>
      <w:bookmarkStart w:id="239" w:name="_Toc222212442"/>
      <w:bookmarkStart w:id="240" w:name="_Toc224024227"/>
      <w:bookmarkStart w:id="241" w:name="_Toc224024312"/>
      <w:bookmarkStart w:id="242" w:name="_Toc232310095"/>
      <w:bookmarkStart w:id="243" w:name="_Toc239746332"/>
      <w:bookmarkStart w:id="244" w:name="_Toc239759655"/>
      <w:bookmarkStart w:id="245" w:name="_Toc268173421"/>
      <w:bookmarkStart w:id="246" w:name="_Toc287428430"/>
      <w:bookmarkStart w:id="247" w:name="_Toc312143001"/>
      <w:bookmarkStart w:id="248" w:name="_Toc312419390"/>
      <w:r>
        <w:t>Notes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spacing w:before="40"/>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249" w:name="_Toc312419391"/>
      <w:bookmarkStart w:id="250" w:name="_Toc287428431"/>
      <w:r>
        <w:t>Compilation table</w:t>
      </w:r>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pacing w:val="-2"/>
                <w:sz w:val="19"/>
                <w:lang w:val="en-US"/>
              </w:rPr>
            </w:pPr>
            <w:r>
              <w:rPr>
                <w:snapToGrid w:val="0"/>
                <w:spacing w:val="-2"/>
                <w:sz w:val="19"/>
                <w:lang w:val="en-US"/>
              </w:rPr>
              <w:t>r. 1 and 2: 8 Mar 2011 (see</w:t>
            </w:r>
            <w:del w:id="251" w:author="Master Repository Process" w:date="2021-08-29T09:46:00Z">
              <w:r>
                <w:rPr>
                  <w:snapToGrid w:val="0"/>
                  <w:spacing w:val="-2"/>
                  <w:sz w:val="19"/>
                  <w:lang w:val="en-US"/>
                </w:rPr>
                <w:delText xml:space="preserve"> </w:delText>
              </w:r>
            </w:del>
            <w:ins w:id="252" w:author="Master Repository Process" w:date="2021-08-29T09:46: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9 Mar 2011 (see r. 2(b))</w:t>
            </w:r>
          </w:p>
        </w:tc>
      </w:tr>
      <w:tr>
        <w:trPr>
          <w:ins w:id="253" w:author="Master Repository Process" w:date="2021-08-29T09:46:00Z"/>
        </w:trPr>
        <w:tc>
          <w:tcPr>
            <w:tcW w:w="3118" w:type="dxa"/>
            <w:tcBorders>
              <w:bottom w:val="single" w:sz="4" w:space="0" w:color="auto"/>
            </w:tcBorders>
          </w:tcPr>
          <w:p>
            <w:pPr>
              <w:pStyle w:val="nTable"/>
              <w:spacing w:after="40"/>
              <w:rPr>
                <w:ins w:id="254" w:author="Master Repository Process" w:date="2021-08-29T09:46:00Z"/>
                <w:sz w:val="19"/>
              </w:rPr>
            </w:pPr>
            <w:ins w:id="255" w:author="Master Repository Process" w:date="2021-08-29T09:46:00Z">
              <w:r>
                <w:rPr>
                  <w:i/>
                  <w:sz w:val="19"/>
                </w:rPr>
                <w:t>Magistrates Court (Fees) Amendment Regulations (No. 2) 2011</w:t>
              </w:r>
              <w:r>
                <w:rPr>
                  <w:sz w:val="19"/>
                  <w:vertAlign w:val="superscript"/>
                </w:rPr>
                <w:t> 2</w:t>
              </w:r>
            </w:ins>
          </w:p>
        </w:tc>
        <w:tc>
          <w:tcPr>
            <w:tcW w:w="1276" w:type="dxa"/>
            <w:tcBorders>
              <w:bottom w:val="single" w:sz="4" w:space="0" w:color="auto"/>
            </w:tcBorders>
          </w:tcPr>
          <w:p>
            <w:pPr>
              <w:pStyle w:val="nTable"/>
              <w:spacing w:after="40"/>
              <w:rPr>
                <w:ins w:id="256" w:author="Master Repository Process" w:date="2021-08-29T09:46:00Z"/>
                <w:sz w:val="19"/>
              </w:rPr>
            </w:pPr>
            <w:ins w:id="257" w:author="Master Repository Process" w:date="2021-08-29T09:46:00Z">
              <w:r>
                <w:rPr>
                  <w:sz w:val="19"/>
                </w:rPr>
                <w:t>20 Dec 2011 p. 5387-90</w:t>
              </w:r>
            </w:ins>
          </w:p>
        </w:tc>
        <w:tc>
          <w:tcPr>
            <w:tcW w:w="2693" w:type="dxa"/>
            <w:tcBorders>
              <w:bottom w:val="single" w:sz="4" w:space="0" w:color="auto"/>
            </w:tcBorders>
          </w:tcPr>
          <w:p>
            <w:pPr>
              <w:pStyle w:val="nTable"/>
              <w:spacing w:after="40"/>
              <w:rPr>
                <w:ins w:id="258" w:author="Master Repository Process" w:date="2021-08-29T09:46:00Z"/>
                <w:snapToGrid w:val="0"/>
                <w:spacing w:val="-2"/>
                <w:sz w:val="19"/>
                <w:lang w:val="en-US"/>
              </w:rPr>
            </w:pPr>
            <w:ins w:id="259" w:author="Master Repository Process" w:date="2021-08-29T09:46:00Z">
              <w:r>
                <w:rPr>
                  <w:snapToGrid w:val="0"/>
                  <w:spacing w:val="-2"/>
                  <w:sz w:val="19"/>
                  <w:lang w:val="en-US"/>
                </w:rPr>
                <w:t>r. 1 and 2: 20 Dec 2011 (see r. 2(a));</w:t>
              </w:r>
              <w:r>
                <w:rPr>
                  <w:snapToGrid w:val="0"/>
                  <w:spacing w:val="-2"/>
                  <w:sz w:val="19"/>
                  <w:lang w:val="en-US"/>
                </w:rPr>
                <w:br/>
                <w:t>Regulations other than r. 1 and 2: 21 Dec 2011 (see r. 2(b))</w:t>
              </w:r>
            </w:ins>
          </w:p>
        </w:tc>
      </w:tr>
    </w:tbl>
    <w:p>
      <w:pPr>
        <w:rPr>
          <w:ins w:id="260" w:author="Master Repository Process" w:date="2021-08-29T09:46:00Z"/>
        </w:rPr>
      </w:pPr>
    </w:p>
    <w:p>
      <w:pPr>
        <w:pStyle w:val="nSubsection"/>
        <w:rPr>
          <w:ins w:id="261" w:author="Master Repository Process" w:date="2021-08-29T09:46:00Z"/>
        </w:rPr>
      </w:pPr>
      <w:ins w:id="262" w:author="Master Repository Process" w:date="2021-08-29T09:46:00Z">
        <w:r>
          <w:rPr>
            <w:vertAlign w:val="superscript"/>
          </w:rPr>
          <w:t>2</w:t>
        </w:r>
        <w:r>
          <w:tab/>
          <w:t xml:space="preserve">The </w:t>
        </w:r>
        <w:r>
          <w:rPr>
            <w:i/>
          </w:rPr>
          <w:t>Magistrates Court (Fees) Amendment Regulations (No. 2) 2011</w:t>
        </w:r>
        <w:r>
          <w:t>, Table to r. 4 included amendments to Schedule 1 Divisions 2 and 3.  These amendments are not included because the instruction in r. 4 referred only to Schedule 1 Division 1.</w:t>
        </w:r>
      </w:ins>
    </w:p>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165B685E-68BC-489C-9199-819A01F3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6327</Words>
  <Characters>33410</Characters>
  <Application>Microsoft Office Word</Application>
  <DocSecurity>0</DocSecurity>
  <Lines>1392</Lines>
  <Paragraphs>722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01-e0-01 - 01-f0-02</dc:title>
  <dc:subject/>
  <dc:creator/>
  <cp:keywords/>
  <dc:description/>
  <cp:lastModifiedBy>Master Repository Process</cp:lastModifiedBy>
  <cp:revision>2</cp:revision>
  <cp:lastPrinted>2009-02-12T06:34:00Z</cp:lastPrinted>
  <dcterms:created xsi:type="dcterms:W3CDTF">2021-08-29T01:46:00Z</dcterms:created>
  <dcterms:modified xsi:type="dcterms:W3CDTF">2021-08-29T01:46:00Z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20111221</vt:lpwstr>
  </property>
  <property fmtid="{D5CDD505-2E9C-101B-9397-08002B2CF9AE}" pid="4" name="OwlsUID">
    <vt:i4>37120</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01-e0-01</vt:lpwstr>
  </property>
  <property fmtid="{D5CDD505-2E9C-101B-9397-08002B2CF9AE}" pid="8" name="FromAsAtDate">
    <vt:lpwstr>09 Mar 2011</vt:lpwstr>
  </property>
  <property fmtid="{D5CDD505-2E9C-101B-9397-08002B2CF9AE}" pid="9" name="ToSuffix">
    <vt:lpwstr>01-f0-02</vt:lpwstr>
  </property>
  <property fmtid="{D5CDD505-2E9C-101B-9397-08002B2CF9AE}" pid="10" name="ToAsAtDate">
    <vt:lpwstr>21 Dec 2011</vt:lpwstr>
  </property>
</Properties>
</file>