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bookmarkStart w:id="4" w:name="_Toc31959423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319594240"/>
      <w:bookmarkStart w:id="7" w:name="_Toc264887965"/>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9" w:name="_Toc319594241"/>
      <w:bookmarkStart w:id="10" w:name="_Toc264887966"/>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1" w:name="_Toc319594242"/>
      <w:bookmarkStart w:id="12" w:name="_Toc264887967"/>
      <w:r>
        <w:rPr>
          <w:rStyle w:val="CharSectno"/>
        </w:rPr>
        <w:t>3</w:t>
      </w:r>
      <w:r>
        <w:t>.</w:t>
      </w:r>
      <w:r>
        <w:tab/>
        <w:t>Application</w:t>
      </w:r>
      <w:bookmarkEnd w:id="11"/>
      <w:bookmarkEnd w:id="1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3" w:name="_Toc319594243"/>
      <w:bookmarkStart w:id="14" w:name="_Toc264887968"/>
      <w:r>
        <w:rPr>
          <w:rStyle w:val="CharSectno"/>
        </w:rPr>
        <w:t>4</w:t>
      </w:r>
      <w:r>
        <w:t>.</w:t>
      </w:r>
      <w:r>
        <w:tab/>
        <w:t>Terms used in these regulations</w:t>
      </w:r>
      <w:bookmarkEnd w:id="13"/>
      <w:bookmarkEnd w:id="14"/>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5" w:name="_Toc319594244"/>
      <w:bookmarkStart w:id="16" w:name="_Toc264887969"/>
      <w:r>
        <w:rPr>
          <w:rStyle w:val="CharSectno"/>
        </w:rPr>
        <w:t>5</w:t>
      </w:r>
      <w:r>
        <w:t>.</w:t>
      </w:r>
      <w:r>
        <w:tab/>
        <w:t>“Major hazard facility”, meaning of</w:t>
      </w:r>
      <w:bookmarkEnd w:id="15"/>
      <w:bookmarkEnd w:id="16"/>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7" w:name="_Toc319594245"/>
      <w:bookmarkStart w:id="18" w:name="_Toc264887970"/>
      <w:r>
        <w:rPr>
          <w:rStyle w:val="CharSectno"/>
        </w:rPr>
        <w:t>6</w:t>
      </w:r>
      <w:r>
        <w:t>.</w:t>
      </w:r>
      <w:r>
        <w:tab/>
        <w:t>“Place”, meaning of</w:t>
      </w:r>
      <w:bookmarkEnd w:id="17"/>
      <w:bookmarkEnd w:id="18"/>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9" w:name="_Toc319594246"/>
      <w:bookmarkStart w:id="20" w:name="_Toc264887971"/>
      <w:r>
        <w:rPr>
          <w:rStyle w:val="CharSectno"/>
        </w:rPr>
        <w:t>7</w:t>
      </w:r>
      <w:r>
        <w:t>.</w:t>
      </w:r>
      <w:r>
        <w:tab/>
        <w:t>Circumstances in which Schedule 1 substances are likely to be at a place</w:t>
      </w:r>
      <w:bookmarkEnd w:id="19"/>
      <w:bookmarkEnd w:id="20"/>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1" w:name="_Toc319594247"/>
      <w:bookmarkStart w:id="22" w:name="_Toc264887972"/>
      <w:r>
        <w:rPr>
          <w:rStyle w:val="CharSectno"/>
        </w:rPr>
        <w:t>8</w:t>
      </w:r>
      <w:r>
        <w:t>.</w:t>
      </w:r>
      <w:r>
        <w:tab/>
        <w:t>Determining the quantity of substances at a place or likely to be at a place</w:t>
      </w:r>
      <w:bookmarkEnd w:id="21"/>
      <w:bookmarkEnd w:id="22"/>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3" w:name="_Toc319594248"/>
      <w:bookmarkStart w:id="24" w:name="_Toc264887973"/>
      <w:r>
        <w:rPr>
          <w:rStyle w:val="CharSectno"/>
        </w:rPr>
        <w:t>9</w:t>
      </w:r>
      <w:r>
        <w:t>.</w:t>
      </w:r>
      <w:r>
        <w:tab/>
        <w:t>Determining the critical quantity of Schedule 1 substances at a place or likely to be at a place</w:t>
      </w:r>
      <w:bookmarkEnd w:id="23"/>
      <w:bookmarkEnd w:id="2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5" w:name="_Toc319594249"/>
      <w:bookmarkStart w:id="26" w:name="_Toc264887974"/>
      <w:r>
        <w:rPr>
          <w:rStyle w:val="CharSectno"/>
        </w:rPr>
        <w:t>10</w:t>
      </w:r>
      <w:r>
        <w:t>.</w:t>
      </w:r>
      <w:r>
        <w:tab/>
        <w:t>Determining the threshold quantity for a Schedule 1 substance</w:t>
      </w:r>
      <w:bookmarkEnd w:id="25"/>
      <w:bookmarkEnd w:id="2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7" w:name="_Toc191980776"/>
      <w:bookmarkStart w:id="28" w:name="_Toc233693215"/>
      <w:bookmarkStart w:id="29" w:name="_Toc264887903"/>
      <w:bookmarkStart w:id="30" w:name="_Toc264887975"/>
      <w:bookmarkStart w:id="31" w:name="_Toc319594250"/>
      <w:r>
        <w:rPr>
          <w:rStyle w:val="CharPartNo"/>
        </w:rPr>
        <w:t>Part 2</w:t>
      </w:r>
      <w:r>
        <w:rPr>
          <w:rStyle w:val="CharDivNo"/>
        </w:rPr>
        <w:t> </w:t>
      </w:r>
      <w:r>
        <w:t>—</w:t>
      </w:r>
      <w:r>
        <w:rPr>
          <w:rStyle w:val="CharDivText"/>
        </w:rPr>
        <w:t> </w:t>
      </w:r>
      <w:r>
        <w:rPr>
          <w:rStyle w:val="CharPartText"/>
        </w:rPr>
        <w:t>Main Offences</w:t>
      </w:r>
      <w:bookmarkEnd w:id="27"/>
      <w:bookmarkEnd w:id="28"/>
      <w:bookmarkEnd w:id="29"/>
      <w:bookmarkEnd w:id="30"/>
      <w:bookmarkEnd w:id="31"/>
    </w:p>
    <w:p>
      <w:pPr>
        <w:pStyle w:val="Heading5"/>
      </w:pPr>
      <w:bookmarkStart w:id="32" w:name="_Toc319594251"/>
      <w:bookmarkStart w:id="33" w:name="_Toc264887976"/>
      <w:r>
        <w:rPr>
          <w:rStyle w:val="CharSectno"/>
        </w:rPr>
        <w:t>11</w:t>
      </w:r>
      <w:r>
        <w:t>.</w:t>
      </w:r>
      <w:r>
        <w:tab/>
        <w:t>Schedule 1 substances at a place not to exceed critical quantity without prior notification to Chief Officer</w:t>
      </w:r>
      <w:bookmarkEnd w:id="32"/>
      <w:bookmarkEnd w:id="33"/>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4" w:name="_Toc319594252"/>
      <w:bookmarkStart w:id="35" w:name="_Toc264887977"/>
      <w:r>
        <w:rPr>
          <w:rStyle w:val="CharSectno"/>
        </w:rPr>
        <w:t>12</w:t>
      </w:r>
      <w:r>
        <w:t>.</w:t>
      </w:r>
      <w:r>
        <w:tab/>
        <w:t>No significant change to certain places without prior notification to Chief Officer</w:t>
      </w:r>
      <w:bookmarkEnd w:id="34"/>
      <w:bookmarkEnd w:id="3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6" w:name="_Toc319594253"/>
      <w:bookmarkStart w:id="37" w:name="_Toc264887978"/>
      <w:r>
        <w:rPr>
          <w:rStyle w:val="CharSectno"/>
        </w:rPr>
        <w:t>13</w:t>
      </w:r>
      <w:r>
        <w:t>.</w:t>
      </w:r>
      <w:r>
        <w:tab/>
        <w:t xml:space="preserve">Major hazard facility to operate in accordance with safety management system in approved </w:t>
      </w:r>
      <w:r>
        <w:rPr>
          <w:color w:val="000000"/>
        </w:rPr>
        <w:t>safety report</w:t>
      </w:r>
      <w:bookmarkEnd w:id="36"/>
      <w:bookmarkEnd w:id="37"/>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8" w:name="_Toc191980780"/>
      <w:bookmarkStart w:id="39" w:name="_Toc233693219"/>
      <w:bookmarkStart w:id="40" w:name="_Toc264887907"/>
      <w:bookmarkStart w:id="41" w:name="_Toc264887979"/>
      <w:bookmarkStart w:id="42" w:name="_Toc319594254"/>
      <w:r>
        <w:rPr>
          <w:rStyle w:val="CharPartNo"/>
        </w:rPr>
        <w:t>Part 3</w:t>
      </w:r>
      <w:r>
        <w:rPr>
          <w:rStyle w:val="CharDivNo"/>
        </w:rPr>
        <w:t> </w:t>
      </w:r>
      <w:r>
        <w:t>—</w:t>
      </w:r>
      <w:r>
        <w:rPr>
          <w:rStyle w:val="CharDivText"/>
        </w:rPr>
        <w:t> </w:t>
      </w:r>
      <w:r>
        <w:rPr>
          <w:rStyle w:val="CharPartText"/>
        </w:rPr>
        <w:t>Notification requirements</w:t>
      </w:r>
      <w:bookmarkEnd w:id="38"/>
      <w:bookmarkEnd w:id="39"/>
      <w:bookmarkEnd w:id="40"/>
      <w:bookmarkEnd w:id="41"/>
      <w:bookmarkEnd w:id="42"/>
    </w:p>
    <w:p>
      <w:pPr>
        <w:pStyle w:val="Heading5"/>
      </w:pPr>
      <w:bookmarkStart w:id="43" w:name="_Toc319594255"/>
      <w:bookmarkStart w:id="44" w:name="_Toc264887980"/>
      <w:r>
        <w:rPr>
          <w:rStyle w:val="CharSectno"/>
        </w:rPr>
        <w:t>14</w:t>
      </w:r>
      <w:r>
        <w:t>.</w:t>
      </w:r>
      <w:r>
        <w:tab/>
        <w:t>Operator to notify Chief Officer if more than critical quantity of Schedule 1 substances likely to be at the place</w:t>
      </w:r>
      <w:bookmarkEnd w:id="43"/>
      <w:bookmarkEnd w:id="4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5" w:name="_Toc319594256"/>
      <w:bookmarkStart w:id="46" w:name="_Toc264887981"/>
      <w:r>
        <w:rPr>
          <w:rStyle w:val="CharSectno"/>
        </w:rPr>
        <w:t>15</w:t>
      </w:r>
      <w:r>
        <w:t>.</w:t>
      </w:r>
      <w:r>
        <w:tab/>
        <w:t>Operator of certain places to notify Chief Officer of change</w:t>
      </w:r>
      <w:bookmarkEnd w:id="45"/>
      <w:bookmarkEnd w:id="4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47" w:name="_Toc319594257"/>
      <w:bookmarkStart w:id="48" w:name="_Toc264887982"/>
      <w:r>
        <w:rPr>
          <w:rStyle w:val="CharSectno"/>
        </w:rPr>
        <w:t>16</w:t>
      </w:r>
      <w:r>
        <w:t>.</w:t>
      </w:r>
      <w:r>
        <w:tab/>
        <w:t>Chief Officer may direct operator to give notification</w:t>
      </w:r>
      <w:bookmarkEnd w:id="47"/>
      <w:bookmarkEnd w:id="48"/>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9" w:name="_Toc319594258"/>
      <w:bookmarkStart w:id="50" w:name="_Toc264887983"/>
      <w:r>
        <w:rPr>
          <w:rStyle w:val="CharSectno"/>
        </w:rPr>
        <w:t>17</w:t>
      </w:r>
      <w:r>
        <w:t>.</w:t>
      </w:r>
      <w:r>
        <w:tab/>
        <w:t>Notification required</w:t>
      </w:r>
      <w:bookmarkEnd w:id="49"/>
      <w:bookmarkEnd w:id="50"/>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51" w:name="_Toc319594259"/>
      <w:bookmarkStart w:id="52" w:name="_Toc264887984"/>
      <w:r>
        <w:rPr>
          <w:rStyle w:val="CharSectno"/>
        </w:rPr>
        <w:t>18</w:t>
      </w:r>
      <w:r>
        <w:t>.</w:t>
      </w:r>
      <w:r>
        <w:tab/>
        <w:t>Chief Officer may direct operator to give further information</w:t>
      </w:r>
      <w:bookmarkEnd w:id="51"/>
      <w:bookmarkEnd w:id="5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3" w:name="_Toc191980786"/>
      <w:bookmarkStart w:id="54" w:name="_Toc233693225"/>
      <w:bookmarkStart w:id="55" w:name="_Toc264887913"/>
      <w:bookmarkStart w:id="56" w:name="_Toc264887985"/>
      <w:bookmarkStart w:id="57" w:name="_Toc319594260"/>
      <w:r>
        <w:rPr>
          <w:rStyle w:val="CharPartNo"/>
        </w:rPr>
        <w:t>Part 4</w:t>
      </w:r>
      <w:r>
        <w:rPr>
          <w:rStyle w:val="CharDivNo"/>
        </w:rPr>
        <w:t> </w:t>
      </w:r>
      <w:r>
        <w:t>—</w:t>
      </w:r>
      <w:r>
        <w:rPr>
          <w:rStyle w:val="CharDivText"/>
        </w:rPr>
        <w:t> </w:t>
      </w:r>
      <w:r>
        <w:rPr>
          <w:rStyle w:val="CharPartText"/>
        </w:rPr>
        <w:t>Certain places to be major hazard facilities</w:t>
      </w:r>
      <w:bookmarkEnd w:id="53"/>
      <w:bookmarkEnd w:id="54"/>
      <w:bookmarkEnd w:id="55"/>
      <w:bookmarkEnd w:id="56"/>
      <w:bookmarkEnd w:id="57"/>
    </w:p>
    <w:p>
      <w:pPr>
        <w:pStyle w:val="Heading5"/>
      </w:pPr>
      <w:bookmarkStart w:id="58" w:name="_Toc319594261"/>
      <w:bookmarkStart w:id="59" w:name="_Toc264887986"/>
      <w:r>
        <w:rPr>
          <w:rStyle w:val="CharSectno"/>
        </w:rPr>
        <w:t>19</w:t>
      </w:r>
      <w:r>
        <w:t>.</w:t>
      </w:r>
      <w:r>
        <w:tab/>
        <w:t>Classification of certain places as major hazard facilities</w:t>
      </w:r>
      <w:bookmarkEnd w:id="58"/>
      <w:bookmarkEnd w:id="5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0" w:name="_Toc319594262"/>
      <w:bookmarkStart w:id="61" w:name="_Toc264887987"/>
      <w:r>
        <w:rPr>
          <w:rStyle w:val="CharSectno"/>
        </w:rPr>
        <w:t>20</w:t>
      </w:r>
      <w:r>
        <w:t>.</w:t>
      </w:r>
      <w:r>
        <w:tab/>
        <w:t>Chief Officer to consult in relation to a decision to classify a place as a major hazard facility</w:t>
      </w:r>
      <w:bookmarkEnd w:id="60"/>
      <w:bookmarkEnd w:id="6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2" w:name="_Toc319594263"/>
      <w:bookmarkStart w:id="63" w:name="_Toc264887988"/>
      <w:r>
        <w:rPr>
          <w:rStyle w:val="CharSectno"/>
        </w:rPr>
        <w:t>21</w:t>
      </w:r>
      <w:r>
        <w:t>.</w:t>
      </w:r>
      <w:r>
        <w:tab/>
        <w:t>Chief Officer to notify decision whether or not to classify a place as a major hazard facility</w:t>
      </w:r>
      <w:bookmarkEnd w:id="62"/>
      <w:bookmarkEnd w:id="63"/>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4" w:name="_Toc319594264"/>
      <w:bookmarkStart w:id="65" w:name="_Toc264887989"/>
      <w:r>
        <w:rPr>
          <w:rStyle w:val="CharSectno"/>
        </w:rPr>
        <w:t>22</w:t>
      </w:r>
      <w:r>
        <w:t>.</w:t>
      </w:r>
      <w:r>
        <w:tab/>
        <w:t>Chief Officer may revoke decision to classify a place as a major hazard facility</w:t>
      </w:r>
      <w:bookmarkEnd w:id="64"/>
      <w:bookmarkEnd w:id="6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6" w:name="_Toc191980791"/>
      <w:bookmarkStart w:id="67" w:name="_Toc233693230"/>
      <w:bookmarkStart w:id="68" w:name="_Toc264887918"/>
      <w:bookmarkStart w:id="69" w:name="_Toc264887990"/>
      <w:bookmarkStart w:id="70" w:name="_Toc319594265"/>
      <w:r>
        <w:rPr>
          <w:rStyle w:val="CharPartNo"/>
        </w:rPr>
        <w:t>Part 5</w:t>
      </w:r>
      <w:r>
        <w:rPr>
          <w:rStyle w:val="CharDivNo"/>
        </w:rPr>
        <w:t> </w:t>
      </w:r>
      <w:r>
        <w:t>—</w:t>
      </w:r>
      <w:r>
        <w:rPr>
          <w:rStyle w:val="CharDivText"/>
        </w:rPr>
        <w:t> </w:t>
      </w:r>
      <w:r>
        <w:rPr>
          <w:rStyle w:val="CharPartText"/>
          <w:color w:val="000000"/>
        </w:rPr>
        <w:t>Safety reports</w:t>
      </w:r>
      <w:bookmarkEnd w:id="66"/>
      <w:bookmarkEnd w:id="67"/>
      <w:bookmarkEnd w:id="68"/>
      <w:bookmarkEnd w:id="69"/>
      <w:bookmarkEnd w:id="70"/>
    </w:p>
    <w:p>
      <w:pPr>
        <w:pStyle w:val="Heading5"/>
      </w:pPr>
      <w:bookmarkStart w:id="71" w:name="_Toc319594266"/>
      <w:bookmarkStart w:id="72" w:name="_Toc264887991"/>
      <w:r>
        <w:rPr>
          <w:rStyle w:val="CharSectno"/>
        </w:rPr>
        <w:t>23</w:t>
      </w:r>
      <w:r>
        <w:t>.</w:t>
      </w:r>
      <w:r>
        <w:tab/>
        <w:t xml:space="preserve">Duty to </w:t>
      </w:r>
      <w:r>
        <w:rPr>
          <w:color w:val="000000"/>
        </w:rPr>
        <w:t>prepare risk assessment</w:t>
      </w:r>
      <w:bookmarkEnd w:id="71"/>
      <w:bookmarkEnd w:id="72"/>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73" w:name="_Toc319594267"/>
      <w:bookmarkStart w:id="74" w:name="_Toc264887992"/>
      <w:r>
        <w:rPr>
          <w:rStyle w:val="CharSectno"/>
        </w:rPr>
        <w:t>24</w:t>
      </w:r>
      <w:r>
        <w:t>.</w:t>
      </w:r>
      <w:r>
        <w:tab/>
        <w:t xml:space="preserve">Duty to </w:t>
      </w:r>
      <w:r>
        <w:rPr>
          <w:color w:val="000000"/>
        </w:rPr>
        <w:t>prepare safety management system</w:t>
      </w:r>
      <w:bookmarkEnd w:id="73"/>
      <w:bookmarkEnd w:id="74"/>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75" w:name="_Toc319594268"/>
      <w:bookmarkStart w:id="76" w:name="_Toc264887993"/>
      <w:r>
        <w:rPr>
          <w:rStyle w:val="CharSectno"/>
        </w:rPr>
        <w:t>25</w:t>
      </w:r>
      <w:r>
        <w:t>.</w:t>
      </w:r>
      <w:r>
        <w:tab/>
        <w:t xml:space="preserve">Duty to </w:t>
      </w:r>
      <w:r>
        <w:rPr>
          <w:color w:val="000000"/>
        </w:rPr>
        <w:t>prepare safety report</w:t>
      </w:r>
      <w:bookmarkEnd w:id="75"/>
      <w:bookmarkEnd w:id="76"/>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77" w:name="_Toc319594269"/>
      <w:bookmarkStart w:id="78" w:name="_Toc264887994"/>
      <w:r>
        <w:rPr>
          <w:rStyle w:val="CharSectno"/>
        </w:rPr>
        <w:t>26</w:t>
      </w:r>
      <w:r>
        <w:t>.</w:t>
      </w:r>
      <w:r>
        <w:tab/>
        <w:t xml:space="preserve">Application for approval of </w:t>
      </w:r>
      <w:r>
        <w:rPr>
          <w:color w:val="000000"/>
        </w:rPr>
        <w:t>safety report</w:t>
      </w:r>
      <w:bookmarkEnd w:id="77"/>
      <w:bookmarkEnd w:id="78"/>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79" w:name="_Toc319594270"/>
      <w:bookmarkStart w:id="80" w:name="_Toc264887995"/>
      <w:r>
        <w:rPr>
          <w:rStyle w:val="CharSectno"/>
        </w:rPr>
        <w:t>27</w:t>
      </w:r>
      <w:r>
        <w:t>.</w:t>
      </w:r>
      <w:r>
        <w:tab/>
        <w:t xml:space="preserve">Approval of </w:t>
      </w:r>
      <w:r>
        <w:rPr>
          <w:color w:val="000000"/>
        </w:rPr>
        <w:t>safety report</w:t>
      </w:r>
      <w:r>
        <w:t xml:space="preserve"> by the Chief Officer</w:t>
      </w:r>
      <w:bookmarkEnd w:id="79"/>
      <w:bookmarkEnd w:id="80"/>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81" w:name="_Toc319594271"/>
      <w:bookmarkStart w:id="82" w:name="_Toc264887996"/>
      <w:r>
        <w:rPr>
          <w:rStyle w:val="CharSectno"/>
        </w:rPr>
        <w:t>28</w:t>
      </w:r>
      <w:r>
        <w:t>.</w:t>
      </w:r>
      <w:r>
        <w:tab/>
        <w:t xml:space="preserve">Withdrawal of approval of </w:t>
      </w:r>
      <w:r>
        <w:rPr>
          <w:color w:val="000000"/>
        </w:rPr>
        <w:t>safety report</w:t>
      </w:r>
      <w:bookmarkEnd w:id="81"/>
      <w:bookmarkEnd w:id="82"/>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3" w:name="_Toc319594272"/>
      <w:bookmarkStart w:id="84" w:name="_Toc264887997"/>
      <w:r>
        <w:rPr>
          <w:rStyle w:val="CharSectno"/>
        </w:rPr>
        <w:t>29</w:t>
      </w:r>
      <w:r>
        <w:t>.</w:t>
      </w:r>
      <w:r>
        <w:tab/>
        <w:t xml:space="preserve">Chief Officer to consult and notify in relation to approval of </w:t>
      </w:r>
      <w:r>
        <w:rPr>
          <w:color w:val="000000"/>
        </w:rPr>
        <w:t>safety report</w:t>
      </w:r>
      <w:bookmarkEnd w:id="83"/>
      <w:bookmarkEnd w:id="84"/>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85" w:name="_Toc319594273"/>
      <w:bookmarkStart w:id="86" w:name="_Toc264887998"/>
      <w:r>
        <w:rPr>
          <w:rStyle w:val="CharSectno"/>
        </w:rPr>
        <w:t>30</w:t>
      </w:r>
      <w:r>
        <w:t>.</w:t>
      </w:r>
      <w:r>
        <w:tab/>
        <w:t>Operators to review safety reports</w:t>
      </w:r>
      <w:bookmarkEnd w:id="85"/>
      <w:bookmarkEnd w:id="8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87" w:name="_Toc191980800"/>
      <w:bookmarkStart w:id="88" w:name="_Toc233693239"/>
      <w:bookmarkStart w:id="89" w:name="_Toc264887927"/>
      <w:bookmarkStart w:id="90" w:name="_Toc264887999"/>
      <w:bookmarkStart w:id="91" w:name="_Toc319594274"/>
      <w:r>
        <w:rPr>
          <w:rStyle w:val="CharPartNo"/>
        </w:rPr>
        <w:t>Part 6</w:t>
      </w:r>
      <w:r>
        <w:rPr>
          <w:rStyle w:val="CharDivNo"/>
        </w:rPr>
        <w:t> </w:t>
      </w:r>
      <w:r>
        <w:t>—</w:t>
      </w:r>
      <w:r>
        <w:rPr>
          <w:rStyle w:val="CharDivText"/>
        </w:rPr>
        <w:t> </w:t>
      </w:r>
      <w:r>
        <w:rPr>
          <w:rStyle w:val="CharPartText"/>
        </w:rPr>
        <w:t>Miscellaneous</w:t>
      </w:r>
      <w:bookmarkEnd w:id="87"/>
      <w:bookmarkEnd w:id="88"/>
      <w:bookmarkEnd w:id="89"/>
      <w:bookmarkEnd w:id="90"/>
      <w:bookmarkEnd w:id="91"/>
    </w:p>
    <w:p>
      <w:pPr>
        <w:pStyle w:val="Heading5"/>
      </w:pPr>
      <w:bookmarkStart w:id="92" w:name="_Toc319594275"/>
      <w:bookmarkStart w:id="93" w:name="_Toc264888000"/>
      <w:r>
        <w:rPr>
          <w:rStyle w:val="CharSectno"/>
        </w:rPr>
        <w:t>31</w:t>
      </w:r>
      <w:r>
        <w:t>.</w:t>
      </w:r>
      <w:r>
        <w:tab/>
        <w:t>Direction to provide information to nearby major hazard facility</w:t>
      </w:r>
      <w:bookmarkEnd w:id="92"/>
      <w:bookmarkEnd w:id="9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4" w:name="_Toc319594276"/>
      <w:bookmarkStart w:id="95" w:name="_Toc264888001"/>
      <w:r>
        <w:rPr>
          <w:rStyle w:val="CharSectno"/>
        </w:rPr>
        <w:t>32</w:t>
      </w:r>
      <w:r>
        <w:t>.</w:t>
      </w:r>
      <w:r>
        <w:tab/>
        <w:t>Operator of major hazard facility to notify Chief Officer of closure</w:t>
      </w:r>
      <w:bookmarkEnd w:id="94"/>
      <w:bookmarkEnd w:id="95"/>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96" w:name="_Toc191980803"/>
      <w:bookmarkStart w:id="97" w:name="_Toc233693242"/>
      <w:bookmarkStart w:id="98" w:name="_Toc264887930"/>
      <w:bookmarkStart w:id="99" w:name="_Toc264888002"/>
      <w:bookmarkStart w:id="100" w:name="_Toc319594277"/>
      <w:r>
        <w:rPr>
          <w:rStyle w:val="CharSchNo"/>
        </w:rPr>
        <w:t>Schedule 1</w:t>
      </w:r>
      <w:r>
        <w:rPr>
          <w:rStyle w:val="CharSDivNo"/>
        </w:rPr>
        <w:t> </w:t>
      </w:r>
      <w:r>
        <w:t>—</w:t>
      </w:r>
      <w:r>
        <w:rPr>
          <w:rStyle w:val="CharSDivText"/>
        </w:rPr>
        <w:t> </w:t>
      </w:r>
      <w:r>
        <w:rPr>
          <w:rStyle w:val="CharSchText"/>
        </w:rPr>
        <w:t>Threshold quantity for Schedule 1 substances</w:t>
      </w:r>
      <w:bookmarkEnd w:id="96"/>
      <w:bookmarkEnd w:id="97"/>
      <w:bookmarkEnd w:id="98"/>
      <w:bookmarkEnd w:id="99"/>
      <w:bookmarkEnd w:id="100"/>
    </w:p>
    <w:p>
      <w:pPr>
        <w:pStyle w:val="yShoulderClause"/>
      </w:pPr>
      <w:r>
        <w:t>[r. 4 and 10]</w:t>
      </w:r>
    </w:p>
    <w:p>
      <w:pPr>
        <w:pStyle w:val="yHeading5"/>
      </w:pPr>
      <w:bookmarkStart w:id="101" w:name="_Toc319594278"/>
      <w:bookmarkStart w:id="102" w:name="_Toc264888003"/>
      <w:r>
        <w:rPr>
          <w:rStyle w:val="CharSClsNo"/>
        </w:rPr>
        <w:t>1</w:t>
      </w:r>
      <w:r>
        <w:t>.</w:t>
      </w:r>
      <w:r>
        <w:tab/>
        <w:t>Threshold quantity for substances</w:t>
      </w:r>
      <w:bookmarkEnd w:id="101"/>
      <w:bookmarkEnd w:id="10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103" w:name="_Toc319594279"/>
      <w:bookmarkStart w:id="104" w:name="_Toc264888004"/>
      <w:r>
        <w:rPr>
          <w:rStyle w:val="CharSClsNo"/>
        </w:rPr>
        <w:t>2</w:t>
      </w:r>
      <w:r>
        <w:t>.</w:t>
      </w:r>
      <w:r>
        <w:tab/>
        <w:t>Threshold quantity for categories of substances</w:t>
      </w:r>
      <w:bookmarkEnd w:id="103"/>
      <w:bookmarkEnd w:id="10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105" w:name="_Toc191980806"/>
      <w:bookmarkStart w:id="106" w:name="_Toc233693245"/>
      <w:bookmarkStart w:id="107" w:name="_Toc264887933"/>
      <w:bookmarkStart w:id="108" w:name="_Toc264888005"/>
      <w:bookmarkStart w:id="109" w:name="_Toc319594280"/>
      <w:r>
        <w:rPr>
          <w:rStyle w:val="CharSchNo"/>
        </w:rPr>
        <w:t>Schedule 2</w:t>
      </w:r>
      <w:r>
        <w:rPr>
          <w:rStyle w:val="CharSDivNo"/>
        </w:rPr>
        <w:t> </w:t>
      </w:r>
      <w:r>
        <w:t>—</w:t>
      </w:r>
      <w:r>
        <w:rPr>
          <w:rStyle w:val="CharSDivText"/>
        </w:rPr>
        <w:t> </w:t>
      </w:r>
      <w:r>
        <w:rPr>
          <w:rStyle w:val="CharSchText"/>
        </w:rPr>
        <w:t>Notifiable information</w:t>
      </w:r>
      <w:bookmarkEnd w:id="105"/>
      <w:bookmarkEnd w:id="106"/>
      <w:bookmarkEnd w:id="107"/>
      <w:bookmarkEnd w:id="108"/>
      <w:bookmarkEnd w:id="109"/>
    </w:p>
    <w:p>
      <w:pPr>
        <w:pStyle w:val="yShoulderClause"/>
      </w:pPr>
      <w:r>
        <w:t>[r. 4]</w:t>
      </w:r>
    </w:p>
    <w:p>
      <w:pPr>
        <w:pStyle w:val="yHeading5"/>
      </w:pPr>
      <w:bookmarkStart w:id="110" w:name="_Toc319594281"/>
      <w:bookmarkStart w:id="111" w:name="_Toc264888006"/>
      <w:r>
        <w:rPr>
          <w:rStyle w:val="CharSClsNo"/>
        </w:rPr>
        <w:t>1</w:t>
      </w:r>
      <w:r>
        <w:t>.</w:t>
      </w:r>
      <w:r>
        <w:tab/>
        <w:t>“Material safety data sheet”, meaning of</w:t>
      </w:r>
      <w:bookmarkEnd w:id="110"/>
      <w:bookmarkEnd w:id="111"/>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12" w:name="_Toc319594282"/>
      <w:bookmarkStart w:id="113" w:name="_Toc264888007"/>
      <w:r>
        <w:rPr>
          <w:rStyle w:val="CharSClsNo"/>
        </w:rPr>
        <w:t>2</w:t>
      </w:r>
      <w:r>
        <w:t>.</w:t>
      </w:r>
      <w:r>
        <w:tab/>
        <w:t>Notifiable information</w:t>
      </w:r>
      <w:bookmarkEnd w:id="112"/>
      <w:bookmarkEnd w:id="11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14" w:name="_Toc191980809"/>
      <w:bookmarkStart w:id="115" w:name="_Toc233693248"/>
      <w:bookmarkStart w:id="116" w:name="_Toc264887936"/>
      <w:bookmarkStart w:id="117" w:name="_Toc264888008"/>
      <w:bookmarkStart w:id="118" w:name="_Toc319594283"/>
      <w:r>
        <w:rPr>
          <w:rStyle w:val="CharSchNo"/>
        </w:rPr>
        <w:t>Schedule 3</w:t>
      </w:r>
      <w:r>
        <w:rPr>
          <w:rStyle w:val="CharSDivNo"/>
        </w:rPr>
        <w:t> </w:t>
      </w:r>
      <w:r>
        <w:t>—</w:t>
      </w:r>
      <w:r>
        <w:rPr>
          <w:rStyle w:val="CharSDivText"/>
        </w:rPr>
        <w:t> </w:t>
      </w:r>
      <w:r>
        <w:rPr>
          <w:rStyle w:val="CharSchText"/>
        </w:rPr>
        <w:t>Fees</w:t>
      </w:r>
      <w:bookmarkEnd w:id="114"/>
      <w:bookmarkEnd w:id="115"/>
      <w:bookmarkEnd w:id="116"/>
      <w:bookmarkEnd w:id="117"/>
      <w:bookmarkEnd w:id="118"/>
    </w:p>
    <w:p>
      <w:pPr>
        <w:pStyle w:val="yShoulderClause"/>
      </w:pPr>
      <w:r>
        <w:t>[r. 26]</w:t>
      </w:r>
    </w:p>
    <w:p>
      <w:pPr>
        <w:pStyle w:val="yHeading5"/>
      </w:pPr>
      <w:bookmarkStart w:id="119" w:name="_Toc319594284"/>
      <w:bookmarkStart w:id="120" w:name="_Toc264888009"/>
      <w:r>
        <w:rPr>
          <w:rStyle w:val="CharSClsNo"/>
        </w:rPr>
        <w:t>1</w:t>
      </w:r>
      <w:r>
        <w:t>.</w:t>
      </w:r>
      <w:r>
        <w:tab/>
        <w:t>Fees</w:t>
      </w:r>
      <w:bookmarkEnd w:id="119"/>
      <w:bookmarkEnd w:id="120"/>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$58 503;</w:t>
      </w:r>
    </w:p>
    <w:p>
      <w:pPr>
        <w:pStyle w:val="yIndenta"/>
      </w:pPr>
      <w:r>
        <w:tab/>
        <w:t>(b)</w:t>
      </w:r>
      <w:r>
        <w:tab/>
        <w:t>for a Class B facility — $41 453;</w:t>
      </w:r>
    </w:p>
    <w:p>
      <w:pPr>
        <w:pStyle w:val="yIndenta"/>
      </w:pPr>
      <w:r>
        <w:tab/>
        <w:t>(c)</w:t>
      </w:r>
      <w:r>
        <w:tab/>
        <w:t>for a Class C facility — $23 381;</w:t>
      </w:r>
    </w:p>
    <w:p>
      <w:pPr>
        <w:pStyle w:val="yIndenta"/>
      </w:pPr>
      <w:r>
        <w:tab/>
        <w:t>(d)</w:t>
      </w:r>
      <w:r>
        <w:tab/>
        <w:t>for a Class D facility — $6 330.</w:t>
      </w:r>
    </w:p>
    <w:p>
      <w:pPr>
        <w:pStyle w:val="yFootnotesection"/>
      </w:pPr>
      <w:r>
        <w:tab/>
        <w:t>[Schedule 3 amended in Gazette 16 Jun 2009 p. 2195; 25 Jun 2010 p. 2875.]</w:t>
      </w:r>
    </w:p>
    <w:p>
      <w:pPr>
        <w:pStyle w:val="yScheduleHeading"/>
      </w:pPr>
      <w:bookmarkStart w:id="121" w:name="_Toc191980811"/>
      <w:bookmarkStart w:id="122" w:name="_Toc233693250"/>
      <w:bookmarkStart w:id="123" w:name="_Toc264887938"/>
      <w:bookmarkStart w:id="124" w:name="_Toc264888010"/>
      <w:bookmarkStart w:id="125" w:name="_Toc319594285"/>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21"/>
      <w:bookmarkEnd w:id="122"/>
      <w:bookmarkEnd w:id="123"/>
      <w:bookmarkEnd w:id="124"/>
      <w:bookmarkEnd w:id="125"/>
      <w:r>
        <w:rPr>
          <w:rStyle w:val="CharSchText"/>
        </w:rPr>
        <w:t xml:space="preserve"> </w:t>
      </w:r>
    </w:p>
    <w:p>
      <w:pPr>
        <w:pStyle w:val="yShoulderClause"/>
      </w:pPr>
      <w:r>
        <w:t>[r. 24]</w:t>
      </w:r>
    </w:p>
    <w:p>
      <w:pPr>
        <w:pStyle w:val="yHeading5"/>
      </w:pPr>
      <w:bookmarkStart w:id="126" w:name="_Toc319594286"/>
      <w:bookmarkStart w:id="127" w:name="_Toc264888011"/>
      <w:r>
        <w:rPr>
          <w:rStyle w:val="CharSClsNo"/>
        </w:rPr>
        <w:t>1</w:t>
      </w:r>
      <w:r>
        <w:t>.</w:t>
      </w:r>
      <w:r>
        <w:tab/>
        <w:t>Organisation and personnel</w:t>
      </w:r>
      <w:bookmarkEnd w:id="126"/>
      <w:bookmarkEnd w:id="127"/>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28" w:name="_Toc319594287"/>
      <w:bookmarkStart w:id="129" w:name="_Toc264888012"/>
      <w:r>
        <w:rPr>
          <w:rStyle w:val="CharSClsNo"/>
        </w:rPr>
        <w:t>2</w:t>
      </w:r>
      <w:r>
        <w:t>.</w:t>
      </w:r>
      <w:r>
        <w:tab/>
        <w:t>Operational controls</w:t>
      </w:r>
      <w:bookmarkEnd w:id="128"/>
      <w:bookmarkEnd w:id="129"/>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30" w:name="_Toc319594288"/>
      <w:bookmarkStart w:id="131" w:name="_Toc264888013"/>
      <w:r>
        <w:rPr>
          <w:rStyle w:val="CharSClsNo"/>
        </w:rPr>
        <w:t>3</w:t>
      </w:r>
      <w:r>
        <w:t>.</w:t>
      </w:r>
      <w:r>
        <w:tab/>
        <w:t>Security</w:t>
      </w:r>
      <w:bookmarkEnd w:id="130"/>
      <w:bookmarkEnd w:id="131"/>
    </w:p>
    <w:p>
      <w:pPr>
        <w:pStyle w:val="ySubsection"/>
      </w:pPr>
      <w:r>
        <w:tab/>
      </w:r>
      <w:r>
        <w:tab/>
        <w:t>The procedures for preventing unauthorised acts that could cause a major incident and for preventing acts intended to cause a major incident.</w:t>
      </w:r>
    </w:p>
    <w:p>
      <w:pPr>
        <w:pStyle w:val="yHeading5"/>
      </w:pPr>
      <w:bookmarkStart w:id="132" w:name="_Toc319594289"/>
      <w:bookmarkStart w:id="133" w:name="_Toc264888014"/>
      <w:r>
        <w:rPr>
          <w:rStyle w:val="CharSClsNo"/>
        </w:rPr>
        <w:t>4</w:t>
      </w:r>
      <w:r>
        <w:t>.</w:t>
      </w:r>
      <w:r>
        <w:tab/>
        <w:t>Informing employees and others</w:t>
      </w:r>
      <w:bookmarkEnd w:id="132"/>
      <w:bookmarkEnd w:id="13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134" w:name="_Toc319594290"/>
      <w:bookmarkStart w:id="135" w:name="_Toc264888015"/>
      <w:r>
        <w:rPr>
          <w:rStyle w:val="CharSClsNo"/>
        </w:rPr>
        <w:t>5</w:t>
      </w:r>
      <w:r>
        <w:t>.</w:t>
      </w:r>
      <w:r>
        <w:tab/>
        <w:t>Monitoring and continual improvement</w:t>
      </w:r>
      <w:bookmarkEnd w:id="134"/>
      <w:bookmarkEnd w:id="135"/>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136" w:name="_Toc191980817"/>
      <w:bookmarkStart w:id="137" w:name="_Toc233693256"/>
      <w:bookmarkStart w:id="138" w:name="_Toc264887944"/>
      <w:bookmarkStart w:id="139" w:name="_Toc264888016"/>
      <w:bookmarkStart w:id="140" w:name="_Toc319594291"/>
      <w:r>
        <w:t>Notes</w:t>
      </w:r>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w:t>
      </w:r>
      <w:ins w:id="141" w:author="Master Repository Process" w:date="2021-08-01T03:14:00Z">
        <w:r>
          <w:rPr>
            <w:snapToGrid w:val="0"/>
          </w:rPr>
          <w:t> </w:t>
        </w:r>
        <w:r>
          <w:rPr>
            <w:snapToGrid w:val="0"/>
            <w:vertAlign w:val="superscript"/>
          </w:rPr>
          <w:t>1a</w:t>
        </w:r>
      </w:ins>
      <w:r>
        <w:rPr>
          <w:snapToGrid w:val="0"/>
        </w:rPr>
        <w:t xml:space="preserve">.  </w:t>
      </w:r>
    </w:p>
    <w:p>
      <w:pPr>
        <w:pStyle w:val="nHeading3"/>
      </w:pPr>
      <w:bookmarkStart w:id="142" w:name="_Toc319594292"/>
      <w:bookmarkStart w:id="143" w:name="_Toc264888017"/>
      <w:r>
        <w:t>Compilation table</w:t>
      </w:r>
      <w:bookmarkEnd w:id="142"/>
      <w:bookmarkEnd w:id="1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Borders>
              <w:top w:val="nil"/>
            </w:tcBorders>
          </w:tcPr>
          <w:p>
            <w:pPr>
              <w:pStyle w:val="nTable"/>
              <w:spacing w:after="40"/>
              <w:rPr>
                <w:i/>
                <w:sz w:val="19"/>
              </w:rPr>
            </w:pPr>
            <w:r>
              <w:rPr>
                <w:i/>
                <w:sz w:val="19"/>
              </w:rPr>
              <w:t>Dangerous Goods Safety (Major Hazard Facilities) Amendment Regulations (No. 2) 2010</w:t>
            </w:r>
          </w:p>
        </w:tc>
        <w:tc>
          <w:tcPr>
            <w:tcW w:w="1276" w:type="dxa"/>
            <w:tcBorders>
              <w:top w:val="nil"/>
            </w:tcBorders>
          </w:tcPr>
          <w:p>
            <w:pPr>
              <w:pStyle w:val="nTable"/>
              <w:spacing w:after="40"/>
              <w:rPr>
                <w:sz w:val="19"/>
              </w:rPr>
            </w:pPr>
            <w:r>
              <w:rPr>
                <w:sz w:val="19"/>
              </w:rPr>
              <w:t>25 Jun 2010 p. 2874</w:t>
            </w:r>
            <w:r>
              <w:rPr>
                <w:sz w:val="19"/>
              </w:rPr>
              <w:noBreakHyphen/>
              <w:t>5</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rPr>
          <w:ins w:id="144" w:author="Master Repository Process" w:date="2021-08-01T03:14:00Z"/>
          <w:snapToGrid w:val="0"/>
        </w:rPr>
      </w:pPr>
      <w:ins w:id="145" w:author="Master Repository Process" w:date="2021-08-01T03: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 w:author="Master Repository Process" w:date="2021-08-01T03:14:00Z"/>
          <w:snapToGrid w:val="0"/>
        </w:rPr>
      </w:pPr>
      <w:bookmarkStart w:id="147" w:name="_Toc534778309"/>
      <w:bookmarkStart w:id="148" w:name="_Toc7405063"/>
      <w:bookmarkStart w:id="149" w:name="_Toc296601212"/>
      <w:bookmarkStart w:id="150" w:name="_Toc309727460"/>
      <w:bookmarkStart w:id="151" w:name="_Toc319594293"/>
      <w:ins w:id="152" w:author="Master Repository Process" w:date="2021-08-01T03:14:00Z">
        <w:r>
          <w:rPr>
            <w:snapToGrid w:val="0"/>
          </w:rPr>
          <w:t>Provisions that have not come into operation</w:t>
        </w:r>
        <w:bookmarkEnd w:id="147"/>
        <w:bookmarkEnd w:id="148"/>
        <w:bookmarkEnd w:id="149"/>
        <w:bookmarkEnd w:id="150"/>
        <w:bookmarkEnd w:id="151"/>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1-08-01T03:14:00Z"/>
        </w:trPr>
        <w:tc>
          <w:tcPr>
            <w:tcW w:w="3118" w:type="dxa"/>
            <w:tcBorders>
              <w:bottom w:val="single" w:sz="4" w:space="0" w:color="auto"/>
            </w:tcBorders>
          </w:tcPr>
          <w:p>
            <w:pPr>
              <w:pStyle w:val="nTable"/>
              <w:spacing w:after="40"/>
              <w:rPr>
                <w:ins w:id="154" w:author="Master Repository Process" w:date="2021-08-01T03:14:00Z"/>
                <w:b/>
                <w:sz w:val="19"/>
              </w:rPr>
            </w:pPr>
            <w:ins w:id="155" w:author="Master Repository Process" w:date="2021-08-01T03:14:00Z">
              <w:r>
                <w:rPr>
                  <w:b/>
                  <w:sz w:val="19"/>
                </w:rPr>
                <w:t>Citation</w:t>
              </w:r>
            </w:ins>
          </w:p>
        </w:tc>
        <w:tc>
          <w:tcPr>
            <w:tcW w:w="1276" w:type="dxa"/>
            <w:tcBorders>
              <w:bottom w:val="single" w:sz="4" w:space="0" w:color="auto"/>
            </w:tcBorders>
          </w:tcPr>
          <w:p>
            <w:pPr>
              <w:pStyle w:val="nTable"/>
              <w:spacing w:after="40"/>
              <w:rPr>
                <w:ins w:id="156" w:author="Master Repository Process" w:date="2021-08-01T03:14:00Z"/>
                <w:b/>
                <w:sz w:val="19"/>
              </w:rPr>
            </w:pPr>
            <w:ins w:id="157" w:author="Master Repository Process" w:date="2021-08-01T03:14:00Z">
              <w:r>
                <w:rPr>
                  <w:b/>
                  <w:sz w:val="19"/>
                </w:rPr>
                <w:t>Gazettal</w:t>
              </w:r>
            </w:ins>
          </w:p>
        </w:tc>
        <w:tc>
          <w:tcPr>
            <w:tcW w:w="2693" w:type="dxa"/>
            <w:tcBorders>
              <w:bottom w:val="single" w:sz="4" w:space="0" w:color="auto"/>
            </w:tcBorders>
          </w:tcPr>
          <w:p>
            <w:pPr>
              <w:pStyle w:val="nTable"/>
              <w:spacing w:after="40"/>
              <w:rPr>
                <w:ins w:id="158" w:author="Master Repository Process" w:date="2021-08-01T03:14:00Z"/>
                <w:b/>
                <w:sz w:val="19"/>
              </w:rPr>
            </w:pPr>
            <w:ins w:id="159" w:author="Master Repository Process" w:date="2021-08-01T03:14:00Z">
              <w:r>
                <w:rPr>
                  <w:b/>
                  <w:sz w:val="19"/>
                </w:rPr>
                <w:t>Commencement</w:t>
              </w:r>
            </w:ins>
          </w:p>
        </w:tc>
      </w:tr>
      <w:tr>
        <w:trPr>
          <w:ins w:id="160" w:author="Master Repository Process" w:date="2021-08-01T03:14:00Z"/>
        </w:trPr>
        <w:tc>
          <w:tcPr>
            <w:tcW w:w="3118" w:type="dxa"/>
            <w:tcBorders>
              <w:bottom w:val="single" w:sz="4" w:space="0" w:color="auto"/>
            </w:tcBorders>
          </w:tcPr>
          <w:p>
            <w:pPr>
              <w:pStyle w:val="nTable"/>
              <w:spacing w:after="40"/>
              <w:rPr>
                <w:ins w:id="161" w:author="Master Repository Process" w:date="2021-08-01T03:14:00Z"/>
                <w:sz w:val="19"/>
                <w:vertAlign w:val="superscript"/>
              </w:rPr>
            </w:pPr>
            <w:ins w:id="162" w:author="Master Repository Process" w:date="2021-08-01T03:14:00Z">
              <w:r>
                <w:rPr>
                  <w:i/>
                  <w:sz w:val="19"/>
                </w:rPr>
                <w:t>Dangerous Goods Safety (Major Hazard Facilities) Amendment Regulations 2012</w:t>
              </w:r>
              <w:r>
                <w:rPr>
                  <w:sz w:val="19"/>
                </w:rPr>
                <w:t xml:space="preserve"> r. 3</w:t>
              </w:r>
              <w:r>
                <w:rPr>
                  <w:sz w:val="19"/>
                </w:rPr>
                <w:noBreakHyphen/>
                <w:t>6 </w:t>
              </w:r>
              <w:r>
                <w:rPr>
                  <w:sz w:val="19"/>
                  <w:vertAlign w:val="superscript"/>
                </w:rPr>
                <w:t>2</w:t>
              </w:r>
            </w:ins>
          </w:p>
        </w:tc>
        <w:tc>
          <w:tcPr>
            <w:tcW w:w="1276" w:type="dxa"/>
            <w:tcBorders>
              <w:bottom w:val="single" w:sz="4" w:space="0" w:color="auto"/>
            </w:tcBorders>
          </w:tcPr>
          <w:p>
            <w:pPr>
              <w:pStyle w:val="nTable"/>
              <w:spacing w:after="40"/>
              <w:rPr>
                <w:ins w:id="163" w:author="Master Repository Process" w:date="2021-08-01T03:14:00Z"/>
                <w:sz w:val="19"/>
              </w:rPr>
            </w:pPr>
            <w:ins w:id="164" w:author="Master Repository Process" w:date="2021-08-01T03:14:00Z">
              <w:r>
                <w:rPr>
                  <w:sz w:val="19"/>
                </w:rPr>
                <w:t>16 Mar 2012 p. 1270</w:t>
              </w:r>
              <w:r>
                <w:rPr>
                  <w:sz w:val="19"/>
                </w:rPr>
                <w:noBreakHyphen/>
                <w:t>3</w:t>
              </w:r>
            </w:ins>
          </w:p>
        </w:tc>
        <w:tc>
          <w:tcPr>
            <w:tcW w:w="2693" w:type="dxa"/>
            <w:tcBorders>
              <w:bottom w:val="single" w:sz="4" w:space="0" w:color="auto"/>
            </w:tcBorders>
          </w:tcPr>
          <w:p>
            <w:pPr>
              <w:pStyle w:val="nTable"/>
              <w:spacing w:after="40"/>
              <w:rPr>
                <w:ins w:id="165" w:author="Master Repository Process" w:date="2021-08-01T03:14:00Z"/>
                <w:sz w:val="19"/>
              </w:rPr>
            </w:pPr>
            <w:ins w:id="166" w:author="Master Repository Process" w:date="2021-08-01T03:14:00Z">
              <w:r>
                <w:rPr>
                  <w:sz w:val="19"/>
                </w:rPr>
                <w:t>1 Apr 2012 (see r. 2(b))</w:t>
              </w:r>
            </w:ins>
          </w:p>
        </w:tc>
      </w:tr>
    </w:tbl>
    <w:p>
      <w:pPr>
        <w:pStyle w:val="nSubsection"/>
        <w:keepLines/>
        <w:spacing w:before="60"/>
        <w:rPr>
          <w:ins w:id="167" w:author="Master Repository Process" w:date="2021-08-01T03:14:00Z"/>
        </w:rPr>
      </w:pPr>
      <w:ins w:id="168" w:author="Master Repository Process" w:date="2021-08-01T03:1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2012 </w:t>
        </w:r>
        <w:r>
          <w:rPr>
            <w:snapToGrid w:val="0"/>
          </w:rPr>
          <w:t>r. 3</w:t>
        </w:r>
        <w:r>
          <w:rPr>
            <w:snapToGrid w:val="0"/>
          </w:rPr>
          <w:noBreakHyphen/>
          <w:t>6</w:t>
        </w:r>
        <w:r>
          <w:rPr>
            <w:i/>
            <w:snapToGrid w:val="0"/>
          </w:rPr>
          <w:t xml:space="preserve"> </w:t>
        </w:r>
        <w:r>
          <w:rPr>
            <w:snapToGrid w:val="0"/>
          </w:rPr>
          <w:t>had not come into operation.  They read as follows:</w:t>
        </w:r>
      </w:ins>
    </w:p>
    <w:p>
      <w:pPr>
        <w:pStyle w:val="BlankOpen"/>
        <w:rPr>
          <w:ins w:id="169" w:author="Master Repository Process" w:date="2021-08-01T03:14:00Z"/>
        </w:rPr>
      </w:pPr>
      <w:bookmarkStart w:id="170" w:name="AutoSch"/>
      <w:bookmarkStart w:id="171" w:name="_Toc423332724"/>
      <w:bookmarkStart w:id="172" w:name="_Toc425219443"/>
      <w:bookmarkStart w:id="173" w:name="_Toc426249310"/>
      <w:bookmarkStart w:id="174" w:name="_Toc449924706"/>
      <w:bookmarkStart w:id="175" w:name="_Toc449947724"/>
      <w:bookmarkStart w:id="176" w:name="_Toc454185715"/>
      <w:bookmarkStart w:id="177" w:name="_Toc515958688"/>
      <w:bookmarkEnd w:id="170"/>
    </w:p>
    <w:p>
      <w:pPr>
        <w:pStyle w:val="nzHeading5"/>
        <w:rPr>
          <w:ins w:id="178" w:author="Master Repository Process" w:date="2021-08-01T03:14:00Z"/>
          <w:snapToGrid w:val="0"/>
        </w:rPr>
      </w:pPr>
      <w:ins w:id="179" w:author="Master Repository Process" w:date="2021-08-01T03:14:00Z">
        <w:r>
          <w:rPr>
            <w:rStyle w:val="CharSectno"/>
          </w:rPr>
          <w:t>3</w:t>
        </w:r>
        <w:r>
          <w:rPr>
            <w:snapToGrid w:val="0"/>
          </w:rPr>
          <w:t>.</w:t>
        </w:r>
        <w:r>
          <w:rPr>
            <w:snapToGrid w:val="0"/>
          </w:rPr>
          <w:tab/>
          <w:t>Regulations amended</w:t>
        </w:r>
        <w:bookmarkEnd w:id="171"/>
        <w:bookmarkEnd w:id="172"/>
        <w:bookmarkEnd w:id="173"/>
        <w:bookmarkEnd w:id="174"/>
        <w:bookmarkEnd w:id="175"/>
        <w:bookmarkEnd w:id="176"/>
        <w:bookmarkEnd w:id="177"/>
      </w:ins>
    </w:p>
    <w:p>
      <w:pPr>
        <w:pStyle w:val="nzSubsection"/>
        <w:rPr>
          <w:ins w:id="180" w:author="Master Repository Process" w:date="2021-08-01T03:14:00Z"/>
        </w:rPr>
      </w:pPr>
      <w:ins w:id="181" w:author="Master Repository Process" w:date="2021-08-01T03:14:00Z">
        <w:r>
          <w:tab/>
        </w:r>
        <w:r>
          <w:tab/>
        </w:r>
        <w:r>
          <w:rPr>
            <w:spacing w:val="-2"/>
          </w:rPr>
          <w:t>These</w:t>
        </w:r>
        <w:r>
          <w:t xml:space="preserve"> regulations amend the </w:t>
        </w:r>
        <w:r>
          <w:rPr>
            <w:i/>
          </w:rPr>
          <w:t>Dangerous Goods Safety (Major Hazard Facilities) Regulations 2007</w:t>
        </w:r>
        <w:r>
          <w:t>.</w:t>
        </w:r>
      </w:ins>
    </w:p>
    <w:p>
      <w:pPr>
        <w:pStyle w:val="nzHeading5"/>
        <w:rPr>
          <w:ins w:id="182" w:author="Master Repository Process" w:date="2021-08-01T03:14:00Z"/>
        </w:rPr>
      </w:pPr>
      <w:ins w:id="183" w:author="Master Repository Process" w:date="2021-08-01T03:14:00Z">
        <w:r>
          <w:rPr>
            <w:rStyle w:val="CharSectno"/>
          </w:rPr>
          <w:t>4</w:t>
        </w:r>
        <w:r>
          <w:t>.</w:t>
        </w:r>
        <w:r>
          <w:tab/>
          <w:t>Regulation 26 amended</w:t>
        </w:r>
      </w:ins>
    </w:p>
    <w:p>
      <w:pPr>
        <w:pStyle w:val="nzSubsection"/>
        <w:rPr>
          <w:ins w:id="184" w:author="Master Repository Process" w:date="2021-08-01T03:14:00Z"/>
        </w:rPr>
      </w:pPr>
      <w:ins w:id="185" w:author="Master Repository Process" w:date="2021-08-01T03:14:00Z">
        <w:r>
          <w:tab/>
          <w:t>(1)</w:t>
        </w:r>
        <w:r>
          <w:tab/>
          <w:t>In regulation 26(1)(b) delete “Schedule 3.” and insert:</w:t>
        </w:r>
      </w:ins>
    </w:p>
    <w:p>
      <w:pPr>
        <w:pStyle w:val="BlankOpen"/>
        <w:rPr>
          <w:ins w:id="186" w:author="Master Repository Process" w:date="2021-08-01T03:14:00Z"/>
        </w:rPr>
      </w:pPr>
    </w:p>
    <w:p>
      <w:pPr>
        <w:pStyle w:val="nzSubsection"/>
        <w:rPr>
          <w:ins w:id="187" w:author="Master Repository Process" w:date="2021-08-01T03:14:00Z"/>
        </w:rPr>
      </w:pPr>
      <w:ins w:id="188" w:author="Master Repository Process" w:date="2021-08-01T03:14:00Z">
        <w:r>
          <w:tab/>
        </w:r>
        <w:r>
          <w:tab/>
          <w:t>Schedule 3 clause 1.</w:t>
        </w:r>
      </w:ins>
    </w:p>
    <w:p>
      <w:pPr>
        <w:pStyle w:val="BlankClose"/>
        <w:rPr>
          <w:ins w:id="189" w:author="Master Repository Process" w:date="2021-08-01T03:14:00Z"/>
        </w:rPr>
      </w:pPr>
    </w:p>
    <w:p>
      <w:pPr>
        <w:pStyle w:val="nzSubsection"/>
        <w:rPr>
          <w:ins w:id="190" w:author="Master Repository Process" w:date="2021-08-01T03:14:00Z"/>
        </w:rPr>
      </w:pPr>
      <w:ins w:id="191" w:author="Master Repository Process" w:date="2021-08-01T03:14:00Z">
        <w:r>
          <w:tab/>
          <w:t>(2)</w:t>
        </w:r>
        <w:r>
          <w:tab/>
          <w:t>Delete regulation 26(2).</w:t>
        </w:r>
      </w:ins>
    </w:p>
    <w:p>
      <w:pPr>
        <w:pStyle w:val="nzHeading5"/>
        <w:rPr>
          <w:ins w:id="192" w:author="Master Repository Process" w:date="2021-08-01T03:14:00Z"/>
        </w:rPr>
      </w:pPr>
      <w:ins w:id="193" w:author="Master Repository Process" w:date="2021-08-01T03:14:00Z">
        <w:r>
          <w:rPr>
            <w:rStyle w:val="CharSectno"/>
          </w:rPr>
          <w:t>5</w:t>
        </w:r>
        <w:r>
          <w:t>.</w:t>
        </w:r>
        <w:r>
          <w:tab/>
          <w:t>Regulations 33 and 34 inserted</w:t>
        </w:r>
      </w:ins>
    </w:p>
    <w:p>
      <w:pPr>
        <w:pStyle w:val="nzSubsection"/>
        <w:rPr>
          <w:ins w:id="194" w:author="Master Repository Process" w:date="2021-08-01T03:14:00Z"/>
        </w:rPr>
      </w:pPr>
      <w:ins w:id="195" w:author="Master Repository Process" w:date="2021-08-01T03:14:00Z">
        <w:r>
          <w:tab/>
        </w:r>
        <w:r>
          <w:tab/>
          <w:t>After regulation 32 insert:</w:t>
        </w:r>
      </w:ins>
    </w:p>
    <w:p>
      <w:pPr>
        <w:pStyle w:val="BlankOpen"/>
        <w:rPr>
          <w:ins w:id="196" w:author="Master Repository Process" w:date="2021-08-01T03:14:00Z"/>
        </w:rPr>
      </w:pPr>
    </w:p>
    <w:p>
      <w:pPr>
        <w:pStyle w:val="nzHeading5"/>
        <w:rPr>
          <w:ins w:id="197" w:author="Master Repository Process" w:date="2021-08-01T03:14:00Z"/>
        </w:rPr>
      </w:pPr>
      <w:ins w:id="198" w:author="Master Repository Process" w:date="2021-08-01T03:14:00Z">
        <w:r>
          <w:t>33.</w:t>
        </w:r>
        <w:r>
          <w:tab/>
          <w:t>Classes of major hazard facility for purposes of fees</w:t>
        </w:r>
      </w:ins>
    </w:p>
    <w:p>
      <w:pPr>
        <w:pStyle w:val="nzSubsection"/>
        <w:rPr>
          <w:ins w:id="199" w:author="Master Repository Process" w:date="2021-08-01T03:14:00Z"/>
        </w:rPr>
      </w:pPr>
      <w:ins w:id="200" w:author="Master Repository Process" w:date="2021-08-01T03:14:00Z">
        <w:r>
          <w:tab/>
          <w:t>(1)</w:t>
        </w:r>
        <w:r>
          <w:tab/>
          <w:t>For the purposes of Schedule 3, major hazard facilities are to be classified under this regulation.</w:t>
        </w:r>
      </w:ins>
    </w:p>
    <w:p>
      <w:pPr>
        <w:pStyle w:val="nzSubsection"/>
        <w:rPr>
          <w:ins w:id="201" w:author="Master Repository Process" w:date="2021-08-01T03:14:00Z"/>
        </w:rPr>
      </w:pPr>
      <w:ins w:id="202" w:author="Master Repository Process" w:date="2021-08-01T03:14:00Z">
        <w:r>
          <w:tab/>
          <w:t>(2)</w:t>
        </w:r>
        <w:r>
          <w:tab/>
          <w:t>A Class A facility is any major hazard facility at which Schedule 1 substances are used in, or produced by means of, an industrial production process that the Chief Officer determines is a process of high complexity.</w:t>
        </w:r>
      </w:ins>
    </w:p>
    <w:p>
      <w:pPr>
        <w:pStyle w:val="nzSubsection"/>
        <w:rPr>
          <w:ins w:id="203" w:author="Master Repository Process" w:date="2021-08-01T03:14:00Z"/>
        </w:rPr>
      </w:pPr>
      <w:ins w:id="204" w:author="Master Repository Process" w:date="2021-08-01T03:14:00Z">
        <w:r>
          <w:tab/>
          <w:t>(3)</w:t>
        </w:r>
        <w:r>
          <w:tab/>
          <w:t>A Class B facility is any major hazard facility at which Schedule 1 substances are used in, or produced by means of, an industrial production process that the Chief Officer determines is a process of medium complexity.</w:t>
        </w:r>
      </w:ins>
    </w:p>
    <w:p>
      <w:pPr>
        <w:pStyle w:val="nzSubsection"/>
        <w:rPr>
          <w:ins w:id="205" w:author="Master Repository Process" w:date="2021-08-01T03:14:00Z"/>
        </w:rPr>
      </w:pPr>
      <w:ins w:id="206" w:author="Master Repository Process" w:date="2021-08-01T03:14:00Z">
        <w:r>
          <w:tab/>
          <w:t>(4)</w:t>
        </w:r>
        <w:r>
          <w:tab/>
          <w:t>A Class C facility is —</w:t>
        </w:r>
      </w:ins>
    </w:p>
    <w:p>
      <w:pPr>
        <w:pStyle w:val="nzIndenta"/>
        <w:rPr>
          <w:ins w:id="207" w:author="Master Repository Process" w:date="2021-08-01T03:14:00Z"/>
        </w:rPr>
      </w:pPr>
      <w:ins w:id="208" w:author="Master Repository Process" w:date="2021-08-01T03:14:00Z">
        <w:r>
          <w:tab/>
          <w:t>(a)</w:t>
        </w:r>
        <w:r>
          <w:tab/>
          <w:t>any major hazard facility at which Schedule 1 substances are used in, or produced by means of, an industrial production process that the Chief Officer determines is a process of low complexity; or</w:t>
        </w:r>
      </w:ins>
    </w:p>
    <w:p>
      <w:pPr>
        <w:pStyle w:val="nzIndenta"/>
        <w:rPr>
          <w:ins w:id="209" w:author="Master Repository Process" w:date="2021-08-01T03:14:00Z"/>
        </w:rPr>
      </w:pPr>
      <w:ins w:id="210" w:author="Master Repository Process" w:date="2021-08-01T03:14:00Z">
        <w:r>
          <w:tab/>
          <w:t>(b)</w:t>
        </w:r>
        <w:r>
          <w:tab/>
          <w:t>any major hazard facility at which Schedule 1 substances —</w:t>
        </w:r>
      </w:ins>
    </w:p>
    <w:p>
      <w:pPr>
        <w:pStyle w:val="nzIndenti"/>
        <w:rPr>
          <w:ins w:id="211" w:author="Master Repository Process" w:date="2021-08-01T03:14:00Z"/>
        </w:rPr>
      </w:pPr>
      <w:ins w:id="212" w:author="Master Repository Process" w:date="2021-08-01T03:14:00Z">
        <w:r>
          <w:tab/>
          <w:t>(i)</w:t>
        </w:r>
        <w:r>
          <w:tab/>
          <w:t>are stored but not used in, or produced by means of, an industrial production process; and</w:t>
        </w:r>
      </w:ins>
    </w:p>
    <w:p>
      <w:pPr>
        <w:pStyle w:val="nzIndenti"/>
        <w:rPr>
          <w:ins w:id="213" w:author="Master Repository Process" w:date="2021-08-01T03:14:00Z"/>
        </w:rPr>
      </w:pPr>
      <w:ins w:id="214" w:author="Master Repository Process" w:date="2021-08-01T03:14:00Z">
        <w:r>
          <w:tab/>
          <w:t>(ii)</w:t>
        </w:r>
        <w:r>
          <w:tab/>
          <w:t>in the view of the Chief Officer, are frequently handled.</w:t>
        </w:r>
      </w:ins>
    </w:p>
    <w:p>
      <w:pPr>
        <w:pStyle w:val="nzSubsection"/>
        <w:rPr>
          <w:ins w:id="215" w:author="Master Repository Process" w:date="2021-08-01T03:14:00Z"/>
        </w:rPr>
      </w:pPr>
      <w:ins w:id="216" w:author="Master Repository Process" w:date="2021-08-01T03:14:00Z">
        <w:r>
          <w:tab/>
          <w:t>(5)</w:t>
        </w:r>
        <w:r>
          <w:tab/>
          <w:t>A Class D facility is any major hazard facility at which Schedule 1 substances —</w:t>
        </w:r>
      </w:ins>
    </w:p>
    <w:p>
      <w:pPr>
        <w:pStyle w:val="nzIndenta"/>
        <w:rPr>
          <w:ins w:id="217" w:author="Master Repository Process" w:date="2021-08-01T03:14:00Z"/>
        </w:rPr>
      </w:pPr>
      <w:ins w:id="218" w:author="Master Repository Process" w:date="2021-08-01T03:14:00Z">
        <w:r>
          <w:tab/>
          <w:t>(a)</w:t>
        </w:r>
        <w:r>
          <w:tab/>
          <w:t>are stored but not used in, or produced by means of, an industrial production process; and</w:t>
        </w:r>
      </w:ins>
    </w:p>
    <w:p>
      <w:pPr>
        <w:pStyle w:val="nzIndenta"/>
        <w:rPr>
          <w:ins w:id="219" w:author="Master Repository Process" w:date="2021-08-01T03:14:00Z"/>
        </w:rPr>
      </w:pPr>
      <w:ins w:id="220" w:author="Master Repository Process" w:date="2021-08-01T03:14:00Z">
        <w:r>
          <w:tab/>
          <w:t>(b)</w:t>
        </w:r>
        <w:r>
          <w:tab/>
          <w:t>in the view of the Chief Officer, are infrequently handled.</w:t>
        </w:r>
      </w:ins>
    </w:p>
    <w:p>
      <w:pPr>
        <w:pStyle w:val="nzHeading5"/>
        <w:rPr>
          <w:ins w:id="221" w:author="Master Repository Process" w:date="2021-08-01T03:14:00Z"/>
        </w:rPr>
      </w:pPr>
      <w:ins w:id="222" w:author="Master Repository Process" w:date="2021-08-01T03:14:00Z">
        <w:r>
          <w:t>34.</w:t>
        </w:r>
        <w:r>
          <w:tab/>
          <w:t>Annual fee for major hazard facilities</w:t>
        </w:r>
      </w:ins>
    </w:p>
    <w:p>
      <w:pPr>
        <w:pStyle w:val="nzSubsection"/>
        <w:rPr>
          <w:ins w:id="223" w:author="Master Repository Process" w:date="2021-08-01T03:14:00Z"/>
        </w:rPr>
      </w:pPr>
      <w:ins w:id="224" w:author="Master Repository Process" w:date="2021-08-01T03:14:00Z">
        <w:r>
          <w:tab/>
          <w:t>(1)</w:t>
        </w:r>
        <w:r>
          <w:tab/>
          <w:t>In this regulation —</w:t>
        </w:r>
      </w:ins>
    </w:p>
    <w:p>
      <w:pPr>
        <w:pStyle w:val="nzDefstart"/>
        <w:rPr>
          <w:ins w:id="225" w:author="Master Repository Process" w:date="2021-08-01T03:14:00Z"/>
        </w:rPr>
      </w:pPr>
      <w:ins w:id="226" w:author="Master Repository Process" w:date="2021-08-01T03:14:00Z">
        <w:r>
          <w:tab/>
        </w:r>
        <w:r>
          <w:rPr>
            <w:rStyle w:val="CharDefText"/>
          </w:rPr>
          <w:t>former regulation</w:t>
        </w:r>
        <w:r>
          <w:t xml:space="preserve"> means —</w:t>
        </w:r>
      </w:ins>
    </w:p>
    <w:p>
      <w:pPr>
        <w:pStyle w:val="nzDefpara"/>
        <w:rPr>
          <w:ins w:id="227" w:author="Master Repository Process" w:date="2021-08-01T03:14:00Z"/>
        </w:rPr>
      </w:pPr>
      <w:ins w:id="228" w:author="Master Repository Process" w:date="2021-08-01T03:14:00Z">
        <w:r>
          <w:tab/>
          <w:t>(a)</w:t>
        </w:r>
        <w:r>
          <w:tab/>
          <w:t xml:space="preserve">the </w:t>
        </w:r>
        <w:r>
          <w:rPr>
            <w:i/>
          </w:rPr>
          <w:t xml:space="preserve">Dangerous Goods Safety (Explosives) Regulations 2007 </w:t>
        </w:r>
        <w:r>
          <w:t>regulation 184; or</w:t>
        </w:r>
      </w:ins>
    </w:p>
    <w:p>
      <w:pPr>
        <w:pStyle w:val="nzDefpara"/>
        <w:rPr>
          <w:ins w:id="229" w:author="Master Repository Process" w:date="2021-08-01T03:14:00Z"/>
        </w:rPr>
      </w:pPr>
      <w:ins w:id="230" w:author="Master Repository Process" w:date="2021-08-01T03:14:00Z">
        <w:r>
          <w:tab/>
          <w:t>(b)</w:t>
        </w:r>
        <w:r>
          <w:tab/>
          <w:t xml:space="preserve">the </w:t>
        </w:r>
        <w:r>
          <w:rPr>
            <w:i/>
          </w:rPr>
          <w:t xml:space="preserve">Dangerous Goods Safety (Storage and Handling of Non-explosives) Regulations 2007 </w:t>
        </w:r>
        <w:r>
          <w:t>regulation 134,</w:t>
        </w:r>
      </w:ins>
    </w:p>
    <w:p>
      <w:pPr>
        <w:pStyle w:val="nzDefstart"/>
        <w:rPr>
          <w:ins w:id="231" w:author="Master Repository Process" w:date="2021-08-01T03:14:00Z"/>
        </w:rPr>
      </w:pPr>
      <w:ins w:id="232" w:author="Master Repository Process" w:date="2021-08-01T03:14:00Z">
        <w:r>
          <w:tab/>
          <w:t>as in force immediately before 1 April 2012;</w:t>
        </w:r>
      </w:ins>
    </w:p>
    <w:p>
      <w:pPr>
        <w:pStyle w:val="nzDefstart"/>
        <w:rPr>
          <w:ins w:id="233" w:author="Master Repository Process" w:date="2021-08-01T03:14:00Z"/>
        </w:rPr>
      </w:pPr>
      <w:ins w:id="234" w:author="Master Repository Process" w:date="2021-08-01T03:14:00Z">
        <w:r>
          <w:tab/>
        </w:r>
        <w:r>
          <w:rPr>
            <w:rStyle w:val="CharDefText"/>
          </w:rPr>
          <w:t>grace period</w:t>
        </w:r>
        <w:r>
          <w:t xml:space="preserve"> means, as the case requires —</w:t>
        </w:r>
      </w:ins>
    </w:p>
    <w:p>
      <w:pPr>
        <w:pStyle w:val="nzDefpara"/>
        <w:rPr>
          <w:ins w:id="235" w:author="Master Repository Process" w:date="2021-08-01T03:14:00Z"/>
        </w:rPr>
      </w:pPr>
      <w:ins w:id="236" w:author="Master Repository Process" w:date="2021-08-01T03:14:00Z">
        <w:r>
          <w:tab/>
          <w:t>(a)</w:t>
        </w:r>
        <w:r>
          <w:tab/>
          <w:t>the one month period referred to in subregulation (4); or</w:t>
        </w:r>
      </w:ins>
    </w:p>
    <w:p>
      <w:pPr>
        <w:pStyle w:val="nzDefpara"/>
        <w:rPr>
          <w:ins w:id="237" w:author="Master Repository Process" w:date="2021-08-01T03:14:00Z"/>
        </w:rPr>
      </w:pPr>
      <w:ins w:id="238" w:author="Master Repository Process" w:date="2021-08-01T03:14:00Z">
        <w:r>
          <w:tab/>
          <w:t>(b)</w:t>
        </w:r>
        <w:r>
          <w:tab/>
          <w:t>the 3 month period referred to in subregulation (6);</w:t>
        </w:r>
      </w:ins>
    </w:p>
    <w:p>
      <w:pPr>
        <w:pStyle w:val="nzDefstart"/>
        <w:rPr>
          <w:ins w:id="239" w:author="Master Repository Process" w:date="2021-08-01T03:14:00Z"/>
        </w:rPr>
      </w:pPr>
      <w:ins w:id="240" w:author="Master Repository Process" w:date="2021-08-01T03:14:00Z">
        <w:r>
          <w:tab/>
        </w:r>
        <w:r>
          <w:rPr>
            <w:rStyle w:val="CharDefText"/>
          </w:rPr>
          <w:t>site licence</w:t>
        </w:r>
        <w:r>
          <w:t xml:space="preserve"> means —</w:t>
        </w:r>
      </w:ins>
    </w:p>
    <w:p>
      <w:pPr>
        <w:pStyle w:val="nzDefpara"/>
        <w:rPr>
          <w:ins w:id="241" w:author="Master Repository Process" w:date="2021-08-01T03:14:00Z"/>
        </w:rPr>
      </w:pPr>
      <w:ins w:id="242" w:author="Master Repository Process" w:date="2021-08-01T03:14:00Z">
        <w:r>
          <w:tab/>
          <w:t>(a)</w:t>
        </w:r>
        <w:r>
          <w:tab/>
          <w:t xml:space="preserve">an explosives manufacture licence, or an explosives storage licence, granted under the </w:t>
        </w:r>
        <w:r>
          <w:rPr>
            <w:i/>
          </w:rPr>
          <w:t>Dangerous Goods Safety (Explosives) Regulations 2007</w:t>
        </w:r>
        <w:r>
          <w:t xml:space="preserve"> in respect of a dangerous goods site; or</w:t>
        </w:r>
      </w:ins>
    </w:p>
    <w:p>
      <w:pPr>
        <w:pStyle w:val="nzDefpara"/>
        <w:rPr>
          <w:ins w:id="243" w:author="Master Repository Process" w:date="2021-08-01T03:14:00Z"/>
        </w:rPr>
      </w:pPr>
      <w:ins w:id="244" w:author="Master Repository Process" w:date="2021-08-01T03:14:00Z">
        <w:r>
          <w:tab/>
          <w:t>(b)</w:t>
        </w:r>
        <w:r>
          <w:tab/>
          <w:t xml:space="preserve">an SRS manufacture licence, or an SRS storage licence, granted under the </w:t>
        </w:r>
        <w:r>
          <w:rPr>
            <w:i/>
          </w:rPr>
          <w:t>Dangerous Goods Safety (Security Risk Substances) Regulations 2007</w:t>
        </w:r>
        <w:r>
          <w:t xml:space="preserve"> in respect of a dangerous goods site; or</w:t>
        </w:r>
      </w:ins>
    </w:p>
    <w:p>
      <w:pPr>
        <w:pStyle w:val="nzDefpara"/>
        <w:rPr>
          <w:ins w:id="245" w:author="Master Repository Process" w:date="2021-08-01T03:14:00Z"/>
        </w:rPr>
      </w:pPr>
      <w:ins w:id="246" w:author="Master Repository Process" w:date="2021-08-01T03:14:00Z">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ins>
    </w:p>
    <w:p>
      <w:pPr>
        <w:pStyle w:val="nzSubsection"/>
        <w:rPr>
          <w:ins w:id="247" w:author="Master Repository Process" w:date="2021-08-01T03:14:00Z"/>
        </w:rPr>
      </w:pPr>
      <w:ins w:id="248" w:author="Master Repository Process" w:date="2021-08-01T03:14:00Z">
        <w:r>
          <w:tab/>
          <w:t>(2)</w:t>
        </w:r>
        <w:r>
          <w:tab/>
          <w:t>The holder of a site licence granted in respect of a dangerous goods site that is a major hazard facility must pay for each year the relevant annual fee specified in Schedule 3 clause 2.</w:t>
        </w:r>
      </w:ins>
    </w:p>
    <w:p>
      <w:pPr>
        <w:pStyle w:val="nzSubsection"/>
        <w:rPr>
          <w:ins w:id="249" w:author="Master Repository Process" w:date="2021-08-01T03:14:00Z"/>
        </w:rPr>
      </w:pPr>
      <w:ins w:id="250" w:author="Master Repository Process" w:date="2021-08-01T03:14:00Z">
        <w:r>
          <w:tab/>
          <w:t>(3)</w:t>
        </w:r>
        <w:r>
          <w:tab/>
          <w:t>An annual fee payable under subregulation (2) must be paid annually.</w:t>
        </w:r>
      </w:ins>
    </w:p>
    <w:p>
      <w:pPr>
        <w:pStyle w:val="nzSubsection"/>
        <w:rPr>
          <w:ins w:id="251" w:author="Master Repository Process" w:date="2021-08-01T03:14:00Z"/>
        </w:rPr>
      </w:pPr>
      <w:ins w:id="252" w:author="Master Repository Process" w:date="2021-08-01T03:14:00Z">
        <w:r>
          <w:tab/>
          <w:t>(4)</w:t>
        </w:r>
        <w:r>
          <w:tab/>
          <w:t>The first annual payment must be made before, on or within one month after —</w:t>
        </w:r>
      </w:ins>
    </w:p>
    <w:p>
      <w:pPr>
        <w:pStyle w:val="nzIndenta"/>
        <w:rPr>
          <w:ins w:id="253" w:author="Master Repository Process" w:date="2021-08-01T03:14:00Z"/>
        </w:rPr>
      </w:pPr>
      <w:ins w:id="254" w:author="Master Repository Process" w:date="2021-08-01T03:14:00Z">
        <w:r>
          <w:tab/>
          <w:t>(a)</w:t>
        </w:r>
        <w:r>
          <w:tab/>
          <w:t>if the site licence is in force immediately before 1 April 2012 — the date on which the first quarterly payment would have had to be made after 31 March 2012 by the holder under the relevant former regulation;</w:t>
        </w:r>
      </w:ins>
    </w:p>
    <w:p>
      <w:pPr>
        <w:pStyle w:val="nzIndenta"/>
        <w:rPr>
          <w:ins w:id="255" w:author="Master Repository Process" w:date="2021-08-01T03:14:00Z"/>
        </w:rPr>
      </w:pPr>
      <w:ins w:id="256" w:author="Master Repository Process" w:date="2021-08-01T03:14:00Z">
        <w:r>
          <w:tab/>
          <w:t>(b)</w:t>
        </w:r>
        <w:r>
          <w:tab/>
          <w:t>in any other case — 28 days after the date on which both of these conditions are satisfied —</w:t>
        </w:r>
      </w:ins>
    </w:p>
    <w:p>
      <w:pPr>
        <w:pStyle w:val="nzIndenti"/>
        <w:rPr>
          <w:ins w:id="257" w:author="Master Repository Process" w:date="2021-08-01T03:14:00Z"/>
        </w:rPr>
      </w:pPr>
      <w:ins w:id="258" w:author="Master Repository Process" w:date="2021-08-01T03:14:00Z">
        <w:r>
          <w:tab/>
          <w:t>(i)</w:t>
        </w:r>
        <w:r>
          <w:tab/>
          <w:t>the site is subject to a site licence; and</w:t>
        </w:r>
      </w:ins>
    </w:p>
    <w:p>
      <w:pPr>
        <w:pStyle w:val="nzIndenti"/>
        <w:rPr>
          <w:ins w:id="259" w:author="Master Repository Process" w:date="2021-08-01T03:14:00Z"/>
        </w:rPr>
      </w:pPr>
      <w:ins w:id="260" w:author="Master Repository Process" w:date="2021-08-01T03:14:00Z">
        <w:r>
          <w:tab/>
          <w:t>(ii)</w:t>
        </w:r>
        <w:r>
          <w:tab/>
          <w:t>a safety report for the site is approved under Part 5.</w:t>
        </w:r>
      </w:ins>
    </w:p>
    <w:p>
      <w:pPr>
        <w:pStyle w:val="nzSubsection"/>
        <w:rPr>
          <w:ins w:id="261" w:author="Master Repository Process" w:date="2021-08-01T03:14:00Z"/>
        </w:rPr>
      </w:pPr>
      <w:ins w:id="262" w:author="Master Repository Process" w:date="2021-08-01T03:14:00Z">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ins>
    </w:p>
    <w:p>
      <w:pPr>
        <w:pStyle w:val="nzSubsection"/>
        <w:rPr>
          <w:ins w:id="263" w:author="Master Repository Process" w:date="2021-08-01T03:14:00Z"/>
        </w:rPr>
      </w:pPr>
      <w:ins w:id="264" w:author="Master Repository Process" w:date="2021-08-01T03:14:00Z">
        <w:r>
          <w:tab/>
          <w:t>(6)</w:t>
        </w:r>
        <w:r>
          <w:tab/>
          <w:t>Each subsequent annual payment must be made before, on or within 3 months after —</w:t>
        </w:r>
      </w:ins>
    </w:p>
    <w:p>
      <w:pPr>
        <w:pStyle w:val="nzIndenta"/>
        <w:rPr>
          <w:ins w:id="265" w:author="Master Repository Process" w:date="2021-08-01T03:14:00Z"/>
        </w:rPr>
      </w:pPr>
      <w:ins w:id="266" w:author="Master Repository Process" w:date="2021-08-01T03:14:00Z">
        <w:r>
          <w:tab/>
          <w:t>(a)</w:t>
        </w:r>
        <w:r>
          <w:tab/>
          <w:t xml:space="preserve">if under the </w:t>
        </w:r>
        <w:r>
          <w:rPr>
            <w:i/>
          </w:rPr>
          <w:t>Dangerous Goods Safety (General) Regulations 2007</w:t>
        </w:r>
        <w:r>
          <w:t xml:space="preserve"> regulation 15 the Chief Officer has set a due date for the site licence — the due date in each year;</w:t>
        </w:r>
      </w:ins>
    </w:p>
    <w:p>
      <w:pPr>
        <w:pStyle w:val="nzIndenta"/>
        <w:rPr>
          <w:ins w:id="267" w:author="Master Repository Process" w:date="2021-08-01T03:14:00Z"/>
        </w:rPr>
      </w:pPr>
      <w:ins w:id="268" w:author="Master Repository Process" w:date="2021-08-01T03:14:00Z">
        <w:r>
          <w:tab/>
          <w:t>(b)</w:t>
        </w:r>
        <w:r>
          <w:tab/>
          <w:t>in any other case — the anniversary of the date on which the first annual payment has to be made under subregulation (4).</w:t>
        </w:r>
      </w:ins>
    </w:p>
    <w:p>
      <w:pPr>
        <w:pStyle w:val="nzSubsection"/>
        <w:rPr>
          <w:ins w:id="269" w:author="Master Repository Process" w:date="2021-08-01T03:14:00Z"/>
        </w:rPr>
      </w:pPr>
      <w:ins w:id="270" w:author="Master Repository Process" w:date="2021-08-01T03:14:00Z">
        <w:r>
          <w:tab/>
          <w:t>(7)</w:t>
        </w:r>
        <w:r>
          <w:tab/>
          <w:t>If under subregulation (4) or (6) a fee (including a fee reduced under subregulation (5)) is paid in the grace period, the holder must pay, with the fee, a late payment fee equal to 1% of the fee.</w:t>
        </w:r>
      </w:ins>
    </w:p>
    <w:p>
      <w:pPr>
        <w:pStyle w:val="BlankClose"/>
        <w:rPr>
          <w:ins w:id="271" w:author="Master Repository Process" w:date="2021-08-01T03:14:00Z"/>
        </w:rPr>
      </w:pPr>
    </w:p>
    <w:p>
      <w:pPr>
        <w:pStyle w:val="nzHeading5"/>
        <w:rPr>
          <w:ins w:id="272" w:author="Master Repository Process" w:date="2021-08-01T03:14:00Z"/>
        </w:rPr>
      </w:pPr>
      <w:ins w:id="273" w:author="Master Repository Process" w:date="2021-08-01T03:14:00Z">
        <w:r>
          <w:rPr>
            <w:rStyle w:val="CharSectno"/>
          </w:rPr>
          <w:t>6</w:t>
        </w:r>
        <w:r>
          <w:t>.</w:t>
        </w:r>
        <w:r>
          <w:tab/>
          <w:t>Schedule 3 replaced</w:t>
        </w:r>
      </w:ins>
    </w:p>
    <w:p>
      <w:pPr>
        <w:pStyle w:val="nzSubsection"/>
        <w:rPr>
          <w:ins w:id="274" w:author="Master Repository Process" w:date="2021-08-01T03:14:00Z"/>
        </w:rPr>
      </w:pPr>
      <w:ins w:id="275" w:author="Master Repository Process" w:date="2021-08-01T03:14:00Z">
        <w:r>
          <w:tab/>
        </w:r>
        <w:r>
          <w:tab/>
          <w:t>Delete Schedule 3 and insert:</w:t>
        </w:r>
      </w:ins>
    </w:p>
    <w:p>
      <w:pPr>
        <w:pStyle w:val="BlankOpen"/>
        <w:rPr>
          <w:ins w:id="276" w:author="Master Repository Process" w:date="2021-08-01T03:14:00Z"/>
        </w:rPr>
      </w:pPr>
    </w:p>
    <w:p>
      <w:pPr>
        <w:pStyle w:val="nzHeading2"/>
        <w:rPr>
          <w:ins w:id="277" w:author="Master Repository Process" w:date="2021-08-01T03:14:00Z"/>
        </w:rPr>
      </w:pPr>
      <w:ins w:id="278" w:author="Master Repository Process" w:date="2021-08-01T03:14:00Z">
        <w:r>
          <w:t>Schedule 3 — Fees</w:t>
        </w:r>
      </w:ins>
    </w:p>
    <w:p>
      <w:pPr>
        <w:pStyle w:val="nzMiscellaneousBody"/>
        <w:jc w:val="right"/>
        <w:rPr>
          <w:ins w:id="279" w:author="Master Repository Process" w:date="2021-08-01T03:14:00Z"/>
        </w:rPr>
      </w:pPr>
      <w:ins w:id="280" w:author="Master Repository Process" w:date="2021-08-01T03:14:00Z">
        <w:r>
          <w:t>[r. 26 and 34]</w:t>
        </w:r>
      </w:ins>
    </w:p>
    <w:p>
      <w:pPr>
        <w:pStyle w:val="nzHeading5"/>
        <w:rPr>
          <w:ins w:id="281" w:author="Master Repository Process" w:date="2021-08-01T03:14:00Z"/>
        </w:rPr>
      </w:pPr>
      <w:ins w:id="282" w:author="Master Repository Process" w:date="2021-08-01T03:14:00Z">
        <w:r>
          <w:t>1.</w:t>
        </w:r>
        <w:r>
          <w:tab/>
          <w:t>Safety reports, fees for approval of (r. 26)</w:t>
        </w:r>
      </w:ins>
    </w:p>
    <w:p>
      <w:pPr>
        <w:pStyle w:val="nzSubsection"/>
        <w:rPr>
          <w:ins w:id="283" w:author="Master Repository Process" w:date="2021-08-01T03:14:00Z"/>
        </w:rPr>
      </w:pPr>
      <w:ins w:id="284" w:author="Master Repository Process" w:date="2021-08-01T03:14:00Z">
        <w:r>
          <w:tab/>
        </w:r>
        <w:r>
          <w:tab/>
          <w:t>The relevant fee to be paid under regulation 26 for an application for approval of a safety report for a major hazard facility is the fee in the Table relevant to the class of the facility.</w:t>
        </w:r>
      </w:ins>
    </w:p>
    <w:p>
      <w:pPr>
        <w:pStyle w:val="yTHeadingNAm"/>
        <w:rPr>
          <w:ins w:id="285" w:author="Master Repository Process" w:date="2021-08-01T03:14:00Z"/>
          <w:sz w:val="20"/>
        </w:rPr>
      </w:pPr>
      <w:ins w:id="286" w:author="Master Repository Process" w:date="2021-08-01T03:14:00Z">
        <w:r>
          <w:rPr>
            <w:sz w:val="20"/>
          </w:rP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287" w:author="Master Repository Process" w:date="2021-08-01T03:14:00Z"/>
        </w:trPr>
        <w:tc>
          <w:tcPr>
            <w:tcW w:w="4394" w:type="dxa"/>
          </w:tcPr>
          <w:p>
            <w:pPr>
              <w:pStyle w:val="yTableNAm"/>
              <w:rPr>
                <w:ins w:id="288" w:author="Master Repository Process" w:date="2021-08-01T03:14:00Z"/>
                <w:sz w:val="20"/>
              </w:rPr>
            </w:pPr>
            <w:ins w:id="289" w:author="Master Repository Process" w:date="2021-08-01T03:14:00Z">
              <w:r>
                <w:rPr>
                  <w:b/>
                  <w:bCs/>
                  <w:sz w:val="20"/>
                </w:rPr>
                <w:t>Class of facility under r. 33</w:t>
              </w:r>
            </w:ins>
          </w:p>
        </w:tc>
        <w:tc>
          <w:tcPr>
            <w:tcW w:w="1185" w:type="dxa"/>
          </w:tcPr>
          <w:p>
            <w:pPr>
              <w:pStyle w:val="yTableNAm"/>
              <w:rPr>
                <w:ins w:id="290" w:author="Master Repository Process" w:date="2021-08-01T03:14:00Z"/>
                <w:sz w:val="20"/>
              </w:rPr>
            </w:pPr>
            <w:ins w:id="291" w:author="Master Repository Process" w:date="2021-08-01T03:14:00Z">
              <w:r>
                <w:rPr>
                  <w:b/>
                  <w:bCs/>
                  <w:sz w:val="20"/>
                </w:rPr>
                <w:t>Fee ($)</w:t>
              </w:r>
            </w:ins>
          </w:p>
        </w:tc>
      </w:tr>
      <w:tr>
        <w:trPr>
          <w:ins w:id="292" w:author="Master Repository Process" w:date="2021-08-01T03:14:00Z"/>
        </w:trPr>
        <w:tc>
          <w:tcPr>
            <w:tcW w:w="4394" w:type="dxa"/>
          </w:tcPr>
          <w:p>
            <w:pPr>
              <w:pStyle w:val="yTableNAm"/>
              <w:rPr>
                <w:ins w:id="293" w:author="Master Repository Process" w:date="2021-08-01T03:14:00Z"/>
                <w:sz w:val="20"/>
              </w:rPr>
            </w:pPr>
            <w:ins w:id="294" w:author="Master Repository Process" w:date="2021-08-01T03:14:00Z">
              <w:r>
                <w:rPr>
                  <w:sz w:val="20"/>
                </w:rPr>
                <w:t>Class A</w:t>
              </w:r>
            </w:ins>
          </w:p>
        </w:tc>
        <w:tc>
          <w:tcPr>
            <w:tcW w:w="1185" w:type="dxa"/>
          </w:tcPr>
          <w:p>
            <w:pPr>
              <w:pStyle w:val="yTableNAm"/>
              <w:rPr>
                <w:ins w:id="295" w:author="Master Repository Process" w:date="2021-08-01T03:14:00Z"/>
                <w:sz w:val="20"/>
              </w:rPr>
            </w:pPr>
            <w:ins w:id="296" w:author="Master Repository Process" w:date="2021-08-01T03:14:00Z">
              <w:r>
                <w:rPr>
                  <w:sz w:val="20"/>
                </w:rPr>
                <w:t>80 000</w:t>
              </w:r>
            </w:ins>
          </w:p>
        </w:tc>
      </w:tr>
      <w:tr>
        <w:trPr>
          <w:ins w:id="297" w:author="Master Repository Process" w:date="2021-08-01T03:14:00Z"/>
        </w:trPr>
        <w:tc>
          <w:tcPr>
            <w:tcW w:w="4394" w:type="dxa"/>
          </w:tcPr>
          <w:p>
            <w:pPr>
              <w:pStyle w:val="yTableNAm"/>
              <w:rPr>
                <w:ins w:id="298" w:author="Master Repository Process" w:date="2021-08-01T03:14:00Z"/>
                <w:sz w:val="20"/>
              </w:rPr>
            </w:pPr>
            <w:ins w:id="299" w:author="Master Repository Process" w:date="2021-08-01T03:14:00Z">
              <w:r>
                <w:rPr>
                  <w:sz w:val="20"/>
                </w:rPr>
                <w:t>Class B</w:t>
              </w:r>
            </w:ins>
          </w:p>
        </w:tc>
        <w:tc>
          <w:tcPr>
            <w:tcW w:w="1185" w:type="dxa"/>
          </w:tcPr>
          <w:p>
            <w:pPr>
              <w:pStyle w:val="yTableNAm"/>
              <w:rPr>
                <w:ins w:id="300" w:author="Master Repository Process" w:date="2021-08-01T03:14:00Z"/>
                <w:sz w:val="20"/>
              </w:rPr>
            </w:pPr>
            <w:ins w:id="301" w:author="Master Repository Process" w:date="2021-08-01T03:14:00Z">
              <w:r>
                <w:rPr>
                  <w:sz w:val="20"/>
                </w:rPr>
                <w:t>40 000</w:t>
              </w:r>
            </w:ins>
          </w:p>
        </w:tc>
      </w:tr>
      <w:tr>
        <w:trPr>
          <w:ins w:id="302" w:author="Master Repository Process" w:date="2021-08-01T03:14:00Z"/>
        </w:trPr>
        <w:tc>
          <w:tcPr>
            <w:tcW w:w="4394" w:type="dxa"/>
          </w:tcPr>
          <w:p>
            <w:pPr>
              <w:pStyle w:val="yTableNAm"/>
              <w:rPr>
                <w:ins w:id="303" w:author="Master Repository Process" w:date="2021-08-01T03:14:00Z"/>
                <w:sz w:val="20"/>
              </w:rPr>
            </w:pPr>
            <w:ins w:id="304" w:author="Master Repository Process" w:date="2021-08-01T03:14:00Z">
              <w:r>
                <w:rPr>
                  <w:sz w:val="20"/>
                </w:rPr>
                <w:t>Class C</w:t>
              </w:r>
            </w:ins>
          </w:p>
        </w:tc>
        <w:tc>
          <w:tcPr>
            <w:tcW w:w="1185" w:type="dxa"/>
          </w:tcPr>
          <w:p>
            <w:pPr>
              <w:pStyle w:val="yTableNAm"/>
              <w:rPr>
                <w:ins w:id="305" w:author="Master Repository Process" w:date="2021-08-01T03:14:00Z"/>
                <w:sz w:val="20"/>
              </w:rPr>
            </w:pPr>
            <w:ins w:id="306" w:author="Master Repository Process" w:date="2021-08-01T03:14:00Z">
              <w:r>
                <w:rPr>
                  <w:sz w:val="20"/>
                </w:rPr>
                <w:t>40 000</w:t>
              </w:r>
            </w:ins>
          </w:p>
        </w:tc>
      </w:tr>
      <w:tr>
        <w:trPr>
          <w:ins w:id="307" w:author="Master Repository Process" w:date="2021-08-01T03:14:00Z"/>
        </w:trPr>
        <w:tc>
          <w:tcPr>
            <w:tcW w:w="4394" w:type="dxa"/>
          </w:tcPr>
          <w:p>
            <w:pPr>
              <w:pStyle w:val="yTableNAm"/>
              <w:rPr>
                <w:ins w:id="308" w:author="Master Repository Process" w:date="2021-08-01T03:14:00Z"/>
                <w:sz w:val="20"/>
              </w:rPr>
            </w:pPr>
            <w:ins w:id="309" w:author="Master Repository Process" w:date="2021-08-01T03:14:00Z">
              <w:r>
                <w:rPr>
                  <w:sz w:val="20"/>
                </w:rPr>
                <w:t>Class D</w:t>
              </w:r>
            </w:ins>
          </w:p>
        </w:tc>
        <w:tc>
          <w:tcPr>
            <w:tcW w:w="1185" w:type="dxa"/>
          </w:tcPr>
          <w:p>
            <w:pPr>
              <w:pStyle w:val="yTableNAm"/>
              <w:rPr>
                <w:ins w:id="310" w:author="Master Repository Process" w:date="2021-08-01T03:14:00Z"/>
                <w:sz w:val="20"/>
              </w:rPr>
            </w:pPr>
            <w:ins w:id="311" w:author="Master Repository Process" w:date="2021-08-01T03:14:00Z">
              <w:r>
                <w:rPr>
                  <w:sz w:val="20"/>
                </w:rPr>
                <w:t>20 000</w:t>
              </w:r>
            </w:ins>
          </w:p>
        </w:tc>
      </w:tr>
    </w:tbl>
    <w:p>
      <w:pPr>
        <w:pStyle w:val="nzHeading5"/>
        <w:rPr>
          <w:ins w:id="312" w:author="Master Repository Process" w:date="2021-08-01T03:14:00Z"/>
        </w:rPr>
      </w:pPr>
      <w:ins w:id="313" w:author="Master Repository Process" w:date="2021-08-01T03:14:00Z">
        <w:r>
          <w:t>2.</w:t>
        </w:r>
        <w:r>
          <w:tab/>
          <w:t>Annual fees for major hazard facilities (r. 34)</w:t>
        </w:r>
      </w:ins>
    </w:p>
    <w:p>
      <w:pPr>
        <w:pStyle w:val="nzSubsection"/>
        <w:rPr>
          <w:ins w:id="314" w:author="Master Repository Process" w:date="2021-08-01T03:14:00Z"/>
        </w:rPr>
      </w:pPr>
      <w:ins w:id="315" w:author="Master Repository Process" w:date="2021-08-01T03:14:00Z">
        <w:r>
          <w:tab/>
        </w:r>
        <w:r>
          <w:tab/>
          <w:t>The relevant annual fee to be paid under regulation 34 in respect of a major hazard facility is the fee in the Table relevant to the class of the facility.</w:t>
        </w:r>
      </w:ins>
    </w:p>
    <w:p>
      <w:pPr>
        <w:pStyle w:val="yTHeadingNAm"/>
        <w:rPr>
          <w:ins w:id="316" w:author="Master Repository Process" w:date="2021-08-01T03:14:00Z"/>
          <w:sz w:val="20"/>
        </w:rPr>
      </w:pPr>
      <w:ins w:id="317" w:author="Master Repository Process" w:date="2021-08-01T03:14:00Z">
        <w:r>
          <w:rPr>
            <w:sz w:val="20"/>
          </w:rP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318" w:author="Master Repository Process" w:date="2021-08-01T03:14:00Z"/>
        </w:trPr>
        <w:tc>
          <w:tcPr>
            <w:tcW w:w="4394" w:type="dxa"/>
          </w:tcPr>
          <w:p>
            <w:pPr>
              <w:pStyle w:val="yTableNAm"/>
              <w:rPr>
                <w:ins w:id="319" w:author="Master Repository Process" w:date="2021-08-01T03:14:00Z"/>
                <w:sz w:val="20"/>
              </w:rPr>
            </w:pPr>
            <w:ins w:id="320" w:author="Master Repository Process" w:date="2021-08-01T03:14:00Z">
              <w:r>
                <w:rPr>
                  <w:b/>
                  <w:bCs/>
                  <w:sz w:val="20"/>
                </w:rPr>
                <w:t>Class of facility under r. 33</w:t>
              </w:r>
            </w:ins>
          </w:p>
        </w:tc>
        <w:tc>
          <w:tcPr>
            <w:tcW w:w="1185" w:type="dxa"/>
          </w:tcPr>
          <w:p>
            <w:pPr>
              <w:pStyle w:val="yTableNAm"/>
              <w:rPr>
                <w:ins w:id="321" w:author="Master Repository Process" w:date="2021-08-01T03:14:00Z"/>
                <w:sz w:val="20"/>
              </w:rPr>
            </w:pPr>
            <w:ins w:id="322" w:author="Master Repository Process" w:date="2021-08-01T03:14:00Z">
              <w:r>
                <w:rPr>
                  <w:b/>
                  <w:bCs/>
                  <w:sz w:val="20"/>
                </w:rPr>
                <w:t>Fee ($)</w:t>
              </w:r>
            </w:ins>
          </w:p>
        </w:tc>
      </w:tr>
      <w:tr>
        <w:trPr>
          <w:ins w:id="323" w:author="Master Repository Process" w:date="2021-08-01T03:14:00Z"/>
        </w:trPr>
        <w:tc>
          <w:tcPr>
            <w:tcW w:w="4394" w:type="dxa"/>
          </w:tcPr>
          <w:p>
            <w:pPr>
              <w:pStyle w:val="yTableNAm"/>
              <w:rPr>
                <w:ins w:id="324" w:author="Master Repository Process" w:date="2021-08-01T03:14:00Z"/>
                <w:sz w:val="20"/>
              </w:rPr>
            </w:pPr>
            <w:ins w:id="325" w:author="Master Repository Process" w:date="2021-08-01T03:14:00Z">
              <w:r>
                <w:rPr>
                  <w:sz w:val="20"/>
                </w:rPr>
                <w:t>Class A</w:t>
              </w:r>
            </w:ins>
          </w:p>
        </w:tc>
        <w:tc>
          <w:tcPr>
            <w:tcW w:w="1185" w:type="dxa"/>
          </w:tcPr>
          <w:p>
            <w:pPr>
              <w:pStyle w:val="yTableNAm"/>
              <w:rPr>
                <w:ins w:id="326" w:author="Master Repository Process" w:date="2021-08-01T03:14:00Z"/>
                <w:sz w:val="20"/>
              </w:rPr>
            </w:pPr>
            <w:ins w:id="327" w:author="Master Repository Process" w:date="2021-08-01T03:14:00Z">
              <w:r>
                <w:rPr>
                  <w:sz w:val="20"/>
                </w:rPr>
                <w:t>80 000</w:t>
              </w:r>
            </w:ins>
          </w:p>
        </w:tc>
      </w:tr>
      <w:tr>
        <w:trPr>
          <w:ins w:id="328" w:author="Master Repository Process" w:date="2021-08-01T03:14:00Z"/>
        </w:trPr>
        <w:tc>
          <w:tcPr>
            <w:tcW w:w="4394" w:type="dxa"/>
          </w:tcPr>
          <w:p>
            <w:pPr>
              <w:pStyle w:val="yTableNAm"/>
              <w:rPr>
                <w:ins w:id="329" w:author="Master Repository Process" w:date="2021-08-01T03:14:00Z"/>
                <w:sz w:val="20"/>
              </w:rPr>
            </w:pPr>
            <w:ins w:id="330" w:author="Master Repository Process" w:date="2021-08-01T03:14:00Z">
              <w:r>
                <w:rPr>
                  <w:sz w:val="20"/>
                </w:rPr>
                <w:t>Class B</w:t>
              </w:r>
            </w:ins>
          </w:p>
        </w:tc>
        <w:tc>
          <w:tcPr>
            <w:tcW w:w="1185" w:type="dxa"/>
          </w:tcPr>
          <w:p>
            <w:pPr>
              <w:pStyle w:val="yTableNAm"/>
              <w:rPr>
                <w:ins w:id="331" w:author="Master Repository Process" w:date="2021-08-01T03:14:00Z"/>
                <w:sz w:val="20"/>
              </w:rPr>
            </w:pPr>
            <w:ins w:id="332" w:author="Master Repository Process" w:date="2021-08-01T03:14:00Z">
              <w:r>
                <w:rPr>
                  <w:sz w:val="20"/>
                </w:rPr>
                <w:t>40 000</w:t>
              </w:r>
            </w:ins>
          </w:p>
        </w:tc>
      </w:tr>
      <w:tr>
        <w:trPr>
          <w:ins w:id="333" w:author="Master Repository Process" w:date="2021-08-01T03:14:00Z"/>
        </w:trPr>
        <w:tc>
          <w:tcPr>
            <w:tcW w:w="4394" w:type="dxa"/>
          </w:tcPr>
          <w:p>
            <w:pPr>
              <w:pStyle w:val="yTableNAm"/>
              <w:rPr>
                <w:ins w:id="334" w:author="Master Repository Process" w:date="2021-08-01T03:14:00Z"/>
                <w:sz w:val="20"/>
              </w:rPr>
            </w:pPr>
            <w:ins w:id="335" w:author="Master Repository Process" w:date="2021-08-01T03:14:00Z">
              <w:r>
                <w:rPr>
                  <w:sz w:val="20"/>
                </w:rPr>
                <w:t>Class C</w:t>
              </w:r>
            </w:ins>
          </w:p>
        </w:tc>
        <w:tc>
          <w:tcPr>
            <w:tcW w:w="1185" w:type="dxa"/>
          </w:tcPr>
          <w:p>
            <w:pPr>
              <w:pStyle w:val="yTableNAm"/>
              <w:rPr>
                <w:ins w:id="336" w:author="Master Repository Process" w:date="2021-08-01T03:14:00Z"/>
                <w:sz w:val="20"/>
              </w:rPr>
            </w:pPr>
            <w:ins w:id="337" w:author="Master Repository Process" w:date="2021-08-01T03:14:00Z">
              <w:r>
                <w:rPr>
                  <w:sz w:val="20"/>
                </w:rPr>
                <w:t>40 000</w:t>
              </w:r>
            </w:ins>
          </w:p>
        </w:tc>
      </w:tr>
      <w:tr>
        <w:trPr>
          <w:ins w:id="338" w:author="Master Repository Process" w:date="2021-08-01T03:14:00Z"/>
        </w:trPr>
        <w:tc>
          <w:tcPr>
            <w:tcW w:w="4394" w:type="dxa"/>
          </w:tcPr>
          <w:p>
            <w:pPr>
              <w:pStyle w:val="yTableNAm"/>
              <w:rPr>
                <w:ins w:id="339" w:author="Master Repository Process" w:date="2021-08-01T03:14:00Z"/>
                <w:sz w:val="20"/>
              </w:rPr>
            </w:pPr>
            <w:ins w:id="340" w:author="Master Repository Process" w:date="2021-08-01T03:14:00Z">
              <w:r>
                <w:rPr>
                  <w:sz w:val="20"/>
                </w:rPr>
                <w:t>Class D</w:t>
              </w:r>
            </w:ins>
          </w:p>
        </w:tc>
        <w:tc>
          <w:tcPr>
            <w:tcW w:w="1185" w:type="dxa"/>
          </w:tcPr>
          <w:p>
            <w:pPr>
              <w:pStyle w:val="yTableNAm"/>
              <w:rPr>
                <w:ins w:id="341" w:author="Master Repository Process" w:date="2021-08-01T03:14:00Z"/>
                <w:sz w:val="20"/>
              </w:rPr>
            </w:pPr>
            <w:ins w:id="342" w:author="Master Repository Process" w:date="2021-08-01T03:14:00Z">
              <w:r>
                <w:rPr>
                  <w:sz w:val="20"/>
                </w:rPr>
                <w:t>20 000</w:t>
              </w:r>
            </w:ins>
          </w:p>
        </w:tc>
      </w:tr>
    </w:tbl>
    <w:p>
      <w:pPr>
        <w:pStyle w:val="BlankClose"/>
      </w:pPr>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121"/>
    <w:docVar w:name="WAFER_20151210102121" w:val="RemoveTrackChanges"/>
    <w:docVar w:name="WAFER_20151210102121_GUID" w:val="68607960-527b-47c1-b75d-f99329203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134326-CAD3-4E15-BD52-D6115822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9150</Words>
  <Characters>43829</Characters>
  <Application>Microsoft Office Word</Application>
  <DocSecurity>0</DocSecurity>
  <Lines>1460</Lines>
  <Paragraphs>897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00-f0-02 - 00-g0-03</dc:title>
  <dc:subject/>
  <dc:creator/>
  <cp:keywords/>
  <dc:description/>
  <cp:lastModifiedBy>Master Repository Process</cp:lastModifiedBy>
  <cp:revision>2</cp:revision>
  <cp:lastPrinted>2007-12-11T09:45:00Z</cp:lastPrinted>
  <dcterms:created xsi:type="dcterms:W3CDTF">2021-07-31T19:14:00Z</dcterms:created>
  <dcterms:modified xsi:type="dcterms:W3CDTF">2021-07-31T19:14:00Z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20120316</vt:lpwstr>
  </property>
  <property fmtid="{D5CDD505-2E9C-101B-9397-08002B2CF9AE}" pid="4" name="OwlsUID">
    <vt:i4>36895</vt:i4>
  </property>
  <property fmtid="{D5CDD505-2E9C-101B-9397-08002B2CF9AE}" pid="5" name="DocumentType">
    <vt:lpwstr>Reg</vt:lpwstr>
  </property>
  <property fmtid="{D5CDD505-2E9C-101B-9397-08002B2CF9AE}" pid="6" name="FromSuffix">
    <vt:lpwstr>00-f0-02</vt:lpwstr>
  </property>
  <property fmtid="{D5CDD505-2E9C-101B-9397-08002B2CF9AE}" pid="7" name="FromAsAtDate">
    <vt:lpwstr>01 Jul 2010</vt:lpwstr>
  </property>
  <property fmtid="{D5CDD505-2E9C-101B-9397-08002B2CF9AE}" pid="8" name="ToSuffix">
    <vt:lpwstr>00-g0-03</vt:lpwstr>
  </property>
  <property fmtid="{D5CDD505-2E9C-101B-9397-08002B2CF9AE}" pid="9" name="ToAsAtDate">
    <vt:lpwstr>16 Mar 2012</vt:lpwstr>
  </property>
</Properties>
</file>