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21 Apr 2012</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Food Act 2008</w:t>
      </w:r>
    </w:p>
    <w:p>
      <w:pPr>
        <w:pStyle w:val="NameofActReg"/>
      </w:pPr>
      <w:r>
        <w:t>Food Regulations 2009</w:t>
      </w:r>
    </w:p>
    <w:p>
      <w:pPr>
        <w:pStyle w:val="Heading2"/>
        <w:pageBreakBefore w:val="0"/>
        <w:spacing w:before="240"/>
      </w:pPr>
      <w:bookmarkStart w:id="0" w:name="_Toc243968937"/>
      <w:bookmarkStart w:id="1" w:name="_Toc304212836"/>
      <w:bookmarkStart w:id="2" w:name="_Toc304281804"/>
      <w:bookmarkStart w:id="3" w:name="_Toc313432983"/>
      <w:bookmarkStart w:id="4" w:name="_Toc322600549"/>
      <w:bookmarkStart w:id="5" w:name="_Toc32261073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pPr>
      <w:bookmarkStart w:id="7" w:name="_Toc304281805"/>
      <w:bookmarkStart w:id="8" w:name="_Toc322610732"/>
      <w:bookmarkStart w:id="9" w:name="_Toc313432984"/>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1" w:name="_Toc304281806"/>
      <w:bookmarkStart w:id="12" w:name="_Toc322610733"/>
      <w:bookmarkStart w:id="13" w:name="_Toc313432985"/>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4" w:name="_Toc304281807"/>
      <w:bookmarkStart w:id="15" w:name="_Toc322610734"/>
      <w:bookmarkStart w:id="16" w:name="_Toc313432986"/>
      <w:r>
        <w:rPr>
          <w:rStyle w:val="CharSectno"/>
        </w:rPr>
        <w:t>3</w:t>
      </w:r>
      <w:r>
        <w:t>.</w:t>
      </w:r>
      <w:r>
        <w:tab/>
        <w:t>Terms used</w:t>
      </w:r>
      <w:bookmarkEnd w:id="14"/>
      <w:bookmarkEnd w:id="15"/>
      <w:bookmarkEnd w:id="1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7" w:name="_Toc304281808"/>
      <w:bookmarkStart w:id="18" w:name="_Toc322610735"/>
      <w:bookmarkStart w:id="19" w:name="_Toc313432987"/>
      <w:r>
        <w:rPr>
          <w:rStyle w:val="CharSectno"/>
        </w:rPr>
        <w:t>4</w:t>
      </w:r>
      <w:r>
        <w:t>.</w:t>
      </w:r>
      <w:r>
        <w:tab/>
        <w:t>Appropriate enforcement agency: CEO (s. 8)</w:t>
      </w:r>
      <w:bookmarkEnd w:id="17"/>
      <w:bookmarkEnd w:id="18"/>
      <w:bookmarkEnd w:id="1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20" w:name="_Toc304281809"/>
      <w:bookmarkStart w:id="21" w:name="_Toc322610736"/>
      <w:bookmarkStart w:id="22" w:name="_Toc313432988"/>
      <w:r>
        <w:rPr>
          <w:rStyle w:val="CharSectno"/>
        </w:rPr>
        <w:t>5</w:t>
      </w:r>
      <w:r>
        <w:t>.</w:t>
      </w:r>
      <w:r>
        <w:tab/>
        <w:t>Appropriate enforcement agency: local government (s. 8)</w:t>
      </w:r>
      <w:bookmarkEnd w:id="20"/>
      <w:bookmarkEnd w:id="21"/>
      <w:bookmarkEnd w:id="2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3" w:name="_Toc304281810"/>
      <w:bookmarkStart w:id="24" w:name="_Toc322610737"/>
      <w:bookmarkStart w:id="25" w:name="_Toc313432989"/>
      <w:r>
        <w:rPr>
          <w:rStyle w:val="CharSectno"/>
        </w:rPr>
        <w:t>6</w:t>
      </w:r>
      <w:r>
        <w:t>.</w:t>
      </w:r>
      <w:r>
        <w:tab/>
        <w:t>Food production activities that are not primary food production (s. 11(2))</w:t>
      </w:r>
      <w:bookmarkEnd w:id="23"/>
      <w:bookmarkEnd w:id="24"/>
      <w:bookmarkEnd w:id="25"/>
    </w:p>
    <w:p>
      <w:pPr>
        <w:pStyle w:val="Subsection"/>
      </w:pPr>
      <w:r>
        <w:tab/>
      </w:r>
      <w:r>
        <w:tab/>
        <w:t>For section 11(2) of the Act, any food production activity to which a standard in Chapter 4 of the Food Standards Code applies is prescribed.</w:t>
      </w:r>
    </w:p>
    <w:p>
      <w:pPr>
        <w:pStyle w:val="Heading2"/>
      </w:pPr>
      <w:bookmarkStart w:id="26" w:name="_Toc243968944"/>
      <w:bookmarkStart w:id="27" w:name="_Toc304212843"/>
      <w:bookmarkStart w:id="28" w:name="_Toc304281811"/>
      <w:bookmarkStart w:id="29" w:name="_Toc313432990"/>
      <w:bookmarkStart w:id="30" w:name="_Toc322600556"/>
      <w:bookmarkStart w:id="31" w:name="_Toc322610738"/>
      <w:r>
        <w:rPr>
          <w:rStyle w:val="CharPartNo"/>
        </w:rPr>
        <w:t>Part 2</w:t>
      </w:r>
      <w:r>
        <w:rPr>
          <w:rStyle w:val="CharDivNo"/>
        </w:rPr>
        <w:t> </w:t>
      </w:r>
      <w:r>
        <w:t>—</w:t>
      </w:r>
      <w:r>
        <w:rPr>
          <w:rStyle w:val="CharDivText"/>
        </w:rPr>
        <w:t> </w:t>
      </w:r>
      <w:r>
        <w:rPr>
          <w:rStyle w:val="CharPartText"/>
        </w:rPr>
        <w:t>Adoption of Food Standards Code</w:t>
      </w:r>
      <w:bookmarkEnd w:id="26"/>
      <w:bookmarkEnd w:id="27"/>
      <w:bookmarkEnd w:id="28"/>
      <w:bookmarkEnd w:id="29"/>
      <w:bookmarkEnd w:id="30"/>
      <w:bookmarkEnd w:id="31"/>
    </w:p>
    <w:p>
      <w:pPr>
        <w:pStyle w:val="Heading5"/>
      </w:pPr>
      <w:bookmarkStart w:id="32" w:name="_Toc304281812"/>
      <w:bookmarkStart w:id="33" w:name="_Toc322610739"/>
      <w:bookmarkStart w:id="34" w:name="_Toc313432991"/>
      <w:r>
        <w:rPr>
          <w:rStyle w:val="CharSectno"/>
        </w:rPr>
        <w:t>7</w:t>
      </w:r>
      <w:r>
        <w:t>.</w:t>
      </w:r>
      <w:r>
        <w:tab/>
        <w:t>Adoption of Food Standards Code (s. 144(7))</w:t>
      </w:r>
      <w:bookmarkEnd w:id="32"/>
      <w:bookmarkEnd w:id="33"/>
      <w:bookmarkEnd w:id="34"/>
    </w:p>
    <w:p>
      <w:pPr>
        <w:pStyle w:val="Subsection"/>
      </w:pPr>
      <w:r>
        <w:tab/>
      </w:r>
      <w:r>
        <w:tab/>
        <w:t>Under section 144(7) of the Act, the Food Standards Code is adopted as in force from time to time.</w:t>
      </w:r>
    </w:p>
    <w:p>
      <w:pPr>
        <w:pStyle w:val="Heading5"/>
      </w:pPr>
      <w:bookmarkStart w:id="35" w:name="_Toc304281813"/>
      <w:bookmarkStart w:id="36" w:name="_Toc322610740"/>
      <w:bookmarkStart w:id="37" w:name="_Toc313432992"/>
      <w:r>
        <w:rPr>
          <w:rStyle w:val="CharSectno"/>
        </w:rPr>
        <w:t>8</w:t>
      </w:r>
      <w:r>
        <w:t>.</w:t>
      </w:r>
      <w:r>
        <w:tab/>
        <w:t>FSC standard 4.2.4 clause 15: express provision for goat's milk</w:t>
      </w:r>
      <w:bookmarkEnd w:id="35"/>
      <w:bookmarkEnd w:id="36"/>
      <w:bookmarkEnd w:id="37"/>
    </w:p>
    <w:p>
      <w:pPr>
        <w:pStyle w:val="Subsection"/>
      </w:pPr>
      <w:r>
        <w:tab/>
      </w:r>
      <w:r>
        <w:tab/>
        <w:t>Clause 15 of FSC standard 4.2.4 does not apply to goat’s milk.</w:t>
      </w:r>
    </w:p>
    <w:p>
      <w:pPr>
        <w:pStyle w:val="Heading2"/>
      </w:pPr>
      <w:bookmarkStart w:id="38" w:name="_Toc243968947"/>
      <w:bookmarkStart w:id="39" w:name="_Toc304212846"/>
      <w:bookmarkStart w:id="40" w:name="_Toc304281814"/>
      <w:bookmarkStart w:id="41" w:name="_Toc313432993"/>
      <w:bookmarkStart w:id="42" w:name="_Toc322600559"/>
      <w:bookmarkStart w:id="43" w:name="_Toc322610741"/>
      <w:r>
        <w:rPr>
          <w:rStyle w:val="CharPartNo"/>
        </w:rPr>
        <w:t>Part 3</w:t>
      </w:r>
      <w:r>
        <w:rPr>
          <w:rStyle w:val="CharDivNo"/>
        </w:rPr>
        <w:t> </w:t>
      </w:r>
      <w:r>
        <w:t>—</w:t>
      </w:r>
      <w:r>
        <w:rPr>
          <w:rStyle w:val="CharDivText"/>
        </w:rPr>
        <w:t> </w:t>
      </w:r>
      <w:r>
        <w:rPr>
          <w:rStyle w:val="CharPartText"/>
        </w:rPr>
        <w:t>Exempted food businesses</w:t>
      </w:r>
      <w:bookmarkEnd w:id="38"/>
      <w:bookmarkEnd w:id="39"/>
      <w:bookmarkEnd w:id="40"/>
      <w:bookmarkEnd w:id="41"/>
      <w:bookmarkEnd w:id="42"/>
      <w:bookmarkEnd w:id="43"/>
    </w:p>
    <w:p>
      <w:pPr>
        <w:pStyle w:val="Heading5"/>
      </w:pPr>
      <w:bookmarkStart w:id="44" w:name="_Toc304281815"/>
      <w:bookmarkStart w:id="45" w:name="_Toc322610742"/>
      <w:bookmarkStart w:id="46" w:name="_Toc313432994"/>
      <w:r>
        <w:rPr>
          <w:rStyle w:val="CharSectno"/>
        </w:rPr>
        <w:t>9</w:t>
      </w:r>
      <w:r>
        <w:t>.</w:t>
      </w:r>
      <w:r>
        <w:tab/>
        <w:t>Term used: potentially hazardous food</w:t>
      </w:r>
      <w:bookmarkEnd w:id="44"/>
      <w:bookmarkEnd w:id="45"/>
      <w:bookmarkEnd w:id="46"/>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7" w:name="_Toc304281816"/>
      <w:bookmarkStart w:id="48" w:name="_Toc322610743"/>
      <w:bookmarkStart w:id="49" w:name="_Toc313432995"/>
      <w:r>
        <w:rPr>
          <w:rStyle w:val="CharSectno"/>
        </w:rPr>
        <w:t>10</w:t>
      </w:r>
      <w:r>
        <w:t>.</w:t>
      </w:r>
      <w:r>
        <w:tab/>
        <w:t>Food businesses conducted as fundraising events (s. 109)</w:t>
      </w:r>
      <w:bookmarkEnd w:id="47"/>
      <w:bookmarkEnd w:id="48"/>
      <w:bookmarkEnd w:id="4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50" w:name="_Toc304281817"/>
      <w:bookmarkStart w:id="51" w:name="_Toc322610744"/>
      <w:bookmarkStart w:id="52" w:name="_Toc313432996"/>
      <w:r>
        <w:rPr>
          <w:rStyle w:val="CharSectno"/>
        </w:rPr>
        <w:t>11</w:t>
      </w:r>
      <w:r>
        <w:t>.</w:t>
      </w:r>
      <w:r>
        <w:tab/>
        <w:t>Food businesses that sell certain packaged food (s. 109)</w:t>
      </w:r>
      <w:bookmarkEnd w:id="50"/>
      <w:bookmarkEnd w:id="51"/>
      <w:bookmarkEnd w:id="5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3" w:name="_Toc304281818"/>
      <w:bookmarkStart w:id="54" w:name="_Toc322610745"/>
      <w:bookmarkStart w:id="55" w:name="_Toc313432997"/>
      <w:r>
        <w:rPr>
          <w:rStyle w:val="CharSectno"/>
        </w:rPr>
        <w:t>12</w:t>
      </w:r>
      <w:r>
        <w:t>.</w:t>
      </w:r>
      <w:r>
        <w:tab/>
        <w:t>Food businesses that provide complimentary drinks in conjunction with another kind of business (s. 109)</w:t>
      </w:r>
      <w:bookmarkEnd w:id="53"/>
      <w:bookmarkEnd w:id="54"/>
      <w:bookmarkEnd w:id="5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6" w:name="_Toc304281819"/>
      <w:bookmarkStart w:id="57" w:name="_Toc322610746"/>
      <w:bookmarkStart w:id="58" w:name="_Toc313432998"/>
      <w:r>
        <w:rPr>
          <w:rStyle w:val="CharSectno"/>
        </w:rPr>
        <w:t>13</w:t>
      </w:r>
      <w:r>
        <w:t>.</w:t>
      </w:r>
      <w:r>
        <w:tab/>
        <w:t>Food businesses conducted at registered establishments (s. 109)</w:t>
      </w:r>
      <w:bookmarkEnd w:id="56"/>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9" w:name="_Toc243968953"/>
      <w:bookmarkStart w:id="60" w:name="_Toc304212852"/>
      <w:bookmarkStart w:id="61" w:name="_Toc304281820"/>
      <w:bookmarkStart w:id="62" w:name="_Toc313432999"/>
      <w:bookmarkStart w:id="63" w:name="_Toc322600565"/>
      <w:bookmarkStart w:id="64" w:name="_Toc322610747"/>
      <w:r>
        <w:rPr>
          <w:rStyle w:val="CharPartNo"/>
        </w:rPr>
        <w:t>Part 4</w:t>
      </w:r>
      <w:r>
        <w:rPr>
          <w:rStyle w:val="CharDivNo"/>
        </w:rPr>
        <w:t> </w:t>
      </w:r>
      <w:r>
        <w:t>—</w:t>
      </w:r>
      <w:r>
        <w:rPr>
          <w:rStyle w:val="CharDivText"/>
        </w:rPr>
        <w:t> </w:t>
      </w:r>
      <w:r>
        <w:rPr>
          <w:rStyle w:val="CharPartText"/>
        </w:rPr>
        <w:t>Control of pathogens</w:t>
      </w:r>
      <w:bookmarkEnd w:id="59"/>
      <w:bookmarkEnd w:id="60"/>
      <w:bookmarkEnd w:id="61"/>
      <w:bookmarkEnd w:id="62"/>
      <w:bookmarkEnd w:id="63"/>
      <w:bookmarkEnd w:id="64"/>
    </w:p>
    <w:p>
      <w:pPr>
        <w:pStyle w:val="Heading5"/>
      </w:pPr>
      <w:bookmarkStart w:id="65" w:name="_Toc304281821"/>
      <w:bookmarkStart w:id="66" w:name="_Toc322610748"/>
      <w:bookmarkStart w:id="67" w:name="_Toc313433000"/>
      <w:r>
        <w:rPr>
          <w:rStyle w:val="CharSectno"/>
        </w:rPr>
        <w:t>14</w:t>
      </w:r>
      <w:r>
        <w:t>.</w:t>
      </w:r>
      <w:r>
        <w:tab/>
        <w:t>Term used: pathogen</w:t>
      </w:r>
      <w:bookmarkEnd w:id="65"/>
      <w:bookmarkEnd w:id="66"/>
      <w:bookmarkEnd w:id="67"/>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8" w:name="_Toc304281822"/>
      <w:bookmarkStart w:id="69" w:name="_Toc322610749"/>
      <w:bookmarkStart w:id="70" w:name="_Toc313433001"/>
      <w:r>
        <w:rPr>
          <w:rStyle w:val="CharSectno"/>
        </w:rPr>
        <w:t>15</w:t>
      </w:r>
      <w:r>
        <w:t>.</w:t>
      </w:r>
      <w:r>
        <w:tab/>
        <w:t>CEO to be informed of isolation of pathogens associated with food businesses</w:t>
      </w:r>
      <w:bookmarkEnd w:id="68"/>
      <w:bookmarkEnd w:id="69"/>
      <w:bookmarkEnd w:id="7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1" w:name="_Toc304281823"/>
      <w:bookmarkStart w:id="72" w:name="_Toc322610750"/>
      <w:bookmarkStart w:id="73" w:name="_Toc313433002"/>
      <w:r>
        <w:rPr>
          <w:rStyle w:val="CharSectno"/>
        </w:rPr>
        <w:t>16</w:t>
      </w:r>
      <w:r>
        <w:t>.</w:t>
      </w:r>
      <w:r>
        <w:tab/>
        <w:t>CEO may give directions</w:t>
      </w:r>
      <w:bookmarkEnd w:id="71"/>
      <w:bookmarkEnd w:id="72"/>
      <w:bookmarkEnd w:id="73"/>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4" w:name="_Toc243968957"/>
      <w:bookmarkStart w:id="75" w:name="_Toc304212856"/>
      <w:bookmarkStart w:id="76" w:name="_Toc304281824"/>
      <w:bookmarkStart w:id="77" w:name="_Toc313433003"/>
      <w:bookmarkStart w:id="78" w:name="_Toc322600569"/>
      <w:bookmarkStart w:id="79" w:name="_Toc322610751"/>
      <w:r>
        <w:rPr>
          <w:rStyle w:val="CharPartNo"/>
        </w:rPr>
        <w:t>Part 5</w:t>
      </w:r>
      <w:r>
        <w:t> — </w:t>
      </w:r>
      <w:r>
        <w:rPr>
          <w:rStyle w:val="CharPartText"/>
        </w:rPr>
        <w:t>Meat hygiene</w:t>
      </w:r>
      <w:bookmarkEnd w:id="74"/>
      <w:bookmarkEnd w:id="75"/>
      <w:bookmarkEnd w:id="76"/>
      <w:bookmarkEnd w:id="77"/>
      <w:bookmarkEnd w:id="78"/>
      <w:bookmarkEnd w:id="79"/>
    </w:p>
    <w:p>
      <w:pPr>
        <w:pStyle w:val="Heading3"/>
      </w:pPr>
      <w:bookmarkStart w:id="80" w:name="_Toc243968958"/>
      <w:bookmarkStart w:id="81" w:name="_Toc304212857"/>
      <w:bookmarkStart w:id="82" w:name="_Toc304281825"/>
      <w:bookmarkStart w:id="83" w:name="_Toc313433004"/>
      <w:bookmarkStart w:id="84" w:name="_Toc322600570"/>
      <w:bookmarkStart w:id="85" w:name="_Toc322610752"/>
      <w:r>
        <w:rPr>
          <w:rStyle w:val="CharDivNo"/>
        </w:rPr>
        <w:t>Division 1</w:t>
      </w:r>
      <w:r>
        <w:t> — </w:t>
      </w:r>
      <w:r>
        <w:rPr>
          <w:rStyle w:val="CharDivText"/>
        </w:rPr>
        <w:t>Preliminary</w:t>
      </w:r>
      <w:bookmarkEnd w:id="80"/>
      <w:bookmarkEnd w:id="81"/>
      <w:bookmarkEnd w:id="82"/>
      <w:bookmarkEnd w:id="83"/>
      <w:bookmarkEnd w:id="84"/>
      <w:bookmarkEnd w:id="85"/>
    </w:p>
    <w:p>
      <w:pPr>
        <w:pStyle w:val="Heading5"/>
      </w:pPr>
      <w:bookmarkStart w:id="86" w:name="_Toc304281826"/>
      <w:bookmarkStart w:id="87" w:name="_Toc322610753"/>
      <w:bookmarkStart w:id="88" w:name="_Toc313433005"/>
      <w:r>
        <w:rPr>
          <w:rStyle w:val="CharSectno"/>
        </w:rPr>
        <w:t>17</w:t>
      </w:r>
      <w:r>
        <w:t>.</w:t>
      </w:r>
      <w:r>
        <w:tab/>
        <w:t>Terms used</w:t>
      </w:r>
      <w:bookmarkEnd w:id="86"/>
      <w:bookmarkEnd w:id="87"/>
      <w:bookmarkEnd w:id="8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89" w:name="_Toc243968960"/>
      <w:bookmarkStart w:id="90" w:name="_Toc304212859"/>
      <w:bookmarkStart w:id="91" w:name="_Toc304281827"/>
      <w:bookmarkStart w:id="92" w:name="_Toc313433006"/>
      <w:bookmarkStart w:id="93" w:name="_Toc322600572"/>
      <w:bookmarkStart w:id="94" w:name="_Toc322610754"/>
      <w:r>
        <w:rPr>
          <w:rStyle w:val="CharDivNo"/>
        </w:rPr>
        <w:t>Division 2</w:t>
      </w:r>
      <w:r>
        <w:t> — </w:t>
      </w:r>
      <w:r>
        <w:rPr>
          <w:rStyle w:val="CharDivText"/>
        </w:rPr>
        <w:t>Adoption of certain Australian Standards</w:t>
      </w:r>
      <w:bookmarkEnd w:id="89"/>
      <w:bookmarkEnd w:id="90"/>
      <w:bookmarkEnd w:id="91"/>
      <w:bookmarkEnd w:id="92"/>
      <w:bookmarkEnd w:id="93"/>
      <w:bookmarkEnd w:id="94"/>
    </w:p>
    <w:p>
      <w:pPr>
        <w:pStyle w:val="Heading5"/>
      </w:pPr>
      <w:bookmarkStart w:id="95" w:name="_Toc304281828"/>
      <w:bookmarkStart w:id="96" w:name="_Toc322610755"/>
      <w:bookmarkStart w:id="97" w:name="_Toc313433007"/>
      <w:r>
        <w:rPr>
          <w:rStyle w:val="CharSectno"/>
        </w:rPr>
        <w:t>18</w:t>
      </w:r>
      <w:r>
        <w:t>.</w:t>
      </w:r>
      <w:r>
        <w:tab/>
        <w:t>Adoption of certain Australian Standards (s. 144(6))</w:t>
      </w:r>
      <w:bookmarkEnd w:id="95"/>
      <w:bookmarkEnd w:id="96"/>
      <w:bookmarkEnd w:id="97"/>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8" w:name="_Toc304281829"/>
      <w:bookmarkStart w:id="99" w:name="_Toc322610756"/>
      <w:bookmarkStart w:id="100" w:name="_Toc313433008"/>
      <w:r>
        <w:rPr>
          <w:rStyle w:val="CharSectno"/>
        </w:rPr>
        <w:t>19</w:t>
      </w:r>
      <w:r>
        <w:t>.</w:t>
      </w:r>
      <w:r>
        <w:tab/>
        <w:t>Modification of adopted standards</w:t>
      </w:r>
      <w:bookmarkEnd w:id="98"/>
      <w:bookmarkEnd w:id="99"/>
      <w:bookmarkEnd w:id="10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01" w:name="_Toc243968963"/>
      <w:bookmarkStart w:id="102" w:name="_Toc304212862"/>
      <w:bookmarkStart w:id="103" w:name="_Toc304281830"/>
      <w:bookmarkStart w:id="104" w:name="_Toc313433009"/>
      <w:bookmarkStart w:id="105" w:name="_Toc322600575"/>
      <w:bookmarkStart w:id="106" w:name="_Toc322610757"/>
      <w:r>
        <w:rPr>
          <w:rStyle w:val="CharDivNo"/>
        </w:rPr>
        <w:t>Division 3</w:t>
      </w:r>
      <w:r>
        <w:t> — </w:t>
      </w:r>
      <w:r>
        <w:rPr>
          <w:rStyle w:val="CharDivText"/>
        </w:rPr>
        <w:t>Inspection and branding</w:t>
      </w:r>
      <w:bookmarkEnd w:id="101"/>
      <w:bookmarkEnd w:id="102"/>
      <w:bookmarkEnd w:id="103"/>
      <w:bookmarkEnd w:id="104"/>
      <w:bookmarkEnd w:id="105"/>
      <w:bookmarkEnd w:id="106"/>
    </w:p>
    <w:p>
      <w:pPr>
        <w:pStyle w:val="Heading5"/>
      </w:pPr>
      <w:bookmarkStart w:id="107" w:name="_Toc304281831"/>
      <w:bookmarkStart w:id="108" w:name="_Toc322610758"/>
      <w:bookmarkStart w:id="109" w:name="_Toc313433010"/>
      <w:r>
        <w:rPr>
          <w:rStyle w:val="CharSectno"/>
        </w:rPr>
        <w:t>20</w:t>
      </w:r>
      <w:r>
        <w:t>.</w:t>
      </w:r>
      <w:r>
        <w:tab/>
        <w:t>Application of Division to primary producers</w:t>
      </w:r>
      <w:bookmarkEnd w:id="107"/>
      <w:bookmarkEnd w:id="108"/>
      <w:bookmarkEnd w:id="10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10" w:name="_Toc304281832"/>
      <w:bookmarkStart w:id="111" w:name="_Toc322610759"/>
      <w:bookmarkStart w:id="112" w:name="_Toc313433011"/>
      <w:r>
        <w:rPr>
          <w:rStyle w:val="CharSectno"/>
        </w:rPr>
        <w:t>21</w:t>
      </w:r>
      <w:r>
        <w:t>.</w:t>
      </w:r>
      <w:r>
        <w:tab/>
        <w:t>Inspection of animals and carcases at abattoirs</w:t>
      </w:r>
      <w:bookmarkEnd w:id="110"/>
      <w:bookmarkEnd w:id="111"/>
      <w:bookmarkEnd w:id="11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13" w:name="_Toc304281833"/>
      <w:bookmarkStart w:id="114" w:name="_Toc322610760"/>
      <w:bookmarkStart w:id="115" w:name="_Toc313433012"/>
      <w:r>
        <w:rPr>
          <w:rStyle w:val="CharSectno"/>
        </w:rPr>
        <w:t>22</w:t>
      </w:r>
      <w:r>
        <w:t>.</w:t>
      </w:r>
      <w:r>
        <w:tab/>
        <w:t>Branding carcases if fit for human consumption</w:t>
      </w:r>
      <w:bookmarkEnd w:id="113"/>
      <w:bookmarkEnd w:id="114"/>
      <w:bookmarkEnd w:id="115"/>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16" w:name="_Toc304281834"/>
      <w:bookmarkStart w:id="117" w:name="_Toc322610761"/>
      <w:bookmarkStart w:id="118" w:name="_Toc313433013"/>
      <w:r>
        <w:rPr>
          <w:rStyle w:val="CharSectno"/>
        </w:rPr>
        <w:t>23</w:t>
      </w:r>
      <w:r>
        <w:t>.</w:t>
      </w:r>
      <w:r>
        <w:tab/>
        <w:t>Branding carcases if fit for consumption by animals</w:t>
      </w:r>
      <w:bookmarkEnd w:id="116"/>
      <w:bookmarkEnd w:id="117"/>
      <w:bookmarkEnd w:id="118"/>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19" w:name="_Toc304281835"/>
      <w:bookmarkStart w:id="120" w:name="_Toc322610762"/>
      <w:bookmarkStart w:id="121" w:name="_Toc313433014"/>
      <w:r>
        <w:rPr>
          <w:rStyle w:val="CharSectno"/>
        </w:rPr>
        <w:t>24</w:t>
      </w:r>
      <w:r>
        <w:t>.</w:t>
      </w:r>
      <w:r>
        <w:tab/>
        <w:t>How carcases are to be branded</w:t>
      </w:r>
      <w:bookmarkEnd w:id="119"/>
      <w:bookmarkEnd w:id="120"/>
      <w:bookmarkEnd w:id="121"/>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22" w:name="_Toc304281836"/>
      <w:bookmarkStart w:id="123" w:name="_Toc322610763"/>
      <w:bookmarkStart w:id="124" w:name="_Toc313433015"/>
      <w:r>
        <w:rPr>
          <w:rStyle w:val="CharSectno"/>
        </w:rPr>
        <w:t>25</w:t>
      </w:r>
      <w:r>
        <w:t>.</w:t>
      </w:r>
      <w:r>
        <w:tab/>
        <w:t>Branding carcases if unfit for human consumption or unfit for consumption by animals</w:t>
      </w:r>
      <w:bookmarkEnd w:id="122"/>
      <w:bookmarkEnd w:id="123"/>
      <w:bookmarkEnd w:id="12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25" w:name="_Toc304281837"/>
      <w:bookmarkStart w:id="126" w:name="_Toc322610764"/>
      <w:bookmarkStart w:id="127" w:name="_Toc313433016"/>
      <w:r>
        <w:rPr>
          <w:rStyle w:val="CharSectno"/>
        </w:rPr>
        <w:t>26</w:t>
      </w:r>
      <w:r>
        <w:t>.</w:t>
      </w:r>
      <w:r>
        <w:tab/>
        <w:t>Offences relating to brands</w:t>
      </w:r>
      <w:bookmarkEnd w:id="125"/>
      <w:bookmarkEnd w:id="126"/>
      <w:bookmarkEnd w:id="127"/>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28" w:name="_Toc304281838"/>
      <w:bookmarkStart w:id="129" w:name="_Toc322610765"/>
      <w:bookmarkStart w:id="130" w:name="_Toc313433017"/>
      <w:r>
        <w:rPr>
          <w:rStyle w:val="CharSectno"/>
        </w:rPr>
        <w:t>27</w:t>
      </w:r>
      <w:r>
        <w:t>.</w:t>
      </w:r>
      <w:r>
        <w:tab/>
        <w:t>Restrictions on sale of carcases</w:t>
      </w:r>
      <w:bookmarkEnd w:id="128"/>
      <w:bookmarkEnd w:id="129"/>
      <w:bookmarkEnd w:id="130"/>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31" w:name="_Toc243968972"/>
      <w:bookmarkStart w:id="132" w:name="_Toc304212871"/>
      <w:bookmarkStart w:id="133" w:name="_Toc304281839"/>
      <w:bookmarkStart w:id="134" w:name="_Toc313433018"/>
      <w:bookmarkStart w:id="135" w:name="_Toc322600584"/>
      <w:bookmarkStart w:id="136" w:name="_Toc322610766"/>
      <w:r>
        <w:rPr>
          <w:rStyle w:val="CharDivNo"/>
        </w:rPr>
        <w:t>Division 4</w:t>
      </w:r>
      <w:r>
        <w:t> — </w:t>
      </w:r>
      <w:r>
        <w:rPr>
          <w:rStyle w:val="CharDivText"/>
        </w:rPr>
        <w:t>Pet meat</w:t>
      </w:r>
      <w:bookmarkEnd w:id="131"/>
      <w:bookmarkEnd w:id="132"/>
      <w:bookmarkEnd w:id="133"/>
      <w:bookmarkEnd w:id="134"/>
      <w:bookmarkEnd w:id="135"/>
      <w:bookmarkEnd w:id="136"/>
    </w:p>
    <w:p>
      <w:pPr>
        <w:pStyle w:val="Heading4"/>
      </w:pPr>
      <w:bookmarkStart w:id="137" w:name="_Toc243968973"/>
      <w:bookmarkStart w:id="138" w:name="_Toc304212872"/>
      <w:bookmarkStart w:id="139" w:name="_Toc304281840"/>
      <w:bookmarkStart w:id="140" w:name="_Toc313433019"/>
      <w:bookmarkStart w:id="141" w:name="_Toc322600585"/>
      <w:bookmarkStart w:id="142" w:name="_Toc322610767"/>
      <w:r>
        <w:t>Subdivision 1 — Preliminary</w:t>
      </w:r>
      <w:bookmarkEnd w:id="137"/>
      <w:bookmarkEnd w:id="138"/>
      <w:bookmarkEnd w:id="139"/>
      <w:bookmarkEnd w:id="140"/>
      <w:bookmarkEnd w:id="141"/>
      <w:bookmarkEnd w:id="142"/>
    </w:p>
    <w:p>
      <w:pPr>
        <w:pStyle w:val="Heading5"/>
      </w:pPr>
      <w:bookmarkStart w:id="143" w:name="_Toc304281841"/>
      <w:bookmarkStart w:id="144" w:name="_Toc322610768"/>
      <w:bookmarkStart w:id="145" w:name="_Toc313433020"/>
      <w:r>
        <w:rPr>
          <w:rStyle w:val="CharSectno"/>
        </w:rPr>
        <w:t>28</w:t>
      </w:r>
      <w:r>
        <w:t>.</w:t>
      </w:r>
      <w:r>
        <w:tab/>
        <w:t>Term used: proprietor</w:t>
      </w:r>
      <w:bookmarkEnd w:id="143"/>
      <w:bookmarkEnd w:id="144"/>
      <w:bookmarkEnd w:id="145"/>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46" w:name="_Toc243968975"/>
      <w:bookmarkStart w:id="147" w:name="_Toc304212874"/>
      <w:bookmarkStart w:id="148" w:name="_Toc304281842"/>
      <w:bookmarkStart w:id="149" w:name="_Toc313433021"/>
      <w:bookmarkStart w:id="150" w:name="_Toc322600587"/>
      <w:bookmarkStart w:id="151" w:name="_Toc322610769"/>
      <w:r>
        <w:t>Subdivision 2 — Staining of pet meat</w:t>
      </w:r>
      <w:bookmarkEnd w:id="146"/>
      <w:bookmarkEnd w:id="147"/>
      <w:bookmarkEnd w:id="148"/>
      <w:bookmarkEnd w:id="149"/>
      <w:bookmarkEnd w:id="150"/>
      <w:bookmarkEnd w:id="151"/>
    </w:p>
    <w:p>
      <w:pPr>
        <w:pStyle w:val="Heading5"/>
      </w:pPr>
      <w:bookmarkStart w:id="152" w:name="_Toc304281843"/>
      <w:bookmarkStart w:id="153" w:name="_Toc322610770"/>
      <w:bookmarkStart w:id="154" w:name="_Toc313433022"/>
      <w:r>
        <w:rPr>
          <w:rStyle w:val="CharSectno"/>
        </w:rPr>
        <w:t>29</w:t>
      </w:r>
      <w:r>
        <w:t>.</w:t>
      </w:r>
      <w:r>
        <w:tab/>
        <w:t>Term used: dressing</w:t>
      </w:r>
      <w:bookmarkEnd w:id="152"/>
      <w:bookmarkEnd w:id="153"/>
      <w:bookmarkEnd w:id="1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55" w:name="_Toc304281844"/>
      <w:bookmarkStart w:id="156" w:name="_Toc322610771"/>
      <w:bookmarkStart w:id="157" w:name="_Toc313433023"/>
      <w:r>
        <w:rPr>
          <w:rStyle w:val="CharSectno"/>
        </w:rPr>
        <w:t>30</w:t>
      </w:r>
      <w:r>
        <w:t>.</w:t>
      </w:r>
      <w:r>
        <w:tab/>
        <w:t>Requirement for pet meat to be stained</w:t>
      </w:r>
      <w:bookmarkEnd w:id="155"/>
      <w:bookmarkEnd w:id="156"/>
      <w:bookmarkEnd w:id="15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58" w:name="_Toc304281845"/>
      <w:bookmarkStart w:id="159" w:name="_Toc322610772"/>
      <w:bookmarkStart w:id="160" w:name="_Toc313433024"/>
      <w:r>
        <w:rPr>
          <w:rStyle w:val="CharSectno"/>
        </w:rPr>
        <w:t>31</w:t>
      </w:r>
      <w:r>
        <w:t>.</w:t>
      </w:r>
      <w:r>
        <w:tab/>
        <w:t>How pet meat is to be stained</w:t>
      </w:r>
      <w:bookmarkEnd w:id="158"/>
      <w:bookmarkEnd w:id="159"/>
      <w:bookmarkEnd w:id="16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61" w:name="_Toc304281846"/>
      <w:bookmarkStart w:id="162" w:name="_Toc322610773"/>
      <w:bookmarkStart w:id="163" w:name="_Toc313433025"/>
      <w:r>
        <w:rPr>
          <w:rStyle w:val="CharSectno"/>
        </w:rPr>
        <w:t>32</w:t>
      </w:r>
      <w:r>
        <w:t>.</w:t>
      </w:r>
      <w:r>
        <w:tab/>
        <w:t>Removal of stain from pet meat prohibited</w:t>
      </w:r>
      <w:bookmarkEnd w:id="161"/>
      <w:bookmarkEnd w:id="162"/>
      <w:bookmarkEnd w:id="163"/>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64" w:name="_Toc243968980"/>
      <w:bookmarkStart w:id="165" w:name="_Toc304212879"/>
      <w:bookmarkStart w:id="166" w:name="_Toc304281847"/>
      <w:bookmarkStart w:id="167" w:name="_Toc313433026"/>
      <w:bookmarkStart w:id="168" w:name="_Toc322600592"/>
      <w:bookmarkStart w:id="169" w:name="_Toc322610774"/>
      <w:r>
        <w:t>Subdivision 3 — Requirements relating to packaged and unpackaged pet meat</w:t>
      </w:r>
      <w:bookmarkEnd w:id="164"/>
      <w:bookmarkEnd w:id="165"/>
      <w:bookmarkEnd w:id="166"/>
      <w:bookmarkEnd w:id="167"/>
      <w:bookmarkEnd w:id="168"/>
      <w:bookmarkEnd w:id="169"/>
    </w:p>
    <w:p>
      <w:pPr>
        <w:pStyle w:val="Heading5"/>
      </w:pPr>
      <w:bookmarkStart w:id="170" w:name="_Toc304281848"/>
      <w:bookmarkStart w:id="171" w:name="_Toc322610775"/>
      <w:bookmarkStart w:id="172" w:name="_Toc313433027"/>
      <w:r>
        <w:rPr>
          <w:rStyle w:val="CharSectno"/>
        </w:rPr>
        <w:t>33</w:t>
      </w:r>
      <w:r>
        <w:t>.</w:t>
      </w:r>
      <w:r>
        <w:tab/>
        <w:t>Pet meat sold by food businesses to be packaged</w:t>
      </w:r>
      <w:bookmarkEnd w:id="170"/>
      <w:bookmarkEnd w:id="171"/>
      <w:bookmarkEnd w:id="17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73" w:name="_Toc304281849"/>
      <w:bookmarkStart w:id="174" w:name="_Toc322610776"/>
      <w:bookmarkStart w:id="175" w:name="_Toc313433028"/>
      <w:r>
        <w:rPr>
          <w:rStyle w:val="CharSectno"/>
        </w:rPr>
        <w:t>34</w:t>
      </w:r>
      <w:r>
        <w:t>.</w:t>
      </w:r>
      <w:r>
        <w:tab/>
        <w:t>Unpackaged pet meat to be sold only at animal food processing premises or retail pet meat shops</w:t>
      </w:r>
      <w:bookmarkEnd w:id="173"/>
      <w:bookmarkEnd w:id="174"/>
      <w:bookmarkEnd w:id="175"/>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76" w:name="_Toc304281850"/>
      <w:bookmarkStart w:id="177" w:name="_Toc322610777"/>
      <w:bookmarkStart w:id="178" w:name="_Toc313433029"/>
      <w:r>
        <w:rPr>
          <w:rStyle w:val="CharSectno"/>
        </w:rPr>
        <w:t>35</w:t>
      </w:r>
      <w:r>
        <w:t>.</w:t>
      </w:r>
      <w:r>
        <w:tab/>
        <w:t>Unpackaged pet meat to be stored at animal food processing premises and retail pet meat shops in marked containers</w:t>
      </w:r>
      <w:bookmarkEnd w:id="176"/>
      <w:bookmarkEnd w:id="177"/>
      <w:bookmarkEnd w:id="17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79" w:name="_Toc304281851"/>
      <w:bookmarkStart w:id="180" w:name="_Toc322610778"/>
      <w:bookmarkStart w:id="181" w:name="_Toc313433030"/>
      <w:r>
        <w:rPr>
          <w:rStyle w:val="CharSectno"/>
        </w:rPr>
        <w:t>36</w:t>
      </w:r>
      <w:r>
        <w:t>.</w:t>
      </w:r>
      <w:r>
        <w:tab/>
        <w:t>Unpackaged pet meat and food not to be processed, handled or sold at same food business premises</w:t>
      </w:r>
      <w:bookmarkEnd w:id="179"/>
      <w:bookmarkEnd w:id="180"/>
      <w:bookmarkEnd w:id="181"/>
    </w:p>
    <w:p>
      <w:pPr>
        <w:pStyle w:val="Subsection"/>
        <w:rPr>
          <w:ins w:id="182" w:author="Master Repository Process" w:date="2021-08-01T15:45:00Z"/>
        </w:rPr>
      </w:pPr>
      <w:ins w:id="183" w:author="Master Repository Process" w:date="2021-08-01T15:45:00Z">
        <w:r>
          <w:tab/>
          <w:t>(1A)</w:t>
        </w:r>
        <w:r>
          <w:tab/>
          <w:t xml:space="preserve">In this regulation — </w:t>
        </w:r>
      </w:ins>
    </w:p>
    <w:p>
      <w:pPr>
        <w:pStyle w:val="Defstart"/>
        <w:rPr>
          <w:ins w:id="184" w:author="Master Repository Process" w:date="2021-08-01T15:45:00Z"/>
        </w:rPr>
      </w:pPr>
      <w:ins w:id="185" w:author="Master Repository Process" w:date="2021-08-01T15:45:00Z">
        <w:r>
          <w:tab/>
        </w:r>
        <w:r>
          <w:rPr>
            <w:rStyle w:val="CharDefText"/>
          </w:rPr>
          <w:t>poultry processing premises</w:t>
        </w:r>
        <w:r>
          <w:t xml:space="preserve"> has the same meaning as in the poultry standard;</w:t>
        </w:r>
      </w:ins>
    </w:p>
    <w:p>
      <w:pPr>
        <w:pStyle w:val="Defstart"/>
        <w:rPr>
          <w:ins w:id="186" w:author="Master Repository Process" w:date="2021-08-01T15:45:00Z"/>
        </w:rPr>
      </w:pPr>
      <w:ins w:id="187" w:author="Master Repository Process" w:date="2021-08-01T15:45:00Z">
        <w:r>
          <w:tab/>
        </w:r>
        <w:r>
          <w:rPr>
            <w:rStyle w:val="CharDefText"/>
          </w:rPr>
          <w:t>poultry standard</w:t>
        </w:r>
        <w:r>
          <w:t xml:space="preserve"> means the standard adopted under regulation 18(1)(f).</w:t>
        </w:r>
      </w:ins>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rPr>
          <w:ins w:id="188" w:author="Master Repository Process" w:date="2021-08-01T15:45:00Z"/>
        </w:rPr>
      </w:pPr>
      <w:ins w:id="189" w:author="Master Repository Process" w:date="2021-08-01T15:45:00Z">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ins>
    </w:p>
    <w:p>
      <w:pPr>
        <w:pStyle w:val="Subsection"/>
        <w:rPr>
          <w:ins w:id="190" w:author="Master Repository Process" w:date="2021-08-01T15:45:00Z"/>
        </w:rPr>
      </w:pPr>
      <w:ins w:id="191" w:author="Master Repository Process" w:date="2021-08-01T15:45:00Z">
        <w:r>
          <w:tab/>
          <w:t>(5)</w:t>
        </w:r>
        <w:r>
          <w:tab/>
          <w:t>Subregulation (1) does not apply to the processing, handling, storage or sale of pet meat at premises if the pet meat, before it became pet meat, was processed, handled or stored as food at those premises.</w:t>
        </w:r>
      </w:ins>
    </w:p>
    <w:p>
      <w:pPr>
        <w:pStyle w:val="Footnotesection"/>
        <w:rPr>
          <w:ins w:id="192" w:author="Master Repository Process" w:date="2021-08-01T15:45:00Z"/>
        </w:rPr>
      </w:pPr>
      <w:ins w:id="193" w:author="Master Repository Process" w:date="2021-08-01T15:45:00Z">
        <w:r>
          <w:tab/>
          <w:t>[Regulation 36 amended in Gazette 20 Apr 2012 p. 1697.]</w:t>
        </w:r>
      </w:ins>
    </w:p>
    <w:p>
      <w:pPr>
        <w:pStyle w:val="Heading4"/>
      </w:pPr>
      <w:bookmarkStart w:id="194" w:name="_Toc243968985"/>
      <w:bookmarkStart w:id="195" w:name="_Toc304212884"/>
      <w:bookmarkStart w:id="196" w:name="_Toc304281852"/>
      <w:bookmarkStart w:id="197" w:name="_Toc313433031"/>
      <w:bookmarkStart w:id="198" w:name="_Toc322600597"/>
      <w:bookmarkStart w:id="199" w:name="_Toc322610779"/>
      <w:r>
        <w:t>Subdivision 4 — Other requirements</w:t>
      </w:r>
      <w:bookmarkEnd w:id="194"/>
      <w:bookmarkEnd w:id="195"/>
      <w:bookmarkEnd w:id="196"/>
      <w:bookmarkEnd w:id="197"/>
      <w:bookmarkEnd w:id="198"/>
      <w:bookmarkEnd w:id="199"/>
    </w:p>
    <w:p>
      <w:pPr>
        <w:pStyle w:val="Heading5"/>
      </w:pPr>
      <w:bookmarkStart w:id="200" w:name="_Toc304281853"/>
      <w:bookmarkStart w:id="201" w:name="_Toc322610780"/>
      <w:bookmarkStart w:id="202" w:name="_Toc313433032"/>
      <w:r>
        <w:rPr>
          <w:rStyle w:val="CharSectno"/>
        </w:rPr>
        <w:t>37</w:t>
      </w:r>
      <w:r>
        <w:t>.</w:t>
      </w:r>
      <w:r>
        <w:tab/>
        <w:t>Proprietor of animal food processing premises to establish and maintain system for tracing pet meat</w:t>
      </w:r>
      <w:bookmarkEnd w:id="200"/>
      <w:bookmarkEnd w:id="201"/>
      <w:bookmarkEnd w:id="202"/>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03" w:name="_Toc304281854"/>
      <w:bookmarkStart w:id="204" w:name="_Toc322610781"/>
      <w:bookmarkStart w:id="205" w:name="_Toc313433033"/>
      <w:r>
        <w:rPr>
          <w:rStyle w:val="CharSectno"/>
        </w:rPr>
        <w:t>38</w:t>
      </w:r>
      <w:r>
        <w:t>.</w:t>
      </w:r>
      <w:r>
        <w:tab/>
        <w:t>Meat and game meat for human consumption not to be stored in animal food processing premises</w:t>
      </w:r>
      <w:bookmarkEnd w:id="203"/>
      <w:bookmarkEnd w:id="204"/>
      <w:bookmarkEnd w:id="20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6" w:name="_Toc304281855"/>
      <w:bookmarkStart w:id="207" w:name="_Toc322610782"/>
      <w:bookmarkStart w:id="208" w:name="_Toc313433034"/>
      <w:r>
        <w:rPr>
          <w:rStyle w:val="CharSectno"/>
        </w:rPr>
        <w:t>39</w:t>
      </w:r>
      <w:r>
        <w:t>.</w:t>
      </w:r>
      <w:r>
        <w:tab/>
        <w:t>Pet meat not to be sold as food</w:t>
      </w:r>
      <w:bookmarkEnd w:id="206"/>
      <w:bookmarkEnd w:id="207"/>
      <w:bookmarkEnd w:id="20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09" w:name="_Toc243968989"/>
      <w:bookmarkStart w:id="210" w:name="_Toc304212888"/>
      <w:bookmarkStart w:id="211" w:name="_Toc304281856"/>
      <w:bookmarkStart w:id="212" w:name="_Toc313433035"/>
      <w:bookmarkStart w:id="213" w:name="_Toc322600601"/>
      <w:bookmarkStart w:id="214" w:name="_Toc322610783"/>
      <w:r>
        <w:t>Subdivision 5 — Notification of conduct of business at animal food processing premises and retail pet meat shops</w:t>
      </w:r>
      <w:bookmarkEnd w:id="209"/>
      <w:bookmarkEnd w:id="210"/>
      <w:bookmarkEnd w:id="211"/>
      <w:bookmarkEnd w:id="212"/>
      <w:bookmarkEnd w:id="213"/>
      <w:bookmarkEnd w:id="214"/>
    </w:p>
    <w:p>
      <w:pPr>
        <w:pStyle w:val="Heading5"/>
      </w:pPr>
      <w:bookmarkStart w:id="215" w:name="_Toc304281857"/>
      <w:bookmarkStart w:id="216" w:name="_Toc322610784"/>
      <w:bookmarkStart w:id="217" w:name="_Toc313433036"/>
      <w:r>
        <w:rPr>
          <w:rStyle w:val="CharSectno"/>
        </w:rPr>
        <w:t>40</w:t>
      </w:r>
      <w:r>
        <w:t>.</w:t>
      </w:r>
      <w:r>
        <w:tab/>
        <w:t>Notification of conduct of business at animal food processing premises and retail pet meat shops</w:t>
      </w:r>
      <w:bookmarkEnd w:id="215"/>
      <w:bookmarkEnd w:id="216"/>
      <w:bookmarkEnd w:id="21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18" w:name="_Toc243968991"/>
      <w:bookmarkStart w:id="219" w:name="_Toc304212890"/>
      <w:bookmarkStart w:id="220" w:name="_Toc304281858"/>
      <w:bookmarkStart w:id="221" w:name="_Toc313433037"/>
      <w:bookmarkStart w:id="222" w:name="_Toc322600603"/>
      <w:bookmarkStart w:id="223" w:name="_Toc322610785"/>
      <w:r>
        <w:rPr>
          <w:rStyle w:val="CharDivNo"/>
        </w:rPr>
        <w:t>Division 5</w:t>
      </w:r>
      <w:r>
        <w:t> — </w:t>
      </w:r>
      <w:r>
        <w:rPr>
          <w:rStyle w:val="CharDivText"/>
        </w:rPr>
        <w:t>Statements and inspection fees</w:t>
      </w:r>
      <w:bookmarkEnd w:id="218"/>
      <w:bookmarkEnd w:id="219"/>
      <w:bookmarkEnd w:id="220"/>
      <w:bookmarkEnd w:id="221"/>
      <w:bookmarkEnd w:id="222"/>
      <w:bookmarkEnd w:id="223"/>
    </w:p>
    <w:p>
      <w:pPr>
        <w:pStyle w:val="Heading5"/>
      </w:pPr>
      <w:bookmarkStart w:id="224" w:name="_Toc304281859"/>
      <w:bookmarkStart w:id="225" w:name="_Toc322610786"/>
      <w:bookmarkStart w:id="226" w:name="_Toc313433038"/>
      <w:r>
        <w:rPr>
          <w:rStyle w:val="CharSectno"/>
        </w:rPr>
        <w:t>41</w:t>
      </w:r>
      <w:r>
        <w:t>.</w:t>
      </w:r>
      <w:r>
        <w:tab/>
        <w:t>Statements and inspection fees</w:t>
      </w:r>
      <w:bookmarkEnd w:id="224"/>
      <w:bookmarkEnd w:id="225"/>
      <w:bookmarkEnd w:id="226"/>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27" w:name="_Toc304281860"/>
      <w:bookmarkStart w:id="228" w:name="_Toc322610787"/>
      <w:bookmarkStart w:id="229" w:name="_Toc313433039"/>
      <w:r>
        <w:rPr>
          <w:rStyle w:val="CharSectno"/>
        </w:rPr>
        <w:t>42</w:t>
      </w:r>
      <w:r>
        <w:t>.</w:t>
      </w:r>
      <w:r>
        <w:tab/>
        <w:t>Application of inspection fees</w:t>
      </w:r>
      <w:bookmarkEnd w:id="227"/>
      <w:bookmarkEnd w:id="228"/>
      <w:bookmarkEnd w:id="229"/>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230" w:name="_Toc304281861"/>
      <w:bookmarkStart w:id="231" w:name="_Toc322610788"/>
      <w:bookmarkStart w:id="232" w:name="_Toc313433040"/>
      <w:r>
        <w:rPr>
          <w:rStyle w:val="CharSectno"/>
        </w:rPr>
        <w:t>43</w:t>
      </w:r>
      <w:r>
        <w:t>.</w:t>
      </w:r>
      <w:r>
        <w:tab/>
        <w:t>Local governments may require security</w:t>
      </w:r>
      <w:bookmarkEnd w:id="230"/>
      <w:bookmarkEnd w:id="231"/>
      <w:bookmarkEnd w:id="232"/>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3" w:name="_Toc304281862"/>
      <w:bookmarkStart w:id="234" w:name="_Toc322610789"/>
      <w:bookmarkStart w:id="235" w:name="_Toc313433041"/>
      <w:r>
        <w:rPr>
          <w:rStyle w:val="CharSectno"/>
        </w:rPr>
        <w:t>44</w:t>
      </w:r>
      <w:r>
        <w:t>.</w:t>
      </w:r>
      <w:r>
        <w:tab/>
        <w:t>Application of security to recover unpaid fees</w:t>
      </w:r>
      <w:bookmarkEnd w:id="233"/>
      <w:bookmarkEnd w:id="234"/>
      <w:bookmarkEnd w:id="23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36" w:name="_Toc304281863"/>
      <w:bookmarkStart w:id="237" w:name="_Toc322610790"/>
      <w:bookmarkStart w:id="238" w:name="_Toc313433042"/>
      <w:r>
        <w:rPr>
          <w:rStyle w:val="CharSectno"/>
        </w:rPr>
        <w:t>45</w:t>
      </w:r>
      <w:r>
        <w:t>.</w:t>
      </w:r>
      <w:r>
        <w:tab/>
        <w:t>Withdrawal of inspection services</w:t>
      </w:r>
      <w:bookmarkEnd w:id="236"/>
      <w:bookmarkEnd w:id="237"/>
      <w:bookmarkEnd w:id="23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39" w:name="_Toc243968997"/>
      <w:bookmarkStart w:id="240" w:name="_Toc304212896"/>
      <w:bookmarkStart w:id="241" w:name="_Toc304281864"/>
      <w:bookmarkStart w:id="242" w:name="_Toc313433043"/>
      <w:bookmarkStart w:id="243" w:name="_Toc322600609"/>
      <w:bookmarkStart w:id="244" w:name="_Toc322610791"/>
      <w:r>
        <w:rPr>
          <w:rStyle w:val="CharDivNo"/>
        </w:rPr>
        <w:t>Division 6</w:t>
      </w:r>
      <w:r>
        <w:t> — </w:t>
      </w:r>
      <w:r>
        <w:rPr>
          <w:rStyle w:val="CharDivText"/>
        </w:rPr>
        <w:t>Premises used in meat production</w:t>
      </w:r>
      <w:bookmarkEnd w:id="239"/>
      <w:bookmarkEnd w:id="240"/>
      <w:bookmarkEnd w:id="241"/>
      <w:bookmarkEnd w:id="242"/>
      <w:bookmarkEnd w:id="243"/>
      <w:bookmarkEnd w:id="244"/>
    </w:p>
    <w:p>
      <w:pPr>
        <w:pStyle w:val="Heading5"/>
      </w:pPr>
      <w:bookmarkStart w:id="245" w:name="_Toc304281865"/>
      <w:bookmarkStart w:id="246" w:name="_Toc322610792"/>
      <w:bookmarkStart w:id="247" w:name="_Toc313433044"/>
      <w:r>
        <w:rPr>
          <w:rStyle w:val="CharSectno"/>
        </w:rPr>
        <w:t>46</w:t>
      </w:r>
      <w:r>
        <w:t>.</w:t>
      </w:r>
      <w:r>
        <w:tab/>
        <w:t>Abattoirs and processing premises to comply with requirements of adopted standards</w:t>
      </w:r>
      <w:bookmarkEnd w:id="245"/>
      <w:bookmarkEnd w:id="246"/>
      <w:bookmarkEnd w:id="24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48" w:name="_Toc304281866"/>
      <w:bookmarkStart w:id="249" w:name="_Toc322610793"/>
      <w:bookmarkStart w:id="250" w:name="_Toc313433045"/>
      <w:r>
        <w:rPr>
          <w:rStyle w:val="CharSectno"/>
        </w:rPr>
        <w:t>47</w:t>
      </w:r>
      <w:r>
        <w:t>.</w:t>
      </w:r>
      <w:r>
        <w:tab/>
        <w:t>Slaughtering and processing to comply with requirements of adopted standards</w:t>
      </w:r>
      <w:bookmarkEnd w:id="248"/>
      <w:bookmarkEnd w:id="249"/>
      <w:bookmarkEnd w:id="25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51" w:name="_Toc243969000"/>
      <w:bookmarkStart w:id="252" w:name="_Toc304212899"/>
      <w:bookmarkStart w:id="253" w:name="_Toc304281867"/>
      <w:bookmarkStart w:id="254" w:name="_Toc313433046"/>
      <w:bookmarkStart w:id="255" w:name="_Toc322600612"/>
      <w:bookmarkStart w:id="256" w:name="_Toc322610794"/>
      <w:r>
        <w:rPr>
          <w:rStyle w:val="CharDivNo"/>
        </w:rPr>
        <w:t>Division 7</w:t>
      </w:r>
      <w:r>
        <w:t> — </w:t>
      </w:r>
      <w:r>
        <w:rPr>
          <w:rStyle w:val="CharDivText"/>
        </w:rPr>
        <w:t>Premises used in game meat production</w:t>
      </w:r>
      <w:bookmarkEnd w:id="251"/>
      <w:bookmarkEnd w:id="252"/>
      <w:bookmarkEnd w:id="253"/>
      <w:bookmarkEnd w:id="254"/>
      <w:bookmarkEnd w:id="255"/>
      <w:bookmarkEnd w:id="256"/>
    </w:p>
    <w:p>
      <w:pPr>
        <w:pStyle w:val="Heading5"/>
      </w:pPr>
      <w:bookmarkStart w:id="257" w:name="_Toc304281868"/>
      <w:bookmarkStart w:id="258" w:name="_Toc322610795"/>
      <w:bookmarkStart w:id="259" w:name="_Toc313433047"/>
      <w:r>
        <w:rPr>
          <w:rStyle w:val="CharSectno"/>
        </w:rPr>
        <w:t>48</w:t>
      </w:r>
      <w:r>
        <w:t>.</w:t>
      </w:r>
      <w:r>
        <w:tab/>
        <w:t>Field depots to comply with requirements of wild game standard</w:t>
      </w:r>
      <w:bookmarkEnd w:id="257"/>
      <w:bookmarkEnd w:id="258"/>
      <w:bookmarkEnd w:id="25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60" w:name="_Toc304281869"/>
      <w:bookmarkStart w:id="261" w:name="_Toc322610796"/>
      <w:bookmarkStart w:id="262" w:name="_Toc313433048"/>
      <w:r>
        <w:rPr>
          <w:rStyle w:val="CharSectno"/>
        </w:rPr>
        <w:t>49</w:t>
      </w:r>
      <w:r>
        <w:t>.</w:t>
      </w:r>
      <w:r>
        <w:tab/>
        <w:t>Wild game meat processing establishments to comply with requirements of wild game standard</w:t>
      </w:r>
      <w:bookmarkEnd w:id="260"/>
      <w:bookmarkEnd w:id="261"/>
      <w:bookmarkEnd w:id="26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63" w:name="_Toc243969003"/>
      <w:bookmarkStart w:id="264" w:name="_Toc304212902"/>
      <w:bookmarkStart w:id="265" w:name="_Toc304281870"/>
      <w:bookmarkStart w:id="266" w:name="_Toc313433049"/>
      <w:bookmarkStart w:id="267" w:name="_Toc322600615"/>
      <w:bookmarkStart w:id="268" w:name="_Toc322610797"/>
      <w:r>
        <w:rPr>
          <w:rStyle w:val="CharDivNo"/>
        </w:rPr>
        <w:t>Division 8</w:t>
      </w:r>
      <w:r>
        <w:t> — </w:t>
      </w:r>
      <w:r>
        <w:rPr>
          <w:rStyle w:val="CharDivText"/>
        </w:rPr>
        <w:t>Transporting meat and game meat</w:t>
      </w:r>
      <w:bookmarkEnd w:id="263"/>
      <w:bookmarkEnd w:id="264"/>
      <w:bookmarkEnd w:id="265"/>
      <w:bookmarkEnd w:id="266"/>
      <w:bookmarkEnd w:id="267"/>
      <w:bookmarkEnd w:id="268"/>
    </w:p>
    <w:p>
      <w:pPr>
        <w:pStyle w:val="Heading5"/>
      </w:pPr>
      <w:bookmarkStart w:id="269" w:name="_Toc304281871"/>
      <w:bookmarkStart w:id="270" w:name="_Toc322610798"/>
      <w:bookmarkStart w:id="271" w:name="_Toc313433050"/>
      <w:r>
        <w:rPr>
          <w:rStyle w:val="CharSectno"/>
        </w:rPr>
        <w:t>50</w:t>
      </w:r>
      <w:r>
        <w:t>.</w:t>
      </w:r>
      <w:r>
        <w:tab/>
        <w:t>Vehicles transporting meat or game meat</w:t>
      </w:r>
      <w:bookmarkEnd w:id="269"/>
      <w:bookmarkEnd w:id="270"/>
      <w:bookmarkEnd w:id="27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72" w:name="_Toc243969005"/>
      <w:bookmarkStart w:id="273" w:name="_Toc304212904"/>
      <w:bookmarkStart w:id="274" w:name="_Toc304281872"/>
      <w:bookmarkStart w:id="275" w:name="_Toc313433051"/>
      <w:bookmarkStart w:id="276" w:name="_Toc322600617"/>
      <w:bookmarkStart w:id="277" w:name="_Toc322610799"/>
      <w:r>
        <w:rPr>
          <w:rStyle w:val="CharPartNo"/>
        </w:rPr>
        <w:t>Part 6</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p>
    <w:p>
      <w:pPr>
        <w:pStyle w:val="Heading5"/>
      </w:pPr>
      <w:bookmarkStart w:id="278" w:name="_Toc304281873"/>
      <w:bookmarkStart w:id="279" w:name="_Toc322610800"/>
      <w:bookmarkStart w:id="280" w:name="_Toc313433052"/>
      <w:r>
        <w:rPr>
          <w:rStyle w:val="CharSectno"/>
        </w:rPr>
        <w:t>51</w:t>
      </w:r>
      <w:r>
        <w:t>.</w:t>
      </w:r>
      <w:r>
        <w:tab/>
        <w:t>Enforcement agency may make list of food businesses publicly available</w:t>
      </w:r>
      <w:bookmarkEnd w:id="278"/>
      <w:bookmarkEnd w:id="279"/>
      <w:bookmarkEnd w:id="28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81" w:name="_Toc304281874"/>
      <w:bookmarkStart w:id="282" w:name="_Toc322610801"/>
      <w:bookmarkStart w:id="283" w:name="_Toc313433053"/>
      <w:r>
        <w:rPr>
          <w:rStyle w:val="CharSectno"/>
        </w:rPr>
        <w:t>52</w:t>
      </w:r>
      <w:r>
        <w:t>.</w:t>
      </w:r>
      <w:r>
        <w:tab/>
        <w:t>Prescribed fees</w:t>
      </w:r>
      <w:bookmarkEnd w:id="281"/>
      <w:bookmarkEnd w:id="282"/>
      <w:bookmarkEnd w:id="28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84" w:name="_Toc304281875"/>
      <w:bookmarkStart w:id="285" w:name="_Toc322610802"/>
      <w:bookmarkStart w:id="286" w:name="_Toc313433054"/>
      <w:r>
        <w:rPr>
          <w:rStyle w:val="CharSectno"/>
        </w:rPr>
        <w:t>53</w:t>
      </w:r>
      <w:r>
        <w:t>.</w:t>
      </w:r>
      <w:r>
        <w:tab/>
        <w:t>Prescribed offences and modified penalties (s. 126)</w:t>
      </w:r>
      <w:bookmarkEnd w:id="284"/>
      <w:bookmarkEnd w:id="285"/>
      <w:bookmarkEnd w:id="286"/>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87" w:name="_Toc304281876"/>
      <w:bookmarkStart w:id="288" w:name="_Toc322610803"/>
      <w:bookmarkStart w:id="289" w:name="_Toc313433055"/>
      <w:r>
        <w:rPr>
          <w:rStyle w:val="CharSectno"/>
        </w:rPr>
        <w:t>54</w:t>
      </w:r>
      <w:r>
        <w:t>.</w:t>
      </w:r>
      <w:r>
        <w:tab/>
        <w:t>Prescribed forms (s. 126(3) and (7))</w:t>
      </w:r>
      <w:bookmarkEnd w:id="287"/>
      <w:bookmarkEnd w:id="288"/>
      <w:bookmarkEnd w:id="289"/>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Heading2"/>
        <w:rPr>
          <w:del w:id="290" w:author="Master Repository Process" w:date="2021-08-01T15:45:00Z"/>
        </w:rPr>
      </w:pPr>
      <w:ins w:id="291" w:author="Master Repository Process" w:date="2021-08-01T15:45:00Z">
        <w:r>
          <w:t>[</w:t>
        </w:r>
      </w:ins>
      <w:bookmarkStart w:id="292" w:name="_Toc243969010"/>
      <w:bookmarkStart w:id="293" w:name="_Toc304212909"/>
      <w:bookmarkStart w:id="294" w:name="_Toc304281877"/>
      <w:bookmarkStart w:id="295" w:name="_Toc313433056"/>
      <w:r>
        <w:t>Part 7</w:t>
      </w:r>
      <w:del w:id="296" w:author="Master Repository Process" w:date="2021-08-01T15:45:00Z">
        <w:r>
          <w:rPr>
            <w:rStyle w:val="CharDivNo"/>
          </w:rPr>
          <w:delText> </w:delText>
        </w:r>
        <w:r>
          <w:delText>—</w:delText>
        </w:r>
        <w:r>
          <w:rPr>
            <w:rStyle w:val="CharDivText"/>
          </w:rPr>
          <w:delText> </w:delText>
        </w:r>
        <w:r>
          <w:rPr>
            <w:rStyle w:val="CharPartText"/>
          </w:rPr>
          <w:delText>Transitional provisions</w:delText>
        </w:r>
        <w:bookmarkEnd w:id="292"/>
        <w:bookmarkEnd w:id="293"/>
        <w:bookmarkEnd w:id="294"/>
        <w:bookmarkEnd w:id="295"/>
      </w:del>
    </w:p>
    <w:p>
      <w:pPr>
        <w:pStyle w:val="Heading5"/>
        <w:rPr>
          <w:del w:id="297" w:author="Master Repository Process" w:date="2021-08-01T15:45:00Z"/>
        </w:rPr>
      </w:pPr>
      <w:ins w:id="298" w:author="Master Repository Process" w:date="2021-08-01T15:45:00Z">
        <w:r>
          <w:t xml:space="preserve"> (r. </w:t>
        </w:r>
      </w:ins>
      <w:bookmarkStart w:id="299" w:name="_Toc304281878"/>
      <w:bookmarkStart w:id="300" w:name="_Toc313433057"/>
      <w:r>
        <w:t>55</w:t>
      </w:r>
      <w:del w:id="301" w:author="Master Repository Process" w:date="2021-08-01T15:45:00Z">
        <w:r>
          <w:delText>.</w:delText>
        </w:r>
        <w:r>
          <w:tab/>
          <w:delText>Terms used</w:delText>
        </w:r>
        <w:bookmarkEnd w:id="299"/>
        <w:bookmarkEnd w:id="300"/>
      </w:del>
    </w:p>
    <w:p>
      <w:pPr>
        <w:pStyle w:val="Subsection"/>
        <w:rPr>
          <w:del w:id="302" w:author="Master Repository Process" w:date="2021-08-01T15:45:00Z"/>
        </w:rPr>
      </w:pPr>
      <w:del w:id="303" w:author="Master Repository Process" w:date="2021-08-01T15:45:00Z">
        <w:r>
          <w:tab/>
        </w:r>
        <w:r>
          <w:tab/>
          <w:delText xml:space="preserve">In this Part — </w:delText>
        </w:r>
      </w:del>
    </w:p>
    <w:p>
      <w:pPr>
        <w:pStyle w:val="Defstart"/>
        <w:rPr>
          <w:del w:id="304" w:author="Master Repository Process" w:date="2021-08-01T15:45:00Z"/>
        </w:rPr>
      </w:pPr>
      <w:del w:id="305" w:author="Master Repository Process" w:date="2021-08-01T15:45:00Z">
        <w:r>
          <w:tab/>
        </w:r>
        <w:r>
          <w:rPr>
            <w:rStyle w:val="CharDefText"/>
          </w:rPr>
          <w:delText>commencement day</w:delText>
        </w:r>
        <w:r>
          <w:delText xml:space="preserve"> means the day on which this Part comes into operation;</w:delText>
        </w:r>
      </w:del>
    </w:p>
    <w:p>
      <w:pPr>
        <w:pStyle w:val="Ednotepart"/>
      </w:pPr>
      <w:del w:id="306" w:author="Master Repository Process" w:date="2021-08-01T15:45:00Z">
        <w:r>
          <w:tab/>
        </w:r>
        <w:r>
          <w:rPr>
            <w:rStyle w:val="CharDefText"/>
          </w:rPr>
          <w:delText>Health Act</w:delText>
        </w:r>
        <w:r>
          <w:delText xml:space="preserve"> means the </w:delText>
        </w:r>
        <w:r>
          <w:rPr>
            <w:iCs/>
          </w:rPr>
          <w:delText>Health Act 1911</w:delText>
        </w:r>
        <w:r>
          <w:delText xml:space="preserve"> as</w:delText>
        </w:r>
      </w:del>
      <w:ins w:id="307" w:author="Master Repository Process" w:date="2021-08-01T15:45:00Z">
        <w:r>
          <w:noBreakHyphen/>
          <w:t>63) deleted</w:t>
        </w:r>
      </w:ins>
      <w:r>
        <w:t xml:space="preserve"> in </w:t>
      </w:r>
      <w:del w:id="308" w:author="Master Repository Process" w:date="2021-08-01T15:45:00Z">
        <w:r>
          <w:delText>force immediately before the commencement day.</w:delText>
        </w:r>
      </w:del>
      <w:ins w:id="309" w:author="Master Repository Process" w:date="2021-08-01T15:45:00Z">
        <w:r>
          <w:t>Gazette 20 Apr 2012 p. 1697.]</w:t>
        </w:r>
      </w:ins>
    </w:p>
    <w:p>
      <w:pPr>
        <w:pStyle w:val="Heading5"/>
        <w:rPr>
          <w:del w:id="310" w:author="Master Repository Process" w:date="2021-08-01T15:45:00Z"/>
        </w:rPr>
      </w:pPr>
      <w:bookmarkStart w:id="311" w:name="_Toc304281879"/>
      <w:bookmarkStart w:id="312" w:name="_Toc313433058"/>
      <w:del w:id="313" w:author="Master Repository Process" w:date="2021-08-01T15:45:00Z">
        <w:r>
          <w:rPr>
            <w:rStyle w:val="CharSectno"/>
          </w:rPr>
          <w:delText>56</w:delText>
        </w:r>
        <w:r>
          <w:delText>.</w:delText>
        </w:r>
        <w:r>
          <w:tab/>
          <w:delText>Environmental health officers</w:delText>
        </w:r>
        <w:bookmarkEnd w:id="311"/>
        <w:bookmarkEnd w:id="312"/>
      </w:del>
    </w:p>
    <w:p>
      <w:pPr>
        <w:pStyle w:val="Subsection"/>
        <w:rPr>
          <w:del w:id="314" w:author="Master Repository Process" w:date="2021-08-01T15:45:00Z"/>
        </w:rPr>
      </w:pPr>
      <w:del w:id="315" w:author="Master Repository Process" w:date="2021-08-01T15:45:00Z">
        <w:r>
          <w:tab/>
          <w:delText>(1)</w:delText>
        </w:r>
        <w:r>
          <w:tab/>
          <w:delText xml:space="preserve">In this regulation — </w:delText>
        </w:r>
      </w:del>
    </w:p>
    <w:p>
      <w:pPr>
        <w:pStyle w:val="Defstart"/>
        <w:rPr>
          <w:del w:id="316" w:author="Master Repository Process" w:date="2021-08-01T15:45:00Z"/>
        </w:rPr>
      </w:pPr>
      <w:del w:id="317" w:author="Master Repository Process" w:date="2021-08-01T15:45:00Z">
        <w:r>
          <w:tab/>
        </w:r>
        <w:r>
          <w:rPr>
            <w:rStyle w:val="CharDefText"/>
          </w:rPr>
          <w:delText>environmental health officer</w:delText>
        </w:r>
        <w:r>
          <w:delText xml:space="preserve"> means a person who holds office as an environmental health officer — </w:delText>
        </w:r>
      </w:del>
    </w:p>
    <w:p>
      <w:pPr>
        <w:pStyle w:val="Defpara"/>
        <w:rPr>
          <w:del w:id="318" w:author="Master Repository Process" w:date="2021-08-01T15:45:00Z"/>
        </w:rPr>
      </w:pPr>
      <w:del w:id="319" w:author="Master Repository Process" w:date="2021-08-01T15:45:00Z">
        <w:r>
          <w:tab/>
          <w:delText>(a)</w:delText>
        </w:r>
        <w:r>
          <w:tab/>
          <w:delText>having been appointed as an environmental health officer by a local government for the purposes of the Health Act; or</w:delText>
        </w:r>
      </w:del>
    </w:p>
    <w:p>
      <w:pPr>
        <w:pStyle w:val="Defpara"/>
        <w:rPr>
          <w:del w:id="320" w:author="Master Repository Process" w:date="2021-08-01T15:45:00Z"/>
        </w:rPr>
      </w:pPr>
      <w:del w:id="321" w:author="Master Repository Process" w:date="2021-08-01T15:45:00Z">
        <w:r>
          <w:tab/>
          <w:delText>(b)</w:delText>
        </w:r>
        <w:r>
          <w:tab/>
          <w:delText>having been appointed as an environmental health officer by 2 or more local governments under the Health Act section 30; or</w:delText>
        </w:r>
      </w:del>
    </w:p>
    <w:p>
      <w:pPr>
        <w:pStyle w:val="Defpara"/>
        <w:rPr>
          <w:del w:id="322" w:author="Master Repository Process" w:date="2021-08-01T15:45:00Z"/>
        </w:rPr>
      </w:pPr>
      <w:del w:id="323" w:author="Master Repository Process" w:date="2021-08-01T15:45:00Z">
        <w:r>
          <w:tab/>
          <w:delText>(c)</w:delText>
        </w:r>
        <w:r>
          <w:tab/>
          <w:delText xml:space="preserve">having been designated as an environmental health officer under the </w:delText>
        </w:r>
        <w:r>
          <w:rPr>
            <w:i/>
          </w:rPr>
          <w:delText>Health Legislation Administration Act 1984</w:delText>
        </w:r>
        <w:r>
          <w:delText>;</w:delText>
        </w:r>
      </w:del>
    </w:p>
    <w:p>
      <w:pPr>
        <w:pStyle w:val="Defstart"/>
        <w:rPr>
          <w:del w:id="324" w:author="Master Repository Process" w:date="2021-08-01T15:45:00Z"/>
        </w:rPr>
      </w:pPr>
      <w:del w:id="325" w:author="Master Repository Process" w:date="2021-08-01T15:45:00Z">
        <w:r>
          <w:tab/>
        </w:r>
        <w:r>
          <w:rPr>
            <w:rStyle w:val="CharDefText"/>
          </w:rPr>
          <w:delText>Executive Director, Public Health</w:delText>
        </w:r>
        <w:r>
          <w:delText xml:space="preserve"> has the meaning given in the Health Act section 3(1).</w:delText>
        </w:r>
      </w:del>
    </w:p>
    <w:p>
      <w:pPr>
        <w:pStyle w:val="Subsection"/>
        <w:rPr>
          <w:del w:id="326" w:author="Master Repository Process" w:date="2021-08-01T15:45:00Z"/>
        </w:rPr>
      </w:pPr>
      <w:del w:id="327" w:author="Master Repository Process" w:date="2021-08-01T15:45:00Z">
        <w:r>
          <w:tab/>
          <w:delText>(2)</w:delText>
        </w:r>
        <w:r>
          <w:tab/>
          <w:delText xml:space="preserve">A person holding office, immediately before the commencement day, as an environmental health officer is to be taken to have been appointed as an authorised officer under section 122 of the Act — </w:delText>
        </w:r>
      </w:del>
    </w:p>
    <w:p>
      <w:pPr>
        <w:pStyle w:val="Indenta"/>
        <w:rPr>
          <w:del w:id="328" w:author="Master Repository Process" w:date="2021-08-01T15:45:00Z"/>
        </w:rPr>
      </w:pPr>
      <w:del w:id="329" w:author="Master Repository Process" w:date="2021-08-01T15:45:00Z">
        <w:r>
          <w:tab/>
          <w:delText>(a)</w:delText>
        </w:r>
        <w:r>
          <w:tab/>
          <w:delText>if subregulation (1)(a) applies — by the relevant local government; or</w:delText>
        </w:r>
      </w:del>
    </w:p>
    <w:p>
      <w:pPr>
        <w:pStyle w:val="Indenta"/>
        <w:rPr>
          <w:del w:id="330" w:author="Master Repository Process" w:date="2021-08-01T15:45:00Z"/>
        </w:rPr>
      </w:pPr>
      <w:del w:id="331" w:author="Master Repository Process" w:date="2021-08-01T15:45:00Z">
        <w:r>
          <w:tab/>
          <w:delText>(b)</w:delText>
        </w:r>
        <w:r>
          <w:tab/>
          <w:delText>if subregulation (1)(b) applies — by each of the relevant local governments; or</w:delText>
        </w:r>
      </w:del>
    </w:p>
    <w:p>
      <w:pPr>
        <w:pStyle w:val="Indenta"/>
        <w:rPr>
          <w:del w:id="332" w:author="Master Repository Process" w:date="2021-08-01T15:45:00Z"/>
        </w:rPr>
      </w:pPr>
      <w:del w:id="333" w:author="Master Repository Process" w:date="2021-08-01T15:45:00Z">
        <w:r>
          <w:tab/>
          <w:delText>(c)</w:delText>
        </w:r>
        <w:r>
          <w:tab/>
          <w:delText>if subregulation (1)(c) applies — by the CEO.</w:delText>
        </w:r>
      </w:del>
    </w:p>
    <w:p>
      <w:pPr>
        <w:pStyle w:val="Heading5"/>
        <w:rPr>
          <w:del w:id="334" w:author="Master Repository Process" w:date="2021-08-01T15:45:00Z"/>
        </w:rPr>
      </w:pPr>
      <w:bookmarkStart w:id="335" w:name="_Toc304281880"/>
      <w:bookmarkStart w:id="336" w:name="_Toc313433059"/>
      <w:del w:id="337" w:author="Master Repository Process" w:date="2021-08-01T15:45:00Z">
        <w:r>
          <w:rPr>
            <w:rStyle w:val="CharSectno"/>
          </w:rPr>
          <w:delText>57</w:delText>
        </w:r>
        <w:r>
          <w:delText>.</w:delText>
        </w:r>
        <w:r>
          <w:tab/>
          <w:delText>Certificates of authority</w:delText>
        </w:r>
        <w:bookmarkEnd w:id="335"/>
        <w:bookmarkEnd w:id="336"/>
      </w:del>
    </w:p>
    <w:p>
      <w:pPr>
        <w:pStyle w:val="Subsection"/>
        <w:rPr>
          <w:del w:id="338" w:author="Master Repository Process" w:date="2021-08-01T15:45:00Z"/>
        </w:rPr>
      </w:pPr>
      <w:del w:id="339" w:author="Master Repository Process" w:date="2021-08-01T15:45:00Z">
        <w:r>
          <w:tab/>
          <w:delText>(1)</w:delText>
        </w:r>
        <w:r>
          <w:tab/>
          <w:delText xml:space="preserve">A certificate of authority (however described) issued by a local government or the Executive Director, Public Health to an environmental health officer who is to be taken to be an authorised officer under regulation 56(2) has effect as a certificate of authority provided to the officer under section 123 of the Act until — </w:delText>
        </w:r>
      </w:del>
    </w:p>
    <w:p>
      <w:pPr>
        <w:pStyle w:val="Indenta"/>
        <w:rPr>
          <w:del w:id="340" w:author="Master Repository Process" w:date="2021-08-01T15:45:00Z"/>
        </w:rPr>
      </w:pPr>
      <w:del w:id="341" w:author="Master Repository Process" w:date="2021-08-01T15:45:00Z">
        <w:r>
          <w:tab/>
          <w:delText>(a)</w:delText>
        </w:r>
        <w:r>
          <w:tab/>
          <w:delText>a certificate of authority is provided to the officer under section 123 of the Act; or</w:delText>
        </w:r>
      </w:del>
    </w:p>
    <w:p>
      <w:pPr>
        <w:pStyle w:val="Indenta"/>
        <w:rPr>
          <w:del w:id="342" w:author="Master Repository Process" w:date="2021-08-01T15:45:00Z"/>
        </w:rPr>
      </w:pPr>
      <w:del w:id="343" w:author="Master Repository Process" w:date="2021-08-01T15:45:00Z">
        <w:r>
          <w:tab/>
          <w:delText>(b)</w:delText>
        </w:r>
        <w:r>
          <w:tab/>
          <w:delText>31 December 2009,</w:delText>
        </w:r>
      </w:del>
    </w:p>
    <w:p>
      <w:pPr>
        <w:pStyle w:val="Subsection"/>
        <w:rPr>
          <w:del w:id="344" w:author="Master Repository Process" w:date="2021-08-01T15:45:00Z"/>
        </w:rPr>
      </w:pPr>
      <w:del w:id="345" w:author="Master Repository Process" w:date="2021-08-01T15:45:00Z">
        <w:r>
          <w:tab/>
        </w:r>
        <w:r>
          <w:tab/>
          <w:delText>whichever occurs first.</w:delText>
        </w:r>
      </w:del>
    </w:p>
    <w:p>
      <w:pPr>
        <w:pStyle w:val="Subsection"/>
        <w:rPr>
          <w:del w:id="346" w:author="Master Repository Process" w:date="2021-08-01T15:45:00Z"/>
        </w:rPr>
      </w:pPr>
      <w:del w:id="347" w:author="Master Repository Process" w:date="2021-08-01T15:45:00Z">
        <w:r>
          <w:tab/>
          <w:delText>(2)</w:delText>
        </w:r>
        <w:r>
          <w:tab/>
          <w:delText>A certificate of authority (however described) issued jointly by 2 or more local governments (</w:delText>
        </w:r>
        <w:r>
          <w:rPr>
            <w:rStyle w:val="CharDefText"/>
          </w:rPr>
          <w:delText>authorising local governments</w:delText>
        </w:r>
        <w:r>
          <w:delText xml:space="preserve">) to an environmental health officer who is to be taken to be an authorised officer under regulation 56(2) has effect as a certificate of authority provided to the officer under section 123 of the Act by an authorising local government until — </w:delText>
        </w:r>
      </w:del>
    </w:p>
    <w:p>
      <w:pPr>
        <w:pStyle w:val="Indenta"/>
        <w:rPr>
          <w:del w:id="348" w:author="Master Repository Process" w:date="2021-08-01T15:45:00Z"/>
        </w:rPr>
      </w:pPr>
      <w:del w:id="349" w:author="Master Repository Process" w:date="2021-08-01T15:45:00Z">
        <w:r>
          <w:tab/>
          <w:delText>(a)</w:delText>
        </w:r>
        <w:r>
          <w:tab/>
          <w:delText>a certificate of authority is provided to the officer under section 123 of the Act by the authorising local government; or</w:delText>
        </w:r>
      </w:del>
    </w:p>
    <w:p>
      <w:pPr>
        <w:pStyle w:val="Indenta"/>
        <w:rPr>
          <w:del w:id="350" w:author="Master Repository Process" w:date="2021-08-01T15:45:00Z"/>
        </w:rPr>
      </w:pPr>
      <w:del w:id="351" w:author="Master Repository Process" w:date="2021-08-01T15:45:00Z">
        <w:r>
          <w:tab/>
          <w:delText>(b)</w:delText>
        </w:r>
        <w:r>
          <w:tab/>
          <w:delText>31 December 2009,</w:delText>
        </w:r>
      </w:del>
    </w:p>
    <w:p>
      <w:pPr>
        <w:pStyle w:val="Subsection"/>
        <w:rPr>
          <w:del w:id="352" w:author="Master Repository Process" w:date="2021-08-01T15:45:00Z"/>
        </w:rPr>
      </w:pPr>
      <w:del w:id="353" w:author="Master Repository Process" w:date="2021-08-01T15:45:00Z">
        <w:r>
          <w:tab/>
        </w:r>
        <w:r>
          <w:tab/>
          <w:delText>whichever occurs first.</w:delText>
        </w:r>
      </w:del>
    </w:p>
    <w:p>
      <w:pPr>
        <w:pStyle w:val="Heading5"/>
        <w:rPr>
          <w:del w:id="354" w:author="Master Repository Process" w:date="2021-08-01T15:45:00Z"/>
        </w:rPr>
      </w:pPr>
      <w:bookmarkStart w:id="355" w:name="_Toc304281881"/>
      <w:bookmarkStart w:id="356" w:name="_Toc313433060"/>
      <w:del w:id="357" w:author="Master Repository Process" w:date="2021-08-01T15:45:00Z">
        <w:r>
          <w:rPr>
            <w:rStyle w:val="CharSectno"/>
          </w:rPr>
          <w:delText>58</w:delText>
        </w:r>
        <w:r>
          <w:delText>.</w:delText>
        </w:r>
        <w:r>
          <w:tab/>
          <w:delText>Eating-houses</w:delText>
        </w:r>
        <w:bookmarkEnd w:id="355"/>
        <w:bookmarkEnd w:id="356"/>
      </w:del>
    </w:p>
    <w:p>
      <w:pPr>
        <w:pStyle w:val="Subsection"/>
        <w:rPr>
          <w:del w:id="358" w:author="Master Repository Process" w:date="2021-08-01T15:45:00Z"/>
        </w:rPr>
      </w:pPr>
      <w:del w:id="359" w:author="Master Repository Process" w:date="2021-08-01T15:45:00Z">
        <w:r>
          <w:tab/>
          <w:delText>(1)</w:delText>
        </w:r>
        <w:r>
          <w:tab/>
          <w:delText xml:space="preserve">In this regulation — </w:delText>
        </w:r>
      </w:del>
    </w:p>
    <w:p>
      <w:pPr>
        <w:pStyle w:val="Defstart"/>
        <w:rPr>
          <w:del w:id="360" w:author="Master Repository Process" w:date="2021-08-01T15:45:00Z"/>
        </w:rPr>
      </w:pPr>
      <w:del w:id="361" w:author="Master Repository Process" w:date="2021-08-01T15:45:00Z">
        <w:r>
          <w:tab/>
        </w:r>
        <w:r>
          <w:rPr>
            <w:rStyle w:val="CharDefText"/>
          </w:rPr>
          <w:delText>eating-house</w:delText>
        </w:r>
        <w:r>
          <w:delText xml:space="preserve"> has the meaning given in the Health Act section 160;</w:delText>
        </w:r>
      </w:del>
    </w:p>
    <w:p>
      <w:pPr>
        <w:pStyle w:val="Defstart"/>
        <w:rPr>
          <w:del w:id="362" w:author="Master Repository Process" w:date="2021-08-01T15:45:00Z"/>
        </w:rPr>
      </w:pPr>
      <w:del w:id="363" w:author="Master Repository Process" w:date="2021-08-01T15:45:00Z">
        <w:r>
          <w:tab/>
        </w:r>
        <w:r>
          <w:rPr>
            <w:rStyle w:val="CharDefText"/>
          </w:rPr>
          <w:delText>registered</w:delText>
        </w:r>
        <w:r>
          <w:delText xml:space="preserve"> or </w:delText>
        </w:r>
        <w:r>
          <w:rPr>
            <w:rStyle w:val="CharDefText"/>
          </w:rPr>
          <w:delText>registration</w:delText>
        </w:r>
        <w:r>
          <w:delText>, in relation to an eating-house, has the same meaning as in the Health Act section 162.</w:delText>
        </w:r>
      </w:del>
    </w:p>
    <w:p>
      <w:pPr>
        <w:pStyle w:val="Subsection"/>
        <w:rPr>
          <w:del w:id="364" w:author="Master Repository Process" w:date="2021-08-01T15:45:00Z"/>
        </w:rPr>
      </w:pPr>
      <w:del w:id="365" w:author="Master Repository Process" w:date="2021-08-01T15:45:00Z">
        <w:r>
          <w:tab/>
          <w:delText>(2)</w:delText>
        </w:r>
        <w:r>
          <w:tab/>
          <w:delText xml:space="preserve">If — </w:delText>
        </w:r>
      </w:del>
    </w:p>
    <w:p>
      <w:pPr>
        <w:pStyle w:val="Indenta"/>
        <w:rPr>
          <w:del w:id="366" w:author="Master Repository Process" w:date="2021-08-01T15:45:00Z"/>
        </w:rPr>
      </w:pPr>
      <w:del w:id="367" w:author="Master Repository Process" w:date="2021-08-01T15:45:00Z">
        <w:r>
          <w:tab/>
          <w:delText>(a)</w:delText>
        </w:r>
        <w:r>
          <w:tab/>
          <w:delText>an application has been made to a local government or the Executive Director, Public Health for the registration of an eating-house in respect of any premises; and</w:delText>
        </w:r>
      </w:del>
    </w:p>
    <w:p>
      <w:pPr>
        <w:pStyle w:val="Indenta"/>
        <w:rPr>
          <w:del w:id="368" w:author="Master Repository Process" w:date="2021-08-01T15:45:00Z"/>
        </w:rPr>
      </w:pPr>
      <w:del w:id="369" w:author="Master Repository Process" w:date="2021-08-01T15:45:00Z">
        <w:r>
          <w:tab/>
          <w:delText>(b)</w:delText>
        </w:r>
        <w:r>
          <w:tab/>
          <w:delText>the application was pending immediately before the commencement day,</w:delText>
        </w:r>
      </w:del>
    </w:p>
    <w:p>
      <w:pPr>
        <w:pStyle w:val="Subsection"/>
        <w:rPr>
          <w:del w:id="370" w:author="Master Repository Process" w:date="2021-08-01T15:45:00Z"/>
        </w:rPr>
      </w:pPr>
      <w:del w:id="371" w:author="Master Repository Process" w:date="2021-08-01T15:45:00Z">
        <w:r>
          <w:tab/>
        </w:r>
        <w:r>
          <w:tab/>
          <w:delText>the local government or the CEO, as the case requires, is to treat the application as an application for the registration of a food business in respect of those premises under section 110 of the Act.</w:delText>
        </w:r>
      </w:del>
    </w:p>
    <w:p>
      <w:pPr>
        <w:pStyle w:val="Subsection"/>
        <w:rPr>
          <w:del w:id="372" w:author="Master Repository Process" w:date="2021-08-01T15:45:00Z"/>
        </w:rPr>
      </w:pPr>
      <w:del w:id="373" w:author="Master Repository Process" w:date="2021-08-01T15:45:00Z">
        <w:r>
          <w:tab/>
          <w:delText>(3)</w:delText>
        </w:r>
        <w:r>
          <w:tab/>
          <w:delText>The food business is to be taken to have been registered in respect of the premises under section 110 of the Act until the application is granted or refused.</w:delText>
        </w:r>
      </w:del>
    </w:p>
    <w:p>
      <w:pPr>
        <w:pStyle w:val="Subsection"/>
        <w:rPr>
          <w:del w:id="374" w:author="Master Repository Process" w:date="2021-08-01T15:45:00Z"/>
        </w:rPr>
      </w:pPr>
      <w:del w:id="375" w:author="Master Repository Process" w:date="2021-08-01T15:45:00Z">
        <w:r>
          <w:tab/>
          <w:delText>(4)</w:delText>
        </w:r>
        <w:r>
          <w:tab/>
          <w:delText>If, immediately before the commencement day, the business conducted at any premises was registered as an eating-house by a local government or the Executive Director, Public Health in respect of those premises, the business is to be taken to have been registered in respect of the premises by the local government or the CEO, as the case requires, under section 110 of the Act.</w:delText>
        </w:r>
      </w:del>
    </w:p>
    <w:p>
      <w:pPr>
        <w:pStyle w:val="Heading5"/>
        <w:rPr>
          <w:del w:id="376" w:author="Master Repository Process" w:date="2021-08-01T15:45:00Z"/>
        </w:rPr>
      </w:pPr>
      <w:bookmarkStart w:id="377" w:name="_Toc304281882"/>
      <w:bookmarkStart w:id="378" w:name="_Toc313433061"/>
      <w:del w:id="379" w:author="Master Repository Process" w:date="2021-08-01T15:45:00Z">
        <w:r>
          <w:rPr>
            <w:rStyle w:val="CharSectno"/>
          </w:rPr>
          <w:delText>59</w:delText>
        </w:r>
        <w:r>
          <w:delText>.</w:delText>
        </w:r>
        <w:r>
          <w:tab/>
          <w:delText>Premises where smallgoods are manufactured</w:delText>
        </w:r>
        <w:bookmarkEnd w:id="377"/>
        <w:bookmarkEnd w:id="378"/>
      </w:del>
    </w:p>
    <w:p>
      <w:pPr>
        <w:pStyle w:val="Subsection"/>
        <w:rPr>
          <w:del w:id="380" w:author="Master Repository Process" w:date="2021-08-01T15:45:00Z"/>
        </w:rPr>
      </w:pPr>
      <w:del w:id="381" w:author="Master Repository Process" w:date="2021-08-01T15:45:00Z">
        <w:r>
          <w:tab/>
          <w:delText>(1)</w:delText>
        </w:r>
        <w:r>
          <w:tab/>
          <w:delText xml:space="preserve">If — </w:delText>
        </w:r>
      </w:del>
    </w:p>
    <w:p>
      <w:pPr>
        <w:pStyle w:val="Indenta"/>
        <w:rPr>
          <w:del w:id="382" w:author="Master Repository Process" w:date="2021-08-01T15:45:00Z"/>
        </w:rPr>
      </w:pPr>
      <w:del w:id="383" w:author="Master Repository Process" w:date="2021-08-01T15:45:00Z">
        <w:r>
          <w:tab/>
          <w:delText>(a)</w:delText>
        </w:r>
        <w:r>
          <w:tab/>
          <w:delText xml:space="preserve">an application has been made to a local government by a person licensed under the </w:delText>
        </w:r>
        <w:r>
          <w:rPr>
            <w:i/>
          </w:rPr>
          <w:delText>Health (Food Hygiene) Regulations 1993</w:delText>
        </w:r>
        <w:r>
          <w:delText xml:space="preserve"> regulation 9A for the registration of premises under regulation 9B of those regulations; and</w:delText>
        </w:r>
      </w:del>
    </w:p>
    <w:p>
      <w:pPr>
        <w:pStyle w:val="Indenta"/>
        <w:rPr>
          <w:del w:id="384" w:author="Master Repository Process" w:date="2021-08-01T15:45:00Z"/>
        </w:rPr>
      </w:pPr>
      <w:del w:id="385" w:author="Master Repository Process" w:date="2021-08-01T15:45:00Z">
        <w:r>
          <w:tab/>
          <w:delText>(b)</w:delText>
        </w:r>
        <w:r>
          <w:tab/>
          <w:delText>the application was pending immediately before the commencement day,</w:delText>
        </w:r>
      </w:del>
    </w:p>
    <w:p>
      <w:pPr>
        <w:pStyle w:val="Subsection"/>
        <w:rPr>
          <w:del w:id="386" w:author="Master Repository Process" w:date="2021-08-01T15:45:00Z"/>
        </w:rPr>
      </w:pPr>
      <w:del w:id="387" w:author="Master Repository Process" w:date="2021-08-01T15:45:00Z">
        <w:r>
          <w:tab/>
        </w:r>
        <w:r>
          <w:tab/>
          <w:delText>the local government is to treat the application as an application for the registration of a food business in respect of those premises under section 110 of the Act.</w:delText>
        </w:r>
      </w:del>
    </w:p>
    <w:p>
      <w:pPr>
        <w:pStyle w:val="Subsection"/>
        <w:rPr>
          <w:del w:id="388" w:author="Master Repository Process" w:date="2021-08-01T15:45:00Z"/>
        </w:rPr>
      </w:pPr>
      <w:del w:id="389" w:author="Master Repository Process" w:date="2021-08-01T15:45:00Z">
        <w:r>
          <w:tab/>
          <w:delText>(2)</w:delText>
        </w:r>
        <w:r>
          <w:tab/>
          <w:delText>The food business is to be taken to have been registered in respect of the premises under section 110 of the Act until the application is granted or refused.</w:delText>
        </w:r>
      </w:del>
    </w:p>
    <w:p>
      <w:pPr>
        <w:pStyle w:val="Subsection"/>
        <w:rPr>
          <w:del w:id="390" w:author="Master Repository Process" w:date="2021-08-01T15:45:00Z"/>
        </w:rPr>
      </w:pPr>
      <w:del w:id="391" w:author="Master Repository Process" w:date="2021-08-01T15:45:00Z">
        <w:r>
          <w:tab/>
          <w:delText>(3)</w:delText>
        </w:r>
        <w:r>
          <w:tab/>
          <w:delText xml:space="preserve">If, immediately before the commencement day, premises were registered by a local government under the </w:delText>
        </w:r>
        <w:r>
          <w:rPr>
            <w:i/>
          </w:rPr>
          <w:delText>Health (Food Hygiene) Regulations 1993</w:delText>
        </w:r>
        <w:r>
          <w:delText xml:space="preserve"> regulation 9B, the food business conducted at the premises is to be taken to have been registered in respect of those premises by the local government under section 110 of the Act.</w:delText>
        </w:r>
      </w:del>
    </w:p>
    <w:p>
      <w:pPr>
        <w:pStyle w:val="Heading5"/>
        <w:rPr>
          <w:del w:id="392" w:author="Master Repository Process" w:date="2021-08-01T15:45:00Z"/>
        </w:rPr>
      </w:pPr>
      <w:bookmarkStart w:id="393" w:name="_Toc304281883"/>
      <w:bookmarkStart w:id="394" w:name="_Toc313433062"/>
      <w:del w:id="395" w:author="Master Repository Process" w:date="2021-08-01T15:45:00Z">
        <w:r>
          <w:rPr>
            <w:rStyle w:val="CharSectno"/>
          </w:rPr>
          <w:delText>60</w:delText>
        </w:r>
        <w:r>
          <w:delText>.</w:delText>
        </w:r>
        <w:r>
          <w:tab/>
          <w:delText>Other food businesses</w:delText>
        </w:r>
        <w:bookmarkEnd w:id="393"/>
        <w:bookmarkEnd w:id="394"/>
      </w:del>
    </w:p>
    <w:p>
      <w:pPr>
        <w:pStyle w:val="Subsection"/>
        <w:rPr>
          <w:del w:id="396" w:author="Master Repository Process" w:date="2021-08-01T15:45:00Z"/>
        </w:rPr>
      </w:pPr>
      <w:del w:id="397" w:author="Master Repository Process" w:date="2021-08-01T15:45:00Z">
        <w:r>
          <w:tab/>
          <w:delText>(1)</w:delText>
        </w:r>
        <w:r>
          <w:tab/>
          <w:delText xml:space="preserve">If — </w:delText>
        </w:r>
      </w:del>
    </w:p>
    <w:p>
      <w:pPr>
        <w:pStyle w:val="Indenta"/>
        <w:rPr>
          <w:del w:id="398" w:author="Master Repository Process" w:date="2021-08-01T15:45:00Z"/>
        </w:rPr>
      </w:pPr>
      <w:del w:id="399" w:author="Master Repository Process" w:date="2021-08-01T15:45:00Z">
        <w:r>
          <w:tab/>
          <w:delText>(a)</w:delText>
        </w:r>
        <w:r>
          <w:tab/>
          <w:delText>on the commencement day a food business is being conducted at any premises; and</w:delText>
        </w:r>
      </w:del>
    </w:p>
    <w:p>
      <w:pPr>
        <w:pStyle w:val="Indenta"/>
        <w:rPr>
          <w:del w:id="400" w:author="Master Repository Process" w:date="2021-08-01T15:45:00Z"/>
        </w:rPr>
      </w:pPr>
      <w:del w:id="401" w:author="Master Repository Process" w:date="2021-08-01T15:45:00Z">
        <w:r>
          <w:tab/>
          <w:delText>(b)</w:delText>
        </w:r>
        <w:r>
          <w:tab/>
          <w:delText>transitional arrangements for the food business are not otherwise provided for in another provision of this Part,</w:delText>
        </w:r>
      </w:del>
    </w:p>
    <w:p>
      <w:pPr>
        <w:pStyle w:val="Subsection"/>
        <w:rPr>
          <w:del w:id="402" w:author="Master Repository Process" w:date="2021-08-01T15:45:00Z"/>
        </w:rPr>
      </w:pPr>
      <w:del w:id="403" w:author="Master Repository Process" w:date="2021-08-01T15:45:00Z">
        <w:r>
          <w:tab/>
        </w:r>
        <w:r>
          <w:tab/>
          <w:delText xml:space="preserve">the food business is to be taken to have been registered in respect of those premises by the appropriate enforcement agency until — </w:delText>
        </w:r>
      </w:del>
    </w:p>
    <w:p>
      <w:pPr>
        <w:pStyle w:val="Indenta"/>
        <w:rPr>
          <w:del w:id="404" w:author="Master Repository Process" w:date="2021-08-01T15:45:00Z"/>
        </w:rPr>
      </w:pPr>
      <w:del w:id="405" w:author="Master Repository Process" w:date="2021-08-01T15:45:00Z">
        <w:r>
          <w:tab/>
          <w:delText>(c)</w:delText>
        </w:r>
        <w:r>
          <w:tab/>
          <w:delText>the proprietor of the food business applies to the appropriate enforcement agency for the registration of the food business in respect of those premises under section 110 of the Act; and</w:delText>
        </w:r>
      </w:del>
    </w:p>
    <w:p>
      <w:pPr>
        <w:pStyle w:val="Indenta"/>
        <w:rPr>
          <w:del w:id="406" w:author="Master Repository Process" w:date="2021-08-01T15:45:00Z"/>
        </w:rPr>
      </w:pPr>
      <w:del w:id="407" w:author="Master Repository Process" w:date="2021-08-01T15:45:00Z">
        <w:r>
          <w:tab/>
          <w:delText>(d)</w:delText>
        </w:r>
        <w:r>
          <w:tab/>
          <w:delText>the application is granted or refused.</w:delText>
        </w:r>
      </w:del>
    </w:p>
    <w:p>
      <w:pPr>
        <w:pStyle w:val="Subsection"/>
        <w:rPr>
          <w:del w:id="408" w:author="Master Repository Process" w:date="2021-08-01T15:45:00Z"/>
        </w:rPr>
      </w:pPr>
      <w:del w:id="409" w:author="Master Repository Process" w:date="2021-08-01T15:45:00Z">
        <w:r>
          <w:tab/>
          <w:delText>(2)</w:delText>
        </w:r>
        <w:r>
          <w:tab/>
          <w:delText>Subregulation (1) ceases to have effect on 31 December 2009 in respect of the food business if the proprietor of the food business has not made the application before that day.</w:delText>
        </w:r>
      </w:del>
    </w:p>
    <w:p>
      <w:pPr>
        <w:pStyle w:val="Heading5"/>
        <w:rPr>
          <w:del w:id="410" w:author="Master Repository Process" w:date="2021-08-01T15:45:00Z"/>
        </w:rPr>
      </w:pPr>
      <w:bookmarkStart w:id="411" w:name="_Toc304281884"/>
      <w:bookmarkStart w:id="412" w:name="_Toc313433063"/>
      <w:del w:id="413" w:author="Master Repository Process" w:date="2021-08-01T15:45:00Z">
        <w:r>
          <w:rPr>
            <w:rStyle w:val="CharSectno"/>
          </w:rPr>
          <w:delText>61</w:delText>
        </w:r>
        <w:r>
          <w:delText>.</w:delText>
        </w:r>
        <w:r>
          <w:tab/>
          <w:delText>Pet meat premises</w:delText>
        </w:r>
        <w:bookmarkEnd w:id="411"/>
        <w:bookmarkEnd w:id="412"/>
      </w:del>
    </w:p>
    <w:p>
      <w:pPr>
        <w:pStyle w:val="Subsection"/>
        <w:rPr>
          <w:del w:id="414" w:author="Master Repository Process" w:date="2021-08-01T15:45:00Z"/>
        </w:rPr>
      </w:pPr>
      <w:del w:id="415" w:author="Master Repository Process" w:date="2021-08-01T15:45:00Z">
        <w:r>
          <w:tab/>
          <w:delText>(1)</w:delText>
        </w:r>
        <w:r>
          <w:tab/>
          <w:delText xml:space="preserve">If — </w:delText>
        </w:r>
      </w:del>
    </w:p>
    <w:p>
      <w:pPr>
        <w:pStyle w:val="Indenta"/>
        <w:rPr>
          <w:del w:id="416" w:author="Master Repository Process" w:date="2021-08-01T15:45:00Z"/>
        </w:rPr>
      </w:pPr>
      <w:del w:id="417" w:author="Master Repository Process" w:date="2021-08-01T15:45:00Z">
        <w:r>
          <w:tab/>
          <w:delText>(a)</w:delText>
        </w:r>
        <w:r>
          <w:tab/>
          <w:delText xml:space="preserve">an application has been made to a local government for the registration of premises under the </w:delText>
        </w:r>
        <w:r>
          <w:rPr>
            <w:i/>
            <w:iCs/>
          </w:rPr>
          <w:delText>Health (Pet Meat) Regulations 1990</w:delText>
        </w:r>
        <w:r>
          <w:delText xml:space="preserve"> Part 8; and</w:delText>
        </w:r>
      </w:del>
    </w:p>
    <w:p>
      <w:pPr>
        <w:pStyle w:val="Indenta"/>
        <w:rPr>
          <w:del w:id="418" w:author="Master Repository Process" w:date="2021-08-01T15:45:00Z"/>
        </w:rPr>
      </w:pPr>
      <w:del w:id="419" w:author="Master Repository Process" w:date="2021-08-01T15:45:00Z">
        <w:r>
          <w:tab/>
          <w:delText>(b)</w:delText>
        </w:r>
        <w:r>
          <w:tab/>
          <w:delText>the application was pending immediately before the commencement day,</w:delText>
        </w:r>
      </w:del>
    </w:p>
    <w:p>
      <w:pPr>
        <w:pStyle w:val="Subsection"/>
        <w:rPr>
          <w:del w:id="420" w:author="Master Repository Process" w:date="2021-08-01T15:45:00Z"/>
        </w:rPr>
      </w:pPr>
      <w:del w:id="421" w:author="Master Repository Process" w:date="2021-08-01T15:45:00Z">
        <w:r>
          <w:tab/>
        </w:r>
        <w:r>
          <w:tab/>
          <w:delText>the local government is to treat the application as notification given to the local government in relation to the business conducted at the premises for the purposes of regulation 40.</w:delText>
        </w:r>
      </w:del>
    </w:p>
    <w:p>
      <w:pPr>
        <w:pStyle w:val="Subsection"/>
        <w:rPr>
          <w:del w:id="422" w:author="Master Repository Process" w:date="2021-08-01T15:45:00Z"/>
        </w:rPr>
      </w:pPr>
      <w:del w:id="423" w:author="Master Repository Process" w:date="2021-08-01T15:45:00Z">
        <w:r>
          <w:tab/>
          <w:delText>(2)</w:delText>
        </w:r>
        <w:r>
          <w:tab/>
          <w:delText xml:space="preserve">If a business is conducted at premises that, immediately before the commencement day, were registered by a local government under the </w:delText>
        </w:r>
        <w:r>
          <w:rPr>
            <w:i/>
            <w:iCs/>
          </w:rPr>
          <w:delText>Health (Pet Meat) Regulations 1990</w:delText>
        </w:r>
        <w:r>
          <w:delText xml:space="preserve"> Part 8, notification is to be taken to have been given to the local government in relation to the business conducted at the premises for the purposes of regulation 40.</w:delText>
        </w:r>
      </w:del>
    </w:p>
    <w:p>
      <w:pPr>
        <w:pStyle w:val="Heading5"/>
        <w:rPr>
          <w:del w:id="424" w:author="Master Repository Process" w:date="2021-08-01T15:45:00Z"/>
        </w:rPr>
      </w:pPr>
      <w:bookmarkStart w:id="425" w:name="_Toc304281885"/>
      <w:bookmarkStart w:id="426" w:name="_Toc313433064"/>
      <w:del w:id="427" w:author="Master Repository Process" w:date="2021-08-01T15:45:00Z">
        <w:r>
          <w:rPr>
            <w:rStyle w:val="CharSectno"/>
          </w:rPr>
          <w:delText>62</w:delText>
        </w:r>
        <w:r>
          <w:delText>.</w:delText>
        </w:r>
        <w:r>
          <w:tab/>
          <w:delText>Approved laboratories</w:delText>
        </w:r>
        <w:bookmarkEnd w:id="425"/>
        <w:bookmarkEnd w:id="426"/>
      </w:del>
    </w:p>
    <w:p>
      <w:pPr>
        <w:pStyle w:val="Subsection"/>
        <w:rPr>
          <w:del w:id="428" w:author="Master Repository Process" w:date="2021-08-01T15:45:00Z"/>
        </w:rPr>
      </w:pPr>
      <w:del w:id="429" w:author="Master Repository Process" w:date="2021-08-01T15:45:00Z">
        <w:r>
          <w:tab/>
          <w:delText>(1)</w:delText>
        </w:r>
        <w:r>
          <w:tab/>
          <w:delText xml:space="preserve">In this regulation — </w:delText>
        </w:r>
      </w:del>
    </w:p>
    <w:p>
      <w:pPr>
        <w:pStyle w:val="Defstart"/>
        <w:rPr>
          <w:del w:id="430" w:author="Master Repository Process" w:date="2021-08-01T15:45:00Z"/>
        </w:rPr>
      </w:pPr>
      <w:del w:id="431" w:author="Master Repository Process" w:date="2021-08-01T15:45:00Z">
        <w:r>
          <w:tab/>
        </w:r>
        <w:r>
          <w:rPr>
            <w:rStyle w:val="CharDefText"/>
          </w:rPr>
          <w:delText>corresponding provision</w:delText>
        </w:r>
        <w:r>
          <w:delText xml:space="preserve"> means a provision of a law of another State or a Territory that corresponds to section 82 of the Act.</w:delText>
        </w:r>
      </w:del>
    </w:p>
    <w:p>
      <w:pPr>
        <w:pStyle w:val="Subsection"/>
        <w:rPr>
          <w:del w:id="432" w:author="Master Repository Process" w:date="2021-08-01T15:45:00Z"/>
        </w:rPr>
      </w:pPr>
      <w:del w:id="433" w:author="Master Repository Process" w:date="2021-08-01T15:45:00Z">
        <w:r>
          <w:tab/>
          <w:delText>(2)</w:delText>
        </w:r>
        <w:r>
          <w:tab/>
          <w:delText xml:space="preserve">A laboratory that, immediately before the commencement day, was approved under a corresponding provision is to be taken to have been approved by the CEO under section 82 of the Act until — </w:delText>
        </w:r>
      </w:del>
    </w:p>
    <w:p>
      <w:pPr>
        <w:pStyle w:val="Indenta"/>
        <w:rPr>
          <w:del w:id="434" w:author="Master Repository Process" w:date="2021-08-01T15:45:00Z"/>
        </w:rPr>
      </w:pPr>
      <w:del w:id="435" w:author="Master Repository Process" w:date="2021-08-01T15:45:00Z">
        <w:r>
          <w:tab/>
          <w:delText>(a)</w:delText>
        </w:r>
        <w:r>
          <w:tab/>
          <w:delText>the CEO grants or refuses an application for approval of the laboratory under section 82 of the Act; or</w:delText>
        </w:r>
      </w:del>
    </w:p>
    <w:p>
      <w:pPr>
        <w:pStyle w:val="Indenta"/>
        <w:rPr>
          <w:del w:id="436" w:author="Master Repository Process" w:date="2021-08-01T15:45:00Z"/>
        </w:rPr>
      </w:pPr>
      <w:del w:id="437" w:author="Master Repository Process" w:date="2021-08-01T15:45:00Z">
        <w:r>
          <w:tab/>
          <w:delText>(b)</w:delText>
        </w:r>
        <w:r>
          <w:tab/>
          <w:delText>the day 12 months after the commencement day,</w:delText>
        </w:r>
      </w:del>
    </w:p>
    <w:p>
      <w:pPr>
        <w:pStyle w:val="Subsection"/>
        <w:rPr>
          <w:del w:id="438" w:author="Master Repository Process" w:date="2021-08-01T15:45:00Z"/>
        </w:rPr>
      </w:pPr>
      <w:del w:id="439" w:author="Master Repository Process" w:date="2021-08-01T15:45:00Z">
        <w:r>
          <w:tab/>
        </w:r>
        <w:r>
          <w:tab/>
          <w:delText>whichever occurs first.</w:delText>
        </w:r>
      </w:del>
    </w:p>
    <w:p>
      <w:pPr>
        <w:pStyle w:val="Heading5"/>
        <w:rPr>
          <w:del w:id="440" w:author="Master Repository Process" w:date="2021-08-01T15:45:00Z"/>
        </w:rPr>
      </w:pPr>
      <w:bookmarkStart w:id="441" w:name="_Toc304281886"/>
      <w:bookmarkStart w:id="442" w:name="_Toc313433065"/>
      <w:del w:id="443" w:author="Master Repository Process" w:date="2021-08-01T15:45:00Z">
        <w:r>
          <w:rPr>
            <w:rStyle w:val="CharSectno"/>
          </w:rPr>
          <w:delText>63</w:delText>
        </w:r>
        <w:r>
          <w:delText>.</w:delText>
        </w:r>
        <w:r>
          <w:tab/>
          <w:delText>Approved analysts</w:delText>
        </w:r>
        <w:bookmarkEnd w:id="441"/>
        <w:bookmarkEnd w:id="442"/>
      </w:del>
    </w:p>
    <w:p>
      <w:pPr>
        <w:pStyle w:val="Subsection"/>
        <w:rPr>
          <w:del w:id="444" w:author="Master Repository Process" w:date="2021-08-01T15:45:00Z"/>
        </w:rPr>
      </w:pPr>
      <w:del w:id="445" w:author="Master Repository Process" w:date="2021-08-01T15:45:00Z">
        <w:r>
          <w:tab/>
          <w:delText>(1)</w:delText>
        </w:r>
        <w:r>
          <w:tab/>
          <w:delText xml:space="preserve">In this regulation — </w:delText>
        </w:r>
      </w:del>
    </w:p>
    <w:p>
      <w:pPr>
        <w:pStyle w:val="Defstart"/>
        <w:rPr>
          <w:del w:id="446" w:author="Master Repository Process" w:date="2021-08-01T15:45:00Z"/>
        </w:rPr>
      </w:pPr>
      <w:del w:id="447" w:author="Master Repository Process" w:date="2021-08-01T15:45:00Z">
        <w:r>
          <w:tab/>
        </w:r>
        <w:r>
          <w:rPr>
            <w:rStyle w:val="CharDefText"/>
          </w:rPr>
          <w:delText>corresponding provision</w:delText>
        </w:r>
        <w:r>
          <w:delText xml:space="preserve"> means a provision of a law of another State or a Territory that corresponds to section 88 of the Act.</w:delText>
        </w:r>
      </w:del>
    </w:p>
    <w:p>
      <w:pPr>
        <w:pStyle w:val="Subsection"/>
        <w:rPr>
          <w:del w:id="448" w:author="Master Repository Process" w:date="2021-08-01T15:45:00Z"/>
        </w:rPr>
      </w:pPr>
      <w:del w:id="449" w:author="Master Repository Process" w:date="2021-08-01T15:45:00Z">
        <w:r>
          <w:tab/>
          <w:delText>(2)</w:delText>
        </w:r>
        <w:r>
          <w:tab/>
          <w:delText xml:space="preserve">An individual who, immediately before the commencement day — </w:delText>
        </w:r>
      </w:del>
    </w:p>
    <w:p>
      <w:pPr>
        <w:pStyle w:val="Indenta"/>
        <w:rPr>
          <w:del w:id="450" w:author="Master Repository Process" w:date="2021-08-01T15:45:00Z"/>
        </w:rPr>
      </w:pPr>
      <w:del w:id="451" w:author="Master Repository Process" w:date="2021-08-01T15:45:00Z">
        <w:r>
          <w:tab/>
          <w:delText>(a)</w:delText>
        </w:r>
        <w:r>
          <w:tab/>
          <w:delText>was an analyst as defined in the Health Act section 246G(1); or</w:delText>
        </w:r>
      </w:del>
    </w:p>
    <w:p>
      <w:pPr>
        <w:pStyle w:val="Indenta"/>
        <w:rPr>
          <w:del w:id="452" w:author="Master Repository Process" w:date="2021-08-01T15:45:00Z"/>
        </w:rPr>
      </w:pPr>
      <w:del w:id="453" w:author="Master Repository Process" w:date="2021-08-01T15:45:00Z">
        <w:r>
          <w:tab/>
          <w:delText>(b)</w:delText>
        </w:r>
        <w:r>
          <w:tab/>
          <w:delText>was approved under a corresponding provision,</w:delText>
        </w:r>
      </w:del>
    </w:p>
    <w:p>
      <w:pPr>
        <w:pStyle w:val="Subsection"/>
        <w:rPr>
          <w:del w:id="454" w:author="Master Repository Process" w:date="2021-08-01T15:45:00Z"/>
        </w:rPr>
      </w:pPr>
      <w:del w:id="455" w:author="Master Repository Process" w:date="2021-08-01T15:45:00Z">
        <w:r>
          <w:tab/>
        </w:r>
        <w:r>
          <w:tab/>
          <w:delText xml:space="preserve">is to be taken to have been approved by the CEO under section 88 of the Act until — </w:delText>
        </w:r>
      </w:del>
    </w:p>
    <w:p>
      <w:pPr>
        <w:pStyle w:val="Indenta"/>
        <w:rPr>
          <w:del w:id="456" w:author="Master Repository Process" w:date="2021-08-01T15:45:00Z"/>
        </w:rPr>
      </w:pPr>
      <w:del w:id="457" w:author="Master Repository Process" w:date="2021-08-01T15:45:00Z">
        <w:r>
          <w:tab/>
          <w:delText>(c)</w:delText>
        </w:r>
        <w:r>
          <w:tab/>
          <w:delText>the CEO grants or refuses an application by the individual for approval under section 88 of the Act; or</w:delText>
        </w:r>
      </w:del>
    </w:p>
    <w:p>
      <w:pPr>
        <w:pStyle w:val="Indenta"/>
        <w:rPr>
          <w:del w:id="458" w:author="Master Repository Process" w:date="2021-08-01T15:45:00Z"/>
        </w:rPr>
      </w:pPr>
      <w:del w:id="459" w:author="Master Repository Process" w:date="2021-08-01T15:45:00Z">
        <w:r>
          <w:tab/>
          <w:delText>(d)</w:delText>
        </w:r>
        <w:r>
          <w:tab/>
          <w:delText>the day 12 months after the commencement day,</w:delText>
        </w:r>
      </w:del>
    </w:p>
    <w:p>
      <w:pPr>
        <w:pStyle w:val="Subsection"/>
        <w:rPr>
          <w:del w:id="460" w:author="Master Repository Process" w:date="2021-08-01T15:45:00Z"/>
        </w:rPr>
      </w:pPr>
      <w:del w:id="461" w:author="Master Repository Process" w:date="2021-08-01T15:45:00Z">
        <w:r>
          <w:tab/>
        </w:r>
        <w:r>
          <w:tab/>
          <w:delText>whichever occurs first.</w:delText>
        </w:r>
      </w:del>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462" w:name="_Toc243969020"/>
      <w:bookmarkStart w:id="463" w:name="_Toc304212919"/>
      <w:bookmarkStart w:id="464" w:name="_Toc304281887"/>
      <w:bookmarkStart w:id="465" w:name="_Toc313433066"/>
      <w:bookmarkStart w:id="466" w:name="_Toc322600622"/>
      <w:bookmarkStart w:id="467" w:name="_Toc322610804"/>
      <w:r>
        <w:rPr>
          <w:rStyle w:val="CharSchNo"/>
        </w:rPr>
        <w:t>Schedule 1</w:t>
      </w:r>
      <w:r>
        <w:rPr>
          <w:rStyle w:val="CharSDivNo"/>
        </w:rPr>
        <w:t> </w:t>
      </w:r>
      <w:r>
        <w:t>—</w:t>
      </w:r>
      <w:bookmarkStart w:id="468" w:name="AutoSch"/>
      <w:bookmarkEnd w:id="468"/>
      <w:r>
        <w:rPr>
          <w:rStyle w:val="CharSDivText"/>
        </w:rPr>
        <w:t> </w:t>
      </w:r>
      <w:r>
        <w:rPr>
          <w:rStyle w:val="CharSchText"/>
        </w:rPr>
        <w:t>Inspection fees</w:t>
      </w:r>
      <w:bookmarkEnd w:id="462"/>
      <w:bookmarkEnd w:id="463"/>
      <w:bookmarkEnd w:id="464"/>
      <w:bookmarkEnd w:id="465"/>
      <w:bookmarkEnd w:id="466"/>
      <w:bookmarkEnd w:id="467"/>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469" w:name="_Toc243969021"/>
      <w:r>
        <w:rPr>
          <w:rStyle w:val="CharSchNo"/>
        </w:rPr>
        <w:tab/>
        <w:t xml:space="preserve">[Schedule 1 </w:t>
      </w:r>
      <w:r>
        <w:t>amended in Gazette 20 Sep 2011 p. 3799.]</w:t>
      </w:r>
    </w:p>
    <w:p>
      <w:pPr>
        <w:pStyle w:val="yScheduleHeading"/>
      </w:pPr>
      <w:bookmarkStart w:id="470" w:name="_Toc304212920"/>
      <w:bookmarkStart w:id="471" w:name="_Toc304281888"/>
      <w:bookmarkStart w:id="472" w:name="_Toc313433067"/>
      <w:bookmarkStart w:id="473" w:name="_Toc322600623"/>
      <w:bookmarkStart w:id="474" w:name="_Toc322610805"/>
      <w:r>
        <w:rPr>
          <w:rStyle w:val="CharSchNo"/>
        </w:rPr>
        <w:t>Schedule 2</w:t>
      </w:r>
      <w:r>
        <w:rPr>
          <w:rStyle w:val="CharSDivNo"/>
        </w:rPr>
        <w:t> </w:t>
      </w:r>
      <w:r>
        <w:t>—</w:t>
      </w:r>
      <w:r>
        <w:rPr>
          <w:rStyle w:val="CharSDivText"/>
        </w:rPr>
        <w:t> </w:t>
      </w:r>
      <w:r>
        <w:rPr>
          <w:rStyle w:val="CharSchText"/>
        </w:rPr>
        <w:t>Prescribed fees</w:t>
      </w:r>
      <w:bookmarkEnd w:id="469"/>
      <w:bookmarkEnd w:id="470"/>
      <w:bookmarkEnd w:id="471"/>
      <w:bookmarkEnd w:id="472"/>
      <w:bookmarkEnd w:id="473"/>
      <w:bookmarkEnd w:id="474"/>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475" w:name="_Toc243969022"/>
      <w:bookmarkStart w:id="476" w:name="_Toc304212921"/>
      <w:bookmarkStart w:id="477" w:name="_Toc304281889"/>
      <w:bookmarkStart w:id="478" w:name="_Toc313433068"/>
      <w:bookmarkStart w:id="479" w:name="_Toc322600624"/>
      <w:bookmarkStart w:id="480" w:name="_Toc322610806"/>
      <w:r>
        <w:rPr>
          <w:rStyle w:val="CharSchNo"/>
        </w:rPr>
        <w:t>Schedule 3</w:t>
      </w:r>
      <w:r>
        <w:rPr>
          <w:rStyle w:val="CharSDivNo"/>
        </w:rPr>
        <w:t> </w:t>
      </w:r>
      <w:r>
        <w:t>—</w:t>
      </w:r>
      <w:r>
        <w:rPr>
          <w:rStyle w:val="CharSDivText"/>
        </w:rPr>
        <w:t> </w:t>
      </w:r>
      <w:r>
        <w:rPr>
          <w:rStyle w:val="CharSchText"/>
        </w:rPr>
        <w:t>Prescribed offences and modified penalties</w:t>
      </w:r>
      <w:bookmarkEnd w:id="475"/>
      <w:bookmarkEnd w:id="476"/>
      <w:bookmarkEnd w:id="477"/>
      <w:bookmarkEnd w:id="478"/>
      <w:bookmarkEnd w:id="479"/>
      <w:bookmarkEnd w:id="480"/>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rPr>
          <w:ins w:id="481" w:author="Master Repository Process" w:date="2021-08-01T15:45:00Z"/>
        </w:trPr>
        <w:tc>
          <w:tcPr>
            <w:tcW w:w="709" w:type="dxa"/>
          </w:tcPr>
          <w:p>
            <w:pPr>
              <w:pStyle w:val="yTable"/>
              <w:rPr>
                <w:ins w:id="482" w:author="Master Repository Process" w:date="2021-08-01T15:45:00Z"/>
              </w:rPr>
            </w:pPr>
            <w:ins w:id="483" w:author="Master Repository Process" w:date="2021-08-01T15:45:00Z">
              <w:r>
                <w:t>7A.</w:t>
              </w:r>
            </w:ins>
          </w:p>
        </w:tc>
        <w:tc>
          <w:tcPr>
            <w:tcW w:w="2126" w:type="dxa"/>
          </w:tcPr>
          <w:p>
            <w:pPr>
              <w:pStyle w:val="yTable"/>
              <w:tabs>
                <w:tab w:val="right" w:pos="1363"/>
              </w:tabs>
              <w:rPr>
                <w:ins w:id="484" w:author="Master Repository Process" w:date="2021-08-01T15:45:00Z"/>
              </w:rPr>
            </w:pPr>
            <w:ins w:id="485" w:author="Master Repository Process" w:date="2021-08-01T15:45:00Z">
              <w:r>
                <w:t>s. 36</w:t>
              </w:r>
            </w:ins>
          </w:p>
        </w:tc>
        <w:tc>
          <w:tcPr>
            <w:tcW w:w="2126" w:type="dxa"/>
          </w:tcPr>
          <w:p>
            <w:pPr>
              <w:pStyle w:val="yTable"/>
              <w:tabs>
                <w:tab w:val="right" w:pos="1363"/>
              </w:tabs>
              <w:rPr>
                <w:ins w:id="486" w:author="Master Repository Process" w:date="2021-08-01T15:45:00Z"/>
              </w:rPr>
            </w:pPr>
            <w:ins w:id="487" w:author="Master Repository Process" w:date="2021-08-01T15:45:00Z">
              <w:r>
                <w:t>$500</w:t>
              </w:r>
            </w:ins>
          </w:p>
        </w:tc>
        <w:tc>
          <w:tcPr>
            <w:tcW w:w="1950" w:type="dxa"/>
          </w:tcPr>
          <w:p>
            <w:pPr>
              <w:pStyle w:val="yTable"/>
              <w:tabs>
                <w:tab w:val="right" w:pos="1363"/>
              </w:tabs>
              <w:rPr>
                <w:ins w:id="488" w:author="Master Repository Process" w:date="2021-08-01T15:45:00Z"/>
              </w:rPr>
            </w:pPr>
            <w:ins w:id="489" w:author="Master Repository Process" w:date="2021-08-01T15:45:00Z">
              <w:r>
                <w:t>$1 000</w:t>
              </w:r>
            </w:ins>
          </w:p>
        </w:tc>
      </w:tr>
      <w:tr>
        <w:trPr>
          <w:ins w:id="490" w:author="Master Repository Process" w:date="2021-08-01T15:45:00Z"/>
        </w:trPr>
        <w:tc>
          <w:tcPr>
            <w:tcW w:w="709" w:type="dxa"/>
          </w:tcPr>
          <w:p>
            <w:pPr>
              <w:pStyle w:val="yTable"/>
              <w:rPr>
                <w:ins w:id="491" w:author="Master Repository Process" w:date="2021-08-01T15:45:00Z"/>
              </w:rPr>
            </w:pPr>
            <w:ins w:id="492" w:author="Master Repository Process" w:date="2021-08-01T15:45:00Z">
              <w:r>
                <w:t>7B.</w:t>
              </w:r>
            </w:ins>
          </w:p>
        </w:tc>
        <w:tc>
          <w:tcPr>
            <w:tcW w:w="2126" w:type="dxa"/>
          </w:tcPr>
          <w:p>
            <w:pPr>
              <w:pStyle w:val="yTable"/>
              <w:tabs>
                <w:tab w:val="right" w:pos="1363"/>
              </w:tabs>
              <w:rPr>
                <w:ins w:id="493" w:author="Master Repository Process" w:date="2021-08-01T15:45:00Z"/>
              </w:rPr>
            </w:pPr>
            <w:ins w:id="494" w:author="Master Repository Process" w:date="2021-08-01T15:45:00Z">
              <w:r>
                <w:t>s. 45(1)</w:t>
              </w:r>
            </w:ins>
          </w:p>
        </w:tc>
        <w:tc>
          <w:tcPr>
            <w:tcW w:w="2126" w:type="dxa"/>
          </w:tcPr>
          <w:p>
            <w:pPr>
              <w:pStyle w:val="yTable"/>
              <w:tabs>
                <w:tab w:val="right" w:pos="1363"/>
              </w:tabs>
              <w:rPr>
                <w:ins w:id="495" w:author="Master Repository Process" w:date="2021-08-01T15:45:00Z"/>
              </w:rPr>
            </w:pPr>
            <w:ins w:id="496" w:author="Master Repository Process" w:date="2021-08-01T15:45:00Z">
              <w:r>
                <w:t>$500</w:t>
              </w:r>
            </w:ins>
          </w:p>
        </w:tc>
        <w:tc>
          <w:tcPr>
            <w:tcW w:w="1950" w:type="dxa"/>
          </w:tcPr>
          <w:p>
            <w:pPr>
              <w:pStyle w:val="yTable"/>
              <w:tabs>
                <w:tab w:val="right" w:pos="1363"/>
              </w:tabs>
              <w:rPr>
                <w:ins w:id="497" w:author="Master Repository Process" w:date="2021-08-01T15:45:00Z"/>
              </w:rPr>
            </w:pPr>
            <w:ins w:id="498" w:author="Master Repository Process" w:date="2021-08-01T15:45:00Z">
              <w:r>
                <w:t>$1 000</w:t>
              </w:r>
            </w:ins>
          </w:p>
        </w:tc>
      </w:tr>
      <w:tr>
        <w:trPr>
          <w:ins w:id="499" w:author="Master Repository Process" w:date="2021-08-01T15:45:00Z"/>
        </w:trPr>
        <w:tc>
          <w:tcPr>
            <w:tcW w:w="709" w:type="dxa"/>
          </w:tcPr>
          <w:p>
            <w:pPr>
              <w:pStyle w:val="yTable"/>
              <w:rPr>
                <w:ins w:id="500" w:author="Master Repository Process" w:date="2021-08-01T15:45:00Z"/>
              </w:rPr>
            </w:pPr>
            <w:ins w:id="501" w:author="Master Repository Process" w:date="2021-08-01T15:45:00Z">
              <w:r>
                <w:t>7C.</w:t>
              </w:r>
            </w:ins>
          </w:p>
        </w:tc>
        <w:tc>
          <w:tcPr>
            <w:tcW w:w="2126" w:type="dxa"/>
          </w:tcPr>
          <w:p>
            <w:pPr>
              <w:pStyle w:val="yTable"/>
              <w:tabs>
                <w:tab w:val="right" w:pos="1363"/>
              </w:tabs>
              <w:rPr>
                <w:ins w:id="502" w:author="Master Repository Process" w:date="2021-08-01T15:45:00Z"/>
              </w:rPr>
            </w:pPr>
            <w:ins w:id="503" w:author="Master Repository Process" w:date="2021-08-01T15:45:00Z">
              <w:r>
                <w:t>s. 46</w:t>
              </w:r>
            </w:ins>
          </w:p>
        </w:tc>
        <w:tc>
          <w:tcPr>
            <w:tcW w:w="2126" w:type="dxa"/>
          </w:tcPr>
          <w:p>
            <w:pPr>
              <w:pStyle w:val="yTable"/>
              <w:tabs>
                <w:tab w:val="right" w:pos="1363"/>
              </w:tabs>
              <w:rPr>
                <w:ins w:id="504" w:author="Master Repository Process" w:date="2021-08-01T15:45:00Z"/>
              </w:rPr>
            </w:pPr>
            <w:ins w:id="505" w:author="Master Repository Process" w:date="2021-08-01T15:45:00Z">
              <w:r>
                <w:t>$500</w:t>
              </w:r>
            </w:ins>
          </w:p>
        </w:tc>
        <w:tc>
          <w:tcPr>
            <w:tcW w:w="1950" w:type="dxa"/>
          </w:tcPr>
          <w:p>
            <w:pPr>
              <w:pStyle w:val="yTable"/>
              <w:tabs>
                <w:tab w:val="right" w:pos="1363"/>
              </w:tabs>
              <w:rPr>
                <w:ins w:id="506" w:author="Master Repository Process" w:date="2021-08-01T15:45:00Z"/>
              </w:rPr>
            </w:pPr>
            <w:ins w:id="507" w:author="Master Repository Process" w:date="2021-08-01T15:45:00Z">
              <w:r>
                <w:t>$1 000</w:t>
              </w:r>
            </w:ins>
          </w:p>
        </w:tc>
      </w:tr>
      <w:tr>
        <w:trPr>
          <w:ins w:id="508" w:author="Master Repository Process" w:date="2021-08-01T15:45:00Z"/>
        </w:trPr>
        <w:tc>
          <w:tcPr>
            <w:tcW w:w="709" w:type="dxa"/>
          </w:tcPr>
          <w:p>
            <w:pPr>
              <w:pStyle w:val="yTable"/>
              <w:rPr>
                <w:ins w:id="509" w:author="Master Repository Process" w:date="2021-08-01T15:45:00Z"/>
              </w:rPr>
            </w:pPr>
            <w:ins w:id="510" w:author="Master Repository Process" w:date="2021-08-01T15:45:00Z">
              <w:r>
                <w:t>7D.</w:t>
              </w:r>
            </w:ins>
          </w:p>
        </w:tc>
        <w:tc>
          <w:tcPr>
            <w:tcW w:w="2126" w:type="dxa"/>
          </w:tcPr>
          <w:p>
            <w:pPr>
              <w:pStyle w:val="yTable"/>
              <w:tabs>
                <w:tab w:val="right" w:pos="1363"/>
              </w:tabs>
              <w:rPr>
                <w:ins w:id="511" w:author="Master Repository Process" w:date="2021-08-01T15:45:00Z"/>
              </w:rPr>
            </w:pPr>
            <w:ins w:id="512" w:author="Master Repository Process" w:date="2021-08-01T15:45:00Z">
              <w:r>
                <w:t>s. 48(1)</w:t>
              </w:r>
            </w:ins>
          </w:p>
        </w:tc>
        <w:tc>
          <w:tcPr>
            <w:tcW w:w="2126" w:type="dxa"/>
          </w:tcPr>
          <w:p>
            <w:pPr>
              <w:pStyle w:val="yTable"/>
              <w:tabs>
                <w:tab w:val="right" w:pos="1363"/>
              </w:tabs>
              <w:rPr>
                <w:ins w:id="513" w:author="Master Repository Process" w:date="2021-08-01T15:45:00Z"/>
              </w:rPr>
            </w:pPr>
            <w:ins w:id="514" w:author="Master Repository Process" w:date="2021-08-01T15:45:00Z">
              <w:r>
                <w:t>$500</w:t>
              </w:r>
            </w:ins>
          </w:p>
        </w:tc>
        <w:tc>
          <w:tcPr>
            <w:tcW w:w="1950" w:type="dxa"/>
          </w:tcPr>
          <w:p>
            <w:pPr>
              <w:pStyle w:val="yTable"/>
              <w:tabs>
                <w:tab w:val="right" w:pos="1363"/>
              </w:tabs>
              <w:rPr>
                <w:ins w:id="515" w:author="Master Repository Process" w:date="2021-08-01T15:45:00Z"/>
              </w:rPr>
            </w:pPr>
            <w:ins w:id="516" w:author="Master Repository Process" w:date="2021-08-01T15:45:00Z">
              <w:r>
                <w:noBreakHyphen/>
              </w:r>
            </w:ins>
          </w:p>
        </w:tc>
      </w:tr>
      <w:tr>
        <w:trPr>
          <w:ins w:id="517" w:author="Master Repository Process" w:date="2021-08-01T15:45:00Z"/>
        </w:trPr>
        <w:tc>
          <w:tcPr>
            <w:tcW w:w="709" w:type="dxa"/>
          </w:tcPr>
          <w:p>
            <w:pPr>
              <w:pStyle w:val="yTable"/>
              <w:rPr>
                <w:ins w:id="518" w:author="Master Repository Process" w:date="2021-08-01T15:45:00Z"/>
              </w:rPr>
            </w:pPr>
            <w:ins w:id="519" w:author="Master Repository Process" w:date="2021-08-01T15:45:00Z">
              <w:r>
                <w:t>7E.</w:t>
              </w:r>
            </w:ins>
          </w:p>
        </w:tc>
        <w:tc>
          <w:tcPr>
            <w:tcW w:w="2126" w:type="dxa"/>
          </w:tcPr>
          <w:p>
            <w:pPr>
              <w:pStyle w:val="yTable"/>
              <w:tabs>
                <w:tab w:val="right" w:pos="1363"/>
              </w:tabs>
              <w:rPr>
                <w:ins w:id="520" w:author="Master Repository Process" w:date="2021-08-01T15:45:00Z"/>
              </w:rPr>
            </w:pPr>
            <w:ins w:id="521" w:author="Master Repository Process" w:date="2021-08-01T15:45:00Z">
              <w:r>
                <w:t>s. 48(2)</w:t>
              </w:r>
            </w:ins>
          </w:p>
        </w:tc>
        <w:tc>
          <w:tcPr>
            <w:tcW w:w="2126" w:type="dxa"/>
          </w:tcPr>
          <w:p>
            <w:pPr>
              <w:pStyle w:val="yTable"/>
              <w:tabs>
                <w:tab w:val="right" w:pos="1363"/>
              </w:tabs>
              <w:rPr>
                <w:ins w:id="522" w:author="Master Repository Process" w:date="2021-08-01T15:45:00Z"/>
              </w:rPr>
            </w:pPr>
            <w:ins w:id="523" w:author="Master Repository Process" w:date="2021-08-01T15:45:00Z">
              <w:r>
                <w:t>$500</w:t>
              </w:r>
            </w:ins>
          </w:p>
        </w:tc>
        <w:tc>
          <w:tcPr>
            <w:tcW w:w="1950" w:type="dxa"/>
          </w:tcPr>
          <w:p>
            <w:pPr>
              <w:pStyle w:val="yTable"/>
              <w:tabs>
                <w:tab w:val="right" w:pos="1363"/>
              </w:tabs>
              <w:rPr>
                <w:ins w:id="524" w:author="Master Repository Process" w:date="2021-08-01T15:45:00Z"/>
              </w:rPr>
            </w:pPr>
            <w:ins w:id="525" w:author="Master Repository Process" w:date="2021-08-01T15:45:00Z">
              <w:r>
                <w:noBreakHyphen/>
              </w:r>
            </w:ins>
          </w:p>
        </w:tc>
      </w:tr>
      <w:tr>
        <w:trPr>
          <w:ins w:id="526" w:author="Master Repository Process" w:date="2021-08-01T15:45:00Z"/>
        </w:trPr>
        <w:tc>
          <w:tcPr>
            <w:tcW w:w="709" w:type="dxa"/>
          </w:tcPr>
          <w:p>
            <w:pPr>
              <w:pStyle w:val="yTable"/>
              <w:rPr>
                <w:ins w:id="527" w:author="Master Repository Process" w:date="2021-08-01T15:45:00Z"/>
              </w:rPr>
            </w:pPr>
            <w:ins w:id="528" w:author="Master Repository Process" w:date="2021-08-01T15:45:00Z">
              <w:r>
                <w:t>7F.</w:t>
              </w:r>
            </w:ins>
          </w:p>
        </w:tc>
        <w:tc>
          <w:tcPr>
            <w:tcW w:w="2126" w:type="dxa"/>
          </w:tcPr>
          <w:p>
            <w:pPr>
              <w:pStyle w:val="yTable"/>
              <w:tabs>
                <w:tab w:val="right" w:pos="1363"/>
              </w:tabs>
              <w:rPr>
                <w:ins w:id="529" w:author="Master Repository Process" w:date="2021-08-01T15:45:00Z"/>
              </w:rPr>
            </w:pPr>
            <w:ins w:id="530" w:author="Master Repository Process" w:date="2021-08-01T15:45:00Z">
              <w:r>
                <w:t>s. 48(3)</w:t>
              </w:r>
            </w:ins>
          </w:p>
        </w:tc>
        <w:tc>
          <w:tcPr>
            <w:tcW w:w="2126" w:type="dxa"/>
          </w:tcPr>
          <w:p>
            <w:pPr>
              <w:pStyle w:val="yTable"/>
              <w:tabs>
                <w:tab w:val="right" w:pos="1363"/>
              </w:tabs>
              <w:rPr>
                <w:ins w:id="531" w:author="Master Repository Process" w:date="2021-08-01T15:45:00Z"/>
              </w:rPr>
            </w:pPr>
            <w:ins w:id="532" w:author="Master Repository Process" w:date="2021-08-01T15:45:00Z">
              <w:r>
                <w:t>$500</w:t>
              </w:r>
            </w:ins>
          </w:p>
        </w:tc>
        <w:tc>
          <w:tcPr>
            <w:tcW w:w="1950" w:type="dxa"/>
          </w:tcPr>
          <w:p>
            <w:pPr>
              <w:pStyle w:val="yTable"/>
              <w:tabs>
                <w:tab w:val="right" w:pos="1363"/>
              </w:tabs>
              <w:rPr>
                <w:ins w:id="533" w:author="Master Repository Process" w:date="2021-08-01T15:45:00Z"/>
              </w:rPr>
            </w:pPr>
            <w:ins w:id="534" w:author="Master Repository Process" w:date="2021-08-01T15:45:00Z">
              <w:r>
                <w:noBreakHyphen/>
              </w:r>
            </w:ins>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rPr>
          <w:ins w:id="535" w:author="Master Repository Process" w:date="2021-08-01T15:45:00Z"/>
        </w:rPr>
      </w:pPr>
      <w:ins w:id="536" w:author="Master Repository Process" w:date="2021-08-01T15:45:00Z">
        <w:r>
          <w:tab/>
          <w:t>[Schedule 3 amended in Gazette 20 Apr 2012 p. 1697</w:t>
        </w:r>
        <w:r>
          <w:noBreakHyphen/>
          <w:t>8.]</w:t>
        </w:r>
      </w:ins>
    </w:p>
    <w:p>
      <w:pPr>
        <w:pStyle w:val="yScheduleHeading"/>
      </w:pPr>
      <w:bookmarkStart w:id="537" w:name="_Toc243969023"/>
      <w:bookmarkStart w:id="538" w:name="_Toc304212922"/>
      <w:bookmarkStart w:id="539" w:name="_Toc304281890"/>
      <w:bookmarkStart w:id="540" w:name="_Toc313433069"/>
      <w:bookmarkStart w:id="541" w:name="_Toc322600625"/>
      <w:bookmarkStart w:id="542" w:name="_Toc322610807"/>
      <w:r>
        <w:rPr>
          <w:rStyle w:val="CharSchNo"/>
        </w:rPr>
        <w:t>Schedule 4</w:t>
      </w:r>
      <w:r>
        <w:rPr>
          <w:rStyle w:val="CharSDivNo"/>
        </w:rPr>
        <w:t> </w:t>
      </w:r>
      <w:r>
        <w:t>—</w:t>
      </w:r>
      <w:r>
        <w:rPr>
          <w:rStyle w:val="CharSDivText"/>
        </w:rPr>
        <w:t> </w:t>
      </w:r>
      <w:r>
        <w:rPr>
          <w:rStyle w:val="CharSchText"/>
        </w:rPr>
        <w:t>Infringement notice</w:t>
      </w:r>
      <w:bookmarkEnd w:id="537"/>
      <w:bookmarkEnd w:id="538"/>
      <w:bookmarkEnd w:id="539"/>
      <w:bookmarkEnd w:id="540"/>
      <w:bookmarkEnd w:id="541"/>
      <w:bookmarkEnd w:id="542"/>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your driver’s licence or vehicle licence may be suspended.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tcBorders>
          </w:tcPr>
          <w:p>
            <w:pPr>
              <w:pStyle w:val="yTable"/>
              <w:rPr>
                <w:b/>
                <w:sz w:val="20"/>
              </w:rPr>
            </w:pPr>
          </w:p>
        </w:tc>
        <w:tc>
          <w:tcPr>
            <w:tcW w:w="5386" w:type="dxa"/>
            <w:gridSpan w:val="5"/>
            <w:tcBorders>
              <w:top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ScheduleHeading"/>
      </w:pPr>
      <w:bookmarkStart w:id="543" w:name="_Toc243969024"/>
      <w:bookmarkStart w:id="544" w:name="_Toc304212923"/>
      <w:bookmarkStart w:id="545" w:name="_Toc304281891"/>
      <w:bookmarkStart w:id="546" w:name="_Toc313433070"/>
      <w:bookmarkStart w:id="547" w:name="_Toc322600626"/>
      <w:bookmarkStart w:id="548" w:name="_Toc322610808"/>
      <w:r>
        <w:rPr>
          <w:rStyle w:val="CharSchNo"/>
        </w:rPr>
        <w:t>Schedule 5</w:t>
      </w:r>
      <w:r>
        <w:rPr>
          <w:rStyle w:val="CharSDivNo"/>
        </w:rPr>
        <w:t> </w:t>
      </w:r>
      <w:r>
        <w:t>—</w:t>
      </w:r>
      <w:r>
        <w:rPr>
          <w:rStyle w:val="CharSDivText"/>
        </w:rPr>
        <w:t> </w:t>
      </w:r>
      <w:r>
        <w:rPr>
          <w:rStyle w:val="CharSchText"/>
        </w:rPr>
        <w:t>Notice to withdraw infringement notice</w:t>
      </w:r>
      <w:bookmarkEnd w:id="543"/>
      <w:bookmarkEnd w:id="544"/>
      <w:bookmarkEnd w:id="545"/>
      <w:bookmarkEnd w:id="546"/>
      <w:bookmarkEnd w:id="547"/>
      <w:bookmarkEnd w:id="548"/>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549" w:name="_Toc243969025"/>
      <w:bookmarkStart w:id="550" w:name="_Toc304212924"/>
      <w:bookmarkStart w:id="551" w:name="_Toc304281892"/>
      <w:bookmarkStart w:id="552" w:name="_Toc313433071"/>
      <w:bookmarkStart w:id="553" w:name="_Toc322600627"/>
      <w:bookmarkStart w:id="554" w:name="_Toc322610809"/>
      <w:r>
        <w:t>Notes</w:t>
      </w:r>
      <w:bookmarkEnd w:id="549"/>
      <w:bookmarkEnd w:id="550"/>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r>
        <w:rPr>
          <w:i/>
        </w:rPr>
        <w:t xml:space="preserve">Food </w:t>
      </w:r>
      <w:del w:id="555" w:author="Master Repository Process" w:date="2021-08-01T15:45:00Z">
        <w:r>
          <w:rPr>
            <w:i/>
          </w:rPr>
          <w:delText>Regulation</w:delText>
        </w:r>
      </w:del>
      <w:ins w:id="556" w:author="Master Repository Process" w:date="2021-08-01T15:45:00Z">
        <w:r>
          <w:rPr>
            <w:i/>
          </w:rPr>
          <w:t>Regulations</w:t>
        </w:r>
      </w:ins>
      <w:r>
        <w:rPr>
          <w:i/>
        </w:rPr>
        <w:t xml:space="preserve"> 2009</w:t>
      </w:r>
      <w:del w:id="557" w:author="Master Repository Process" w:date="2021-08-01T15:45:00Z">
        <w:r>
          <w:rPr>
            <w:i/>
          </w:rPr>
          <w:delText>.</w:delText>
        </w:r>
        <w:r>
          <w:delText xml:space="preserve">  </w:delText>
        </w:r>
        <w:r>
          <w:rPr>
            <w:snapToGrid w:val="0"/>
          </w:rPr>
          <w:delText>The</w:delText>
        </w:r>
      </w:del>
      <w:ins w:id="558" w:author="Master Repository Process" w:date="2021-08-01T15:45:00Z">
        <w:r>
          <w:rPr>
            <w:snapToGrid w:val="0"/>
          </w:rPr>
          <w:t xml:space="preserve"> and includes the amendments made by the other written laws referred to in the</w:t>
        </w:r>
      </w:ins>
      <w:r>
        <w:rPr>
          <w:snapToGrid w:val="0"/>
        </w:rPr>
        <w:t xml:space="preserve"> following table</w:t>
      </w:r>
      <w:del w:id="559" w:author="Master Repository Process" w:date="2021-08-01T15:45:00Z">
        <w:r>
          <w:rPr>
            <w:snapToGrid w:val="0"/>
          </w:rPr>
          <w:delText xml:space="preserve"> contains information about those regulations</w:delText>
        </w:r>
      </w:del>
      <w:r>
        <w:rPr>
          <w:snapToGrid w:val="0"/>
        </w:rPr>
        <w:t>.</w:t>
      </w:r>
    </w:p>
    <w:p>
      <w:pPr>
        <w:pStyle w:val="nHeading3"/>
      </w:pPr>
      <w:bookmarkStart w:id="560" w:name="_Toc304281893"/>
      <w:bookmarkStart w:id="561" w:name="_Toc322610810"/>
      <w:bookmarkStart w:id="562" w:name="_Toc313433072"/>
      <w:r>
        <w:t>Compilation table</w:t>
      </w:r>
      <w:bookmarkEnd w:id="560"/>
      <w:bookmarkEnd w:id="561"/>
      <w:bookmarkEnd w:id="5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Food Regulations 2009</w:t>
            </w:r>
          </w:p>
        </w:tc>
        <w:tc>
          <w:tcPr>
            <w:tcW w:w="1276" w:type="dxa"/>
            <w:tcBorders>
              <w:bottom w:val="nil"/>
            </w:tcBorders>
          </w:tcPr>
          <w:p>
            <w:pPr>
              <w:pStyle w:val="nTable"/>
              <w:spacing w:after="40"/>
              <w:rPr>
                <w:sz w:val="19"/>
              </w:rPr>
            </w:pPr>
            <w:r>
              <w:rPr>
                <w:sz w:val="19"/>
              </w:rPr>
              <w:t>23 Oct 2009 p. 4095-142</w:t>
            </w:r>
          </w:p>
        </w:tc>
        <w:tc>
          <w:tcPr>
            <w:tcW w:w="2693" w:type="dxa"/>
            <w:tcBorders>
              <w:bottom w:val="nil"/>
            </w:tcBorders>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c>
          <w:tcPr>
            <w:tcW w:w="3118" w:type="dxa"/>
            <w:tcBorders>
              <w:top w:val="nil"/>
              <w:bottom w:val="nil"/>
            </w:tcBorders>
          </w:tcPr>
          <w:p>
            <w:pPr>
              <w:pStyle w:val="nTable"/>
              <w:spacing w:after="40"/>
              <w:rPr>
                <w:i/>
                <w:sz w:val="19"/>
                <w:szCs w:val="19"/>
              </w:rPr>
            </w:pPr>
            <w:r>
              <w:rPr>
                <w:i/>
                <w:sz w:val="19"/>
                <w:szCs w:val="19"/>
              </w:rPr>
              <w:t>Food Amendment Regulations 2011</w:t>
            </w:r>
          </w:p>
        </w:tc>
        <w:tc>
          <w:tcPr>
            <w:tcW w:w="1276" w:type="dxa"/>
            <w:tcBorders>
              <w:top w:val="nil"/>
              <w:bottom w:val="nil"/>
            </w:tcBorders>
          </w:tcPr>
          <w:p>
            <w:pPr>
              <w:pStyle w:val="nTable"/>
              <w:spacing w:after="40"/>
              <w:rPr>
                <w:sz w:val="19"/>
              </w:rPr>
            </w:pPr>
            <w:r>
              <w:rPr>
                <w:sz w:val="19"/>
              </w:rPr>
              <w:t>20 Sep 2011 p. 3799</w:t>
            </w:r>
          </w:p>
        </w:tc>
        <w:tc>
          <w:tcPr>
            <w:tcW w:w="2693" w:type="dxa"/>
            <w:tcBorders>
              <w:top w:val="nil"/>
              <w:bottom w:val="nil"/>
            </w:tcBorders>
          </w:tcPr>
          <w:p>
            <w:pPr>
              <w:pStyle w:val="nTable"/>
              <w:spacing w:after="40"/>
              <w:rPr>
                <w:sz w:val="19"/>
              </w:rPr>
            </w:pPr>
            <w:r>
              <w:rPr>
                <w:sz w:val="19"/>
              </w:rPr>
              <w:t>r. 1 and 2: 20 Sep 2011 (see r. 2(a));</w:t>
            </w:r>
            <w:r>
              <w:rPr>
                <w:sz w:val="19"/>
              </w:rPr>
              <w:br/>
              <w:t>Regulations other than r. 1 and 2: 21 Sep 2011 (see r. 2(b))</w:t>
            </w:r>
          </w:p>
        </w:tc>
      </w:tr>
      <w:tr>
        <w:trPr>
          <w:ins w:id="563" w:author="Master Repository Process" w:date="2021-08-01T15:45:00Z"/>
        </w:trPr>
        <w:tc>
          <w:tcPr>
            <w:tcW w:w="3118" w:type="dxa"/>
            <w:tcBorders>
              <w:top w:val="nil"/>
              <w:bottom w:val="single" w:sz="4" w:space="0" w:color="auto"/>
            </w:tcBorders>
          </w:tcPr>
          <w:p>
            <w:pPr>
              <w:pStyle w:val="nTable"/>
              <w:spacing w:after="40"/>
              <w:rPr>
                <w:ins w:id="564" w:author="Master Repository Process" w:date="2021-08-01T15:45:00Z"/>
                <w:i/>
                <w:sz w:val="19"/>
                <w:szCs w:val="19"/>
              </w:rPr>
            </w:pPr>
            <w:ins w:id="565" w:author="Master Repository Process" w:date="2021-08-01T15:45:00Z">
              <w:r>
                <w:rPr>
                  <w:i/>
                  <w:sz w:val="19"/>
                  <w:szCs w:val="19"/>
                </w:rPr>
                <w:t>Food Amendment Regulations 2012</w:t>
              </w:r>
            </w:ins>
          </w:p>
        </w:tc>
        <w:tc>
          <w:tcPr>
            <w:tcW w:w="1276" w:type="dxa"/>
            <w:tcBorders>
              <w:top w:val="nil"/>
              <w:bottom w:val="single" w:sz="4" w:space="0" w:color="auto"/>
            </w:tcBorders>
          </w:tcPr>
          <w:p>
            <w:pPr>
              <w:pStyle w:val="nTable"/>
              <w:spacing w:after="40"/>
              <w:rPr>
                <w:ins w:id="566" w:author="Master Repository Process" w:date="2021-08-01T15:45:00Z"/>
                <w:sz w:val="19"/>
              </w:rPr>
            </w:pPr>
            <w:ins w:id="567" w:author="Master Repository Process" w:date="2021-08-01T15:45:00Z">
              <w:r>
                <w:rPr>
                  <w:sz w:val="19"/>
                </w:rPr>
                <w:t>20 Apr 2012 p. 1696</w:t>
              </w:r>
              <w:r>
                <w:rPr>
                  <w:sz w:val="19"/>
                </w:rPr>
                <w:noBreakHyphen/>
                <w:t>8</w:t>
              </w:r>
            </w:ins>
          </w:p>
        </w:tc>
        <w:tc>
          <w:tcPr>
            <w:tcW w:w="2693" w:type="dxa"/>
            <w:tcBorders>
              <w:top w:val="nil"/>
              <w:bottom w:val="single" w:sz="4" w:space="0" w:color="auto"/>
            </w:tcBorders>
          </w:tcPr>
          <w:p>
            <w:pPr>
              <w:pStyle w:val="nTable"/>
              <w:spacing w:after="40"/>
              <w:rPr>
                <w:ins w:id="568" w:author="Master Repository Process" w:date="2021-08-01T15:45:00Z"/>
                <w:sz w:val="19"/>
              </w:rPr>
            </w:pPr>
            <w:ins w:id="569" w:author="Master Repository Process" w:date="2021-08-01T15:45:00Z">
              <w:r>
                <w:rPr>
                  <w:sz w:val="19"/>
                </w:rPr>
                <w:t>r. 1 and 2: 20 Apr 2012 (see r. 2(a));</w:t>
              </w:r>
              <w:r>
                <w:rPr>
                  <w:sz w:val="19"/>
                </w:rPr>
                <w:br/>
                <w:t>Regulations other than r. 1 and 2: 21 Apr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812"/>
    <w:docVar w:name="WAFER_20151211140812" w:val="RemoveTrackChanges"/>
    <w:docVar w:name="WAFER_20151211140812_GUID" w:val="6b3e6ef8-8709-418f-9975-0436562f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F4C65EDE-C725-48C6-8BE2-CA3855C7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8725</Words>
  <Characters>41884</Characters>
  <Application>Microsoft Office Word</Application>
  <DocSecurity>0</DocSecurity>
  <Lines>1610</Lines>
  <Paragraphs>1150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Adoption of Food Standards Code</vt:lpstr>
      <vt:lpstr>    Part 3 — Exempted food businesses</vt:lpstr>
      <vt:lpstr>    Part 4 — Control of pathogens</vt:lpstr>
      <vt:lpstr>    Part 5 — Meat hygiene</vt:lpstr>
      <vt:lpstr>        Division 1 — Preliminary</vt:lpstr>
      <vt:lpstr>        Division 2 — Adoption of certain Australian Standards</vt:lpstr>
      <vt:lpstr>        Division 3 — Inspection and branding</vt:lpstr>
      <vt:lpstr>        Division 4 — Pet meat</vt:lpstr>
      <vt:lpstr>        Division 5 — Statements and inspection fees</vt:lpstr>
      <vt:lpstr>        Division 6 — Premises used in meat production</vt:lpstr>
      <vt:lpstr>        Division 7 — Premises used in game meat production</vt:lpstr>
      <vt:lpstr>        Division 8 — Transporting meat and game meat</vt:lpstr>
      <vt:lpstr>    Part 6 — Miscellaneous</vt:lpstr>
      <vt:lpstr>    Schedule 1 — Inspection fees</vt:lpstr>
      <vt:lpstr>    Schedule 2 — Prescribed fees</vt:lpstr>
      <vt:lpstr>    Schedule 3 — Prescribed offences and modified penalties</vt:lpstr>
      <vt:lpstr>    Schedule 4 — Infringement notice</vt:lpstr>
      <vt:lpstr>    Schedule 5 — Notice to withdraw infringement notice</vt:lpstr>
      <vt:lpstr>    Notes</vt:lpstr>
      <vt:lpstr>    Defined Terms</vt:lpstr>
    </vt:vector>
  </TitlesOfParts>
  <Manager/>
  <Company/>
  <LinksUpToDate>false</LinksUpToDate>
  <CharactersWithSpaces>49459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00-b0-02 - 00-c0-03</dc:title>
  <dc:subject/>
  <dc:creator/>
  <cp:keywords/>
  <dc:description/>
  <cp:lastModifiedBy>Master Repository Process</cp:lastModifiedBy>
  <cp:revision>2</cp:revision>
  <cp:lastPrinted>2009-09-09T06:18:00Z</cp:lastPrinted>
  <dcterms:created xsi:type="dcterms:W3CDTF">2021-08-01T07:45:00Z</dcterms:created>
  <dcterms:modified xsi:type="dcterms:W3CDTF">2021-08-01T07:45:00Z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20120421</vt:lpwstr>
  </property>
  <property fmtid="{D5CDD505-2E9C-101B-9397-08002B2CF9AE}" pid="4" name="OwlsUID">
    <vt:i4>41122</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21 Sep 2011</vt:lpwstr>
  </property>
  <property fmtid="{D5CDD505-2E9C-101B-9397-08002B2CF9AE}" pid="8" name="ToSuffix">
    <vt:lpwstr>00-c0-03</vt:lpwstr>
  </property>
  <property fmtid="{D5CDD505-2E9C-101B-9397-08002B2CF9AE}" pid="9" name="ToAsAtDate">
    <vt:lpwstr>21 Apr 2012</vt:lpwstr>
  </property>
</Properties>
</file>