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Environmental Protection Regulations 1987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03 Mar 2012</w:t>
      </w:r>
      <w:r>
        <w:fldChar w:fldCharType="end"/>
      </w:r>
      <w:r>
        <w:t xml:space="preserve">, </w:t>
      </w:r>
      <w:r>
        <w:fldChar w:fldCharType="begin"/>
      </w:r>
      <w:r>
        <w:instrText xml:space="preserve"> DocProperty FromSuffix </w:instrText>
      </w:r>
      <w:r>
        <w:fldChar w:fldCharType="separate"/>
      </w:r>
      <w:r>
        <w:t>06-f0-02</w:t>
      </w:r>
      <w:r>
        <w:fldChar w:fldCharType="end"/>
      </w:r>
      <w:r>
        <w:t>] and [</w:t>
      </w:r>
      <w:r>
        <w:fldChar w:fldCharType="begin"/>
      </w:r>
      <w:r>
        <w:instrText xml:space="preserve"> DocProperty ToAsAtDate</w:instrText>
      </w:r>
      <w:r>
        <w:fldChar w:fldCharType="separate"/>
      </w:r>
      <w:r>
        <w:t>09 May 2012</w:t>
      </w:r>
      <w:r>
        <w:fldChar w:fldCharType="end"/>
      </w:r>
      <w:r>
        <w:t xml:space="preserve">, </w:t>
      </w:r>
      <w:r>
        <w:fldChar w:fldCharType="begin"/>
      </w:r>
      <w:r>
        <w:instrText xml:space="preserve"> DocProperty ToSuffix</w:instrText>
      </w:r>
      <w:r>
        <w:fldChar w:fldCharType="separate"/>
      </w:r>
      <w:r>
        <w:t>06-g0-02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type w:val="continuous"/>
          <w:pgSz w:w="11906" w:h="16838" w:code="9"/>
          <w:pgMar w:top="2376" w:right="2405" w:bottom="3542" w:left="2405" w:header="709" w:footer="3380" w:gutter="0"/>
          <w:pgNumType w:fmt="lowerRoman" w:start="1"/>
          <w:cols w:space="720"/>
          <w:noEndnote/>
          <w:titlePg/>
          <w:docGrid w:linePitch="326"/>
        </w:sectPr>
      </w:pPr>
    </w:p>
    <w:p>
      <w:pPr>
        <w:pStyle w:val="WA"/>
      </w:pPr>
      <w:r>
        <w:lastRenderedPageBreak/>
        <w:t>Western Australia</w:t>
      </w:r>
    </w:p>
    <w:p>
      <w:pPr>
        <w:pStyle w:val="PrincipalActReg"/>
        <w:rPr>
          <w:snapToGrid w:val="0"/>
        </w:rPr>
      </w:pPr>
      <w:r>
        <w:rPr>
          <w:snapToGrid w:val="0"/>
        </w:rPr>
        <w:t>Environmental Protection Act 1986</w:t>
      </w:r>
    </w:p>
    <w:p>
      <w:pPr>
        <w:pStyle w:val="NameofActReg"/>
        <w:spacing w:after="480"/>
      </w:pPr>
      <w:r>
        <w:t xml:space="preserve">Environmental Protection Regulations 1987 </w:t>
      </w:r>
    </w:p>
    <w:p>
      <w:pPr>
        <w:pStyle w:val="Heading2"/>
        <w:pageBreakBefore w:val="0"/>
      </w:pPr>
      <w:bookmarkStart w:id="0" w:name="_Toc75588344"/>
      <w:bookmarkStart w:id="1" w:name="_Toc76894891"/>
      <w:bookmarkStart w:id="2" w:name="_Toc85279776"/>
      <w:bookmarkStart w:id="3" w:name="_Toc88903636"/>
      <w:bookmarkStart w:id="4" w:name="_Toc88962225"/>
      <w:bookmarkStart w:id="5" w:name="_Toc94320148"/>
      <w:bookmarkStart w:id="6" w:name="_Toc94330984"/>
      <w:bookmarkStart w:id="7" w:name="_Toc94331096"/>
      <w:bookmarkStart w:id="8" w:name="_Toc94428580"/>
      <w:bookmarkStart w:id="9" w:name="_Toc97455559"/>
      <w:bookmarkStart w:id="10" w:name="_Toc97457350"/>
      <w:bookmarkStart w:id="11" w:name="_Toc97630147"/>
      <w:bookmarkStart w:id="12" w:name="_Toc98053292"/>
      <w:bookmarkStart w:id="13" w:name="_Toc99962278"/>
      <w:bookmarkStart w:id="14" w:name="_Toc122159376"/>
      <w:bookmarkStart w:id="15" w:name="_Toc122232700"/>
      <w:bookmarkStart w:id="16" w:name="_Toc122232876"/>
      <w:bookmarkStart w:id="17" w:name="_Toc147220509"/>
      <w:bookmarkStart w:id="18" w:name="_Toc147223863"/>
      <w:bookmarkStart w:id="19" w:name="_Toc165444898"/>
      <w:bookmarkStart w:id="20" w:name="_Toc170557678"/>
      <w:bookmarkStart w:id="21" w:name="_Toc170795069"/>
      <w:bookmarkStart w:id="22" w:name="_Toc172709169"/>
      <w:bookmarkStart w:id="23" w:name="_Toc172964653"/>
      <w:bookmarkStart w:id="24" w:name="_Toc174158370"/>
      <w:bookmarkStart w:id="25" w:name="_Toc174358923"/>
      <w:bookmarkStart w:id="26" w:name="_Toc174518514"/>
      <w:bookmarkStart w:id="27" w:name="_Toc176170459"/>
      <w:bookmarkStart w:id="28" w:name="_Toc181431018"/>
      <w:bookmarkStart w:id="29" w:name="_Toc181497474"/>
      <w:bookmarkStart w:id="30" w:name="_Toc202254141"/>
      <w:bookmarkStart w:id="31" w:name="_Toc267572056"/>
      <w:bookmarkStart w:id="32" w:name="_Toc281460965"/>
      <w:bookmarkStart w:id="33" w:name="_Toc318383283"/>
      <w:bookmarkStart w:id="34" w:name="_Toc318383403"/>
      <w:bookmarkStart w:id="35" w:name="_Toc324153519"/>
      <w:r>
        <w:rPr>
          <w:rStyle w:val="CharPartNo"/>
        </w:rPr>
        <w:t>P</w:t>
      </w:r>
      <w:bookmarkStart w:id="36" w:name="_GoBack"/>
      <w:bookmarkEnd w:id="36"/>
      <w:r>
        <w:rPr>
          <w:rStyle w:val="CharPartNo"/>
        </w:rPr>
        <w:t>art 1</w:t>
      </w:r>
      <w:r>
        <w:rPr>
          <w:rStyle w:val="CharDivNo"/>
        </w:rPr>
        <w:t> </w:t>
      </w:r>
      <w:r>
        <w:t>—</w:t>
      </w:r>
      <w:r>
        <w:rPr>
          <w:rStyle w:val="CharDivText"/>
        </w:rPr>
        <w:t> </w:t>
      </w:r>
      <w:r>
        <w:rPr>
          <w:rStyle w:val="CharPartText"/>
        </w:rPr>
        <w:t>Preliminary</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r>
        <w:rPr>
          <w:rStyle w:val="CharPartText"/>
        </w:rPr>
        <w:t xml:space="preserve"> </w:t>
      </w:r>
    </w:p>
    <w:p>
      <w:pPr>
        <w:pStyle w:val="Footnoteheading"/>
        <w:rPr>
          <w:snapToGrid w:val="0"/>
        </w:rPr>
      </w:pPr>
      <w:r>
        <w:rPr>
          <w:snapToGrid w:val="0"/>
        </w:rPr>
        <w:tab/>
        <w:t xml:space="preserve">[Heading inserted in Gazette 13 Sep 1996 p. 4545.] </w:t>
      </w:r>
    </w:p>
    <w:p>
      <w:pPr>
        <w:pStyle w:val="Heading5"/>
        <w:spacing w:before="180"/>
        <w:rPr>
          <w:snapToGrid w:val="0"/>
        </w:rPr>
      </w:pPr>
      <w:bookmarkStart w:id="37" w:name="_Toc448822552"/>
      <w:bookmarkStart w:id="38" w:name="_Toc448822678"/>
      <w:bookmarkStart w:id="39" w:name="_Toc503260547"/>
      <w:bookmarkStart w:id="40" w:name="_Toc12076650"/>
      <w:bookmarkStart w:id="41" w:name="_Toc12952166"/>
      <w:bookmarkStart w:id="42" w:name="_Toc122232877"/>
      <w:bookmarkStart w:id="43" w:name="_Toc324153520"/>
      <w:bookmarkStart w:id="44" w:name="_Toc318383404"/>
      <w:r>
        <w:rPr>
          <w:rStyle w:val="CharSectno"/>
        </w:rPr>
        <w:t>1</w:t>
      </w:r>
      <w:r>
        <w:rPr>
          <w:snapToGrid w:val="0"/>
        </w:rPr>
        <w:t xml:space="preserve">. </w:t>
      </w:r>
      <w:r>
        <w:rPr>
          <w:snapToGrid w:val="0"/>
        </w:rPr>
        <w:tab/>
        <w:t>Citation</w:t>
      </w:r>
      <w:bookmarkEnd w:id="37"/>
      <w:bookmarkEnd w:id="38"/>
      <w:bookmarkEnd w:id="39"/>
      <w:bookmarkEnd w:id="40"/>
      <w:bookmarkEnd w:id="41"/>
      <w:bookmarkEnd w:id="42"/>
      <w:bookmarkEnd w:id="43"/>
      <w:bookmarkEnd w:id="44"/>
      <w:r>
        <w:rPr>
          <w:snapToGrid w:val="0"/>
        </w:rPr>
        <w:t xml:space="preserve"> </w:t>
      </w:r>
    </w:p>
    <w:p>
      <w:pPr>
        <w:pStyle w:val="Subsection"/>
        <w:spacing w:before="120"/>
        <w:rPr>
          <w:snapToGrid w:val="0"/>
        </w:rPr>
      </w:pPr>
      <w:r>
        <w:rPr>
          <w:snapToGrid w:val="0"/>
        </w:rPr>
        <w:tab/>
      </w:r>
      <w:r>
        <w:rPr>
          <w:snapToGrid w:val="0"/>
        </w:rPr>
        <w:tab/>
        <w:t xml:space="preserve">These regulations may be cited as the </w:t>
      </w:r>
      <w:r>
        <w:rPr>
          <w:i/>
          <w:snapToGrid w:val="0"/>
        </w:rPr>
        <w:t>Environmental Protection Regulations 1987</w:t>
      </w:r>
      <w:r>
        <w:rPr>
          <w:snapToGrid w:val="0"/>
        </w:rPr>
        <w:t xml:space="preserve"> </w:t>
      </w:r>
      <w:r>
        <w:rPr>
          <w:snapToGrid w:val="0"/>
          <w:vertAlign w:val="superscript"/>
        </w:rPr>
        <w:t>1</w:t>
      </w:r>
      <w:r>
        <w:rPr>
          <w:snapToGrid w:val="0"/>
        </w:rPr>
        <w:t>.</w:t>
      </w:r>
    </w:p>
    <w:p>
      <w:pPr>
        <w:pStyle w:val="Heading5"/>
        <w:spacing w:before="180"/>
        <w:rPr>
          <w:snapToGrid w:val="0"/>
        </w:rPr>
      </w:pPr>
      <w:bookmarkStart w:id="45" w:name="_Toc448822553"/>
      <w:bookmarkStart w:id="46" w:name="_Toc448822679"/>
      <w:bookmarkStart w:id="47" w:name="_Toc503260548"/>
      <w:bookmarkStart w:id="48" w:name="_Toc12076651"/>
      <w:bookmarkStart w:id="49" w:name="_Toc12952167"/>
      <w:bookmarkStart w:id="50" w:name="_Toc122232878"/>
      <w:bookmarkStart w:id="51" w:name="_Toc324153521"/>
      <w:bookmarkStart w:id="52" w:name="_Toc318383405"/>
      <w:r>
        <w:rPr>
          <w:rStyle w:val="CharSectno"/>
        </w:rPr>
        <w:t>2</w:t>
      </w:r>
      <w:r>
        <w:rPr>
          <w:snapToGrid w:val="0"/>
        </w:rPr>
        <w:t xml:space="preserve">. </w:t>
      </w:r>
      <w:r>
        <w:rPr>
          <w:snapToGrid w:val="0"/>
        </w:rPr>
        <w:tab/>
        <w:t>Commencement</w:t>
      </w:r>
      <w:bookmarkEnd w:id="45"/>
      <w:bookmarkEnd w:id="46"/>
      <w:bookmarkEnd w:id="47"/>
      <w:bookmarkEnd w:id="48"/>
      <w:bookmarkEnd w:id="49"/>
      <w:bookmarkEnd w:id="50"/>
      <w:bookmarkEnd w:id="51"/>
      <w:bookmarkEnd w:id="52"/>
      <w:r>
        <w:rPr>
          <w:snapToGrid w:val="0"/>
        </w:rPr>
        <w:t xml:space="preserve"> </w:t>
      </w:r>
    </w:p>
    <w:p>
      <w:pPr>
        <w:pStyle w:val="Subsection"/>
        <w:spacing w:before="120"/>
        <w:rPr>
          <w:snapToGrid w:val="0"/>
        </w:rPr>
      </w:pPr>
      <w:r>
        <w:rPr>
          <w:snapToGrid w:val="0"/>
        </w:rPr>
        <w:tab/>
      </w:r>
      <w:r>
        <w:rPr>
          <w:snapToGrid w:val="0"/>
        </w:rPr>
        <w:tab/>
        <w:t xml:space="preserve">These regulations shall come into operation on the day on which section 3 of the </w:t>
      </w:r>
      <w:r>
        <w:rPr>
          <w:i/>
          <w:snapToGrid w:val="0"/>
        </w:rPr>
        <w:t>Environmental Protection Act 1986</w:t>
      </w:r>
      <w:r>
        <w:rPr>
          <w:snapToGrid w:val="0"/>
        </w:rPr>
        <w:t xml:space="preserve"> comes into operation</w:t>
      </w:r>
      <w:r>
        <w:rPr>
          <w:snapToGrid w:val="0"/>
          <w:vertAlign w:val="superscript"/>
        </w:rPr>
        <w:t xml:space="preserve"> 1</w:t>
      </w:r>
      <w:r>
        <w:rPr>
          <w:snapToGrid w:val="0"/>
        </w:rPr>
        <w:t>.</w:t>
      </w:r>
    </w:p>
    <w:p>
      <w:pPr>
        <w:pStyle w:val="Heading5"/>
        <w:spacing w:before="180"/>
      </w:pPr>
      <w:bookmarkStart w:id="53" w:name="_Toc324153522"/>
      <w:bookmarkStart w:id="54" w:name="_Toc318383406"/>
      <w:bookmarkStart w:id="55" w:name="_Toc75588348"/>
      <w:bookmarkStart w:id="56" w:name="_Toc76894895"/>
      <w:bookmarkStart w:id="57" w:name="_Toc85279780"/>
      <w:bookmarkStart w:id="58" w:name="_Toc88903640"/>
      <w:bookmarkStart w:id="59" w:name="_Toc88962229"/>
      <w:bookmarkStart w:id="60" w:name="_Toc94320152"/>
      <w:bookmarkStart w:id="61" w:name="_Toc94330988"/>
      <w:bookmarkStart w:id="62" w:name="_Toc94331100"/>
      <w:bookmarkStart w:id="63" w:name="_Toc94428584"/>
      <w:bookmarkStart w:id="64" w:name="_Toc97455563"/>
      <w:bookmarkStart w:id="65" w:name="_Toc97457354"/>
      <w:bookmarkStart w:id="66" w:name="_Toc97630151"/>
      <w:bookmarkStart w:id="67" w:name="_Toc98053296"/>
      <w:bookmarkStart w:id="68" w:name="_Toc99962282"/>
      <w:bookmarkStart w:id="69" w:name="_Toc122159380"/>
      <w:bookmarkStart w:id="70" w:name="_Toc122232704"/>
      <w:bookmarkStart w:id="71" w:name="_Toc122232880"/>
      <w:r>
        <w:rPr>
          <w:rStyle w:val="CharSectno"/>
        </w:rPr>
        <w:t>2AA</w:t>
      </w:r>
      <w:r>
        <w:t>.</w:t>
      </w:r>
      <w:r>
        <w:tab/>
        <w:t>Terms used in these regulations</w:t>
      </w:r>
      <w:bookmarkEnd w:id="53"/>
      <w:bookmarkEnd w:id="54"/>
    </w:p>
    <w:p>
      <w:pPr>
        <w:pStyle w:val="Subsection"/>
        <w:spacing w:before="120"/>
      </w:pPr>
      <w:r>
        <w:tab/>
      </w:r>
      <w:r>
        <w:tab/>
        <w:t xml:space="preserve">In these regulations, unless the contrary intention appears — </w:t>
      </w:r>
    </w:p>
    <w:p>
      <w:pPr>
        <w:pStyle w:val="Defstart"/>
      </w:pPr>
      <w:r>
        <w:rPr>
          <w:b/>
        </w:rPr>
        <w:tab/>
      </w:r>
      <w:r>
        <w:rPr>
          <w:rStyle w:val="CharDefText"/>
        </w:rPr>
        <w:t>Departmental library</w:t>
      </w:r>
      <w:r>
        <w:t xml:space="preserve"> means the Department’s library located at The Atrium, 168 </w:t>
      </w:r>
      <w:smartTag w:uri="urn:schemas-microsoft-com:office:smarttags" w:element="City">
        <w:r>
          <w:t>St George’s</w:t>
        </w:r>
      </w:smartTag>
      <w:r>
        <w:t xml:space="preserve"> Terrace, </w:t>
      </w:r>
      <w:smartTag w:uri="urn:schemas-microsoft-com:office:smarttags" w:element="place">
        <w:smartTag w:uri="urn:schemas-microsoft-com:office:smarttags" w:element="City">
          <w:r>
            <w:t>Perth</w:t>
          </w:r>
        </w:smartTag>
        <w:r>
          <w:t xml:space="preserve">, </w:t>
        </w:r>
        <w:smartTag w:uri="urn:schemas-microsoft-com:office:smarttags" w:element="State">
          <w:r>
            <w:t>Western Australia</w:t>
          </w:r>
        </w:smartTag>
      </w:smartTag>
      <w:r>
        <w:t>;</w:t>
      </w:r>
    </w:p>
    <w:p>
      <w:pPr>
        <w:pStyle w:val="Defstart"/>
      </w:pPr>
      <w:r>
        <w:rPr>
          <w:b/>
        </w:rPr>
        <w:tab/>
      </w:r>
      <w:r>
        <w:rPr>
          <w:rStyle w:val="CharDefText"/>
        </w:rPr>
        <w:t>head office</w:t>
      </w:r>
      <w:r>
        <w:t xml:space="preserve"> means the premises of the Authority at Level 8, The Atrium, 168 </w:t>
      </w:r>
      <w:smartTag w:uri="urn:schemas-microsoft-com:office:smarttags" w:element="City">
        <w:r>
          <w:t>St George’s</w:t>
        </w:r>
      </w:smartTag>
      <w:r>
        <w:t xml:space="preserve"> Terrace, </w:t>
      </w:r>
      <w:smartTag w:uri="urn:schemas-microsoft-com:office:smarttags" w:element="place">
        <w:smartTag w:uri="urn:schemas-microsoft-com:office:smarttags" w:element="City">
          <w:r>
            <w:t>Perth</w:t>
          </w:r>
        </w:smartTag>
        <w:r>
          <w:t xml:space="preserve">, </w:t>
        </w:r>
        <w:smartTag w:uri="urn:schemas-microsoft-com:office:smarttags" w:element="State">
          <w:r>
            <w:t>Western Australia</w:t>
          </w:r>
        </w:smartTag>
      </w:smartTag>
      <w:r>
        <w:t>.</w:t>
      </w:r>
    </w:p>
    <w:p>
      <w:pPr>
        <w:pStyle w:val="Footnotesection"/>
      </w:pPr>
      <w:r>
        <w:tab/>
        <w:t>[Regulation 2AA inserted in Gazette 29 Sep 2006 p. 4261.]</w:t>
      </w:r>
    </w:p>
    <w:p>
      <w:pPr>
        <w:pStyle w:val="Heading2"/>
      </w:pPr>
      <w:bookmarkStart w:id="72" w:name="_Toc147220514"/>
      <w:bookmarkStart w:id="73" w:name="_Toc147223867"/>
      <w:bookmarkStart w:id="74" w:name="_Toc165444902"/>
      <w:bookmarkStart w:id="75" w:name="_Toc170557682"/>
      <w:bookmarkStart w:id="76" w:name="_Toc170795073"/>
      <w:bookmarkStart w:id="77" w:name="_Toc172709173"/>
      <w:bookmarkStart w:id="78" w:name="_Toc172964657"/>
      <w:bookmarkStart w:id="79" w:name="_Toc174158374"/>
      <w:bookmarkStart w:id="80" w:name="_Toc174358927"/>
      <w:bookmarkStart w:id="81" w:name="_Toc174518518"/>
      <w:bookmarkStart w:id="82" w:name="_Toc176170463"/>
      <w:bookmarkStart w:id="83" w:name="_Toc181431022"/>
      <w:bookmarkStart w:id="84" w:name="_Toc181497478"/>
      <w:bookmarkStart w:id="85" w:name="_Toc202254145"/>
      <w:bookmarkStart w:id="86" w:name="_Toc267572060"/>
      <w:bookmarkStart w:id="87" w:name="_Toc281460969"/>
      <w:bookmarkStart w:id="88" w:name="_Toc318383287"/>
      <w:bookmarkStart w:id="89" w:name="_Toc318383407"/>
      <w:bookmarkStart w:id="90" w:name="_Toc324153523"/>
      <w:r>
        <w:rPr>
          <w:rStyle w:val="CharPartNo"/>
        </w:rPr>
        <w:lastRenderedPageBreak/>
        <w:t>Part 2</w:t>
      </w:r>
      <w:r>
        <w:rPr>
          <w:rStyle w:val="CharDivNo"/>
        </w:rPr>
        <w:t> </w:t>
      </w:r>
      <w:r>
        <w:t>—</w:t>
      </w:r>
      <w:r>
        <w:rPr>
          <w:rStyle w:val="CharDivText"/>
        </w:rPr>
        <w:t> </w:t>
      </w:r>
      <w:r>
        <w:rPr>
          <w:rStyle w:val="CharPartText"/>
        </w:rPr>
        <w:t>Administrative matters</w:t>
      </w:r>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r>
        <w:rPr>
          <w:rStyle w:val="CharPartText"/>
        </w:rPr>
        <w:t xml:space="preserve"> </w:t>
      </w:r>
    </w:p>
    <w:p>
      <w:pPr>
        <w:pStyle w:val="Footnoteheading"/>
        <w:rPr>
          <w:snapToGrid w:val="0"/>
        </w:rPr>
      </w:pPr>
      <w:r>
        <w:rPr>
          <w:snapToGrid w:val="0"/>
        </w:rPr>
        <w:tab/>
        <w:t xml:space="preserve">[Heading inserted in Gazette 13 Sep 1996 p. 4545.] </w:t>
      </w:r>
    </w:p>
    <w:p>
      <w:pPr>
        <w:pStyle w:val="Heading5"/>
        <w:spacing w:before="180"/>
        <w:rPr>
          <w:snapToGrid w:val="0"/>
        </w:rPr>
      </w:pPr>
      <w:bookmarkStart w:id="91" w:name="_Toc448822555"/>
      <w:bookmarkStart w:id="92" w:name="_Toc448822681"/>
      <w:bookmarkStart w:id="93" w:name="_Toc503260550"/>
      <w:bookmarkStart w:id="94" w:name="_Toc12076653"/>
      <w:bookmarkStart w:id="95" w:name="_Toc12952169"/>
      <w:bookmarkStart w:id="96" w:name="_Toc122232881"/>
      <w:bookmarkStart w:id="97" w:name="_Toc324153524"/>
      <w:bookmarkStart w:id="98" w:name="_Toc318383408"/>
      <w:r>
        <w:rPr>
          <w:rStyle w:val="CharSectno"/>
        </w:rPr>
        <w:t>2A</w:t>
      </w:r>
      <w:r>
        <w:rPr>
          <w:snapToGrid w:val="0"/>
        </w:rPr>
        <w:t>.</w:t>
      </w:r>
      <w:r>
        <w:rPr>
          <w:snapToGrid w:val="0"/>
        </w:rPr>
        <w:tab/>
        <w:t>Public inspection of draft policies</w:t>
      </w:r>
      <w:bookmarkEnd w:id="91"/>
      <w:bookmarkEnd w:id="92"/>
      <w:bookmarkEnd w:id="93"/>
      <w:bookmarkEnd w:id="94"/>
      <w:bookmarkEnd w:id="95"/>
      <w:bookmarkEnd w:id="96"/>
      <w:bookmarkEnd w:id="97"/>
      <w:bookmarkEnd w:id="98"/>
      <w:r>
        <w:rPr>
          <w:snapToGrid w:val="0"/>
        </w:rPr>
        <w:t xml:space="preserve"> </w:t>
      </w:r>
    </w:p>
    <w:p>
      <w:pPr>
        <w:pStyle w:val="Subsection"/>
        <w:spacing w:before="120"/>
        <w:rPr>
          <w:snapToGrid w:val="0"/>
        </w:rPr>
      </w:pPr>
      <w:r>
        <w:rPr>
          <w:snapToGrid w:val="0"/>
        </w:rPr>
        <w:tab/>
      </w:r>
      <w:r>
        <w:rPr>
          <w:snapToGrid w:val="0"/>
        </w:rPr>
        <w:tab/>
        <w:t>For the purposes of section 26(d) of the Act — </w:t>
      </w:r>
    </w:p>
    <w:p>
      <w:pPr>
        <w:pStyle w:val="Indenta"/>
        <w:rPr>
          <w:snapToGrid w:val="0"/>
        </w:rPr>
      </w:pPr>
      <w:r>
        <w:rPr>
          <w:snapToGrid w:val="0"/>
        </w:rPr>
        <w:tab/>
        <w:t>(a)</w:t>
      </w:r>
      <w:r>
        <w:rPr>
          <w:snapToGrid w:val="0"/>
        </w:rPr>
        <w:tab/>
        <w:t>the places at which a draft policy will be available for public inspection are — </w:t>
      </w:r>
    </w:p>
    <w:p>
      <w:pPr>
        <w:pStyle w:val="Indenti"/>
        <w:rPr>
          <w:snapToGrid w:val="0"/>
        </w:rPr>
      </w:pPr>
      <w:r>
        <w:tab/>
        <w:t>(i)</w:t>
      </w:r>
      <w:r>
        <w:tab/>
        <w:t>the Departmental library;</w:t>
      </w:r>
    </w:p>
    <w:p>
      <w:pPr>
        <w:pStyle w:val="Ednotesubpara"/>
        <w:rPr>
          <w:iCs/>
          <w:snapToGrid w:val="0"/>
        </w:rPr>
      </w:pPr>
      <w:r>
        <w:rPr>
          <w:snapToGrid w:val="0"/>
        </w:rPr>
        <w:tab/>
      </w:r>
      <w:r>
        <w:rPr>
          <w:iCs/>
          <w:snapToGrid w:val="0"/>
        </w:rPr>
        <w:t>[(ii)</w:t>
      </w:r>
      <w:r>
        <w:rPr>
          <w:iCs/>
          <w:snapToGrid w:val="0"/>
        </w:rPr>
        <w:tab/>
        <w:t xml:space="preserve">deleted] </w:t>
      </w:r>
    </w:p>
    <w:p>
      <w:pPr>
        <w:pStyle w:val="Indenti"/>
        <w:rPr>
          <w:snapToGrid w:val="0"/>
        </w:rPr>
      </w:pPr>
      <w:r>
        <w:rPr>
          <w:snapToGrid w:val="0"/>
        </w:rPr>
        <w:tab/>
        <w:t>(iii)</w:t>
      </w:r>
      <w:r>
        <w:rPr>
          <w:snapToGrid w:val="0"/>
        </w:rPr>
        <w:tab/>
      </w:r>
      <w:r>
        <w:t>the premises of the Department</w:t>
      </w:r>
      <w:r>
        <w:rPr>
          <w:snapToGrid w:val="0"/>
        </w:rPr>
        <w:t xml:space="preserve"> at </w:t>
      </w:r>
      <w:smartTag w:uri="urn:schemas-microsoft-com:office:smarttags" w:element="place">
        <w:smartTag w:uri="urn:schemas-microsoft-com:office:smarttags" w:element="PlaceName">
          <w:r>
            <w:rPr>
              <w:snapToGrid w:val="0"/>
            </w:rPr>
            <w:t>SGIO</w:t>
          </w:r>
        </w:smartTag>
        <w:r>
          <w:rPr>
            <w:snapToGrid w:val="0"/>
          </w:rPr>
          <w:t> </w:t>
        </w:r>
        <w:smartTag w:uri="urn:schemas-microsoft-com:office:smarttags" w:element="PlaceType">
          <w:r>
            <w:rPr>
              <w:snapToGrid w:val="0"/>
            </w:rPr>
            <w:t>Building</w:t>
          </w:r>
        </w:smartTag>
      </w:smartTag>
      <w:r>
        <w:rPr>
          <w:snapToGrid w:val="0"/>
        </w:rPr>
        <w:t xml:space="preserve">, </w:t>
      </w:r>
      <w:smartTag w:uri="urn:schemas-microsoft-com:office:smarttags" w:element="address">
        <w:smartTag w:uri="urn:schemas-microsoft-com:office:smarttags" w:element="Street">
          <w:r>
            <w:rPr>
              <w:snapToGrid w:val="0"/>
            </w:rPr>
            <w:t>Welcome Road</w:t>
          </w:r>
        </w:smartTag>
        <w:r>
          <w:rPr>
            <w:snapToGrid w:val="0"/>
          </w:rPr>
          <w:t xml:space="preserve">, </w:t>
        </w:r>
        <w:smartTag w:uri="urn:schemas-microsoft-com:office:smarttags" w:element="City">
          <w:r>
            <w:rPr>
              <w:snapToGrid w:val="0"/>
            </w:rPr>
            <w:t>Karratha</w:t>
          </w:r>
        </w:smartTag>
        <w:r>
          <w:rPr>
            <w:snapToGrid w:val="0"/>
          </w:rPr>
          <w:t xml:space="preserve">, </w:t>
        </w:r>
        <w:smartTag w:uri="urn:schemas-microsoft-com:office:smarttags" w:element="State">
          <w:r>
            <w:rPr>
              <w:snapToGrid w:val="0"/>
            </w:rPr>
            <w:t>Western Australia</w:t>
          </w:r>
        </w:smartTag>
      </w:smartTag>
      <w:r>
        <w:rPr>
          <w:snapToGrid w:val="0"/>
        </w:rPr>
        <w:t xml:space="preserve"> 6714;</w:t>
      </w:r>
    </w:p>
    <w:p>
      <w:pPr>
        <w:pStyle w:val="Indenti"/>
        <w:rPr>
          <w:snapToGrid w:val="0"/>
        </w:rPr>
      </w:pPr>
      <w:r>
        <w:rPr>
          <w:snapToGrid w:val="0"/>
        </w:rPr>
        <w:tab/>
        <w:t>(iv)</w:t>
      </w:r>
      <w:r>
        <w:rPr>
          <w:snapToGrid w:val="0"/>
        </w:rPr>
        <w:tab/>
      </w:r>
      <w:r>
        <w:t>the premises of the Department</w:t>
      </w:r>
      <w:r>
        <w:rPr>
          <w:snapToGrid w:val="0"/>
        </w:rPr>
        <w:t xml:space="preserve"> at 165, </w:t>
      </w:r>
      <w:smartTag w:uri="urn:schemas-microsoft-com:office:smarttags" w:element="address">
        <w:smartTag w:uri="urn:schemas-microsoft-com:office:smarttags" w:element="Street">
          <w:r>
            <w:rPr>
              <w:snapToGrid w:val="0"/>
            </w:rPr>
            <w:t>Gilmore Avenue</w:t>
          </w:r>
        </w:smartTag>
        <w:r>
          <w:rPr>
            <w:snapToGrid w:val="0"/>
          </w:rPr>
          <w:t xml:space="preserve">, </w:t>
        </w:r>
        <w:smartTag w:uri="urn:schemas-microsoft-com:office:smarttags" w:element="City">
          <w:r>
            <w:rPr>
              <w:snapToGrid w:val="0"/>
            </w:rPr>
            <w:t>Kwinana</w:t>
          </w:r>
        </w:smartTag>
        <w:r>
          <w:rPr>
            <w:snapToGrid w:val="0"/>
          </w:rPr>
          <w:t xml:space="preserve">, </w:t>
        </w:r>
        <w:smartTag w:uri="urn:schemas-microsoft-com:office:smarttags" w:element="State">
          <w:r>
            <w:rPr>
              <w:snapToGrid w:val="0"/>
            </w:rPr>
            <w:t>Western Australia</w:t>
          </w:r>
        </w:smartTag>
      </w:smartTag>
      <w:r>
        <w:rPr>
          <w:snapToGrid w:val="0"/>
        </w:rPr>
        <w:t xml:space="preserve"> 6167;</w:t>
      </w:r>
    </w:p>
    <w:p>
      <w:pPr>
        <w:pStyle w:val="Indenti"/>
      </w:pPr>
      <w:r>
        <w:tab/>
        <w:t>(v)</w:t>
      </w:r>
      <w:r>
        <w:tab/>
        <w:t>the premises of the Department at 10th</w:t>
      </w:r>
      <w:r>
        <w:rPr>
          <w:vertAlign w:val="superscript"/>
        </w:rPr>
        <w:t> </w:t>
      </w:r>
      <w:r>
        <w:t>Floor, Bunbury Tower, 61 Victoria Street, Bunbury, Western Australia, 6231; and</w:t>
      </w:r>
    </w:p>
    <w:p>
      <w:pPr>
        <w:pStyle w:val="Indenti"/>
        <w:rPr>
          <w:snapToGrid w:val="0"/>
        </w:rPr>
      </w:pPr>
      <w:r>
        <w:tab/>
        <w:t>(vi)</w:t>
      </w:r>
      <w:r>
        <w:tab/>
        <w:t xml:space="preserve">the premises of the Department at </w:t>
      </w:r>
      <w:smartTag w:uri="urn:schemas-microsoft-com:office:smarttags" w:element="address">
        <w:smartTag w:uri="urn:schemas-microsoft-com:office:smarttags" w:element="Street">
          <w:r>
            <w:t>5 Burges Street</w:t>
          </w:r>
        </w:smartTag>
        <w:r>
          <w:t xml:space="preserve">, </w:t>
        </w:r>
        <w:smartTag w:uri="urn:schemas-microsoft-com:office:smarttags" w:element="City">
          <w:r>
            <w:t>Geraldton</w:t>
          </w:r>
        </w:smartTag>
        <w:r>
          <w:t xml:space="preserve">, </w:t>
        </w:r>
        <w:smartTag w:uri="urn:schemas-microsoft-com:office:smarttags" w:element="State">
          <w:r>
            <w:t>Western Australia</w:t>
          </w:r>
        </w:smartTag>
      </w:smartTag>
      <w:r>
        <w:t>, 6530;</w:t>
      </w:r>
    </w:p>
    <w:p>
      <w:pPr>
        <w:pStyle w:val="Indenta"/>
        <w:rPr>
          <w:snapToGrid w:val="0"/>
        </w:rPr>
      </w:pPr>
      <w:r>
        <w:rPr>
          <w:snapToGrid w:val="0"/>
        </w:rPr>
        <w:tab/>
      </w:r>
      <w:r>
        <w:rPr>
          <w:snapToGrid w:val="0"/>
        </w:rPr>
        <w:tab/>
        <w:t>and</w:t>
      </w:r>
    </w:p>
    <w:p>
      <w:pPr>
        <w:pStyle w:val="Indenta"/>
        <w:rPr>
          <w:snapToGrid w:val="0"/>
        </w:rPr>
      </w:pPr>
      <w:r>
        <w:rPr>
          <w:snapToGrid w:val="0"/>
          <w:spacing w:val="-4"/>
        </w:rPr>
        <w:tab/>
      </w:r>
      <w:r>
        <w:rPr>
          <w:snapToGrid w:val="0"/>
        </w:rPr>
        <w:t>(b)</w:t>
      </w:r>
      <w:r>
        <w:rPr>
          <w:snapToGrid w:val="0"/>
        </w:rPr>
        <w:tab/>
        <w:t>the period during which a draft policy will be available for public inspection is the period of 21 days commencing on the last day on which a notice is published under that section in respect of the draft policy.</w:t>
      </w:r>
    </w:p>
    <w:p>
      <w:pPr>
        <w:pStyle w:val="Footnotesection"/>
      </w:pPr>
      <w:r>
        <w:tab/>
        <w:t xml:space="preserve">[Regulation 2A inserted in Gazette 5 May 1989 p. 1379; amended in Gazette 24 Jan 1992 p. 362; 11 Dec 1998 p. 6598; 29 Sep 2006 p. 4261.] </w:t>
      </w:r>
    </w:p>
    <w:p>
      <w:pPr>
        <w:pStyle w:val="Heading5"/>
        <w:spacing w:before="180"/>
        <w:rPr>
          <w:snapToGrid w:val="0"/>
        </w:rPr>
      </w:pPr>
      <w:bookmarkStart w:id="99" w:name="_Toc448822556"/>
      <w:bookmarkStart w:id="100" w:name="_Toc448822682"/>
      <w:bookmarkStart w:id="101" w:name="_Toc503260551"/>
      <w:bookmarkStart w:id="102" w:name="_Toc12076654"/>
      <w:bookmarkStart w:id="103" w:name="_Toc12952170"/>
      <w:bookmarkStart w:id="104" w:name="_Toc122232882"/>
      <w:bookmarkStart w:id="105" w:name="_Toc324153525"/>
      <w:bookmarkStart w:id="106" w:name="_Toc318383409"/>
      <w:r>
        <w:rPr>
          <w:rStyle w:val="CharSectno"/>
        </w:rPr>
        <w:t>2B</w:t>
      </w:r>
      <w:r>
        <w:rPr>
          <w:snapToGrid w:val="0"/>
        </w:rPr>
        <w:t xml:space="preserve">. </w:t>
      </w:r>
      <w:r>
        <w:rPr>
          <w:snapToGrid w:val="0"/>
        </w:rPr>
        <w:tab/>
        <w:t>Inspection of minutes</w:t>
      </w:r>
      <w:bookmarkEnd w:id="99"/>
      <w:bookmarkEnd w:id="100"/>
      <w:bookmarkEnd w:id="101"/>
      <w:bookmarkEnd w:id="102"/>
      <w:bookmarkEnd w:id="103"/>
      <w:bookmarkEnd w:id="104"/>
      <w:bookmarkEnd w:id="105"/>
      <w:bookmarkEnd w:id="106"/>
      <w:r>
        <w:rPr>
          <w:snapToGrid w:val="0"/>
        </w:rPr>
        <w:t xml:space="preserve"> </w:t>
      </w:r>
    </w:p>
    <w:p>
      <w:pPr>
        <w:pStyle w:val="Subsection"/>
        <w:spacing w:before="120"/>
        <w:rPr>
          <w:snapToGrid w:val="0"/>
        </w:rPr>
      </w:pPr>
      <w:r>
        <w:rPr>
          <w:snapToGrid w:val="0"/>
        </w:rPr>
        <w:tab/>
        <w:t>(1)</w:t>
      </w:r>
      <w:r>
        <w:rPr>
          <w:snapToGrid w:val="0"/>
        </w:rPr>
        <w:tab/>
        <w:t>In this regulation — </w:t>
      </w:r>
    </w:p>
    <w:p>
      <w:pPr>
        <w:pStyle w:val="Defstart"/>
      </w:pPr>
      <w:r>
        <w:rPr>
          <w:b/>
        </w:rPr>
        <w:tab/>
      </w:r>
      <w:r>
        <w:rPr>
          <w:rStyle w:val="CharDefText"/>
        </w:rPr>
        <w:t>minute</w:t>
      </w:r>
      <w:r>
        <w:t xml:space="preserve"> means a minute of proceedings of a meeting of the Authority.</w:t>
      </w:r>
    </w:p>
    <w:p>
      <w:pPr>
        <w:pStyle w:val="Subsection"/>
        <w:rPr>
          <w:snapToGrid w:val="0"/>
        </w:rPr>
      </w:pPr>
      <w:r>
        <w:rPr>
          <w:snapToGrid w:val="0"/>
        </w:rPr>
        <w:tab/>
        <w:t>(2)</w:t>
      </w:r>
      <w:r>
        <w:rPr>
          <w:snapToGrid w:val="0"/>
        </w:rPr>
        <w:tab/>
        <w:t>Subject to subregulation (4), a minute relating to a matter is to be made available for public inspection after the expiration of 6 months from the day on which the minute was made.</w:t>
      </w:r>
    </w:p>
    <w:p>
      <w:pPr>
        <w:pStyle w:val="Subsection"/>
        <w:spacing w:before="120"/>
        <w:rPr>
          <w:snapToGrid w:val="0"/>
        </w:rPr>
      </w:pPr>
      <w:r>
        <w:rPr>
          <w:snapToGrid w:val="0"/>
        </w:rPr>
        <w:tab/>
        <w:t>(3)</w:t>
      </w:r>
      <w:r>
        <w:rPr>
          <w:snapToGrid w:val="0"/>
        </w:rPr>
        <w:tab/>
        <w:t>The Authority may before the expiration of the period referred to in subregulation (2) determine that a particular minute — </w:t>
      </w:r>
    </w:p>
    <w:p>
      <w:pPr>
        <w:pStyle w:val="Indenta"/>
        <w:rPr>
          <w:snapToGrid w:val="0"/>
        </w:rPr>
      </w:pPr>
      <w:r>
        <w:rPr>
          <w:snapToGrid w:val="0"/>
        </w:rPr>
        <w:tab/>
        <w:t>(a)</w:t>
      </w:r>
      <w:r>
        <w:rPr>
          <w:snapToGrid w:val="0"/>
        </w:rPr>
        <w:tab/>
        <w:t>relates to a matter that has yet to be resolved by the Authority; or</w:t>
      </w:r>
    </w:p>
    <w:p>
      <w:pPr>
        <w:pStyle w:val="Indenta"/>
        <w:rPr>
          <w:snapToGrid w:val="0"/>
        </w:rPr>
      </w:pPr>
      <w:r>
        <w:rPr>
          <w:snapToGrid w:val="0"/>
        </w:rPr>
        <w:tab/>
        <w:t>(b)</w:t>
      </w:r>
      <w:r>
        <w:rPr>
          <w:snapToGrid w:val="0"/>
        </w:rPr>
        <w:tab/>
        <w:t>contains information that the Authority considers to be confidential (whether for commercial reasons or otherwise),</w:t>
      </w:r>
    </w:p>
    <w:p>
      <w:pPr>
        <w:pStyle w:val="Subsection"/>
        <w:spacing w:before="120"/>
        <w:rPr>
          <w:snapToGrid w:val="0"/>
        </w:rPr>
      </w:pPr>
      <w:r>
        <w:rPr>
          <w:snapToGrid w:val="0"/>
        </w:rPr>
        <w:tab/>
      </w:r>
      <w:r>
        <w:rPr>
          <w:snapToGrid w:val="0"/>
        </w:rPr>
        <w:tab/>
        <w:t>and stamp the minute accordingly.</w:t>
      </w:r>
    </w:p>
    <w:p>
      <w:pPr>
        <w:pStyle w:val="Subsection"/>
        <w:spacing w:before="120"/>
        <w:rPr>
          <w:snapToGrid w:val="0"/>
        </w:rPr>
      </w:pPr>
      <w:r>
        <w:rPr>
          <w:snapToGrid w:val="0"/>
        </w:rPr>
        <w:tab/>
        <w:t>(4)</w:t>
      </w:r>
      <w:r>
        <w:rPr>
          <w:snapToGrid w:val="0"/>
        </w:rPr>
        <w:tab/>
        <w:t>A minute that is the subject of a determination referred to — </w:t>
      </w:r>
    </w:p>
    <w:p>
      <w:pPr>
        <w:pStyle w:val="Indenta"/>
        <w:rPr>
          <w:snapToGrid w:val="0"/>
        </w:rPr>
      </w:pPr>
      <w:r>
        <w:rPr>
          <w:snapToGrid w:val="0"/>
        </w:rPr>
        <w:tab/>
        <w:t>(a)</w:t>
      </w:r>
      <w:r>
        <w:rPr>
          <w:snapToGrid w:val="0"/>
        </w:rPr>
        <w:tab/>
        <w:t>in subregulation (3)(a) is to be made available for public inspection after the expiration of 12 months from the day on which the minute was made; and</w:t>
      </w:r>
    </w:p>
    <w:p>
      <w:pPr>
        <w:pStyle w:val="Indenta"/>
        <w:rPr>
          <w:snapToGrid w:val="0"/>
        </w:rPr>
      </w:pPr>
      <w:r>
        <w:rPr>
          <w:snapToGrid w:val="0"/>
        </w:rPr>
        <w:tab/>
        <w:t>(b)</w:t>
      </w:r>
      <w:r>
        <w:rPr>
          <w:snapToGrid w:val="0"/>
        </w:rPr>
        <w:tab/>
        <w:t>in subregulation (3)(b) is to be made available for public inspection after the expiration of 5 years from the day on which the minute was made.</w:t>
      </w:r>
    </w:p>
    <w:p>
      <w:pPr>
        <w:pStyle w:val="Subsection"/>
        <w:spacing w:before="120"/>
        <w:rPr>
          <w:snapToGrid w:val="0"/>
        </w:rPr>
      </w:pPr>
      <w:r>
        <w:tab/>
        <w:t>(5)</w:t>
      </w:r>
      <w:r>
        <w:tab/>
      </w:r>
      <w:r>
        <w:rPr>
          <w:snapToGrid w:val="0"/>
        </w:rPr>
        <w:t>Minutes</w:t>
      </w:r>
      <w:r>
        <w:t xml:space="preserve"> are to be made available for public inspection during normal office hours at the head office and the Departmental library.</w:t>
      </w:r>
    </w:p>
    <w:p>
      <w:pPr>
        <w:pStyle w:val="Footnotesection"/>
      </w:pPr>
      <w:r>
        <w:tab/>
        <w:t>[Regulation 2B inserted in Gazette 5 May 1995 p. 1701</w:t>
      </w:r>
      <w:r>
        <w:noBreakHyphen/>
        <w:t xml:space="preserve">2; amended in Gazette 11 Dec 1998 p. 6598; 29 Sep 2006 p. 4261.] </w:t>
      </w:r>
    </w:p>
    <w:p>
      <w:pPr>
        <w:pStyle w:val="Heading5"/>
        <w:rPr>
          <w:snapToGrid w:val="0"/>
        </w:rPr>
      </w:pPr>
      <w:bookmarkStart w:id="107" w:name="_Toc448822557"/>
      <w:bookmarkStart w:id="108" w:name="_Toc448822683"/>
      <w:bookmarkStart w:id="109" w:name="_Toc503260552"/>
      <w:bookmarkStart w:id="110" w:name="_Toc12076655"/>
      <w:bookmarkStart w:id="111" w:name="_Toc12952171"/>
      <w:bookmarkStart w:id="112" w:name="_Toc122232883"/>
      <w:bookmarkStart w:id="113" w:name="_Toc324153526"/>
      <w:bookmarkStart w:id="114" w:name="_Toc318383410"/>
      <w:r>
        <w:rPr>
          <w:rStyle w:val="CharSectno"/>
        </w:rPr>
        <w:t>2C</w:t>
      </w:r>
      <w:r>
        <w:rPr>
          <w:snapToGrid w:val="0"/>
        </w:rPr>
        <w:t xml:space="preserve">. </w:t>
      </w:r>
      <w:r>
        <w:rPr>
          <w:snapToGrid w:val="0"/>
        </w:rPr>
        <w:tab/>
        <w:t>Proposals of prescribed class</w:t>
      </w:r>
      <w:bookmarkEnd w:id="107"/>
      <w:bookmarkEnd w:id="108"/>
      <w:bookmarkEnd w:id="109"/>
      <w:bookmarkEnd w:id="110"/>
      <w:bookmarkEnd w:id="111"/>
      <w:bookmarkEnd w:id="112"/>
      <w:bookmarkEnd w:id="113"/>
      <w:bookmarkEnd w:id="114"/>
      <w:r>
        <w:rPr>
          <w:snapToGrid w:val="0"/>
        </w:rPr>
        <w:t xml:space="preserve"> </w:t>
      </w:r>
    </w:p>
    <w:p>
      <w:pPr>
        <w:pStyle w:val="Subsection"/>
        <w:spacing w:before="120"/>
        <w:rPr>
          <w:snapToGrid w:val="0"/>
        </w:rPr>
      </w:pPr>
      <w:r>
        <w:rPr>
          <w:snapToGrid w:val="0"/>
        </w:rPr>
        <w:tab/>
      </w:r>
      <w:r>
        <w:rPr>
          <w:snapToGrid w:val="0"/>
        </w:rPr>
        <w:tab/>
        <w:t>For the purposes of section 38(1) and (3) of the principal Act, a proposal which involves a significant — </w:t>
      </w:r>
    </w:p>
    <w:p>
      <w:pPr>
        <w:pStyle w:val="Indenta"/>
        <w:rPr>
          <w:snapToGrid w:val="0"/>
        </w:rPr>
      </w:pPr>
      <w:r>
        <w:rPr>
          <w:snapToGrid w:val="0"/>
        </w:rPr>
        <w:tab/>
        <w:t>(a)</w:t>
      </w:r>
      <w:r>
        <w:rPr>
          <w:snapToGrid w:val="0"/>
        </w:rPr>
        <w:tab/>
        <w:t>discharge of waste; or</w:t>
      </w:r>
    </w:p>
    <w:p>
      <w:pPr>
        <w:pStyle w:val="Indenta"/>
        <w:rPr>
          <w:snapToGrid w:val="0"/>
        </w:rPr>
      </w:pPr>
      <w:r>
        <w:rPr>
          <w:snapToGrid w:val="0"/>
        </w:rPr>
        <w:tab/>
        <w:t>(b)</w:t>
      </w:r>
      <w:r>
        <w:rPr>
          <w:snapToGrid w:val="0"/>
        </w:rPr>
        <w:tab/>
        <w:t>emission of noise, odour or electromagnetic radiation,</w:t>
      </w:r>
    </w:p>
    <w:p>
      <w:pPr>
        <w:pStyle w:val="Subsection"/>
        <w:rPr>
          <w:snapToGrid w:val="0"/>
        </w:rPr>
      </w:pPr>
      <w:r>
        <w:rPr>
          <w:snapToGrid w:val="0"/>
        </w:rPr>
        <w:tab/>
      </w:r>
      <w:r>
        <w:rPr>
          <w:snapToGrid w:val="0"/>
        </w:rPr>
        <w:tab/>
        <w:t>into the environment is a proposal of a prescribed class.</w:t>
      </w:r>
    </w:p>
    <w:p>
      <w:pPr>
        <w:pStyle w:val="Footnotesection"/>
      </w:pPr>
      <w:r>
        <w:tab/>
        <w:t xml:space="preserve">[Regulation 2C inserted in Gazette 11 Oct 1996 p. 5395.] </w:t>
      </w:r>
    </w:p>
    <w:p>
      <w:pPr>
        <w:pStyle w:val="Heading5"/>
        <w:rPr>
          <w:snapToGrid w:val="0"/>
        </w:rPr>
      </w:pPr>
      <w:bookmarkStart w:id="115" w:name="_Toc448822558"/>
      <w:bookmarkStart w:id="116" w:name="_Toc448822684"/>
      <w:bookmarkStart w:id="117" w:name="_Toc503260553"/>
      <w:bookmarkStart w:id="118" w:name="_Toc12076656"/>
      <w:bookmarkStart w:id="119" w:name="_Toc12952172"/>
      <w:bookmarkStart w:id="120" w:name="_Toc122232884"/>
      <w:bookmarkStart w:id="121" w:name="_Toc324153527"/>
      <w:bookmarkStart w:id="122" w:name="_Toc318383411"/>
      <w:r>
        <w:rPr>
          <w:rStyle w:val="CharSectno"/>
        </w:rPr>
        <w:t>3</w:t>
      </w:r>
      <w:r>
        <w:rPr>
          <w:snapToGrid w:val="0"/>
        </w:rPr>
        <w:t>.</w:t>
      </w:r>
      <w:r>
        <w:rPr>
          <w:snapToGrid w:val="0"/>
        </w:rPr>
        <w:tab/>
        <w:t>Public records of proposals</w:t>
      </w:r>
      <w:bookmarkEnd w:id="115"/>
      <w:bookmarkEnd w:id="116"/>
      <w:bookmarkEnd w:id="117"/>
      <w:bookmarkEnd w:id="118"/>
      <w:bookmarkEnd w:id="119"/>
      <w:bookmarkEnd w:id="120"/>
      <w:bookmarkEnd w:id="121"/>
      <w:bookmarkEnd w:id="122"/>
      <w:r>
        <w:rPr>
          <w:snapToGrid w:val="0"/>
        </w:rPr>
        <w:t xml:space="preserve"> </w:t>
      </w:r>
    </w:p>
    <w:p>
      <w:pPr>
        <w:pStyle w:val="Subsection"/>
        <w:rPr>
          <w:snapToGrid w:val="0"/>
        </w:rPr>
      </w:pPr>
      <w:r>
        <w:rPr>
          <w:snapToGrid w:val="0"/>
        </w:rPr>
        <w:tab/>
        <w:t>(1)</w:t>
      </w:r>
      <w:r>
        <w:rPr>
          <w:snapToGrid w:val="0"/>
        </w:rPr>
        <w:tab/>
        <w:t>The Authority shall in a public record of a proposal kept by it under section 39(1) of the Act set out — </w:t>
      </w:r>
    </w:p>
    <w:p>
      <w:pPr>
        <w:pStyle w:val="Indenta"/>
        <w:rPr>
          <w:snapToGrid w:val="0"/>
        </w:rPr>
      </w:pPr>
      <w:r>
        <w:rPr>
          <w:snapToGrid w:val="0"/>
        </w:rPr>
        <w:tab/>
        <w:t>(a)</w:t>
      </w:r>
      <w:r>
        <w:rPr>
          <w:snapToGrid w:val="0"/>
        </w:rPr>
        <w:tab/>
        <w:t>the title or number or other means of identification of the proposal; and</w:t>
      </w:r>
    </w:p>
    <w:p>
      <w:pPr>
        <w:pStyle w:val="Indenta"/>
        <w:rPr>
          <w:snapToGrid w:val="0"/>
        </w:rPr>
      </w:pPr>
      <w:r>
        <w:rPr>
          <w:snapToGrid w:val="0"/>
        </w:rPr>
        <w:tab/>
        <w:t>(b)</w:t>
      </w:r>
      <w:r>
        <w:rPr>
          <w:snapToGrid w:val="0"/>
        </w:rPr>
        <w:tab/>
        <w:t>the name of, or the office or position held or acted in by, the proponent of the proposal.</w:t>
      </w:r>
    </w:p>
    <w:p>
      <w:pPr>
        <w:pStyle w:val="Subsection"/>
        <w:rPr>
          <w:snapToGrid w:val="0"/>
        </w:rPr>
      </w:pPr>
      <w:r>
        <w:rPr>
          <w:snapToGrid w:val="0"/>
        </w:rPr>
        <w:tab/>
        <w:t>(2)</w:t>
      </w:r>
      <w:r>
        <w:rPr>
          <w:snapToGrid w:val="0"/>
        </w:rPr>
        <w:tab/>
        <w:t>The Authority shall cause each public record kept by it under section 39(1) of the Act to be made available for public inspection</w:t>
      </w:r>
      <w:r>
        <w:t xml:space="preserve"> at the head office</w:t>
      </w:r>
      <w:r>
        <w:rPr>
          <w:snapToGrid w:val="0"/>
        </w:rPr>
        <w:t>, between the hours of 8 a.m. and 5 p.m. on any day which is not a Saturday, Sunday or public service holiday or a public holiday appointed or declared for the Perth area.</w:t>
      </w:r>
    </w:p>
    <w:p>
      <w:pPr>
        <w:pStyle w:val="Footnotesection"/>
      </w:pPr>
      <w:r>
        <w:tab/>
        <w:t xml:space="preserve">[Regulation 3 amended in Gazette 24 Jan 1992 p. 362; 11 Dec 1998 p. 6598.] </w:t>
      </w:r>
    </w:p>
    <w:p>
      <w:pPr>
        <w:pStyle w:val="Heading5"/>
      </w:pPr>
      <w:bookmarkStart w:id="123" w:name="_Toc448822559"/>
      <w:bookmarkStart w:id="124" w:name="_Toc448822685"/>
      <w:bookmarkStart w:id="125" w:name="_Toc503260554"/>
      <w:bookmarkStart w:id="126" w:name="_Toc12076657"/>
      <w:bookmarkStart w:id="127" w:name="_Toc12952173"/>
      <w:bookmarkStart w:id="128" w:name="_Toc122232885"/>
      <w:bookmarkStart w:id="129" w:name="_Toc324153528"/>
      <w:bookmarkStart w:id="130" w:name="_Toc318383412"/>
      <w:r>
        <w:rPr>
          <w:rStyle w:val="CharSectno"/>
        </w:rPr>
        <w:t>3A</w:t>
      </w:r>
      <w:r>
        <w:t>.</w:t>
      </w:r>
      <w:r>
        <w:tab/>
        <w:t>Prescribed number of copies of report by Authority</w:t>
      </w:r>
      <w:bookmarkEnd w:id="123"/>
      <w:bookmarkEnd w:id="124"/>
      <w:bookmarkEnd w:id="125"/>
      <w:bookmarkEnd w:id="126"/>
      <w:bookmarkEnd w:id="127"/>
      <w:bookmarkEnd w:id="128"/>
      <w:bookmarkEnd w:id="129"/>
      <w:bookmarkEnd w:id="130"/>
    </w:p>
    <w:p>
      <w:pPr>
        <w:pStyle w:val="Subsection"/>
      </w:pPr>
      <w:r>
        <w:tab/>
      </w:r>
      <w:r>
        <w:tab/>
        <w:t xml:space="preserve">For </w:t>
      </w:r>
      <w:r>
        <w:rPr>
          <w:snapToGrid w:val="0"/>
        </w:rPr>
        <w:t>the</w:t>
      </w:r>
      <w:r>
        <w:t xml:space="preserve"> purposes of section 44(1) of the Act the prescribed number of copies is 4.</w:t>
      </w:r>
    </w:p>
    <w:p>
      <w:pPr>
        <w:pStyle w:val="Footnotesection"/>
      </w:pPr>
      <w:r>
        <w:tab/>
        <w:t>[Regulation 3A inserted in Gazette 11 Dec 1998 p. 6599.]</w:t>
      </w:r>
    </w:p>
    <w:p>
      <w:pPr>
        <w:pStyle w:val="Heading2"/>
      </w:pPr>
      <w:bookmarkStart w:id="131" w:name="_Toc75588354"/>
      <w:bookmarkStart w:id="132" w:name="_Toc76894901"/>
      <w:bookmarkStart w:id="133" w:name="_Toc85279786"/>
      <w:bookmarkStart w:id="134" w:name="_Toc88903646"/>
      <w:bookmarkStart w:id="135" w:name="_Toc88962235"/>
      <w:bookmarkStart w:id="136" w:name="_Toc94320158"/>
      <w:bookmarkStart w:id="137" w:name="_Toc94330994"/>
      <w:bookmarkStart w:id="138" w:name="_Toc94331106"/>
      <w:bookmarkStart w:id="139" w:name="_Toc94428590"/>
      <w:bookmarkStart w:id="140" w:name="_Toc97455569"/>
      <w:bookmarkStart w:id="141" w:name="_Toc97457360"/>
      <w:bookmarkStart w:id="142" w:name="_Toc97630157"/>
      <w:bookmarkStart w:id="143" w:name="_Toc98053302"/>
      <w:bookmarkStart w:id="144" w:name="_Toc99962288"/>
      <w:bookmarkStart w:id="145" w:name="_Toc122159386"/>
      <w:bookmarkStart w:id="146" w:name="_Toc122232710"/>
      <w:bookmarkStart w:id="147" w:name="_Toc122232886"/>
      <w:bookmarkStart w:id="148" w:name="_Toc147220520"/>
      <w:bookmarkStart w:id="149" w:name="_Toc147223873"/>
      <w:bookmarkStart w:id="150" w:name="_Toc165444908"/>
      <w:bookmarkStart w:id="151" w:name="_Toc170557688"/>
      <w:bookmarkStart w:id="152" w:name="_Toc170795079"/>
      <w:bookmarkStart w:id="153" w:name="_Toc172709179"/>
      <w:bookmarkStart w:id="154" w:name="_Toc172964663"/>
      <w:bookmarkStart w:id="155" w:name="_Toc174158380"/>
      <w:bookmarkStart w:id="156" w:name="_Toc174358933"/>
      <w:bookmarkStart w:id="157" w:name="_Toc174518524"/>
      <w:bookmarkStart w:id="158" w:name="_Toc176170469"/>
      <w:bookmarkStart w:id="159" w:name="_Toc181431028"/>
      <w:bookmarkStart w:id="160" w:name="_Toc181497484"/>
      <w:bookmarkStart w:id="161" w:name="_Toc202254151"/>
      <w:bookmarkStart w:id="162" w:name="_Toc267572066"/>
      <w:bookmarkStart w:id="163" w:name="_Toc281460975"/>
      <w:bookmarkStart w:id="164" w:name="_Toc318383293"/>
      <w:bookmarkStart w:id="165" w:name="_Toc318383413"/>
      <w:bookmarkStart w:id="166" w:name="_Toc324153529"/>
      <w:r>
        <w:rPr>
          <w:rStyle w:val="CharPartNo"/>
        </w:rPr>
        <w:t>Part 3</w:t>
      </w:r>
      <w:r>
        <w:rPr>
          <w:rStyle w:val="CharDivNo"/>
        </w:rPr>
        <w:t> </w:t>
      </w:r>
      <w:r>
        <w:t>—</w:t>
      </w:r>
      <w:r>
        <w:rPr>
          <w:rStyle w:val="CharDivText"/>
        </w:rPr>
        <w:t> </w:t>
      </w:r>
      <w:r>
        <w:rPr>
          <w:rStyle w:val="CharPartText"/>
        </w:rPr>
        <w:t>Control of pollution generally</w:t>
      </w:r>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r>
        <w:rPr>
          <w:rStyle w:val="CharPartText"/>
        </w:rPr>
        <w:t xml:space="preserve"> </w:t>
      </w:r>
    </w:p>
    <w:p>
      <w:pPr>
        <w:pStyle w:val="Footnoteheading"/>
        <w:rPr>
          <w:snapToGrid w:val="0"/>
        </w:rPr>
      </w:pPr>
      <w:r>
        <w:rPr>
          <w:snapToGrid w:val="0"/>
        </w:rPr>
        <w:tab/>
        <w:t xml:space="preserve">[Heading inserted in Gazette 13 Sep 1996 p. 4545.] </w:t>
      </w:r>
    </w:p>
    <w:p>
      <w:pPr>
        <w:pStyle w:val="Heading5"/>
        <w:spacing w:before="180"/>
        <w:rPr>
          <w:snapToGrid w:val="0"/>
        </w:rPr>
      </w:pPr>
      <w:bookmarkStart w:id="167" w:name="_Toc448822560"/>
      <w:bookmarkStart w:id="168" w:name="_Toc448822686"/>
      <w:bookmarkStart w:id="169" w:name="_Toc503260555"/>
      <w:bookmarkStart w:id="170" w:name="_Toc12076658"/>
      <w:bookmarkStart w:id="171" w:name="_Toc12952174"/>
      <w:bookmarkStart w:id="172" w:name="_Toc122232887"/>
      <w:bookmarkStart w:id="173" w:name="_Toc324153530"/>
      <w:bookmarkStart w:id="174" w:name="_Toc318383414"/>
      <w:r>
        <w:rPr>
          <w:rStyle w:val="CharSectno"/>
        </w:rPr>
        <w:t>4</w:t>
      </w:r>
      <w:r>
        <w:rPr>
          <w:snapToGrid w:val="0"/>
        </w:rPr>
        <w:t>.</w:t>
      </w:r>
      <w:r>
        <w:rPr>
          <w:snapToGrid w:val="0"/>
        </w:rPr>
        <w:tab/>
      </w:r>
      <w:bookmarkEnd w:id="167"/>
      <w:bookmarkEnd w:id="168"/>
      <w:bookmarkEnd w:id="169"/>
      <w:bookmarkEnd w:id="170"/>
      <w:bookmarkEnd w:id="171"/>
      <w:bookmarkEnd w:id="172"/>
      <w:r>
        <w:rPr>
          <w:snapToGrid w:val="0"/>
        </w:rPr>
        <w:t>Terms used in this Part</w:t>
      </w:r>
      <w:bookmarkEnd w:id="173"/>
      <w:bookmarkEnd w:id="174"/>
    </w:p>
    <w:p>
      <w:pPr>
        <w:pStyle w:val="Subsection"/>
        <w:spacing w:before="120"/>
        <w:rPr>
          <w:snapToGrid w:val="0"/>
        </w:rPr>
      </w:pPr>
      <w:r>
        <w:rPr>
          <w:snapToGrid w:val="0"/>
        </w:rPr>
        <w:tab/>
        <w:t>(1)</w:t>
      </w:r>
      <w:r>
        <w:rPr>
          <w:snapToGrid w:val="0"/>
        </w:rPr>
        <w:tab/>
        <w:t>In this Part, unless the contrary intention appears — </w:t>
      </w:r>
    </w:p>
    <w:p>
      <w:pPr>
        <w:pStyle w:val="Defstart"/>
      </w:pPr>
      <w:r>
        <w:rPr>
          <w:b/>
        </w:rPr>
        <w:tab/>
      </w:r>
      <w:r>
        <w:rPr>
          <w:rStyle w:val="CharDefText"/>
        </w:rPr>
        <w:t>best practice criteria</w:t>
      </w:r>
      <w:r>
        <w:t xml:space="preserve"> means criteria specified by the Chief Executive Officer that require the establishment and implementation of — </w:t>
      </w:r>
    </w:p>
    <w:p>
      <w:pPr>
        <w:pStyle w:val="Defpara"/>
      </w:pPr>
      <w:r>
        <w:tab/>
        <w:t>(a)</w:t>
      </w:r>
      <w:r>
        <w:tab/>
        <w:t>an environmental policy;</w:t>
      </w:r>
    </w:p>
    <w:p>
      <w:pPr>
        <w:pStyle w:val="Defpara"/>
      </w:pPr>
      <w:r>
        <w:tab/>
        <w:t>(b)</w:t>
      </w:r>
      <w:r>
        <w:tab/>
        <w:t>environmental performance objectives;</w:t>
      </w:r>
    </w:p>
    <w:p>
      <w:pPr>
        <w:pStyle w:val="Defpara"/>
      </w:pPr>
      <w:r>
        <w:tab/>
        <w:t>(c)</w:t>
      </w:r>
      <w:r>
        <w:tab/>
        <w:t>continual improvement programmes;</w:t>
      </w:r>
    </w:p>
    <w:p>
      <w:pPr>
        <w:pStyle w:val="Defpara"/>
      </w:pPr>
      <w:r>
        <w:tab/>
        <w:t>(d)</w:t>
      </w:r>
      <w:r>
        <w:tab/>
        <w:t>environmental management and audit plans; and</w:t>
      </w:r>
    </w:p>
    <w:p>
      <w:pPr>
        <w:pStyle w:val="Defpara"/>
      </w:pPr>
      <w:r>
        <w:tab/>
        <w:t>(e)</w:t>
      </w:r>
      <w:r>
        <w:tab/>
        <w:t>other measures that the Chief Executive Officer considers necessary for good environmental performance and management;</w:t>
      </w:r>
    </w:p>
    <w:p>
      <w:pPr>
        <w:pStyle w:val="Defstart"/>
      </w:pPr>
      <w:r>
        <w:rPr>
          <w:b/>
        </w:rPr>
        <w:tab/>
      </w:r>
      <w:r>
        <w:rPr>
          <w:rStyle w:val="CharDefText"/>
        </w:rPr>
        <w:t>category</w:t>
      </w:r>
      <w:r>
        <w:t xml:space="preserve"> means a category of premises specified in Schedule 1;</w:t>
      </w:r>
    </w:p>
    <w:p>
      <w:pPr>
        <w:pStyle w:val="Defstart"/>
      </w:pPr>
      <w:r>
        <w:rPr>
          <w:b/>
        </w:rPr>
        <w:tab/>
      </w:r>
      <w:r>
        <w:rPr>
          <w:rStyle w:val="CharDefText"/>
        </w:rPr>
        <w:t>licence</w:t>
      </w:r>
      <w:r>
        <w:t xml:space="preserve"> means a licence under Part V of the Act;</w:t>
      </w:r>
    </w:p>
    <w:p>
      <w:pPr>
        <w:pStyle w:val="Defstart"/>
      </w:pPr>
      <w:r>
        <w:rPr>
          <w:b/>
        </w:rPr>
        <w:tab/>
      </w:r>
      <w:r>
        <w:rPr>
          <w:rStyle w:val="CharDefText"/>
        </w:rPr>
        <w:t>licence period</w:t>
      </w:r>
      <w:r>
        <w:t xml:space="preserve"> means — </w:t>
      </w:r>
    </w:p>
    <w:p>
      <w:pPr>
        <w:pStyle w:val="Defpara"/>
      </w:pPr>
      <w:r>
        <w:tab/>
        <w:t>(a)</w:t>
      </w:r>
      <w:r>
        <w:tab/>
        <w:t>in relation to an application for a licence — the period to which the application relates;</w:t>
      </w:r>
    </w:p>
    <w:p>
      <w:pPr>
        <w:pStyle w:val="Defpara"/>
      </w:pPr>
      <w:r>
        <w:tab/>
        <w:t>(b)</w:t>
      </w:r>
      <w:r>
        <w:tab/>
        <w:t>in relation to a licence — the period covered by the licence.</w:t>
      </w:r>
    </w:p>
    <w:p>
      <w:pPr>
        <w:pStyle w:val="Subsection"/>
        <w:spacing w:before="120"/>
        <w:rPr>
          <w:snapToGrid w:val="0"/>
        </w:rPr>
      </w:pPr>
      <w:r>
        <w:rPr>
          <w:snapToGrid w:val="0"/>
        </w:rPr>
        <w:tab/>
        <w:t>(2)</w:t>
      </w:r>
      <w:r>
        <w:rPr>
          <w:snapToGrid w:val="0"/>
        </w:rPr>
        <w:tab/>
        <w:t>A reference in this Part to a kind of waste is a reference to both the type of waste and the nature of its discharge into the environment.</w:t>
      </w:r>
    </w:p>
    <w:p>
      <w:pPr>
        <w:pStyle w:val="Subsection"/>
        <w:spacing w:before="120"/>
        <w:rPr>
          <w:snapToGrid w:val="0"/>
        </w:rPr>
      </w:pPr>
      <w:r>
        <w:rPr>
          <w:snapToGrid w:val="0"/>
        </w:rPr>
        <w:tab/>
        <w:t>(3)</w:t>
      </w:r>
      <w:r>
        <w:rPr>
          <w:snapToGrid w:val="0"/>
        </w:rPr>
        <w:tab/>
        <w:t>A reference in this Part or a Schedule to a category followed by a designation is a reference to the category so designated in the first column of Schedule 1.</w:t>
      </w:r>
    </w:p>
    <w:p>
      <w:pPr>
        <w:pStyle w:val="Subsection"/>
        <w:keepNext/>
        <w:keepLines/>
        <w:spacing w:before="0"/>
        <w:rPr>
          <w:snapToGrid w:val="0"/>
        </w:rPr>
      </w:pPr>
      <w:r>
        <w:rPr>
          <w:snapToGrid w:val="0"/>
        </w:rPr>
        <w:tab/>
        <w:t>(4)</w:t>
      </w:r>
      <w:r>
        <w:rPr>
          <w:snapToGrid w:val="0"/>
        </w:rPr>
        <w:tab/>
        <w:t xml:space="preserve">A reference in Part 3 of Schedule 4 to the Swan Coastal Plain is a reference to the area defined in Schedule 1 to the </w:t>
      </w:r>
      <w:r>
        <w:rPr>
          <w:i/>
          <w:snapToGrid w:val="0"/>
        </w:rPr>
        <w:t>Environmental Protection (Swan Coastal Plain Lakes) Policy Approval Order 1992 </w:t>
      </w:r>
      <w:r>
        <w:rPr>
          <w:snapToGrid w:val="0"/>
          <w:vertAlign w:val="superscript"/>
        </w:rPr>
        <w:t>2</w:t>
      </w:r>
      <w:r>
        <w:rPr>
          <w:snapToGrid w:val="0"/>
        </w:rPr>
        <w:t>.</w:t>
      </w:r>
    </w:p>
    <w:p>
      <w:pPr>
        <w:pStyle w:val="Subsection"/>
        <w:spacing w:before="120"/>
      </w:pPr>
      <w:r>
        <w:tab/>
        <w:t>(5)</w:t>
      </w:r>
      <w:r>
        <w:tab/>
        <w:t>In regulations 5B, 5C, 5CB, 5D, 5DA and 5F and in Schedule 3 fee amounts are expressed in units or fractions of a unit, one unit being equivalent to the amount specified in column 2 of the Table to this subregulation during the period specified in column 1 of that Table.</w:t>
      </w:r>
    </w:p>
    <w:p>
      <w:pPr>
        <w:pStyle w:val="MiscellaneousHeading"/>
      </w:pPr>
      <w:r>
        <w:rPr>
          <w:b/>
          <w:bCs/>
        </w:rPr>
        <w:t>Table</w:t>
      </w:r>
    </w:p>
    <w:tbl>
      <w:tblPr>
        <w:tblW w:w="0" w:type="auto"/>
        <w:tblInd w:w="948" w:type="dxa"/>
        <w:tblLook w:val="0000" w:firstRow="0" w:lastRow="0" w:firstColumn="0" w:lastColumn="0" w:noHBand="0" w:noVBand="0"/>
      </w:tblPr>
      <w:tblGrid>
        <w:gridCol w:w="4263"/>
        <w:gridCol w:w="1616"/>
      </w:tblGrid>
      <w:tr>
        <w:tc>
          <w:tcPr>
            <w:tcW w:w="4263" w:type="dxa"/>
            <w:tcBorders>
              <w:top w:val="single" w:sz="4" w:space="0" w:color="auto"/>
              <w:bottom w:val="single" w:sz="4" w:space="0" w:color="auto"/>
            </w:tcBorders>
          </w:tcPr>
          <w:p>
            <w:pPr>
              <w:pStyle w:val="Table"/>
              <w:jc w:val="center"/>
              <w:rPr>
                <w:b/>
                <w:bCs/>
              </w:rPr>
            </w:pPr>
            <w:r>
              <w:rPr>
                <w:b/>
                <w:bCs/>
              </w:rPr>
              <w:t>Column 1</w:t>
            </w:r>
            <w:r>
              <w:rPr>
                <w:b/>
                <w:bCs/>
              </w:rPr>
              <w:br/>
              <w:t>Period</w:t>
            </w:r>
          </w:p>
        </w:tc>
        <w:tc>
          <w:tcPr>
            <w:tcW w:w="1616" w:type="dxa"/>
            <w:tcBorders>
              <w:top w:val="single" w:sz="4" w:space="0" w:color="auto"/>
              <w:bottom w:val="single" w:sz="4" w:space="0" w:color="auto"/>
            </w:tcBorders>
          </w:tcPr>
          <w:p>
            <w:pPr>
              <w:pStyle w:val="Table"/>
              <w:jc w:val="center"/>
              <w:rPr>
                <w:b/>
                <w:bCs/>
              </w:rPr>
            </w:pPr>
            <w:r>
              <w:rPr>
                <w:b/>
                <w:bCs/>
              </w:rPr>
              <w:t>Column 2</w:t>
            </w:r>
            <w:r>
              <w:rPr>
                <w:b/>
                <w:bCs/>
              </w:rPr>
              <w:br/>
              <w:t>$</w:t>
            </w:r>
          </w:p>
        </w:tc>
      </w:tr>
      <w:tr>
        <w:tc>
          <w:tcPr>
            <w:tcW w:w="4263" w:type="dxa"/>
            <w:tcBorders>
              <w:top w:val="single" w:sz="4" w:space="0" w:color="auto"/>
            </w:tcBorders>
          </w:tcPr>
          <w:p>
            <w:pPr>
              <w:pStyle w:val="Table"/>
            </w:pPr>
            <w:r>
              <w:t>Beginning on 1 July 2007 and ending on 30 June 2008</w:t>
            </w:r>
          </w:p>
        </w:tc>
        <w:tc>
          <w:tcPr>
            <w:tcW w:w="1616" w:type="dxa"/>
            <w:tcBorders>
              <w:top w:val="single" w:sz="4" w:space="0" w:color="auto"/>
            </w:tcBorders>
          </w:tcPr>
          <w:p>
            <w:pPr>
              <w:pStyle w:val="Table"/>
            </w:pPr>
            <w:r>
              <w:br/>
            </w:r>
            <w:r>
              <w:tab/>
              <w:t>20.00</w:t>
            </w:r>
          </w:p>
        </w:tc>
      </w:tr>
      <w:tr>
        <w:tc>
          <w:tcPr>
            <w:tcW w:w="4263" w:type="dxa"/>
          </w:tcPr>
          <w:p>
            <w:pPr>
              <w:pStyle w:val="Table"/>
            </w:pPr>
            <w:r>
              <w:t>Beginning on 1 July 2008 and ending on 30 June 2009</w:t>
            </w:r>
          </w:p>
        </w:tc>
        <w:tc>
          <w:tcPr>
            <w:tcW w:w="1616" w:type="dxa"/>
          </w:tcPr>
          <w:p>
            <w:pPr>
              <w:pStyle w:val="Table"/>
            </w:pPr>
            <w:r>
              <w:br/>
            </w:r>
            <w:r>
              <w:tab/>
              <w:t>25.00</w:t>
            </w:r>
          </w:p>
        </w:tc>
      </w:tr>
      <w:tr>
        <w:tc>
          <w:tcPr>
            <w:tcW w:w="4263" w:type="dxa"/>
          </w:tcPr>
          <w:p>
            <w:pPr>
              <w:pStyle w:val="Table"/>
            </w:pPr>
            <w:r>
              <w:t>Beginning on 1 July 2009 and ending on 30 June 2010</w:t>
            </w:r>
          </w:p>
        </w:tc>
        <w:tc>
          <w:tcPr>
            <w:tcW w:w="1616" w:type="dxa"/>
          </w:tcPr>
          <w:p>
            <w:pPr>
              <w:pStyle w:val="Table"/>
            </w:pPr>
            <w:r>
              <w:br/>
            </w:r>
            <w:r>
              <w:tab/>
              <w:t>26.00</w:t>
            </w:r>
          </w:p>
        </w:tc>
      </w:tr>
      <w:tr>
        <w:tc>
          <w:tcPr>
            <w:tcW w:w="4263" w:type="dxa"/>
          </w:tcPr>
          <w:p>
            <w:pPr>
              <w:pStyle w:val="Table"/>
            </w:pPr>
            <w:r>
              <w:t>Beginning on 1 July 2010 and ending on 30 June 2011</w:t>
            </w:r>
          </w:p>
        </w:tc>
        <w:tc>
          <w:tcPr>
            <w:tcW w:w="1616" w:type="dxa"/>
          </w:tcPr>
          <w:p>
            <w:pPr>
              <w:pStyle w:val="Table"/>
            </w:pPr>
            <w:r>
              <w:br/>
            </w:r>
            <w:r>
              <w:tab/>
              <w:t>27.00</w:t>
            </w:r>
          </w:p>
        </w:tc>
      </w:tr>
      <w:tr>
        <w:tc>
          <w:tcPr>
            <w:tcW w:w="4263" w:type="dxa"/>
          </w:tcPr>
          <w:p>
            <w:pPr>
              <w:pStyle w:val="Table"/>
            </w:pPr>
            <w:r>
              <w:t>Beginning on 1 July 2011 and ending on 30 June 2012</w:t>
            </w:r>
          </w:p>
        </w:tc>
        <w:tc>
          <w:tcPr>
            <w:tcW w:w="1616" w:type="dxa"/>
          </w:tcPr>
          <w:p>
            <w:pPr>
              <w:pStyle w:val="Table"/>
            </w:pPr>
            <w:r>
              <w:br/>
            </w:r>
            <w:r>
              <w:tab/>
              <w:t>28.10</w:t>
            </w:r>
          </w:p>
        </w:tc>
      </w:tr>
      <w:tr>
        <w:tc>
          <w:tcPr>
            <w:tcW w:w="4263" w:type="dxa"/>
            <w:tcBorders>
              <w:bottom w:val="single" w:sz="4" w:space="0" w:color="auto"/>
            </w:tcBorders>
          </w:tcPr>
          <w:p>
            <w:pPr>
              <w:pStyle w:val="Table"/>
            </w:pPr>
            <w:r>
              <w:t>On and from 1 July 2012</w:t>
            </w:r>
          </w:p>
        </w:tc>
        <w:tc>
          <w:tcPr>
            <w:tcW w:w="1616" w:type="dxa"/>
            <w:tcBorders>
              <w:bottom w:val="single" w:sz="4" w:space="0" w:color="auto"/>
            </w:tcBorders>
          </w:tcPr>
          <w:p>
            <w:pPr>
              <w:pStyle w:val="Table"/>
            </w:pPr>
            <w:r>
              <w:tab/>
              <w:t>29.20</w:t>
            </w:r>
          </w:p>
        </w:tc>
      </w:tr>
    </w:tbl>
    <w:p>
      <w:pPr>
        <w:pStyle w:val="Subsection"/>
      </w:pPr>
      <w:r>
        <w:tab/>
        <w:t>(6)</w:t>
      </w:r>
      <w:r>
        <w:tab/>
        <w:t>In Schedule 4 Part 1 fee amounts are expressed in units or fractions of a unit and, for a financial year, one unit is equivalent to the amount specified in column 2 of the Table to this subregulation for that year.</w:t>
      </w:r>
    </w:p>
    <w:p>
      <w:pPr>
        <w:pStyle w:val="MiscellaneousHeading"/>
      </w:pPr>
      <w:r>
        <w:rPr>
          <w:b/>
          <w:bCs/>
        </w:rPr>
        <w:t>Table</w:t>
      </w:r>
    </w:p>
    <w:tbl>
      <w:tblPr>
        <w:tblW w:w="0" w:type="auto"/>
        <w:tblInd w:w="948" w:type="dxa"/>
        <w:tblLook w:val="0000" w:firstRow="0" w:lastRow="0" w:firstColumn="0" w:lastColumn="0" w:noHBand="0" w:noVBand="0"/>
      </w:tblPr>
      <w:tblGrid>
        <w:gridCol w:w="4263"/>
        <w:gridCol w:w="1616"/>
      </w:tblGrid>
      <w:tr>
        <w:trPr>
          <w:tblHeader/>
        </w:trPr>
        <w:tc>
          <w:tcPr>
            <w:tcW w:w="4263" w:type="dxa"/>
            <w:tcBorders>
              <w:top w:val="single" w:sz="4" w:space="0" w:color="auto"/>
              <w:bottom w:val="single" w:sz="4" w:space="0" w:color="auto"/>
            </w:tcBorders>
          </w:tcPr>
          <w:p>
            <w:pPr>
              <w:pStyle w:val="Table"/>
              <w:jc w:val="center"/>
              <w:rPr>
                <w:b/>
                <w:bCs/>
              </w:rPr>
            </w:pPr>
            <w:r>
              <w:rPr>
                <w:b/>
                <w:bCs/>
              </w:rPr>
              <w:t>Column 1</w:t>
            </w:r>
            <w:r>
              <w:rPr>
                <w:b/>
                <w:bCs/>
              </w:rPr>
              <w:br/>
              <w:t>Period</w:t>
            </w:r>
          </w:p>
        </w:tc>
        <w:tc>
          <w:tcPr>
            <w:tcW w:w="1616" w:type="dxa"/>
            <w:tcBorders>
              <w:top w:val="single" w:sz="4" w:space="0" w:color="auto"/>
              <w:bottom w:val="single" w:sz="4" w:space="0" w:color="auto"/>
            </w:tcBorders>
          </w:tcPr>
          <w:p>
            <w:pPr>
              <w:pStyle w:val="Table"/>
              <w:jc w:val="center"/>
              <w:rPr>
                <w:b/>
                <w:bCs/>
              </w:rPr>
            </w:pPr>
            <w:r>
              <w:rPr>
                <w:b/>
                <w:bCs/>
              </w:rPr>
              <w:t>Column 2</w:t>
            </w:r>
            <w:r>
              <w:rPr>
                <w:b/>
                <w:bCs/>
              </w:rPr>
              <w:br/>
              <w:t>$</w:t>
            </w:r>
          </w:p>
        </w:tc>
      </w:tr>
      <w:tr>
        <w:tc>
          <w:tcPr>
            <w:tcW w:w="4263" w:type="dxa"/>
            <w:tcBorders>
              <w:top w:val="single" w:sz="4" w:space="0" w:color="auto"/>
            </w:tcBorders>
          </w:tcPr>
          <w:p>
            <w:pPr>
              <w:pStyle w:val="Table"/>
            </w:pPr>
            <w:r>
              <w:t>Beginning on 1 July 2007 and ending on 30 June 2008</w:t>
            </w:r>
          </w:p>
        </w:tc>
        <w:tc>
          <w:tcPr>
            <w:tcW w:w="1616" w:type="dxa"/>
            <w:tcBorders>
              <w:top w:val="single" w:sz="4" w:space="0" w:color="auto"/>
            </w:tcBorders>
          </w:tcPr>
          <w:p>
            <w:pPr>
              <w:pStyle w:val="Table"/>
            </w:pPr>
            <w:r>
              <w:br/>
            </w:r>
            <w:r>
              <w:tab/>
              <w:t>20.00</w:t>
            </w:r>
          </w:p>
        </w:tc>
      </w:tr>
      <w:tr>
        <w:tc>
          <w:tcPr>
            <w:tcW w:w="4263" w:type="dxa"/>
          </w:tcPr>
          <w:p>
            <w:pPr>
              <w:pStyle w:val="Table"/>
            </w:pPr>
            <w:r>
              <w:t>Beginning on 1 July 2008 and ending on 30 June 2009</w:t>
            </w:r>
          </w:p>
        </w:tc>
        <w:tc>
          <w:tcPr>
            <w:tcW w:w="1616" w:type="dxa"/>
          </w:tcPr>
          <w:p>
            <w:pPr>
              <w:pStyle w:val="Table"/>
            </w:pPr>
            <w:r>
              <w:br/>
            </w:r>
            <w:r>
              <w:tab/>
              <w:t>25.00</w:t>
            </w:r>
          </w:p>
        </w:tc>
      </w:tr>
      <w:tr>
        <w:tc>
          <w:tcPr>
            <w:tcW w:w="4263" w:type="dxa"/>
          </w:tcPr>
          <w:p>
            <w:pPr>
              <w:pStyle w:val="Table"/>
            </w:pPr>
            <w:r>
              <w:t>Beginning on 1 July 2009 and ending on 30 June 2010</w:t>
            </w:r>
          </w:p>
        </w:tc>
        <w:tc>
          <w:tcPr>
            <w:tcW w:w="1616" w:type="dxa"/>
          </w:tcPr>
          <w:p>
            <w:pPr>
              <w:pStyle w:val="Table"/>
            </w:pPr>
            <w:r>
              <w:br/>
            </w:r>
            <w:r>
              <w:tab/>
              <w:t>26.00</w:t>
            </w:r>
          </w:p>
        </w:tc>
      </w:tr>
      <w:tr>
        <w:tc>
          <w:tcPr>
            <w:tcW w:w="4263" w:type="dxa"/>
          </w:tcPr>
          <w:p>
            <w:pPr>
              <w:pStyle w:val="Table"/>
            </w:pPr>
            <w:r>
              <w:t>Beginning on 1 July 2010 and ending on 30 June 2011</w:t>
            </w:r>
          </w:p>
        </w:tc>
        <w:tc>
          <w:tcPr>
            <w:tcW w:w="1616" w:type="dxa"/>
          </w:tcPr>
          <w:p>
            <w:pPr>
              <w:pStyle w:val="Table"/>
            </w:pPr>
            <w:r>
              <w:br/>
            </w:r>
            <w:r>
              <w:tab/>
              <w:t>27.00</w:t>
            </w:r>
          </w:p>
        </w:tc>
      </w:tr>
      <w:tr>
        <w:tc>
          <w:tcPr>
            <w:tcW w:w="4263" w:type="dxa"/>
          </w:tcPr>
          <w:p>
            <w:pPr>
              <w:pStyle w:val="Table"/>
            </w:pPr>
            <w:r>
              <w:t>Beginning on 1 July 2011 and ending on 30 June 2012</w:t>
            </w:r>
          </w:p>
        </w:tc>
        <w:tc>
          <w:tcPr>
            <w:tcW w:w="1616" w:type="dxa"/>
          </w:tcPr>
          <w:p>
            <w:pPr>
              <w:pStyle w:val="Table"/>
            </w:pPr>
            <w:r>
              <w:br/>
            </w:r>
            <w:r>
              <w:tab/>
              <w:t>28.10</w:t>
            </w:r>
          </w:p>
        </w:tc>
      </w:tr>
      <w:tr>
        <w:tc>
          <w:tcPr>
            <w:tcW w:w="4263" w:type="dxa"/>
            <w:tcBorders>
              <w:bottom w:val="single" w:sz="4" w:space="0" w:color="auto"/>
            </w:tcBorders>
          </w:tcPr>
          <w:p>
            <w:pPr>
              <w:pStyle w:val="Table"/>
            </w:pPr>
            <w:r>
              <w:t>On and from 1 July 2012</w:t>
            </w:r>
          </w:p>
        </w:tc>
        <w:tc>
          <w:tcPr>
            <w:tcW w:w="1616" w:type="dxa"/>
            <w:tcBorders>
              <w:bottom w:val="single" w:sz="4" w:space="0" w:color="auto"/>
            </w:tcBorders>
          </w:tcPr>
          <w:p>
            <w:pPr>
              <w:pStyle w:val="Table"/>
            </w:pPr>
            <w:r>
              <w:tab/>
              <w:t>29.20</w:t>
            </w:r>
          </w:p>
        </w:tc>
      </w:tr>
    </w:tbl>
    <w:p>
      <w:pPr>
        <w:pStyle w:val="Subsection"/>
      </w:pPr>
      <w:r>
        <w:tab/>
        <w:t>(7)</w:t>
      </w:r>
      <w:r>
        <w:tab/>
        <w:t>In Schedule 4 Parts 2 and 3 fee amounts are expressed in units or fractions of a unit and, for a financial year, one unit is equivalent to the amount specified in column 2 of the Table to this subregulation for that year.</w:t>
      </w:r>
    </w:p>
    <w:p>
      <w:pPr>
        <w:pStyle w:val="MiscellaneousHeading"/>
      </w:pPr>
      <w:r>
        <w:rPr>
          <w:b/>
          <w:bCs/>
        </w:rPr>
        <w:t>Table</w:t>
      </w:r>
    </w:p>
    <w:tbl>
      <w:tblPr>
        <w:tblW w:w="0" w:type="auto"/>
        <w:tblInd w:w="948" w:type="dxa"/>
        <w:tblLook w:val="0000" w:firstRow="0" w:lastRow="0" w:firstColumn="0" w:lastColumn="0" w:noHBand="0" w:noVBand="0"/>
      </w:tblPr>
      <w:tblGrid>
        <w:gridCol w:w="4263"/>
        <w:gridCol w:w="1616"/>
      </w:tblGrid>
      <w:tr>
        <w:tc>
          <w:tcPr>
            <w:tcW w:w="4263" w:type="dxa"/>
            <w:tcBorders>
              <w:top w:val="single" w:sz="4" w:space="0" w:color="auto"/>
              <w:bottom w:val="single" w:sz="4" w:space="0" w:color="auto"/>
            </w:tcBorders>
          </w:tcPr>
          <w:p>
            <w:pPr>
              <w:pStyle w:val="Table"/>
              <w:jc w:val="center"/>
              <w:rPr>
                <w:b/>
                <w:bCs/>
              </w:rPr>
            </w:pPr>
            <w:r>
              <w:rPr>
                <w:b/>
                <w:bCs/>
              </w:rPr>
              <w:t>Column 1</w:t>
            </w:r>
            <w:r>
              <w:rPr>
                <w:b/>
                <w:bCs/>
              </w:rPr>
              <w:br/>
              <w:t>Period</w:t>
            </w:r>
          </w:p>
        </w:tc>
        <w:tc>
          <w:tcPr>
            <w:tcW w:w="1616" w:type="dxa"/>
            <w:tcBorders>
              <w:top w:val="single" w:sz="4" w:space="0" w:color="auto"/>
              <w:bottom w:val="single" w:sz="4" w:space="0" w:color="auto"/>
            </w:tcBorders>
          </w:tcPr>
          <w:p>
            <w:pPr>
              <w:pStyle w:val="Table"/>
              <w:jc w:val="center"/>
              <w:rPr>
                <w:b/>
                <w:bCs/>
              </w:rPr>
            </w:pPr>
            <w:r>
              <w:rPr>
                <w:b/>
                <w:bCs/>
              </w:rPr>
              <w:t>Column 2</w:t>
            </w:r>
            <w:r>
              <w:rPr>
                <w:b/>
                <w:bCs/>
              </w:rPr>
              <w:br/>
              <w:t>$</w:t>
            </w:r>
          </w:p>
        </w:tc>
      </w:tr>
      <w:tr>
        <w:tc>
          <w:tcPr>
            <w:tcW w:w="4263" w:type="dxa"/>
            <w:tcBorders>
              <w:top w:val="single" w:sz="4" w:space="0" w:color="auto"/>
            </w:tcBorders>
          </w:tcPr>
          <w:p>
            <w:pPr>
              <w:pStyle w:val="Table"/>
            </w:pPr>
            <w:r>
              <w:t>Beginning on 1 July 2007 and ending on 30 June 2008</w:t>
            </w:r>
          </w:p>
        </w:tc>
        <w:tc>
          <w:tcPr>
            <w:tcW w:w="1616" w:type="dxa"/>
            <w:tcBorders>
              <w:top w:val="single" w:sz="4" w:space="0" w:color="auto"/>
            </w:tcBorders>
          </w:tcPr>
          <w:p>
            <w:pPr>
              <w:pStyle w:val="Table"/>
            </w:pPr>
            <w:r>
              <w:br/>
            </w:r>
            <w:r>
              <w:tab/>
              <w:t>32.00</w:t>
            </w:r>
          </w:p>
        </w:tc>
      </w:tr>
      <w:tr>
        <w:tc>
          <w:tcPr>
            <w:tcW w:w="4263" w:type="dxa"/>
          </w:tcPr>
          <w:p>
            <w:pPr>
              <w:pStyle w:val="Table"/>
            </w:pPr>
            <w:r>
              <w:t>Beginning on 1 July 2008 and ending on 30 June 2009</w:t>
            </w:r>
          </w:p>
        </w:tc>
        <w:tc>
          <w:tcPr>
            <w:tcW w:w="1616" w:type="dxa"/>
          </w:tcPr>
          <w:p>
            <w:pPr>
              <w:pStyle w:val="Table"/>
            </w:pPr>
            <w:r>
              <w:br/>
            </w:r>
            <w:r>
              <w:tab/>
              <w:t>35.00</w:t>
            </w:r>
          </w:p>
        </w:tc>
      </w:tr>
      <w:tr>
        <w:tc>
          <w:tcPr>
            <w:tcW w:w="4263" w:type="dxa"/>
          </w:tcPr>
          <w:p>
            <w:pPr>
              <w:pStyle w:val="Table"/>
            </w:pPr>
            <w:r>
              <w:t>Beginning on 1 July 2009 and ending on 30 June 2010</w:t>
            </w:r>
          </w:p>
        </w:tc>
        <w:tc>
          <w:tcPr>
            <w:tcW w:w="1616" w:type="dxa"/>
          </w:tcPr>
          <w:p>
            <w:pPr>
              <w:pStyle w:val="Table"/>
            </w:pPr>
            <w:r>
              <w:br/>
            </w:r>
            <w:r>
              <w:tab/>
              <w:t>36.40</w:t>
            </w:r>
          </w:p>
        </w:tc>
      </w:tr>
      <w:tr>
        <w:tc>
          <w:tcPr>
            <w:tcW w:w="4263" w:type="dxa"/>
          </w:tcPr>
          <w:p>
            <w:pPr>
              <w:pStyle w:val="Table"/>
            </w:pPr>
            <w:r>
              <w:t>Beginning on 1 July 2010 and ending on 30 June 2011</w:t>
            </w:r>
          </w:p>
        </w:tc>
        <w:tc>
          <w:tcPr>
            <w:tcW w:w="1616" w:type="dxa"/>
          </w:tcPr>
          <w:p>
            <w:pPr>
              <w:pStyle w:val="Table"/>
            </w:pPr>
            <w:r>
              <w:br/>
            </w:r>
            <w:r>
              <w:tab/>
              <w:t>37.90</w:t>
            </w:r>
          </w:p>
        </w:tc>
      </w:tr>
      <w:tr>
        <w:tc>
          <w:tcPr>
            <w:tcW w:w="4263" w:type="dxa"/>
          </w:tcPr>
          <w:p>
            <w:pPr>
              <w:pStyle w:val="Table"/>
            </w:pPr>
            <w:r>
              <w:t>Beginning on 1 July 2011 and ending on 30 June 2012</w:t>
            </w:r>
          </w:p>
        </w:tc>
        <w:tc>
          <w:tcPr>
            <w:tcW w:w="1616" w:type="dxa"/>
          </w:tcPr>
          <w:p>
            <w:pPr>
              <w:pStyle w:val="Table"/>
            </w:pPr>
            <w:r>
              <w:br/>
            </w:r>
            <w:r>
              <w:tab/>
              <w:t>39.40</w:t>
            </w:r>
          </w:p>
        </w:tc>
      </w:tr>
      <w:tr>
        <w:tc>
          <w:tcPr>
            <w:tcW w:w="4263" w:type="dxa"/>
            <w:tcBorders>
              <w:bottom w:val="single" w:sz="4" w:space="0" w:color="auto"/>
            </w:tcBorders>
          </w:tcPr>
          <w:p>
            <w:pPr>
              <w:pStyle w:val="Table"/>
            </w:pPr>
            <w:r>
              <w:t>On and from 1 July 2012</w:t>
            </w:r>
          </w:p>
        </w:tc>
        <w:tc>
          <w:tcPr>
            <w:tcW w:w="1616" w:type="dxa"/>
            <w:tcBorders>
              <w:bottom w:val="single" w:sz="4" w:space="0" w:color="auto"/>
            </w:tcBorders>
          </w:tcPr>
          <w:p>
            <w:pPr>
              <w:pStyle w:val="Table"/>
            </w:pPr>
            <w:r>
              <w:tab/>
              <w:t>41.00</w:t>
            </w:r>
          </w:p>
        </w:tc>
      </w:tr>
    </w:tbl>
    <w:p>
      <w:pPr>
        <w:pStyle w:val="Footnotesection"/>
      </w:pPr>
      <w:r>
        <w:tab/>
        <w:t>[Regulation 4 inserted in Gazette 13 Sep 1996 p. 4546; amended in Gazette 12 Sep 1997 p. 5150; 4 Aug 2000 p. 4199</w:t>
      </w:r>
      <w:r>
        <w:noBreakHyphen/>
        <w:t>200; 9 Sep 2003 p. 4053; 22 Jun 2004 p. 2143</w:t>
      </w:r>
      <w:r>
        <w:noBreakHyphen/>
        <w:t>4; 12 Oct 2004 p. 4755; 22 Jun 2007 p. 2839</w:t>
      </w:r>
      <w:r>
        <w:noBreakHyphen/>
        <w:t xml:space="preserve">41.] </w:t>
      </w:r>
    </w:p>
    <w:p>
      <w:pPr>
        <w:pStyle w:val="Heading5"/>
        <w:rPr>
          <w:snapToGrid w:val="0"/>
        </w:rPr>
      </w:pPr>
      <w:bookmarkStart w:id="175" w:name="_Toc448822561"/>
      <w:bookmarkStart w:id="176" w:name="_Toc448822687"/>
      <w:bookmarkStart w:id="177" w:name="_Toc503260556"/>
      <w:bookmarkStart w:id="178" w:name="_Toc12076659"/>
      <w:bookmarkStart w:id="179" w:name="_Toc12952175"/>
      <w:bookmarkStart w:id="180" w:name="_Toc122232888"/>
      <w:bookmarkStart w:id="181" w:name="_Toc324153531"/>
      <w:bookmarkStart w:id="182" w:name="_Toc318383415"/>
      <w:r>
        <w:rPr>
          <w:rStyle w:val="CharSectno"/>
        </w:rPr>
        <w:t>5</w:t>
      </w:r>
      <w:r>
        <w:rPr>
          <w:snapToGrid w:val="0"/>
        </w:rPr>
        <w:t>.</w:t>
      </w:r>
      <w:r>
        <w:rPr>
          <w:snapToGrid w:val="0"/>
        </w:rPr>
        <w:tab/>
        <w:t>Prescribed premises</w:t>
      </w:r>
      <w:bookmarkEnd w:id="175"/>
      <w:bookmarkEnd w:id="176"/>
      <w:bookmarkEnd w:id="177"/>
      <w:bookmarkEnd w:id="178"/>
      <w:bookmarkEnd w:id="179"/>
      <w:bookmarkEnd w:id="180"/>
      <w:bookmarkEnd w:id="181"/>
      <w:bookmarkEnd w:id="182"/>
      <w:r>
        <w:rPr>
          <w:snapToGrid w:val="0"/>
        </w:rPr>
        <w:t xml:space="preserve"> </w:t>
      </w:r>
    </w:p>
    <w:p>
      <w:pPr>
        <w:pStyle w:val="Subsection"/>
        <w:rPr>
          <w:snapToGrid w:val="0"/>
        </w:rPr>
      </w:pPr>
      <w:r>
        <w:rPr>
          <w:snapToGrid w:val="0"/>
        </w:rPr>
        <w:tab/>
      </w:r>
      <w:r>
        <w:rPr>
          <w:snapToGrid w:val="0"/>
        </w:rPr>
        <w:tab/>
        <w:t>The premises specified in Schedule 1 are prescribed premises for the purposes of Part V of the Act.</w:t>
      </w:r>
    </w:p>
    <w:p>
      <w:pPr>
        <w:pStyle w:val="Footnotesection"/>
      </w:pPr>
      <w:r>
        <w:tab/>
        <w:t xml:space="preserve">[Regulation 5 inserted in Gazette 13 Sep 1996 p. 4546.] </w:t>
      </w:r>
    </w:p>
    <w:p>
      <w:pPr>
        <w:pStyle w:val="Heading5"/>
        <w:rPr>
          <w:snapToGrid w:val="0"/>
        </w:rPr>
      </w:pPr>
      <w:bookmarkStart w:id="183" w:name="_Toc448822562"/>
      <w:bookmarkStart w:id="184" w:name="_Toc448822688"/>
      <w:bookmarkStart w:id="185" w:name="_Toc503260557"/>
      <w:bookmarkStart w:id="186" w:name="_Toc12076660"/>
      <w:bookmarkStart w:id="187" w:name="_Toc12952176"/>
      <w:bookmarkStart w:id="188" w:name="_Toc122232889"/>
      <w:bookmarkStart w:id="189" w:name="_Toc324153532"/>
      <w:bookmarkStart w:id="190" w:name="_Toc318383416"/>
      <w:r>
        <w:rPr>
          <w:rStyle w:val="CharSectno"/>
        </w:rPr>
        <w:t>5A</w:t>
      </w:r>
      <w:r>
        <w:rPr>
          <w:snapToGrid w:val="0"/>
        </w:rPr>
        <w:t>.</w:t>
      </w:r>
      <w:r>
        <w:rPr>
          <w:snapToGrid w:val="0"/>
        </w:rPr>
        <w:tab/>
        <w:t>Occupier of certain prescribed premises may apply for registration</w:t>
      </w:r>
      <w:bookmarkEnd w:id="183"/>
      <w:bookmarkEnd w:id="184"/>
      <w:bookmarkEnd w:id="185"/>
      <w:bookmarkEnd w:id="186"/>
      <w:bookmarkEnd w:id="187"/>
      <w:bookmarkEnd w:id="188"/>
      <w:bookmarkEnd w:id="189"/>
      <w:bookmarkEnd w:id="190"/>
      <w:r>
        <w:rPr>
          <w:snapToGrid w:val="0"/>
        </w:rPr>
        <w:t xml:space="preserve"> </w:t>
      </w:r>
    </w:p>
    <w:p>
      <w:pPr>
        <w:pStyle w:val="Subsection"/>
        <w:rPr>
          <w:snapToGrid w:val="0"/>
        </w:rPr>
      </w:pPr>
      <w:r>
        <w:rPr>
          <w:snapToGrid w:val="0"/>
        </w:rPr>
        <w:tab/>
        <w:t>(1)</w:t>
      </w:r>
      <w:r>
        <w:rPr>
          <w:snapToGrid w:val="0"/>
        </w:rPr>
        <w:tab/>
        <w:t>An occupier of premises specified in Part 2 of Schedule 1 may apply for registration of those premises under regulation 5B.</w:t>
      </w:r>
    </w:p>
    <w:p>
      <w:pPr>
        <w:pStyle w:val="Subsection"/>
        <w:rPr>
          <w:snapToGrid w:val="0"/>
        </w:rPr>
      </w:pPr>
      <w:r>
        <w:rPr>
          <w:snapToGrid w:val="0"/>
        </w:rPr>
        <w:tab/>
        <w:t>(2)</w:t>
      </w:r>
      <w:r>
        <w:rPr>
          <w:snapToGrid w:val="0"/>
        </w:rPr>
        <w:tab/>
        <w:t>An occupier who so applies does not commit an offence under section 56 of the Act in respect of those premises while the application is pending.</w:t>
      </w:r>
    </w:p>
    <w:p>
      <w:pPr>
        <w:pStyle w:val="Subsection"/>
        <w:rPr>
          <w:snapToGrid w:val="0"/>
        </w:rPr>
      </w:pPr>
      <w:r>
        <w:rPr>
          <w:snapToGrid w:val="0"/>
        </w:rPr>
        <w:tab/>
        <w:t>(3)</w:t>
      </w:r>
      <w:r>
        <w:rPr>
          <w:snapToGrid w:val="0"/>
        </w:rPr>
        <w:tab/>
        <w:t>If premises specified in Part 2 of Schedule 1 are registered under regulation 5B, section 56 of the Act does not apply to the occupier of those premises.</w:t>
      </w:r>
    </w:p>
    <w:p>
      <w:pPr>
        <w:pStyle w:val="Subsection"/>
      </w:pPr>
      <w:r>
        <w:tab/>
        <w:t>(4)</w:t>
      </w:r>
      <w:r>
        <w:tab/>
        <w:t>If premises specified in Schedule 1 Part 2 are registered under regulation 5B and the Chief Executive Officer is satisfied that the occupier of the premises —</w:t>
      </w:r>
    </w:p>
    <w:p>
      <w:pPr>
        <w:pStyle w:val="Indenta"/>
      </w:pPr>
      <w:r>
        <w:tab/>
        <w:t>(a)</w:t>
      </w:r>
      <w:r>
        <w:tab/>
        <w:t>has been convicted in any court of an offence —</w:t>
      </w:r>
    </w:p>
    <w:p>
      <w:pPr>
        <w:pStyle w:val="Indenti"/>
      </w:pPr>
      <w:r>
        <w:tab/>
        <w:t>(i)</w:t>
      </w:r>
      <w:r>
        <w:tab/>
        <w:t>against the Act or regulations made under the Act; and</w:t>
      </w:r>
    </w:p>
    <w:p>
      <w:pPr>
        <w:pStyle w:val="Indenti"/>
      </w:pPr>
      <w:r>
        <w:tab/>
        <w:t>(ii)</w:t>
      </w:r>
      <w:r>
        <w:tab/>
        <w:t>that relates to the premises;</w:t>
      </w:r>
    </w:p>
    <w:p>
      <w:pPr>
        <w:pStyle w:val="Indenta"/>
      </w:pPr>
      <w:r>
        <w:tab/>
      </w:r>
      <w:r>
        <w:tab/>
        <w:t>or</w:t>
      </w:r>
    </w:p>
    <w:p>
      <w:pPr>
        <w:pStyle w:val="Indenta"/>
      </w:pPr>
      <w:r>
        <w:tab/>
        <w:t>(b)</w:t>
      </w:r>
      <w:r>
        <w:tab/>
        <w:t>has operated, conducted, managed, or controlled the premises in a manner which is detrimental to the environment,</w:t>
      </w:r>
    </w:p>
    <w:p>
      <w:pPr>
        <w:pStyle w:val="Subsection"/>
      </w:pPr>
      <w:r>
        <w:tab/>
      </w:r>
      <w:r>
        <w:tab/>
        <w:t>the Chief Executive Officer may, by notice in writing served on the occupier of the premises, cancel the registration of the premises.</w:t>
      </w:r>
    </w:p>
    <w:p>
      <w:pPr>
        <w:pStyle w:val="Subsection"/>
        <w:keepNext/>
        <w:keepLines/>
      </w:pPr>
      <w:r>
        <w:tab/>
        <w:t>(5)</w:t>
      </w:r>
      <w:r>
        <w:tab/>
        <w:t>If the registration of premises is cancelled under subregulation (4), the occupier of the premises may apply to the Chief Executive Officer in writing in a form approved by the Chief Executive Officer for reinstatement of the registration.</w:t>
      </w:r>
    </w:p>
    <w:p>
      <w:pPr>
        <w:pStyle w:val="Subsection"/>
      </w:pPr>
      <w:r>
        <w:tab/>
        <w:t>(6)</w:t>
      </w:r>
      <w:r>
        <w:tab/>
        <w:t>The Chief Executive Officer may reinstate the registration if the occupier satisfies the Chief Executive Officer that the occupier will not —</w:t>
      </w:r>
    </w:p>
    <w:p>
      <w:pPr>
        <w:pStyle w:val="Indenta"/>
      </w:pPr>
      <w:r>
        <w:tab/>
        <w:t>(a)</w:t>
      </w:r>
      <w:r>
        <w:tab/>
        <w:t>contravene a provision of the Act or regulations made under the Act that relate to the premises; or</w:t>
      </w:r>
    </w:p>
    <w:p>
      <w:pPr>
        <w:pStyle w:val="Indenta"/>
      </w:pPr>
      <w:r>
        <w:tab/>
        <w:t>(b)</w:t>
      </w:r>
      <w:r>
        <w:tab/>
        <w:t>operate, conduct, manage, or control the premises in a manner which is detrimental to the environment.</w:t>
      </w:r>
    </w:p>
    <w:p>
      <w:pPr>
        <w:pStyle w:val="Subsection"/>
      </w:pPr>
      <w:r>
        <w:tab/>
        <w:t>(7)</w:t>
      </w:r>
      <w:r>
        <w:tab/>
        <w:t>If the registration of the premises is reinstated under subregulation (6), section 56 of the Act does not apply to the occupier of those premises.</w:t>
      </w:r>
    </w:p>
    <w:p>
      <w:pPr>
        <w:pStyle w:val="Footnotesection"/>
      </w:pPr>
      <w:r>
        <w:tab/>
        <w:t>[Regulation 5A inserted in Gazette 13 Sep 1996 p. 4546; amended in Gazette 15 Aug 2000 p. 4711</w:t>
      </w:r>
      <w:r>
        <w:noBreakHyphen/>
        <w:t xml:space="preserve">12.] </w:t>
      </w:r>
    </w:p>
    <w:p>
      <w:pPr>
        <w:pStyle w:val="Heading5"/>
        <w:rPr>
          <w:snapToGrid w:val="0"/>
        </w:rPr>
      </w:pPr>
      <w:bookmarkStart w:id="191" w:name="_Toc448822563"/>
      <w:bookmarkStart w:id="192" w:name="_Toc448822689"/>
      <w:bookmarkStart w:id="193" w:name="_Toc503260558"/>
      <w:bookmarkStart w:id="194" w:name="_Toc12076661"/>
      <w:bookmarkStart w:id="195" w:name="_Toc12952177"/>
      <w:bookmarkStart w:id="196" w:name="_Toc122232890"/>
      <w:bookmarkStart w:id="197" w:name="_Toc324153533"/>
      <w:bookmarkStart w:id="198" w:name="_Toc318383417"/>
      <w:r>
        <w:rPr>
          <w:rStyle w:val="CharSectno"/>
        </w:rPr>
        <w:t>5B</w:t>
      </w:r>
      <w:r>
        <w:rPr>
          <w:snapToGrid w:val="0"/>
        </w:rPr>
        <w:t>.</w:t>
      </w:r>
      <w:r>
        <w:rPr>
          <w:snapToGrid w:val="0"/>
        </w:rPr>
        <w:tab/>
        <w:t>Registration of premises</w:t>
      </w:r>
      <w:bookmarkEnd w:id="191"/>
      <w:bookmarkEnd w:id="192"/>
      <w:bookmarkEnd w:id="193"/>
      <w:bookmarkEnd w:id="194"/>
      <w:bookmarkEnd w:id="195"/>
      <w:bookmarkEnd w:id="196"/>
      <w:bookmarkEnd w:id="197"/>
      <w:bookmarkEnd w:id="198"/>
      <w:r>
        <w:rPr>
          <w:snapToGrid w:val="0"/>
        </w:rPr>
        <w:t xml:space="preserve"> </w:t>
      </w:r>
    </w:p>
    <w:p>
      <w:pPr>
        <w:pStyle w:val="Subsection"/>
        <w:rPr>
          <w:del w:id="199" w:author="Master Repository Process" w:date="2021-08-01T12:45:00Z"/>
          <w:snapToGrid w:val="0"/>
        </w:rPr>
      </w:pPr>
      <w:del w:id="200" w:author="Master Repository Process" w:date="2021-08-01T12:45:00Z">
        <w:r>
          <w:rPr>
            <w:snapToGrid w:val="0"/>
          </w:rPr>
          <w:tab/>
          <w:delText>(1)</w:delText>
        </w:r>
        <w:r>
          <w:rPr>
            <w:snapToGrid w:val="0"/>
          </w:rPr>
          <w:tab/>
          <w:delText>An occupier of premises specified in Schedule 2 shall not operate the premises for the purposes described in that Schedule unless the premises are registered under this regulation.</w:delText>
        </w:r>
      </w:del>
    </w:p>
    <w:p>
      <w:pPr>
        <w:pStyle w:val="Penstart"/>
        <w:rPr>
          <w:del w:id="201" w:author="Master Repository Process" w:date="2021-08-01T12:45:00Z"/>
          <w:snapToGrid w:val="0"/>
        </w:rPr>
      </w:pPr>
      <w:del w:id="202" w:author="Master Repository Process" w:date="2021-08-01T12:45:00Z">
        <w:r>
          <w:rPr>
            <w:snapToGrid w:val="0"/>
          </w:rPr>
          <w:tab/>
          <w:delText>Penalty: $5 000.</w:delText>
        </w:r>
      </w:del>
    </w:p>
    <w:p>
      <w:pPr>
        <w:pStyle w:val="Ednotesubsection"/>
        <w:rPr>
          <w:ins w:id="203" w:author="Master Repository Process" w:date="2021-08-01T12:45:00Z"/>
        </w:rPr>
      </w:pPr>
      <w:ins w:id="204" w:author="Master Repository Process" w:date="2021-08-01T12:45:00Z">
        <w:r>
          <w:tab/>
          <w:t>[(1)</w:t>
        </w:r>
        <w:r>
          <w:tab/>
          <w:t>deleted]</w:t>
        </w:r>
      </w:ins>
    </w:p>
    <w:p>
      <w:pPr>
        <w:pStyle w:val="Subsection"/>
        <w:rPr>
          <w:snapToGrid w:val="0"/>
        </w:rPr>
      </w:pPr>
      <w:r>
        <w:rPr>
          <w:snapToGrid w:val="0"/>
        </w:rPr>
        <w:tab/>
        <w:t>(2)</w:t>
      </w:r>
      <w:r>
        <w:rPr>
          <w:snapToGrid w:val="0"/>
        </w:rPr>
        <w:tab/>
        <w:t xml:space="preserve">An application for registration </w:t>
      </w:r>
      <w:ins w:id="205" w:author="Master Repository Process" w:date="2021-08-01T12:45:00Z">
        <w:r>
          <w:rPr>
            <w:snapToGrid w:val="0"/>
          </w:rPr>
          <w:t xml:space="preserve">of premises </w:t>
        </w:r>
      </w:ins>
      <w:r>
        <w:rPr>
          <w:snapToGrid w:val="0"/>
        </w:rPr>
        <w:t>is to be — </w:t>
      </w:r>
    </w:p>
    <w:p>
      <w:pPr>
        <w:pStyle w:val="Indenta"/>
        <w:rPr>
          <w:snapToGrid w:val="0"/>
        </w:rPr>
      </w:pPr>
      <w:r>
        <w:rPr>
          <w:snapToGrid w:val="0"/>
        </w:rPr>
        <w:tab/>
        <w:t>(a)</w:t>
      </w:r>
      <w:r>
        <w:rPr>
          <w:snapToGrid w:val="0"/>
        </w:rPr>
        <w:tab/>
        <w:t>in a form approved by the Chief Executive Officer;</w:t>
      </w:r>
    </w:p>
    <w:p>
      <w:pPr>
        <w:pStyle w:val="Indenta"/>
      </w:pPr>
      <w:r>
        <w:tab/>
        <w:t>(ab)</w:t>
      </w:r>
      <w:r>
        <w:tab/>
        <w:t>made by the occupier of the premises;</w:t>
      </w:r>
    </w:p>
    <w:p>
      <w:pPr>
        <w:pStyle w:val="Indenta"/>
        <w:rPr>
          <w:snapToGrid w:val="0"/>
        </w:rPr>
      </w:pPr>
      <w:r>
        <w:rPr>
          <w:snapToGrid w:val="0"/>
        </w:rPr>
        <w:tab/>
        <w:t>(b)</w:t>
      </w:r>
      <w:r>
        <w:rPr>
          <w:snapToGrid w:val="0"/>
        </w:rPr>
        <w:tab/>
        <w:t>accompanied by a plan showing the boundaries of the land on which the premises are situated and the layout of the premises; and</w:t>
      </w:r>
    </w:p>
    <w:p>
      <w:pPr>
        <w:pStyle w:val="Indenta"/>
        <w:rPr>
          <w:snapToGrid w:val="0"/>
        </w:rPr>
      </w:pPr>
      <w:r>
        <w:rPr>
          <w:snapToGrid w:val="0"/>
        </w:rPr>
        <w:tab/>
        <w:t>(c)</w:t>
      </w:r>
      <w:r>
        <w:rPr>
          <w:snapToGrid w:val="0"/>
        </w:rPr>
        <w:tab/>
        <w:t xml:space="preserve">accompanied by a fee of 24 units </w:t>
      </w:r>
      <w:r>
        <w:t>unless the occupier of the premises holds a licence in respect of the premises</w:t>
      </w:r>
      <w:r>
        <w:rPr>
          <w:snapToGrid w:val="0"/>
        </w:rPr>
        <w:t>.</w:t>
      </w:r>
    </w:p>
    <w:p>
      <w:pPr>
        <w:pStyle w:val="Subsection"/>
        <w:rPr>
          <w:snapToGrid w:val="0"/>
        </w:rPr>
      </w:pPr>
      <w:r>
        <w:rPr>
          <w:snapToGrid w:val="0"/>
        </w:rPr>
        <w:tab/>
        <w:t>(3)</w:t>
      </w:r>
      <w:r>
        <w:rPr>
          <w:snapToGrid w:val="0"/>
        </w:rPr>
        <w:tab/>
        <w:t>The Chief Executive Officer is to grant an application made under subregulation (2) and enter details of the registered premises in a register kept for that purpose.</w:t>
      </w:r>
    </w:p>
    <w:p>
      <w:pPr>
        <w:pStyle w:val="Subsection"/>
        <w:rPr>
          <w:snapToGrid w:val="0"/>
        </w:rPr>
      </w:pPr>
      <w:r>
        <w:rPr>
          <w:snapToGrid w:val="0"/>
        </w:rPr>
        <w:tab/>
        <w:t>(4)</w:t>
      </w:r>
      <w:r>
        <w:rPr>
          <w:snapToGrid w:val="0"/>
        </w:rPr>
        <w:tab/>
        <w:t>A person who becomes the occupier of registered premises and who does not — </w:t>
      </w:r>
    </w:p>
    <w:p>
      <w:pPr>
        <w:pStyle w:val="Indenta"/>
        <w:rPr>
          <w:snapToGrid w:val="0"/>
        </w:rPr>
      </w:pPr>
      <w:r>
        <w:rPr>
          <w:snapToGrid w:val="0"/>
        </w:rPr>
        <w:tab/>
        <w:t>(a)</w:t>
      </w:r>
      <w:r>
        <w:rPr>
          <w:snapToGrid w:val="0"/>
        </w:rPr>
        <w:tab/>
        <w:t>notify the Chief Executive Officer of that fact within 30 days of becoming the occupier; and</w:t>
      </w:r>
    </w:p>
    <w:p>
      <w:pPr>
        <w:pStyle w:val="Indenta"/>
        <w:rPr>
          <w:snapToGrid w:val="0"/>
        </w:rPr>
      </w:pPr>
      <w:r>
        <w:rPr>
          <w:snapToGrid w:val="0"/>
        </w:rPr>
        <w:tab/>
        <w:t>(b)</w:t>
      </w:r>
      <w:r>
        <w:rPr>
          <w:snapToGrid w:val="0"/>
        </w:rPr>
        <w:tab/>
        <w:t>include with the notification a recording fee of 2 units,</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$5 000.</w:t>
      </w:r>
    </w:p>
    <w:p>
      <w:pPr>
        <w:pStyle w:val="Subsection"/>
        <w:rPr>
          <w:snapToGrid w:val="0"/>
        </w:rPr>
      </w:pPr>
      <w:r>
        <w:rPr>
          <w:snapToGrid w:val="0"/>
        </w:rPr>
        <w:tab/>
        <w:t>(5)</w:t>
      </w:r>
      <w:r>
        <w:rPr>
          <w:snapToGrid w:val="0"/>
        </w:rPr>
        <w:tab/>
        <w:t>On receipt of a notification and fee under subregulation (4), the Chief Executive Officer is to make the necessary alterations to the register.</w:t>
      </w:r>
    </w:p>
    <w:p>
      <w:pPr>
        <w:pStyle w:val="Subsection"/>
        <w:keepNext/>
        <w:spacing w:before="120"/>
        <w:rPr>
          <w:del w:id="206" w:author="Master Repository Process" w:date="2021-08-01T12:45:00Z"/>
          <w:snapToGrid w:val="0"/>
        </w:rPr>
      </w:pPr>
      <w:del w:id="207" w:author="Master Repository Process" w:date="2021-08-01T12:45:00Z">
        <w:r>
          <w:rPr>
            <w:snapToGrid w:val="0"/>
          </w:rPr>
          <w:tab/>
          <w:delText>(6)</w:delText>
        </w:r>
        <w:r>
          <w:rPr>
            <w:snapToGrid w:val="0"/>
          </w:rPr>
          <w:tab/>
          <w:delText xml:space="preserve">A person who immediately before the commencement of the </w:delText>
        </w:r>
        <w:r>
          <w:rPr>
            <w:i/>
            <w:snapToGrid w:val="0"/>
          </w:rPr>
          <w:delText>Environmental Protection Amendment Regulations (No. 3) 1996 </w:delText>
        </w:r>
        <w:r>
          <w:rPr>
            <w:snapToGrid w:val="0"/>
            <w:vertAlign w:val="superscript"/>
          </w:rPr>
          <w:delText>1</w:delText>
        </w:r>
        <w:r>
          <w:rPr>
            <w:snapToGrid w:val="0"/>
          </w:rPr>
          <w:delText xml:space="preserve"> was the holder of a licence in respect of premises to which subregulation (1) applies is not required to apply for registration of those premises until the expiry of that licence.</w:delText>
        </w:r>
      </w:del>
    </w:p>
    <w:p>
      <w:pPr>
        <w:pStyle w:val="Ednotesubsection"/>
        <w:rPr>
          <w:ins w:id="208" w:author="Master Repository Process" w:date="2021-08-01T12:45:00Z"/>
        </w:rPr>
      </w:pPr>
      <w:ins w:id="209" w:author="Master Repository Process" w:date="2021-08-01T12:45:00Z">
        <w:r>
          <w:tab/>
          <w:t>[(6)</w:t>
        </w:r>
        <w:r>
          <w:tab/>
          <w:t>deleted]</w:t>
        </w:r>
      </w:ins>
    </w:p>
    <w:p>
      <w:pPr>
        <w:pStyle w:val="Footnotesection"/>
        <w:keepLines w:val="0"/>
      </w:pPr>
      <w:r>
        <w:tab/>
        <w:t>[Regulation 5B inserted in Gazette 13 Sep 1996 p. 4546</w:t>
      </w:r>
      <w:r>
        <w:noBreakHyphen/>
        <w:t>7; amended in Gazette 11 Dec 1998 p. 6599; 15 Aug 2000 p. 4712</w:t>
      </w:r>
      <w:ins w:id="210" w:author="Master Repository Process" w:date="2021-08-01T12:45:00Z">
        <w:r>
          <w:t>; 8 May 2012 p. 1893</w:t>
        </w:r>
      </w:ins>
      <w:r>
        <w:t xml:space="preserve">.] </w:t>
      </w:r>
    </w:p>
    <w:p>
      <w:pPr>
        <w:pStyle w:val="Heading5"/>
        <w:keepNext w:val="0"/>
        <w:keepLines w:val="0"/>
        <w:rPr>
          <w:snapToGrid w:val="0"/>
        </w:rPr>
      </w:pPr>
      <w:bookmarkStart w:id="211" w:name="_Toc448822564"/>
      <w:bookmarkStart w:id="212" w:name="_Toc448822690"/>
      <w:bookmarkStart w:id="213" w:name="_Toc503260559"/>
      <w:bookmarkStart w:id="214" w:name="_Toc12076662"/>
      <w:bookmarkStart w:id="215" w:name="_Toc12952178"/>
      <w:bookmarkStart w:id="216" w:name="_Toc122232891"/>
      <w:bookmarkStart w:id="217" w:name="_Toc324153534"/>
      <w:bookmarkStart w:id="218" w:name="_Toc318383418"/>
      <w:r>
        <w:rPr>
          <w:rStyle w:val="CharSectno"/>
        </w:rPr>
        <w:t>5C</w:t>
      </w:r>
      <w:r>
        <w:rPr>
          <w:snapToGrid w:val="0"/>
        </w:rPr>
        <w:t>.</w:t>
      </w:r>
      <w:r>
        <w:rPr>
          <w:snapToGrid w:val="0"/>
        </w:rPr>
        <w:tab/>
        <w:t>Works approval fee</w:t>
      </w:r>
      <w:bookmarkEnd w:id="211"/>
      <w:bookmarkEnd w:id="212"/>
      <w:bookmarkEnd w:id="213"/>
      <w:bookmarkEnd w:id="214"/>
      <w:bookmarkEnd w:id="215"/>
      <w:bookmarkEnd w:id="216"/>
      <w:bookmarkEnd w:id="217"/>
      <w:bookmarkEnd w:id="218"/>
      <w:r>
        <w:rPr>
          <w:snapToGrid w:val="0"/>
        </w:rPr>
        <w:t xml:space="preserve"> </w:t>
      </w:r>
    </w:p>
    <w:p>
      <w:pPr>
        <w:pStyle w:val="Subsection"/>
        <w:spacing w:before="120"/>
        <w:rPr>
          <w:snapToGrid w:val="0"/>
        </w:rPr>
      </w:pPr>
      <w:r>
        <w:rPr>
          <w:snapToGrid w:val="0"/>
        </w:rPr>
        <w:tab/>
        <w:t>(1)</w:t>
      </w:r>
      <w:r>
        <w:rPr>
          <w:snapToGrid w:val="0"/>
        </w:rPr>
        <w:tab/>
        <w:t>The fee prescribed for the purposes of section 54(1)(b) of the Act is the appropriate fee specified in Schedule 3 determined on the basis of the cost of the works that are the subject of the application.</w:t>
      </w:r>
    </w:p>
    <w:p>
      <w:pPr>
        <w:pStyle w:val="Subsection"/>
        <w:spacing w:before="120"/>
        <w:rPr>
          <w:snapToGrid w:val="0"/>
        </w:rPr>
      </w:pPr>
      <w:r>
        <w:rPr>
          <w:snapToGrid w:val="0"/>
        </w:rPr>
        <w:tab/>
        <w:t>(2)</w:t>
      </w:r>
      <w:r>
        <w:rPr>
          <w:snapToGrid w:val="0"/>
        </w:rPr>
        <w:tab/>
        <w:t>In determining the cost of works for the purposes of this regulation, no account is to be taken of — </w:t>
      </w:r>
    </w:p>
    <w:p>
      <w:pPr>
        <w:pStyle w:val="Indenta"/>
        <w:rPr>
          <w:snapToGrid w:val="0"/>
        </w:rPr>
      </w:pPr>
      <w:r>
        <w:rPr>
          <w:snapToGrid w:val="0"/>
        </w:rPr>
        <w:tab/>
        <w:t>(a)</w:t>
      </w:r>
      <w:r>
        <w:rPr>
          <w:snapToGrid w:val="0"/>
        </w:rPr>
        <w:tab/>
        <w:t>the cost of land;</w:t>
      </w:r>
    </w:p>
    <w:p>
      <w:pPr>
        <w:pStyle w:val="Indenta"/>
        <w:rPr>
          <w:snapToGrid w:val="0"/>
        </w:rPr>
      </w:pPr>
      <w:r>
        <w:rPr>
          <w:snapToGrid w:val="0"/>
        </w:rPr>
        <w:tab/>
        <w:t>(b)</w:t>
      </w:r>
      <w:r>
        <w:rPr>
          <w:snapToGrid w:val="0"/>
        </w:rPr>
        <w:tab/>
        <w:t>the cost of buildings to be used for purposes unrelated to the purposes in respect of which the premises are, or will become, prescribed premises; or</w:t>
      </w:r>
    </w:p>
    <w:p>
      <w:pPr>
        <w:pStyle w:val="Indenta"/>
        <w:rPr>
          <w:snapToGrid w:val="0"/>
        </w:rPr>
      </w:pPr>
      <w:r>
        <w:rPr>
          <w:snapToGrid w:val="0"/>
        </w:rPr>
        <w:tab/>
        <w:t>(c)</w:t>
      </w:r>
      <w:r>
        <w:rPr>
          <w:snapToGrid w:val="0"/>
        </w:rPr>
        <w:tab/>
        <w:t>consultancy fees paid or to be paid in relation to those works.</w:t>
      </w:r>
    </w:p>
    <w:p>
      <w:pPr>
        <w:pStyle w:val="Subsection"/>
        <w:spacing w:before="120"/>
        <w:rPr>
          <w:snapToGrid w:val="0"/>
        </w:rPr>
      </w:pPr>
      <w:r>
        <w:tab/>
        <w:t>(3)</w:t>
      </w:r>
      <w:r>
        <w:tab/>
        <w:t>For the purpose of section 64(1)(b) of the Act the fee prescribed for the transfer of a works approval is 2 units.</w:t>
      </w:r>
    </w:p>
    <w:p>
      <w:pPr>
        <w:pStyle w:val="Footnotesection"/>
      </w:pPr>
      <w:r>
        <w:tab/>
        <w:t xml:space="preserve">[Regulation 5C inserted in Gazette 13 Sep 1996 p. 4547; amended in Gazette 15 Aug 2000 p. 4712.] </w:t>
      </w:r>
    </w:p>
    <w:p>
      <w:pPr>
        <w:pStyle w:val="Heading5"/>
      </w:pPr>
      <w:bookmarkStart w:id="219" w:name="_Toc503260560"/>
      <w:bookmarkStart w:id="220" w:name="_Toc12076663"/>
      <w:bookmarkStart w:id="221" w:name="_Toc12952179"/>
      <w:bookmarkStart w:id="222" w:name="_Toc122232892"/>
      <w:bookmarkStart w:id="223" w:name="_Toc324153535"/>
      <w:bookmarkStart w:id="224" w:name="_Toc318383419"/>
      <w:bookmarkStart w:id="225" w:name="_Toc448822565"/>
      <w:bookmarkStart w:id="226" w:name="_Toc448822691"/>
      <w:r>
        <w:rPr>
          <w:rStyle w:val="CharSectno"/>
        </w:rPr>
        <w:t>5CA</w:t>
      </w:r>
      <w:r>
        <w:t>.</w:t>
      </w:r>
      <w:r>
        <w:tab/>
        <w:t>Waiver of fee for works approval where best practice criteria met</w:t>
      </w:r>
      <w:bookmarkEnd w:id="219"/>
      <w:bookmarkEnd w:id="220"/>
      <w:bookmarkEnd w:id="221"/>
      <w:bookmarkEnd w:id="222"/>
      <w:bookmarkEnd w:id="223"/>
      <w:bookmarkEnd w:id="224"/>
    </w:p>
    <w:p>
      <w:pPr>
        <w:pStyle w:val="Subsection"/>
        <w:spacing w:before="120"/>
      </w:pPr>
      <w:r>
        <w:tab/>
      </w:r>
      <w:r>
        <w:tab/>
        <w:t>If, in respect of an application for a works approval under section 54 of the Act, the Chief Executive Officer is satisfied that the environmental performance and management of the premises to which the application relates conform to best practice criteria, the Chief Executive Officer may waive any amount otherwise payable under regulation 5C(1) in respect of the works approval.</w:t>
      </w:r>
    </w:p>
    <w:p>
      <w:pPr>
        <w:pStyle w:val="Footnotesection"/>
      </w:pPr>
      <w:r>
        <w:tab/>
        <w:t>[Regulation 5CA inserted in Gazette 15 Aug 2000 p. 4713.]</w:t>
      </w:r>
    </w:p>
    <w:p>
      <w:pPr>
        <w:pStyle w:val="Heading5"/>
      </w:pPr>
      <w:bookmarkStart w:id="227" w:name="_Toc122232893"/>
      <w:bookmarkStart w:id="228" w:name="_Toc324153536"/>
      <w:bookmarkStart w:id="229" w:name="_Toc318383420"/>
      <w:bookmarkStart w:id="230" w:name="_Toc503260561"/>
      <w:bookmarkStart w:id="231" w:name="_Toc12076664"/>
      <w:bookmarkStart w:id="232" w:name="_Toc12952180"/>
      <w:r>
        <w:rPr>
          <w:rStyle w:val="CharSectno"/>
        </w:rPr>
        <w:t>5CAA</w:t>
      </w:r>
      <w:r>
        <w:t>.</w:t>
      </w:r>
      <w:r>
        <w:tab/>
        <w:t>Advertising applications for works approvals</w:t>
      </w:r>
      <w:bookmarkEnd w:id="227"/>
      <w:bookmarkEnd w:id="228"/>
      <w:bookmarkEnd w:id="229"/>
    </w:p>
    <w:p>
      <w:pPr>
        <w:pStyle w:val="Subsection"/>
      </w:pPr>
      <w:r>
        <w:tab/>
        <w:t>(1)</w:t>
      </w:r>
      <w:r>
        <w:tab/>
        <w:t>For the purposes of section 54(2a) of the Act, the CEO is to advertise the application for a works approval in an advertisement published in a newspaper circulated daily in the State.</w:t>
      </w:r>
    </w:p>
    <w:p>
      <w:pPr>
        <w:pStyle w:val="Subsection"/>
      </w:pPr>
      <w:r>
        <w:tab/>
        <w:t>(2)</w:t>
      </w:r>
      <w:r>
        <w:tab/>
        <w:t xml:space="preserve">The advertisement is to include — </w:t>
      </w:r>
    </w:p>
    <w:p>
      <w:pPr>
        <w:pStyle w:val="Indenta"/>
      </w:pPr>
      <w:r>
        <w:tab/>
        <w:t>(a)</w:t>
      </w:r>
      <w:r>
        <w:tab/>
        <w:t>a statement indicating submissions about the application may be sent to the Department of Environment at the address and within the time period specified in the advertisement; and</w:t>
      </w:r>
    </w:p>
    <w:p>
      <w:pPr>
        <w:pStyle w:val="Indenta"/>
        <w:keepNext/>
      </w:pPr>
      <w:r>
        <w:tab/>
        <w:t>(b)</w:t>
      </w:r>
      <w:r>
        <w:tab/>
        <w:t xml:space="preserve">the following particulars — </w:t>
      </w:r>
    </w:p>
    <w:p>
      <w:pPr>
        <w:pStyle w:val="Indenti"/>
      </w:pPr>
      <w:r>
        <w:tab/>
        <w:t>(i)</w:t>
      </w:r>
      <w:r>
        <w:tab/>
        <w:t>the category of prescribed premises under Schedule 1 that describes the main function of the premises to which the application relates;</w:t>
      </w:r>
    </w:p>
    <w:p>
      <w:pPr>
        <w:pStyle w:val="Indenti"/>
      </w:pPr>
      <w:r>
        <w:tab/>
        <w:t>(ii)</w:t>
      </w:r>
      <w:r>
        <w:tab/>
        <w:t xml:space="preserve">the name of the applicant; </w:t>
      </w:r>
    </w:p>
    <w:p>
      <w:pPr>
        <w:pStyle w:val="Indenti"/>
      </w:pPr>
      <w:r>
        <w:tab/>
        <w:t>(iii)</w:t>
      </w:r>
      <w:r>
        <w:tab/>
        <w:t>the locality of the premises to which the application relates;</w:t>
      </w:r>
    </w:p>
    <w:p>
      <w:pPr>
        <w:pStyle w:val="Indenti"/>
      </w:pPr>
      <w:r>
        <w:tab/>
        <w:t>(iv)</w:t>
      </w:r>
      <w:r>
        <w:tab/>
        <w:t>the reference number for the application.</w:t>
      </w:r>
    </w:p>
    <w:p>
      <w:pPr>
        <w:pStyle w:val="Footnotesection"/>
      </w:pPr>
      <w:r>
        <w:tab/>
        <w:t>[Regulation 5CAA inserted in Gazette 23 Nov 2004 p. 5222</w:t>
      </w:r>
      <w:r>
        <w:noBreakHyphen/>
        <w:t>3.]</w:t>
      </w:r>
    </w:p>
    <w:p>
      <w:pPr>
        <w:pStyle w:val="Heading5"/>
      </w:pPr>
      <w:bookmarkStart w:id="233" w:name="_Toc122232894"/>
      <w:bookmarkStart w:id="234" w:name="_Toc324153537"/>
      <w:bookmarkStart w:id="235" w:name="_Toc318383421"/>
      <w:r>
        <w:rPr>
          <w:rStyle w:val="CharSectno"/>
        </w:rPr>
        <w:t>5CB</w:t>
      </w:r>
      <w:r>
        <w:t>.</w:t>
      </w:r>
      <w:r>
        <w:tab/>
        <w:t>Application for renewal of licence</w:t>
      </w:r>
      <w:bookmarkEnd w:id="233"/>
      <w:bookmarkEnd w:id="234"/>
      <w:bookmarkEnd w:id="235"/>
    </w:p>
    <w:p>
      <w:pPr>
        <w:pStyle w:val="Subsection"/>
      </w:pPr>
      <w:r>
        <w:tab/>
        <w:t>(1)</w:t>
      </w:r>
      <w:r>
        <w:tab/>
        <w:t>An application for a licence to replace an existing licence on the expiry of the existing licence must be made by the licence holder of the existing licence more than 70 days before the day on which the existing licence expires.</w:t>
      </w:r>
    </w:p>
    <w:p>
      <w:pPr>
        <w:pStyle w:val="Subsection"/>
      </w:pPr>
      <w:r>
        <w:tab/>
        <w:t>(2)</w:t>
      </w:r>
      <w:r>
        <w:tab/>
        <w:t>A licence holder who makes an application described in subregulation (1) 70 days or less than 70 days before the expiry of the existing licence but more than 42 days before the expiry must pay a late application fee of 10 units.</w:t>
      </w:r>
    </w:p>
    <w:p>
      <w:pPr>
        <w:pStyle w:val="Subsection"/>
      </w:pPr>
      <w:r>
        <w:tab/>
        <w:t>(3)</w:t>
      </w:r>
      <w:r>
        <w:tab/>
        <w:t>A licence holder who makes an application described in subregulation (1) 42 days or less than 42 days before the expiry of the existing licence must pay a late application fee of 20 units.</w:t>
      </w:r>
    </w:p>
    <w:p>
      <w:pPr>
        <w:pStyle w:val="Footnotesection"/>
      </w:pPr>
      <w:r>
        <w:tab/>
        <w:t>[Regulation 5CB inserted in Gazette 22 Jun 2004 p. 2144.]</w:t>
      </w:r>
    </w:p>
    <w:p>
      <w:pPr>
        <w:pStyle w:val="Heading5"/>
        <w:rPr>
          <w:snapToGrid w:val="0"/>
        </w:rPr>
      </w:pPr>
      <w:bookmarkStart w:id="236" w:name="_Toc122232895"/>
      <w:bookmarkStart w:id="237" w:name="_Toc324153538"/>
      <w:bookmarkStart w:id="238" w:name="_Toc318383422"/>
      <w:r>
        <w:rPr>
          <w:rStyle w:val="CharSectno"/>
        </w:rPr>
        <w:t>5D</w:t>
      </w:r>
      <w:r>
        <w:rPr>
          <w:snapToGrid w:val="0"/>
        </w:rPr>
        <w:t>.</w:t>
      </w:r>
      <w:r>
        <w:rPr>
          <w:snapToGrid w:val="0"/>
        </w:rPr>
        <w:tab/>
        <w:t>Licence fee</w:t>
      </w:r>
      <w:bookmarkEnd w:id="225"/>
      <w:bookmarkEnd w:id="226"/>
      <w:bookmarkEnd w:id="230"/>
      <w:bookmarkEnd w:id="231"/>
      <w:bookmarkEnd w:id="232"/>
      <w:bookmarkEnd w:id="236"/>
      <w:bookmarkEnd w:id="237"/>
      <w:bookmarkEnd w:id="238"/>
      <w:r>
        <w:rPr>
          <w:snapToGrid w:val="0"/>
        </w:rPr>
        <w:t xml:space="preserve"> </w:t>
      </w:r>
    </w:p>
    <w:p>
      <w:pPr>
        <w:pStyle w:val="Subsection"/>
      </w:pPr>
      <w:r>
        <w:tab/>
        <w:t>(1)</w:t>
      </w:r>
      <w:r>
        <w:tab/>
        <w:t>T</w:t>
      </w:r>
      <w:r>
        <w:rPr>
          <w:snapToGrid w:val="0"/>
        </w:rPr>
        <w:t>he total amount of the fee for a licence in respect of prescribed premises is the sum of the following amounts — the amount for</w:t>
      </w:r>
      <w:r>
        <w:t xml:space="preserve"> each financial year, or part of a financial year, in the licence period</w:t>
      </w:r>
      <w:r>
        <w:rPr>
          <w:snapToGrid w:val="0"/>
        </w:rPr>
        <w:t xml:space="preserve"> </w:t>
      </w:r>
      <w:r>
        <w:t>worked out under subregulation (1a) (reduced pro rata for a part of a financial year).</w:t>
      </w:r>
    </w:p>
    <w:p>
      <w:pPr>
        <w:pStyle w:val="Subsection"/>
      </w:pPr>
      <w:r>
        <w:tab/>
        <w:t>(1a)</w:t>
      </w:r>
      <w:r>
        <w:tab/>
      </w:r>
      <w:r>
        <w:rPr>
          <w:snapToGrid w:val="0"/>
        </w:rPr>
        <w:t xml:space="preserve">Subject to </w:t>
      </w:r>
      <w:r>
        <w:t xml:space="preserve">subregulations (3) and (4) </w:t>
      </w:r>
      <w:r>
        <w:rPr>
          <w:snapToGrid w:val="0"/>
        </w:rPr>
        <w:t>and regulation 5G (the maximum fee), t</w:t>
      </w:r>
      <w:r>
        <w:t xml:space="preserve">he amount for a financial year is the sum of the paragraph (a) amount and the larger of the paragraph (b) amount and the paragraph (c) amount — </w:t>
      </w:r>
    </w:p>
    <w:p>
      <w:pPr>
        <w:pStyle w:val="Indenta"/>
        <w:rPr>
          <w:snapToGrid w:val="0"/>
        </w:rPr>
      </w:pPr>
      <w:r>
        <w:rPr>
          <w:snapToGrid w:val="0"/>
        </w:rPr>
        <w:tab/>
        <w:t>(a)</w:t>
      </w:r>
      <w:r>
        <w:rPr>
          <w:snapToGrid w:val="0"/>
        </w:rPr>
        <w:tab/>
        <w:t xml:space="preserve">the amount specified in the third column of Part 1 of Schedule 4 for </w:t>
      </w:r>
      <w:r>
        <w:t xml:space="preserve">the financial year </w:t>
      </w:r>
      <w:r>
        <w:rPr>
          <w:snapToGrid w:val="0"/>
        </w:rPr>
        <w:t>for the relevant category, and the relevant production or design capacity (where applicable), of the premises specified in the first and second columns of that Part;</w:t>
      </w:r>
    </w:p>
    <w:p>
      <w:pPr>
        <w:pStyle w:val="Indenta"/>
        <w:rPr>
          <w:snapToGrid w:val="0"/>
        </w:rPr>
      </w:pPr>
      <w:r>
        <w:rPr>
          <w:snapToGrid w:val="0"/>
        </w:rPr>
        <w:tab/>
        <w:t>(b)</w:t>
      </w:r>
      <w:r>
        <w:rPr>
          <w:snapToGrid w:val="0"/>
        </w:rPr>
        <w:tab/>
        <w:t xml:space="preserve">in respect of premises within category 5, 6, 7, 8, 9, 12, 14, 44, 46, </w:t>
      </w:r>
      <w:r>
        <w:t xml:space="preserve">53, 54A, 70, 80 or 85B, </w:t>
      </w:r>
      <w:r>
        <w:rPr>
          <w:snapToGrid w:val="0"/>
        </w:rPr>
        <w:t>where the operation of the premises involves the discharge of</w:t>
      </w:r>
      <w:r>
        <w:t xml:space="preserve"> Part 2 waste</w:t>
      </w:r>
      <w:r>
        <w:rPr>
          <w:snapToGrid w:val="0"/>
        </w:rPr>
        <w:t xml:space="preserve"> — the amount specified in the second column of Part 2 of Schedule 4 for </w:t>
      </w:r>
      <w:r>
        <w:t xml:space="preserve">the financial year </w:t>
      </w:r>
      <w:r>
        <w:rPr>
          <w:snapToGrid w:val="0"/>
        </w:rPr>
        <w:t>for the relevant quantity of such waste specified in the first column of that Part that is permitted to be discharged from the premises;</w:t>
      </w:r>
    </w:p>
    <w:p>
      <w:pPr>
        <w:pStyle w:val="Indenta"/>
        <w:rPr>
          <w:snapToGrid w:val="0"/>
        </w:rPr>
      </w:pPr>
      <w:r>
        <w:rPr>
          <w:snapToGrid w:val="0"/>
        </w:rPr>
        <w:tab/>
        <w:t>(c)</w:t>
      </w:r>
      <w:r>
        <w:rPr>
          <w:snapToGrid w:val="0"/>
        </w:rPr>
        <w:tab/>
        <w:t xml:space="preserve">the amount for </w:t>
      </w:r>
      <w:r>
        <w:t xml:space="preserve">the financial year </w:t>
      </w:r>
      <w:r>
        <w:rPr>
          <w:snapToGrid w:val="0"/>
        </w:rPr>
        <w:t>is the sum of the following amounts — the amount worked out under regulation 5E for each kind of waste to be discharged from the premises.</w:t>
      </w:r>
    </w:p>
    <w:p>
      <w:pPr>
        <w:pStyle w:val="Subsection"/>
        <w:spacing w:before="120"/>
        <w:rPr>
          <w:snapToGrid w:val="0"/>
        </w:rPr>
      </w:pPr>
      <w:r>
        <w:rPr>
          <w:snapToGrid w:val="0"/>
        </w:rPr>
        <w:tab/>
        <w:t>(2)</w:t>
      </w:r>
      <w:r>
        <w:rPr>
          <w:snapToGrid w:val="0"/>
        </w:rPr>
        <w:tab/>
        <w:t>If any premises occupied by the same person, as determined by the Chief Executive Officer, fall within more than one category specified in the first column of Part 1 of Schedule 4, the amount payable in respect of those premises under subregulation (</w:t>
      </w:r>
      <w:r>
        <w:t>1a)(a)</w:t>
      </w:r>
      <w:r>
        <w:rPr>
          <w:snapToGrid w:val="0"/>
        </w:rPr>
        <w:t xml:space="preserve"> is that appropriate to the category in respect of which the higher or highest amount is payable.</w:t>
      </w:r>
    </w:p>
    <w:p>
      <w:pPr>
        <w:pStyle w:val="Subsection"/>
        <w:spacing w:before="120"/>
        <w:rPr>
          <w:snapToGrid w:val="0"/>
        </w:rPr>
      </w:pPr>
      <w:r>
        <w:rPr>
          <w:snapToGrid w:val="0"/>
        </w:rPr>
        <w:tab/>
        <w:t>(3)</w:t>
      </w:r>
      <w:r>
        <w:rPr>
          <w:snapToGrid w:val="0"/>
        </w:rPr>
        <w:tab/>
        <w:t>No amount is payable under subregulation (</w:t>
      </w:r>
      <w:r>
        <w:t>1a)(c)</w:t>
      </w:r>
      <w:r>
        <w:rPr>
          <w:snapToGrid w:val="0"/>
        </w:rPr>
        <w:t xml:space="preserve"> in respect of bitterns discharges or discharges from category 14 premises.</w:t>
      </w:r>
    </w:p>
    <w:p>
      <w:pPr>
        <w:pStyle w:val="Subsection"/>
        <w:spacing w:before="120"/>
      </w:pPr>
      <w:r>
        <w:tab/>
        <w:t>(4)</w:t>
      </w:r>
      <w:r>
        <w:tab/>
        <w:t>No amount is payable under subregulation (1a)(c) in respect of water discharge from category 6 premises.</w:t>
      </w:r>
    </w:p>
    <w:p>
      <w:pPr>
        <w:pStyle w:val="Subsection"/>
        <w:spacing w:before="120"/>
      </w:pPr>
      <w:r>
        <w:tab/>
        <w:t>(5)</w:t>
      </w:r>
      <w:r>
        <w:tab/>
        <w:t>For the purpose of section 64(1)(b) of the Act the fee prescribed for the transfer of a licence is 2 units.</w:t>
      </w:r>
    </w:p>
    <w:p>
      <w:pPr>
        <w:pStyle w:val="Subsection"/>
        <w:spacing w:before="120"/>
      </w:pPr>
      <w:r>
        <w:tab/>
        <w:t>(6)</w:t>
      </w:r>
      <w:r>
        <w:tab/>
        <w:t xml:space="preserve">In this regulation and Schedule 4 — </w:t>
      </w:r>
    </w:p>
    <w:p>
      <w:pPr>
        <w:pStyle w:val="Defstart"/>
      </w:pPr>
      <w:r>
        <w:rPr>
          <w:b/>
        </w:rPr>
        <w:tab/>
      </w:r>
      <w:r>
        <w:rPr>
          <w:rStyle w:val="CharDefText"/>
        </w:rPr>
        <w:t>Part 2 waste</w:t>
      </w:r>
      <w:r>
        <w:t xml:space="preserve"> means waste consisting of — </w:t>
      </w:r>
    </w:p>
    <w:p>
      <w:pPr>
        <w:pStyle w:val="Defpara"/>
      </w:pPr>
      <w:r>
        <w:tab/>
        <w:t>(a)</w:t>
      </w:r>
      <w:r>
        <w:tab/>
        <w:t xml:space="preserve">tailings; </w:t>
      </w:r>
    </w:p>
    <w:p>
      <w:pPr>
        <w:pStyle w:val="Defpara"/>
      </w:pPr>
      <w:r>
        <w:tab/>
        <w:t>(b)</w:t>
      </w:r>
      <w:r>
        <w:tab/>
        <w:t xml:space="preserve">bitterns; </w:t>
      </w:r>
    </w:p>
    <w:p>
      <w:pPr>
        <w:pStyle w:val="Defpara"/>
      </w:pPr>
      <w:r>
        <w:tab/>
        <w:t>(c)</w:t>
      </w:r>
      <w:r>
        <w:tab/>
        <w:t>water to allow mining of ore;</w:t>
      </w:r>
    </w:p>
    <w:p>
      <w:pPr>
        <w:pStyle w:val="Defpara"/>
      </w:pPr>
      <w:r>
        <w:tab/>
        <w:t>(d)</w:t>
      </w:r>
      <w:r>
        <w:tab/>
        <w:t xml:space="preserve">flyash; or </w:t>
      </w:r>
    </w:p>
    <w:p>
      <w:pPr>
        <w:pStyle w:val="Defpara"/>
      </w:pPr>
      <w:r>
        <w:tab/>
        <w:t>(e)</w:t>
      </w:r>
      <w:r>
        <w:tab/>
        <w:t>waste water from a desalination plant.</w:t>
      </w:r>
    </w:p>
    <w:p>
      <w:pPr>
        <w:pStyle w:val="Footnotesection"/>
      </w:pPr>
      <w:r>
        <w:tab/>
        <w:t>[Regulation 5D inserted in Gazette 13 Sep 1996 p. 4547; amended in Gazette 10 Dec 1996 p. 6876</w:t>
      </w:r>
      <w:r>
        <w:noBreakHyphen/>
        <w:t>7; 15 Aug 2000 p. 4713; 22 Jun 2004 p. 2144</w:t>
      </w:r>
      <w:r>
        <w:noBreakHyphen/>
        <w:t xml:space="preserve">5; 13 Dec 2005 p. 5982-3; 22 Jun 2007 p. 2841.] </w:t>
      </w:r>
    </w:p>
    <w:p>
      <w:pPr>
        <w:pStyle w:val="Heading5"/>
      </w:pPr>
      <w:bookmarkStart w:id="239" w:name="_Toc122232896"/>
      <w:bookmarkStart w:id="240" w:name="_Toc324153539"/>
      <w:bookmarkStart w:id="241" w:name="_Toc318383423"/>
      <w:bookmarkStart w:id="242" w:name="_Toc448822566"/>
      <w:bookmarkStart w:id="243" w:name="_Toc448822692"/>
      <w:bookmarkStart w:id="244" w:name="_Toc503260562"/>
      <w:bookmarkStart w:id="245" w:name="_Toc12076665"/>
      <w:bookmarkStart w:id="246" w:name="_Toc12952181"/>
      <w:r>
        <w:rPr>
          <w:rStyle w:val="CharSectno"/>
        </w:rPr>
        <w:t>5DA</w:t>
      </w:r>
      <w:r>
        <w:t>.</w:t>
      </w:r>
      <w:r>
        <w:tab/>
        <w:t>Payment of licence fees</w:t>
      </w:r>
      <w:bookmarkEnd w:id="239"/>
      <w:bookmarkEnd w:id="240"/>
      <w:bookmarkEnd w:id="241"/>
    </w:p>
    <w:p>
      <w:pPr>
        <w:pStyle w:val="Subsection"/>
      </w:pPr>
      <w:r>
        <w:tab/>
        <w:t>(1)</w:t>
      </w:r>
      <w:r>
        <w:tab/>
        <w:t>An application for a licence for a period of one year or less must be accompanied by the total amount of the fee worked out under regulation 5D.</w:t>
      </w:r>
    </w:p>
    <w:p>
      <w:pPr>
        <w:pStyle w:val="Subsection"/>
      </w:pPr>
      <w:r>
        <w:tab/>
        <w:t>(2)</w:t>
      </w:r>
      <w:r>
        <w:tab/>
        <w:t>An application for a licence for a period of more than one year must be accompanied by the fee for the first year of the licence period, worked out under regulation 5D as if the licence period were that first year.</w:t>
      </w:r>
    </w:p>
    <w:p>
      <w:pPr>
        <w:pStyle w:val="Subsection"/>
      </w:pPr>
      <w:r>
        <w:tab/>
        <w:t>(3)</w:t>
      </w:r>
      <w:r>
        <w:tab/>
        <w:t>For a licence for a period of more than one year, the licence holder must, before each anniversary of the grant of the licence, pay the fee for the subsequent period (the shorter of the remainder of the licence period or the next year), worked out under regulation 5D as if the licence period were that subsequent period.</w:t>
      </w:r>
    </w:p>
    <w:p>
      <w:pPr>
        <w:pStyle w:val="Subsection"/>
      </w:pPr>
      <w:r>
        <w:tab/>
        <w:t>(4)</w:t>
      </w:r>
      <w:r>
        <w:tab/>
        <w:t>If the licence holder does not pay a fee under subregulation (3) on time but pays it within one month after the anniversary before which the fee should have been paid, the licence holder must pay, in addition to the fee under subregulation (3), a late payment fee of 10 units.</w:t>
      </w:r>
    </w:p>
    <w:p>
      <w:pPr>
        <w:pStyle w:val="Subsection"/>
      </w:pPr>
      <w:r>
        <w:tab/>
        <w:t>(5)</w:t>
      </w:r>
      <w:r>
        <w:tab/>
        <w:t>If the licence holder does not pay a fee under subregulation (3) within one month after the anniversary before which the fee should have been paid, the licence ceases to have effect.</w:t>
      </w:r>
    </w:p>
    <w:p>
      <w:pPr>
        <w:pStyle w:val="Footnotesection"/>
      </w:pPr>
      <w:r>
        <w:tab/>
        <w:t>[Regulation 5DA inserted in Gazette 22 Jun 2004 p. 2145</w:t>
      </w:r>
      <w:r>
        <w:noBreakHyphen/>
        <w:t>6.]</w:t>
      </w:r>
    </w:p>
    <w:p>
      <w:pPr>
        <w:pStyle w:val="Heading5"/>
        <w:rPr>
          <w:snapToGrid w:val="0"/>
        </w:rPr>
      </w:pPr>
      <w:bookmarkStart w:id="247" w:name="_Toc122232897"/>
      <w:bookmarkStart w:id="248" w:name="_Toc324153540"/>
      <w:bookmarkStart w:id="249" w:name="_Toc318383424"/>
      <w:r>
        <w:rPr>
          <w:rStyle w:val="CharSectno"/>
        </w:rPr>
        <w:t>5E</w:t>
      </w:r>
      <w:r>
        <w:rPr>
          <w:snapToGrid w:val="0"/>
        </w:rPr>
        <w:t>.</w:t>
      </w:r>
      <w:r>
        <w:rPr>
          <w:snapToGrid w:val="0"/>
        </w:rPr>
        <w:tab/>
        <w:t>Determination of amount under Part 3 of Schedule 4</w:t>
      </w:r>
      <w:bookmarkEnd w:id="242"/>
      <w:bookmarkEnd w:id="243"/>
      <w:bookmarkEnd w:id="244"/>
      <w:bookmarkEnd w:id="245"/>
      <w:bookmarkEnd w:id="246"/>
      <w:bookmarkEnd w:id="247"/>
      <w:bookmarkEnd w:id="248"/>
      <w:bookmarkEnd w:id="249"/>
      <w:r>
        <w:rPr>
          <w:snapToGrid w:val="0"/>
        </w:rPr>
        <w:t xml:space="preserve"> </w:t>
      </w:r>
    </w:p>
    <w:p>
      <w:pPr>
        <w:pStyle w:val="Subsection"/>
        <w:spacing w:before="180"/>
      </w:pPr>
      <w:r>
        <w:tab/>
        <w:t>(1)</w:t>
      </w:r>
      <w:r>
        <w:tab/>
      </w:r>
      <w:r>
        <w:rPr>
          <w:snapToGrid w:val="0"/>
        </w:rPr>
        <w:t xml:space="preserve">Subject to this regulation, the amount under regulation 5D(1a)(c) for a </w:t>
      </w:r>
      <w:r>
        <w:t xml:space="preserve">financial year </w:t>
      </w:r>
      <w:r>
        <w:rPr>
          <w:snapToGrid w:val="0"/>
        </w:rPr>
        <w:t xml:space="preserve">for a particular kind of waste is to be worked out under </w:t>
      </w:r>
      <w:r>
        <w:t xml:space="preserve">Part 3 of Schedule 4 </w:t>
      </w:r>
      <w:r>
        <w:rPr>
          <w:snapToGrid w:val="0"/>
        </w:rPr>
        <w:t>on the basis of the rate at which the waste is permitted to be discharged from the premises during the licence period — the rate (in the units specified for that kind of waste in Part 3 of Schedule 4) being the quantity of waste permitted to be discharged from the premises during the licence period averaged over the licence period.</w:t>
      </w:r>
    </w:p>
    <w:p>
      <w:pPr>
        <w:pStyle w:val="Subsection"/>
        <w:spacing w:before="180"/>
        <w:rPr>
          <w:snapToGrid w:val="0"/>
        </w:rPr>
      </w:pPr>
      <w:r>
        <w:rPr>
          <w:snapToGrid w:val="0"/>
        </w:rPr>
        <w:tab/>
        <w:t>(2)</w:t>
      </w:r>
      <w:r>
        <w:rPr>
          <w:snapToGrid w:val="0"/>
        </w:rPr>
        <w:tab/>
        <w:t xml:space="preserve">If, in respect of an application for a licence, the Chief Executive Officer is satisfied that the quantity of a particular kind of waste discharged from the premises in the year immediately preceding the </w:t>
      </w:r>
      <w:r>
        <w:t>licence period</w:t>
      </w:r>
      <w:r>
        <w:rPr>
          <w:snapToGrid w:val="0"/>
        </w:rPr>
        <w:t xml:space="preserve"> has been accurately measured, the </w:t>
      </w:r>
      <w:r>
        <w:t xml:space="preserve">rate in subregulation (1) </w:t>
      </w:r>
      <w:r>
        <w:rPr>
          <w:snapToGrid w:val="0"/>
        </w:rPr>
        <w:t>in respect of such waste may, at the discretion of the Chief Executive Officer, be determined on the basis of the quantity so measured averaged over a period of one year.</w:t>
      </w:r>
    </w:p>
    <w:p>
      <w:pPr>
        <w:pStyle w:val="Subsection"/>
        <w:spacing w:before="180"/>
        <w:rPr>
          <w:snapToGrid w:val="0"/>
        </w:rPr>
      </w:pPr>
      <w:r>
        <w:rPr>
          <w:snapToGrid w:val="0"/>
        </w:rPr>
        <w:tab/>
        <w:t>(3)</w:t>
      </w:r>
      <w:r>
        <w:rPr>
          <w:snapToGrid w:val="0"/>
        </w:rPr>
        <w:tab/>
        <w:t>If, in respect of an application for a licence, the Chief Executive Officer is satisfied that — </w:t>
      </w:r>
    </w:p>
    <w:p>
      <w:pPr>
        <w:pStyle w:val="Indenta"/>
        <w:rPr>
          <w:snapToGrid w:val="0"/>
        </w:rPr>
      </w:pPr>
      <w:r>
        <w:rPr>
          <w:snapToGrid w:val="0"/>
        </w:rPr>
        <w:tab/>
        <w:t>(a)</w:t>
      </w:r>
      <w:r>
        <w:rPr>
          <w:snapToGrid w:val="0"/>
        </w:rPr>
        <w:tab/>
        <w:t>the applicant has put in place appropriate procedures for the accurate measurement of the quantity of a particular kind of waste to be discharged from the premises; and</w:t>
      </w:r>
    </w:p>
    <w:p>
      <w:pPr>
        <w:pStyle w:val="Indenta"/>
        <w:rPr>
          <w:snapToGrid w:val="0"/>
        </w:rPr>
      </w:pPr>
      <w:r>
        <w:rPr>
          <w:snapToGrid w:val="0"/>
        </w:rPr>
        <w:tab/>
        <w:t>(b)</w:t>
      </w:r>
      <w:r>
        <w:rPr>
          <w:snapToGrid w:val="0"/>
        </w:rPr>
        <w:tab/>
        <w:t xml:space="preserve">the quantity of such waste to be discharged from the premises during the </w:t>
      </w:r>
      <w:r>
        <w:t>licence period</w:t>
      </w:r>
      <w:r>
        <w:rPr>
          <w:snapToGrid w:val="0"/>
        </w:rPr>
        <w:t xml:space="preserve"> has been accurately calculated,</w:t>
      </w:r>
    </w:p>
    <w:p>
      <w:pPr>
        <w:pStyle w:val="Subsection"/>
        <w:spacing w:before="180"/>
        <w:rPr>
          <w:snapToGrid w:val="0"/>
        </w:rPr>
      </w:pPr>
      <w:r>
        <w:rPr>
          <w:snapToGrid w:val="0"/>
        </w:rPr>
        <w:tab/>
      </w:r>
      <w:r>
        <w:rPr>
          <w:snapToGrid w:val="0"/>
        </w:rPr>
        <w:tab/>
        <w:t xml:space="preserve">the </w:t>
      </w:r>
      <w:r>
        <w:t xml:space="preserve">rate in subregulation (1) </w:t>
      </w:r>
      <w:r>
        <w:rPr>
          <w:snapToGrid w:val="0"/>
        </w:rPr>
        <w:t>in respect of such waste may, at the discretion of the Chief Executive Officer, be determined on the basis of</w:t>
      </w:r>
      <w:r>
        <w:t xml:space="preserve"> that quantity averaged over the licence period</w:t>
      </w:r>
      <w:r>
        <w:rPr>
          <w:snapToGrid w:val="0"/>
        </w:rPr>
        <w:t>.</w:t>
      </w:r>
    </w:p>
    <w:p>
      <w:pPr>
        <w:pStyle w:val="Subsection"/>
        <w:spacing w:before="180"/>
        <w:rPr>
          <w:snapToGrid w:val="0"/>
        </w:rPr>
      </w:pPr>
      <w:r>
        <w:rPr>
          <w:snapToGrid w:val="0"/>
        </w:rPr>
        <w:tab/>
        <w:t>(4)</w:t>
      </w:r>
      <w:r>
        <w:rPr>
          <w:snapToGrid w:val="0"/>
        </w:rPr>
        <w:tab/>
        <w:t xml:space="preserve">If an approved policy specifies standards for the discharge of a particular kind of waste and those standards apply to premises which are the subject of an application for a licence, the amount </w:t>
      </w:r>
      <w:r>
        <w:t xml:space="preserve">for the financial year </w:t>
      </w:r>
      <w:r>
        <w:rPr>
          <w:snapToGrid w:val="0"/>
        </w:rPr>
        <w:t>in respect of such waste, as determined under subregulation (1), (2) or (3), is increased by 50% for those premises.</w:t>
      </w:r>
    </w:p>
    <w:p>
      <w:pPr>
        <w:pStyle w:val="Footnotesection"/>
      </w:pPr>
      <w:r>
        <w:tab/>
        <w:t>[Regulation 5E inserted in Gazette 13 Sep 1996 p. 4548; amended in Gazette 22 Jun 2004 p. 2146</w:t>
      </w:r>
      <w:r>
        <w:noBreakHyphen/>
        <w:t xml:space="preserve">7; 22 Jun 2007 p. 2841.] </w:t>
      </w:r>
    </w:p>
    <w:p>
      <w:pPr>
        <w:pStyle w:val="Heading5"/>
        <w:spacing w:before="260"/>
        <w:rPr>
          <w:snapToGrid w:val="0"/>
        </w:rPr>
      </w:pPr>
      <w:bookmarkStart w:id="250" w:name="_Toc448822567"/>
      <w:bookmarkStart w:id="251" w:name="_Toc448822693"/>
      <w:bookmarkStart w:id="252" w:name="_Toc503260563"/>
      <w:bookmarkStart w:id="253" w:name="_Toc12076666"/>
      <w:bookmarkStart w:id="254" w:name="_Toc12952182"/>
      <w:bookmarkStart w:id="255" w:name="_Toc122232898"/>
      <w:bookmarkStart w:id="256" w:name="_Toc324153541"/>
      <w:bookmarkStart w:id="257" w:name="_Toc318383425"/>
      <w:r>
        <w:rPr>
          <w:rStyle w:val="CharSectno"/>
        </w:rPr>
        <w:t>5EA</w:t>
      </w:r>
      <w:r>
        <w:rPr>
          <w:snapToGrid w:val="0"/>
        </w:rPr>
        <w:t>.</w:t>
      </w:r>
      <w:r>
        <w:rPr>
          <w:snapToGrid w:val="0"/>
        </w:rPr>
        <w:tab/>
        <w:t>Waiver of fee components where best practice criteria met</w:t>
      </w:r>
      <w:bookmarkEnd w:id="250"/>
      <w:bookmarkEnd w:id="251"/>
      <w:bookmarkEnd w:id="252"/>
      <w:bookmarkEnd w:id="253"/>
      <w:bookmarkEnd w:id="254"/>
      <w:bookmarkEnd w:id="255"/>
      <w:bookmarkEnd w:id="256"/>
      <w:bookmarkEnd w:id="257"/>
      <w:r>
        <w:rPr>
          <w:snapToGrid w:val="0"/>
        </w:rPr>
        <w:t xml:space="preserve"> </w:t>
      </w:r>
    </w:p>
    <w:p>
      <w:pPr>
        <w:pStyle w:val="Subsection"/>
        <w:spacing w:before="200"/>
        <w:rPr>
          <w:snapToGrid w:val="0"/>
        </w:rPr>
      </w:pPr>
      <w:r>
        <w:rPr>
          <w:snapToGrid w:val="0"/>
        </w:rPr>
        <w:tab/>
      </w:r>
      <w:r>
        <w:rPr>
          <w:snapToGrid w:val="0"/>
        </w:rPr>
        <w:tab/>
        <w:t>If, in respect of an application for a licence, the Chief Executive Officer is satisfied that the environmental performance and management of the premises to which the application relates conform to best practice criteria, the Chief Executive Officer is to waive any amount otherwise payable under regulation </w:t>
      </w:r>
      <w:r>
        <w:t>5D(1a)(b) or (c)</w:t>
      </w:r>
      <w:r>
        <w:rPr>
          <w:snapToGrid w:val="0"/>
        </w:rPr>
        <w:t xml:space="preserve"> in respect of the licence.</w:t>
      </w:r>
    </w:p>
    <w:p>
      <w:pPr>
        <w:pStyle w:val="Footnotesection"/>
      </w:pPr>
      <w:r>
        <w:tab/>
        <w:t xml:space="preserve">[Regulation 5EA inserted in Gazette 12 Sep 1997 p. 5150; amended in Gazette 22 Jun 2004 p. 2147.] </w:t>
      </w:r>
    </w:p>
    <w:p>
      <w:pPr>
        <w:pStyle w:val="Heading5"/>
      </w:pPr>
      <w:bookmarkStart w:id="258" w:name="_Toc503260564"/>
      <w:bookmarkStart w:id="259" w:name="_Toc12076667"/>
      <w:bookmarkStart w:id="260" w:name="_Toc12952183"/>
      <w:bookmarkStart w:id="261" w:name="_Toc122232899"/>
      <w:bookmarkStart w:id="262" w:name="_Toc324153542"/>
      <w:bookmarkStart w:id="263" w:name="_Toc318383426"/>
      <w:bookmarkStart w:id="264" w:name="_Toc448822568"/>
      <w:bookmarkStart w:id="265" w:name="_Toc448822694"/>
      <w:r>
        <w:rPr>
          <w:rStyle w:val="CharSectno"/>
        </w:rPr>
        <w:t>5EB</w:t>
      </w:r>
      <w:r>
        <w:t>.</w:t>
      </w:r>
      <w:r>
        <w:tab/>
        <w:t>Waiver of fee where it would be unreasonable to impose it</w:t>
      </w:r>
      <w:bookmarkEnd w:id="258"/>
      <w:bookmarkEnd w:id="259"/>
      <w:bookmarkEnd w:id="260"/>
      <w:bookmarkEnd w:id="261"/>
      <w:bookmarkEnd w:id="262"/>
      <w:bookmarkEnd w:id="263"/>
    </w:p>
    <w:p>
      <w:pPr>
        <w:pStyle w:val="Subsection"/>
      </w:pPr>
      <w:r>
        <w:tab/>
      </w:r>
      <w:r>
        <w:tab/>
        <w:t>If in respect of an application for a licence, the Chief Executive Officer is satisfied that the production or design capacity of the premises is so small that it would be unreasonable to impose a fee, the Chief Executive Officer is to waive any amount otherwise payable under regulation 5D in respect of the licence.</w:t>
      </w:r>
    </w:p>
    <w:p>
      <w:pPr>
        <w:pStyle w:val="Footnotesection"/>
      </w:pPr>
      <w:r>
        <w:tab/>
        <w:t xml:space="preserve">[Regulation 5EB inserted in Gazette 15 Aug 2000 p. 4713.] </w:t>
      </w:r>
    </w:p>
    <w:p>
      <w:pPr>
        <w:pStyle w:val="Heading5"/>
        <w:rPr>
          <w:snapToGrid w:val="0"/>
        </w:rPr>
      </w:pPr>
      <w:bookmarkStart w:id="266" w:name="_Toc503260565"/>
      <w:bookmarkStart w:id="267" w:name="_Toc12076668"/>
      <w:bookmarkStart w:id="268" w:name="_Toc12952184"/>
      <w:bookmarkStart w:id="269" w:name="_Toc122232900"/>
      <w:bookmarkStart w:id="270" w:name="_Toc324153543"/>
      <w:bookmarkStart w:id="271" w:name="_Toc318383427"/>
      <w:r>
        <w:rPr>
          <w:rStyle w:val="CharSectno"/>
        </w:rPr>
        <w:t>5F</w:t>
      </w:r>
      <w:r>
        <w:rPr>
          <w:snapToGrid w:val="0"/>
        </w:rPr>
        <w:t>.</w:t>
      </w:r>
      <w:r>
        <w:rPr>
          <w:snapToGrid w:val="0"/>
        </w:rPr>
        <w:tab/>
        <w:t>Amount payable for harmless discharge onto land</w:t>
      </w:r>
      <w:bookmarkEnd w:id="264"/>
      <w:bookmarkEnd w:id="265"/>
      <w:bookmarkEnd w:id="266"/>
      <w:bookmarkEnd w:id="267"/>
      <w:bookmarkEnd w:id="268"/>
      <w:bookmarkEnd w:id="269"/>
      <w:bookmarkEnd w:id="270"/>
      <w:bookmarkEnd w:id="271"/>
      <w:r>
        <w:rPr>
          <w:snapToGrid w:val="0"/>
        </w:rPr>
        <w:t xml:space="preserve"> </w:t>
      </w:r>
    </w:p>
    <w:p>
      <w:pPr>
        <w:pStyle w:val="Subsection"/>
        <w:spacing w:before="200"/>
        <w:rPr>
          <w:snapToGrid w:val="0"/>
        </w:rPr>
      </w:pPr>
      <w:r>
        <w:rPr>
          <w:snapToGrid w:val="0"/>
        </w:rPr>
        <w:tab/>
        <w:t>(1)</w:t>
      </w:r>
      <w:r>
        <w:rPr>
          <w:snapToGrid w:val="0"/>
        </w:rPr>
        <w:tab/>
        <w:t>Despite regulation </w:t>
      </w:r>
      <w:r>
        <w:rPr>
          <w:kern w:val="24"/>
        </w:rPr>
        <w:t xml:space="preserve">5D(1a)(c), an amount of 25 units for the </w:t>
      </w:r>
      <w:r>
        <w:t xml:space="preserve">financial year </w:t>
      </w:r>
      <w:r>
        <w:rPr>
          <w:snapToGrid w:val="0"/>
        </w:rPr>
        <w:t>may be paid in respect of waste to be discharged onto land instead of the</w:t>
      </w:r>
      <w:r>
        <w:t xml:space="preserve"> amount worked out under regulation 5E</w:t>
      </w:r>
      <w:r>
        <w:rPr>
          <w:snapToGrid w:val="0"/>
        </w:rPr>
        <w:t>, if the Chief Executive Officer is satisfied that the method of discharge renders the waste harmless to the environment.</w:t>
      </w:r>
    </w:p>
    <w:p>
      <w:pPr>
        <w:pStyle w:val="Ednotesubsection"/>
        <w:keepNext/>
        <w:keepLines/>
      </w:pPr>
      <w:r>
        <w:tab/>
        <w:t>[(2)</w:t>
      </w:r>
      <w:r>
        <w:tab/>
        <w:t>deleted]</w:t>
      </w:r>
    </w:p>
    <w:p>
      <w:pPr>
        <w:pStyle w:val="Footnotesection"/>
      </w:pPr>
      <w:r>
        <w:tab/>
        <w:t xml:space="preserve">[Regulation 5F inserted in Gazette 13 Sep 1996 p. 4548; amended in Gazette 22 Jun 2004 p. 2147; 22 Jun 2007 p. 2841.] </w:t>
      </w:r>
    </w:p>
    <w:p>
      <w:pPr>
        <w:pStyle w:val="Heading5"/>
      </w:pPr>
      <w:bookmarkStart w:id="272" w:name="_Toc122232901"/>
      <w:bookmarkStart w:id="273" w:name="_Toc324153544"/>
      <w:bookmarkStart w:id="274" w:name="_Toc318383428"/>
      <w:bookmarkStart w:id="275" w:name="_Toc448822570"/>
      <w:bookmarkStart w:id="276" w:name="_Toc448822696"/>
      <w:bookmarkStart w:id="277" w:name="_Toc503260567"/>
      <w:bookmarkStart w:id="278" w:name="_Toc12076670"/>
      <w:bookmarkStart w:id="279" w:name="_Toc12952186"/>
      <w:r>
        <w:rPr>
          <w:rStyle w:val="CharSectno"/>
        </w:rPr>
        <w:t>5G</w:t>
      </w:r>
      <w:r>
        <w:t>.</w:t>
      </w:r>
      <w:r>
        <w:tab/>
        <w:t>Maximum fee</w:t>
      </w:r>
      <w:bookmarkEnd w:id="272"/>
      <w:bookmarkEnd w:id="273"/>
      <w:bookmarkEnd w:id="274"/>
    </w:p>
    <w:p>
      <w:pPr>
        <w:pStyle w:val="Subsection"/>
      </w:pPr>
      <w:r>
        <w:tab/>
        <w:t>(1)</w:t>
      </w:r>
      <w:r>
        <w:tab/>
        <w:t>For the purposes of regulation 5D(1a), the amount for a financial year cannot exceed the maximum amount for the financial year worked out in accordance with this regulation.</w:t>
      </w:r>
    </w:p>
    <w:p>
      <w:pPr>
        <w:pStyle w:val="Subsection"/>
      </w:pPr>
      <w:r>
        <w:tab/>
        <w:t>(2)</w:t>
      </w:r>
      <w:r>
        <w:tab/>
        <w:t>If the amount worked out under regulation 5D(1a)(c) is predominantly attributable to the discharge of waste into air or onto land and the total amount or a component of that total amount is subject to the increase specified in regulation 5E(4) — the maximum fee for the financial year is the amount specified in column 2 of the Table to this subregulation for the financial year.</w:t>
      </w:r>
    </w:p>
    <w:p>
      <w:pPr>
        <w:pStyle w:val="MiscellaneousHeading"/>
      </w:pPr>
      <w:r>
        <w:rPr>
          <w:b/>
          <w:bCs/>
        </w:rPr>
        <w:t>Table</w:t>
      </w:r>
    </w:p>
    <w:tbl>
      <w:tblPr>
        <w:tblW w:w="0" w:type="auto"/>
        <w:tblInd w:w="948" w:type="dxa"/>
        <w:tblLook w:val="0000" w:firstRow="0" w:lastRow="0" w:firstColumn="0" w:lastColumn="0" w:noHBand="0" w:noVBand="0"/>
      </w:tblPr>
      <w:tblGrid>
        <w:gridCol w:w="4263"/>
        <w:gridCol w:w="1774"/>
      </w:tblGrid>
      <w:tr>
        <w:tc>
          <w:tcPr>
            <w:tcW w:w="4263" w:type="dxa"/>
            <w:tcBorders>
              <w:top w:val="single" w:sz="4" w:space="0" w:color="auto"/>
              <w:bottom w:val="single" w:sz="4" w:space="0" w:color="auto"/>
            </w:tcBorders>
          </w:tcPr>
          <w:p>
            <w:pPr>
              <w:pStyle w:val="Table"/>
              <w:jc w:val="center"/>
              <w:rPr>
                <w:b/>
                <w:bCs/>
              </w:rPr>
            </w:pPr>
            <w:r>
              <w:rPr>
                <w:b/>
                <w:bCs/>
              </w:rPr>
              <w:t>Column 1</w:t>
            </w:r>
            <w:r>
              <w:rPr>
                <w:b/>
                <w:bCs/>
              </w:rPr>
              <w:br/>
              <w:t>Financial year</w:t>
            </w:r>
          </w:p>
        </w:tc>
        <w:tc>
          <w:tcPr>
            <w:tcW w:w="1774" w:type="dxa"/>
            <w:tcBorders>
              <w:top w:val="single" w:sz="4" w:space="0" w:color="auto"/>
              <w:bottom w:val="single" w:sz="4" w:space="0" w:color="auto"/>
            </w:tcBorders>
          </w:tcPr>
          <w:p>
            <w:pPr>
              <w:pStyle w:val="Table"/>
              <w:jc w:val="center"/>
              <w:rPr>
                <w:b/>
                <w:bCs/>
              </w:rPr>
            </w:pPr>
            <w:r>
              <w:rPr>
                <w:b/>
                <w:bCs/>
              </w:rPr>
              <w:t>Column 2</w:t>
            </w:r>
            <w:r>
              <w:rPr>
                <w:b/>
                <w:bCs/>
              </w:rPr>
              <w:br/>
              <w:t>$</w:t>
            </w:r>
          </w:p>
        </w:tc>
      </w:tr>
      <w:tr>
        <w:tc>
          <w:tcPr>
            <w:tcW w:w="4263" w:type="dxa"/>
            <w:tcBorders>
              <w:top w:val="single" w:sz="4" w:space="0" w:color="auto"/>
            </w:tcBorders>
          </w:tcPr>
          <w:p>
            <w:pPr>
              <w:pStyle w:val="Table"/>
            </w:pPr>
            <w:r>
              <w:t>Beginning on 1 July 2007 and ending on 30 June 2008</w:t>
            </w:r>
          </w:p>
        </w:tc>
        <w:tc>
          <w:tcPr>
            <w:tcW w:w="1774" w:type="dxa"/>
            <w:tcBorders>
              <w:top w:val="single" w:sz="4" w:space="0" w:color="auto"/>
            </w:tcBorders>
          </w:tcPr>
          <w:p>
            <w:pPr>
              <w:pStyle w:val="Table"/>
            </w:pPr>
            <w:r>
              <w:br/>
            </w:r>
            <w:r>
              <w:tab/>
              <w:t>605 000.00</w:t>
            </w:r>
          </w:p>
        </w:tc>
      </w:tr>
      <w:tr>
        <w:tc>
          <w:tcPr>
            <w:tcW w:w="4263" w:type="dxa"/>
          </w:tcPr>
          <w:p>
            <w:pPr>
              <w:pStyle w:val="Table"/>
            </w:pPr>
            <w:r>
              <w:t>Beginning on 1 July 2008 and ending on 30 June 2009</w:t>
            </w:r>
          </w:p>
        </w:tc>
        <w:tc>
          <w:tcPr>
            <w:tcW w:w="1774" w:type="dxa"/>
          </w:tcPr>
          <w:p>
            <w:pPr>
              <w:pStyle w:val="Table"/>
            </w:pPr>
            <w:r>
              <w:br/>
            </w:r>
            <w:r>
              <w:tab/>
              <w:t>705 000.00</w:t>
            </w:r>
          </w:p>
        </w:tc>
      </w:tr>
      <w:tr>
        <w:tc>
          <w:tcPr>
            <w:tcW w:w="4263" w:type="dxa"/>
          </w:tcPr>
          <w:p>
            <w:pPr>
              <w:pStyle w:val="Table"/>
            </w:pPr>
            <w:r>
              <w:t>Beginning on 1 July 2009 and ending on 30 June 2010</w:t>
            </w:r>
          </w:p>
        </w:tc>
        <w:tc>
          <w:tcPr>
            <w:tcW w:w="1774" w:type="dxa"/>
          </w:tcPr>
          <w:p>
            <w:pPr>
              <w:pStyle w:val="Table"/>
            </w:pPr>
            <w:r>
              <w:br/>
            </w:r>
            <w:r>
              <w:tab/>
              <w:t>755 000.00</w:t>
            </w:r>
          </w:p>
        </w:tc>
      </w:tr>
      <w:tr>
        <w:tc>
          <w:tcPr>
            <w:tcW w:w="4263" w:type="dxa"/>
          </w:tcPr>
          <w:p>
            <w:pPr>
              <w:pStyle w:val="Table"/>
            </w:pPr>
            <w:r>
              <w:t>Beginning on 1 July 2010 and ending on 30 June 2011</w:t>
            </w:r>
          </w:p>
        </w:tc>
        <w:tc>
          <w:tcPr>
            <w:tcW w:w="1774" w:type="dxa"/>
          </w:tcPr>
          <w:p>
            <w:pPr>
              <w:pStyle w:val="Table"/>
            </w:pPr>
            <w:r>
              <w:br/>
            </w:r>
            <w:r>
              <w:tab/>
              <w:t>805 000.00</w:t>
            </w:r>
          </w:p>
        </w:tc>
      </w:tr>
      <w:tr>
        <w:tc>
          <w:tcPr>
            <w:tcW w:w="4263" w:type="dxa"/>
          </w:tcPr>
          <w:p>
            <w:pPr>
              <w:pStyle w:val="Table"/>
            </w:pPr>
            <w:r>
              <w:t>Beginning on 1 July 2011 and ending on 30 June 2012</w:t>
            </w:r>
          </w:p>
        </w:tc>
        <w:tc>
          <w:tcPr>
            <w:tcW w:w="1774" w:type="dxa"/>
          </w:tcPr>
          <w:p>
            <w:pPr>
              <w:pStyle w:val="Table"/>
            </w:pPr>
            <w:r>
              <w:br/>
            </w:r>
            <w:r>
              <w:tab/>
              <w:t>855 000.00</w:t>
            </w:r>
          </w:p>
        </w:tc>
      </w:tr>
      <w:tr>
        <w:tc>
          <w:tcPr>
            <w:tcW w:w="4263" w:type="dxa"/>
            <w:tcBorders>
              <w:bottom w:val="single" w:sz="4" w:space="0" w:color="auto"/>
            </w:tcBorders>
          </w:tcPr>
          <w:p>
            <w:pPr>
              <w:pStyle w:val="Table"/>
            </w:pPr>
            <w:r>
              <w:t>On and from 1 July 2012</w:t>
            </w:r>
          </w:p>
        </w:tc>
        <w:tc>
          <w:tcPr>
            <w:tcW w:w="1774" w:type="dxa"/>
            <w:tcBorders>
              <w:bottom w:val="single" w:sz="4" w:space="0" w:color="auto"/>
            </w:tcBorders>
          </w:tcPr>
          <w:p>
            <w:pPr>
              <w:pStyle w:val="Table"/>
            </w:pPr>
            <w:r>
              <w:tab/>
              <w:t>905 000.00</w:t>
            </w:r>
          </w:p>
        </w:tc>
      </w:tr>
    </w:tbl>
    <w:p>
      <w:pPr>
        <w:pStyle w:val="Subsection"/>
      </w:pPr>
      <w:r>
        <w:tab/>
        <w:t>(3)</w:t>
      </w:r>
      <w:r>
        <w:tab/>
        <w:t>If the amount worked out under regulation 5D(1a)(c) is predominantly attributable to the discharge of waste into air or onto land and neither the total amount nor a component of that total amount is subject to the increase specified in regulation 5E(4) — the maximum fee for the financial year is the amount specified in column 2 of the Table to this subregulation for the financial year.</w:t>
      </w:r>
    </w:p>
    <w:p>
      <w:pPr>
        <w:pStyle w:val="MiscellaneousHeading"/>
      </w:pPr>
      <w:r>
        <w:rPr>
          <w:b/>
          <w:bCs/>
        </w:rPr>
        <w:t>Table</w:t>
      </w:r>
    </w:p>
    <w:tbl>
      <w:tblPr>
        <w:tblW w:w="0" w:type="auto"/>
        <w:tblInd w:w="948" w:type="dxa"/>
        <w:tblLook w:val="0000" w:firstRow="0" w:lastRow="0" w:firstColumn="0" w:lastColumn="0" w:noHBand="0" w:noVBand="0"/>
      </w:tblPr>
      <w:tblGrid>
        <w:gridCol w:w="4263"/>
        <w:gridCol w:w="1774"/>
      </w:tblGrid>
      <w:tr>
        <w:trPr>
          <w:tblHeader/>
        </w:trPr>
        <w:tc>
          <w:tcPr>
            <w:tcW w:w="4263" w:type="dxa"/>
            <w:tcBorders>
              <w:top w:val="single" w:sz="4" w:space="0" w:color="auto"/>
              <w:bottom w:val="single" w:sz="4" w:space="0" w:color="auto"/>
            </w:tcBorders>
          </w:tcPr>
          <w:p>
            <w:pPr>
              <w:pStyle w:val="Table"/>
              <w:jc w:val="center"/>
              <w:rPr>
                <w:b/>
                <w:bCs/>
              </w:rPr>
            </w:pPr>
            <w:r>
              <w:rPr>
                <w:b/>
                <w:bCs/>
              </w:rPr>
              <w:t>Column 1</w:t>
            </w:r>
            <w:r>
              <w:rPr>
                <w:b/>
                <w:bCs/>
              </w:rPr>
              <w:br/>
              <w:t>Financial year</w:t>
            </w:r>
          </w:p>
        </w:tc>
        <w:tc>
          <w:tcPr>
            <w:tcW w:w="1774" w:type="dxa"/>
            <w:tcBorders>
              <w:top w:val="single" w:sz="4" w:space="0" w:color="auto"/>
              <w:bottom w:val="single" w:sz="4" w:space="0" w:color="auto"/>
            </w:tcBorders>
          </w:tcPr>
          <w:p>
            <w:pPr>
              <w:pStyle w:val="Table"/>
              <w:jc w:val="center"/>
              <w:rPr>
                <w:b/>
                <w:bCs/>
              </w:rPr>
            </w:pPr>
            <w:r>
              <w:rPr>
                <w:b/>
                <w:bCs/>
              </w:rPr>
              <w:t>Column 2</w:t>
            </w:r>
            <w:r>
              <w:rPr>
                <w:b/>
                <w:bCs/>
              </w:rPr>
              <w:br/>
              <w:t>$</w:t>
            </w:r>
          </w:p>
        </w:tc>
      </w:tr>
      <w:tr>
        <w:tc>
          <w:tcPr>
            <w:tcW w:w="4263" w:type="dxa"/>
            <w:tcBorders>
              <w:top w:val="single" w:sz="4" w:space="0" w:color="auto"/>
            </w:tcBorders>
          </w:tcPr>
          <w:p>
            <w:pPr>
              <w:pStyle w:val="Table"/>
            </w:pPr>
            <w:r>
              <w:t>Beginning on 1 July 2007 and ending on 30 June 2008</w:t>
            </w:r>
          </w:p>
        </w:tc>
        <w:tc>
          <w:tcPr>
            <w:tcW w:w="1774" w:type="dxa"/>
            <w:tcBorders>
              <w:top w:val="single" w:sz="4" w:space="0" w:color="auto"/>
            </w:tcBorders>
          </w:tcPr>
          <w:p>
            <w:pPr>
              <w:pStyle w:val="Table"/>
            </w:pPr>
            <w:r>
              <w:br/>
            </w:r>
            <w:r>
              <w:tab/>
              <w:t>550 000.00</w:t>
            </w:r>
          </w:p>
        </w:tc>
      </w:tr>
      <w:tr>
        <w:tc>
          <w:tcPr>
            <w:tcW w:w="4263" w:type="dxa"/>
          </w:tcPr>
          <w:p>
            <w:pPr>
              <w:pStyle w:val="Table"/>
            </w:pPr>
            <w:r>
              <w:t>Beginning on 1 July 2008 and ending on 30 June 2009</w:t>
            </w:r>
          </w:p>
        </w:tc>
        <w:tc>
          <w:tcPr>
            <w:tcW w:w="1774" w:type="dxa"/>
          </w:tcPr>
          <w:p>
            <w:pPr>
              <w:pStyle w:val="Table"/>
            </w:pPr>
            <w:r>
              <w:br/>
            </w:r>
            <w:r>
              <w:tab/>
              <w:t>650 000.00</w:t>
            </w:r>
          </w:p>
        </w:tc>
      </w:tr>
      <w:tr>
        <w:tc>
          <w:tcPr>
            <w:tcW w:w="4263" w:type="dxa"/>
          </w:tcPr>
          <w:p>
            <w:pPr>
              <w:pStyle w:val="Table"/>
            </w:pPr>
            <w:r>
              <w:t>Beginning on 1 July 2009 and ending on 30 June 2010</w:t>
            </w:r>
          </w:p>
        </w:tc>
        <w:tc>
          <w:tcPr>
            <w:tcW w:w="1774" w:type="dxa"/>
          </w:tcPr>
          <w:p>
            <w:pPr>
              <w:pStyle w:val="Table"/>
            </w:pPr>
            <w:r>
              <w:br/>
            </w:r>
            <w:r>
              <w:tab/>
              <w:t>700 000.00</w:t>
            </w:r>
          </w:p>
        </w:tc>
      </w:tr>
      <w:tr>
        <w:tc>
          <w:tcPr>
            <w:tcW w:w="4263" w:type="dxa"/>
          </w:tcPr>
          <w:p>
            <w:pPr>
              <w:pStyle w:val="Table"/>
            </w:pPr>
            <w:r>
              <w:t>Beginning on 1 July 2010 and ending on 30 June 2011</w:t>
            </w:r>
          </w:p>
        </w:tc>
        <w:tc>
          <w:tcPr>
            <w:tcW w:w="1774" w:type="dxa"/>
          </w:tcPr>
          <w:p>
            <w:pPr>
              <w:pStyle w:val="Table"/>
            </w:pPr>
            <w:r>
              <w:br/>
            </w:r>
            <w:r>
              <w:tab/>
              <w:t>750 000.00</w:t>
            </w:r>
          </w:p>
        </w:tc>
      </w:tr>
      <w:tr>
        <w:tc>
          <w:tcPr>
            <w:tcW w:w="4263" w:type="dxa"/>
          </w:tcPr>
          <w:p>
            <w:pPr>
              <w:pStyle w:val="Table"/>
            </w:pPr>
            <w:r>
              <w:t>Beginning on 1 July 2011 and ending on 30 June 2012</w:t>
            </w:r>
          </w:p>
        </w:tc>
        <w:tc>
          <w:tcPr>
            <w:tcW w:w="1774" w:type="dxa"/>
          </w:tcPr>
          <w:p>
            <w:pPr>
              <w:pStyle w:val="Table"/>
            </w:pPr>
            <w:r>
              <w:br/>
            </w:r>
            <w:r>
              <w:tab/>
              <w:t>800 000.00</w:t>
            </w:r>
          </w:p>
        </w:tc>
      </w:tr>
      <w:tr>
        <w:tc>
          <w:tcPr>
            <w:tcW w:w="4263" w:type="dxa"/>
            <w:tcBorders>
              <w:bottom w:val="single" w:sz="4" w:space="0" w:color="auto"/>
            </w:tcBorders>
          </w:tcPr>
          <w:p>
            <w:pPr>
              <w:pStyle w:val="Table"/>
            </w:pPr>
            <w:r>
              <w:t>On and from 1 July 2012</w:t>
            </w:r>
          </w:p>
        </w:tc>
        <w:tc>
          <w:tcPr>
            <w:tcW w:w="1774" w:type="dxa"/>
            <w:tcBorders>
              <w:bottom w:val="single" w:sz="4" w:space="0" w:color="auto"/>
            </w:tcBorders>
          </w:tcPr>
          <w:p>
            <w:pPr>
              <w:pStyle w:val="Table"/>
            </w:pPr>
            <w:r>
              <w:tab/>
              <w:t>850 000.00</w:t>
            </w:r>
          </w:p>
        </w:tc>
      </w:tr>
    </w:tbl>
    <w:p>
      <w:pPr>
        <w:pStyle w:val="Subsection"/>
      </w:pPr>
      <w:r>
        <w:tab/>
        <w:t>(4)</w:t>
      </w:r>
      <w:r>
        <w:tab/>
        <w:t>If the amount worked out under regulation 5D(1a)(c) is predominantly attributable to the discharge of waste into waters — the maximum fee for the financial year is the amount specified in column 2 of the Table to this subregulation for the financial year.</w:t>
      </w:r>
    </w:p>
    <w:p>
      <w:pPr>
        <w:pStyle w:val="MiscellaneousHeading"/>
      </w:pPr>
      <w:r>
        <w:rPr>
          <w:b/>
          <w:bCs/>
        </w:rPr>
        <w:t>Table</w:t>
      </w:r>
    </w:p>
    <w:tbl>
      <w:tblPr>
        <w:tblW w:w="0" w:type="auto"/>
        <w:tblInd w:w="948" w:type="dxa"/>
        <w:tblLook w:val="0000" w:firstRow="0" w:lastRow="0" w:firstColumn="0" w:lastColumn="0" w:noHBand="0" w:noVBand="0"/>
      </w:tblPr>
      <w:tblGrid>
        <w:gridCol w:w="4263"/>
        <w:gridCol w:w="1774"/>
      </w:tblGrid>
      <w:tr>
        <w:tc>
          <w:tcPr>
            <w:tcW w:w="4263" w:type="dxa"/>
            <w:tcBorders>
              <w:top w:val="single" w:sz="4" w:space="0" w:color="auto"/>
              <w:bottom w:val="single" w:sz="4" w:space="0" w:color="auto"/>
            </w:tcBorders>
          </w:tcPr>
          <w:p>
            <w:pPr>
              <w:pStyle w:val="Table"/>
              <w:jc w:val="center"/>
              <w:rPr>
                <w:b/>
                <w:bCs/>
              </w:rPr>
            </w:pPr>
            <w:r>
              <w:rPr>
                <w:b/>
                <w:bCs/>
              </w:rPr>
              <w:t>Column 1</w:t>
            </w:r>
            <w:r>
              <w:rPr>
                <w:b/>
                <w:bCs/>
              </w:rPr>
              <w:br/>
              <w:t>Financial year</w:t>
            </w:r>
          </w:p>
        </w:tc>
        <w:tc>
          <w:tcPr>
            <w:tcW w:w="1774" w:type="dxa"/>
            <w:tcBorders>
              <w:top w:val="single" w:sz="4" w:space="0" w:color="auto"/>
              <w:bottom w:val="single" w:sz="4" w:space="0" w:color="auto"/>
            </w:tcBorders>
          </w:tcPr>
          <w:p>
            <w:pPr>
              <w:pStyle w:val="Table"/>
              <w:jc w:val="center"/>
              <w:rPr>
                <w:b/>
                <w:bCs/>
              </w:rPr>
            </w:pPr>
            <w:r>
              <w:rPr>
                <w:b/>
                <w:bCs/>
              </w:rPr>
              <w:t>Column 2</w:t>
            </w:r>
            <w:r>
              <w:rPr>
                <w:b/>
                <w:bCs/>
              </w:rPr>
              <w:br/>
              <w:t>$</w:t>
            </w:r>
          </w:p>
        </w:tc>
      </w:tr>
      <w:tr>
        <w:tc>
          <w:tcPr>
            <w:tcW w:w="4263" w:type="dxa"/>
            <w:tcBorders>
              <w:top w:val="single" w:sz="4" w:space="0" w:color="auto"/>
            </w:tcBorders>
          </w:tcPr>
          <w:p>
            <w:pPr>
              <w:pStyle w:val="Table"/>
            </w:pPr>
            <w:r>
              <w:t>Beginning on 1 July 2007 and ending on 30 June 2008</w:t>
            </w:r>
          </w:p>
        </w:tc>
        <w:tc>
          <w:tcPr>
            <w:tcW w:w="1774" w:type="dxa"/>
            <w:tcBorders>
              <w:top w:val="single" w:sz="4" w:space="0" w:color="auto"/>
            </w:tcBorders>
          </w:tcPr>
          <w:p>
            <w:pPr>
              <w:pStyle w:val="Table"/>
            </w:pPr>
            <w:r>
              <w:br/>
            </w:r>
            <w:r>
              <w:tab/>
              <w:t>640 000.00</w:t>
            </w:r>
          </w:p>
        </w:tc>
      </w:tr>
      <w:tr>
        <w:tc>
          <w:tcPr>
            <w:tcW w:w="4263" w:type="dxa"/>
          </w:tcPr>
          <w:p>
            <w:pPr>
              <w:pStyle w:val="Table"/>
            </w:pPr>
            <w:r>
              <w:t>Beginning on 1 July 2008 and ending on 30 June 2009</w:t>
            </w:r>
          </w:p>
        </w:tc>
        <w:tc>
          <w:tcPr>
            <w:tcW w:w="1774" w:type="dxa"/>
          </w:tcPr>
          <w:p>
            <w:pPr>
              <w:pStyle w:val="Table"/>
            </w:pPr>
            <w:r>
              <w:br/>
            </w:r>
            <w:r>
              <w:tab/>
              <w:t>740 000.00</w:t>
            </w:r>
          </w:p>
        </w:tc>
      </w:tr>
      <w:tr>
        <w:tc>
          <w:tcPr>
            <w:tcW w:w="4263" w:type="dxa"/>
          </w:tcPr>
          <w:p>
            <w:pPr>
              <w:pStyle w:val="Table"/>
            </w:pPr>
            <w:r>
              <w:t>Beginning on 1 July 2009 and ending on 30 June 2010</w:t>
            </w:r>
          </w:p>
        </w:tc>
        <w:tc>
          <w:tcPr>
            <w:tcW w:w="1774" w:type="dxa"/>
          </w:tcPr>
          <w:p>
            <w:pPr>
              <w:pStyle w:val="Table"/>
            </w:pPr>
            <w:r>
              <w:br/>
            </w:r>
            <w:r>
              <w:tab/>
              <w:t>790 000.00</w:t>
            </w:r>
          </w:p>
        </w:tc>
      </w:tr>
      <w:tr>
        <w:tc>
          <w:tcPr>
            <w:tcW w:w="4263" w:type="dxa"/>
          </w:tcPr>
          <w:p>
            <w:pPr>
              <w:pStyle w:val="Table"/>
            </w:pPr>
            <w:r>
              <w:t>Beginning on 1 July 2010 and ending on 30 June 2011</w:t>
            </w:r>
          </w:p>
        </w:tc>
        <w:tc>
          <w:tcPr>
            <w:tcW w:w="1774" w:type="dxa"/>
          </w:tcPr>
          <w:p>
            <w:pPr>
              <w:pStyle w:val="Table"/>
            </w:pPr>
            <w:r>
              <w:br/>
            </w:r>
            <w:r>
              <w:tab/>
              <w:t>840 000.00</w:t>
            </w:r>
          </w:p>
        </w:tc>
      </w:tr>
      <w:tr>
        <w:tc>
          <w:tcPr>
            <w:tcW w:w="4263" w:type="dxa"/>
          </w:tcPr>
          <w:p>
            <w:pPr>
              <w:pStyle w:val="Table"/>
            </w:pPr>
            <w:r>
              <w:t>Beginning on 1 July 2011 and ending on 30 June 2012</w:t>
            </w:r>
          </w:p>
        </w:tc>
        <w:tc>
          <w:tcPr>
            <w:tcW w:w="1774" w:type="dxa"/>
          </w:tcPr>
          <w:p>
            <w:pPr>
              <w:pStyle w:val="Table"/>
            </w:pPr>
            <w:r>
              <w:br/>
            </w:r>
            <w:r>
              <w:tab/>
              <w:t>890 000.00</w:t>
            </w:r>
          </w:p>
        </w:tc>
      </w:tr>
      <w:tr>
        <w:tc>
          <w:tcPr>
            <w:tcW w:w="4263" w:type="dxa"/>
            <w:tcBorders>
              <w:bottom w:val="single" w:sz="4" w:space="0" w:color="auto"/>
            </w:tcBorders>
          </w:tcPr>
          <w:p>
            <w:pPr>
              <w:pStyle w:val="Table"/>
            </w:pPr>
            <w:r>
              <w:t>On and from 1 July 2012</w:t>
            </w:r>
          </w:p>
        </w:tc>
        <w:tc>
          <w:tcPr>
            <w:tcW w:w="1774" w:type="dxa"/>
            <w:tcBorders>
              <w:bottom w:val="single" w:sz="4" w:space="0" w:color="auto"/>
            </w:tcBorders>
          </w:tcPr>
          <w:p>
            <w:pPr>
              <w:pStyle w:val="Table"/>
            </w:pPr>
            <w:r>
              <w:tab/>
              <w:t>940 000.00</w:t>
            </w:r>
          </w:p>
        </w:tc>
      </w:tr>
    </w:tbl>
    <w:p>
      <w:pPr>
        <w:pStyle w:val="Subsection"/>
      </w:pPr>
      <w:r>
        <w:tab/>
        <w:t>(5)</w:t>
      </w:r>
      <w:r>
        <w:tab/>
        <w:t>If the amount worked out under regulation 5D(1a)(c) is equally attributable to the discharge of waste into air or onto land and the discharge of waste into waters — the maximum fee for the financial year is the amount specified in column 2 of the Table to this subregulation for the financial year.</w:t>
      </w:r>
    </w:p>
    <w:p>
      <w:pPr>
        <w:pStyle w:val="MiscellaneousHeading"/>
      </w:pPr>
      <w:r>
        <w:rPr>
          <w:b/>
          <w:bCs/>
        </w:rPr>
        <w:t>Table</w:t>
      </w:r>
    </w:p>
    <w:tbl>
      <w:tblPr>
        <w:tblW w:w="0" w:type="auto"/>
        <w:tblInd w:w="948" w:type="dxa"/>
        <w:tblLook w:val="0000" w:firstRow="0" w:lastRow="0" w:firstColumn="0" w:lastColumn="0" w:noHBand="0" w:noVBand="0"/>
      </w:tblPr>
      <w:tblGrid>
        <w:gridCol w:w="4263"/>
        <w:gridCol w:w="1774"/>
      </w:tblGrid>
      <w:tr>
        <w:trPr>
          <w:tblHeader/>
        </w:trPr>
        <w:tc>
          <w:tcPr>
            <w:tcW w:w="4263" w:type="dxa"/>
            <w:tcBorders>
              <w:top w:val="single" w:sz="4" w:space="0" w:color="auto"/>
              <w:bottom w:val="single" w:sz="4" w:space="0" w:color="auto"/>
            </w:tcBorders>
          </w:tcPr>
          <w:p>
            <w:pPr>
              <w:pStyle w:val="Table"/>
              <w:jc w:val="center"/>
              <w:rPr>
                <w:b/>
                <w:bCs/>
              </w:rPr>
            </w:pPr>
            <w:r>
              <w:rPr>
                <w:b/>
                <w:bCs/>
              </w:rPr>
              <w:t>Column 1</w:t>
            </w:r>
            <w:r>
              <w:rPr>
                <w:b/>
                <w:bCs/>
              </w:rPr>
              <w:br/>
              <w:t>Financial year</w:t>
            </w:r>
          </w:p>
        </w:tc>
        <w:tc>
          <w:tcPr>
            <w:tcW w:w="1774" w:type="dxa"/>
            <w:tcBorders>
              <w:top w:val="single" w:sz="4" w:space="0" w:color="auto"/>
              <w:bottom w:val="single" w:sz="4" w:space="0" w:color="auto"/>
            </w:tcBorders>
          </w:tcPr>
          <w:p>
            <w:pPr>
              <w:pStyle w:val="Table"/>
              <w:jc w:val="center"/>
              <w:rPr>
                <w:b/>
                <w:bCs/>
              </w:rPr>
            </w:pPr>
            <w:r>
              <w:rPr>
                <w:b/>
                <w:bCs/>
              </w:rPr>
              <w:t>Column</w:t>
            </w:r>
            <w:r>
              <w:rPr>
                <w:b/>
                <w:bCs/>
              </w:rPr>
              <w:br/>
              <w:t>$</w:t>
            </w:r>
          </w:p>
        </w:tc>
      </w:tr>
      <w:tr>
        <w:tc>
          <w:tcPr>
            <w:tcW w:w="4263" w:type="dxa"/>
            <w:tcBorders>
              <w:top w:val="single" w:sz="4" w:space="0" w:color="auto"/>
            </w:tcBorders>
          </w:tcPr>
          <w:p>
            <w:pPr>
              <w:pStyle w:val="Table"/>
            </w:pPr>
            <w:r>
              <w:t>Beginning on 1 July 2007 and ending on 30 June 2008</w:t>
            </w:r>
          </w:p>
        </w:tc>
        <w:tc>
          <w:tcPr>
            <w:tcW w:w="1774" w:type="dxa"/>
            <w:tcBorders>
              <w:top w:val="single" w:sz="4" w:space="0" w:color="auto"/>
            </w:tcBorders>
          </w:tcPr>
          <w:p>
            <w:pPr>
              <w:pStyle w:val="Table"/>
            </w:pPr>
            <w:r>
              <w:br/>
            </w:r>
            <w:r>
              <w:tab/>
              <w:t>640 000.00</w:t>
            </w:r>
          </w:p>
        </w:tc>
      </w:tr>
      <w:tr>
        <w:tc>
          <w:tcPr>
            <w:tcW w:w="4263" w:type="dxa"/>
          </w:tcPr>
          <w:p>
            <w:pPr>
              <w:pStyle w:val="Table"/>
            </w:pPr>
            <w:r>
              <w:t>Beginning on 1 July 2008 and ending on 30 June 2009</w:t>
            </w:r>
          </w:p>
        </w:tc>
        <w:tc>
          <w:tcPr>
            <w:tcW w:w="1774" w:type="dxa"/>
          </w:tcPr>
          <w:p>
            <w:pPr>
              <w:pStyle w:val="Table"/>
            </w:pPr>
            <w:r>
              <w:br/>
            </w:r>
            <w:r>
              <w:tab/>
              <w:t>740 000.00</w:t>
            </w:r>
          </w:p>
        </w:tc>
      </w:tr>
      <w:tr>
        <w:tc>
          <w:tcPr>
            <w:tcW w:w="4263" w:type="dxa"/>
          </w:tcPr>
          <w:p>
            <w:pPr>
              <w:pStyle w:val="Table"/>
            </w:pPr>
            <w:r>
              <w:t>Beginning on 1 July 2009 and ending on 30 June 2010</w:t>
            </w:r>
          </w:p>
        </w:tc>
        <w:tc>
          <w:tcPr>
            <w:tcW w:w="1774" w:type="dxa"/>
          </w:tcPr>
          <w:p>
            <w:pPr>
              <w:pStyle w:val="Table"/>
            </w:pPr>
            <w:r>
              <w:br/>
            </w:r>
            <w:r>
              <w:tab/>
              <w:t>790 000.00</w:t>
            </w:r>
          </w:p>
        </w:tc>
      </w:tr>
      <w:tr>
        <w:tc>
          <w:tcPr>
            <w:tcW w:w="4263" w:type="dxa"/>
          </w:tcPr>
          <w:p>
            <w:pPr>
              <w:pStyle w:val="Table"/>
            </w:pPr>
            <w:r>
              <w:t>Beginning on 1 July 2010 and ending on 30 June 2011</w:t>
            </w:r>
          </w:p>
        </w:tc>
        <w:tc>
          <w:tcPr>
            <w:tcW w:w="1774" w:type="dxa"/>
          </w:tcPr>
          <w:p>
            <w:pPr>
              <w:pStyle w:val="Table"/>
            </w:pPr>
            <w:r>
              <w:br/>
            </w:r>
            <w:r>
              <w:tab/>
              <w:t>840 000.00</w:t>
            </w:r>
          </w:p>
        </w:tc>
      </w:tr>
      <w:tr>
        <w:tc>
          <w:tcPr>
            <w:tcW w:w="4263" w:type="dxa"/>
          </w:tcPr>
          <w:p>
            <w:pPr>
              <w:pStyle w:val="Table"/>
            </w:pPr>
            <w:r>
              <w:t>Beginning on 1 July 2011 and ending on 30 June 2012</w:t>
            </w:r>
          </w:p>
        </w:tc>
        <w:tc>
          <w:tcPr>
            <w:tcW w:w="1774" w:type="dxa"/>
          </w:tcPr>
          <w:p>
            <w:pPr>
              <w:pStyle w:val="Table"/>
            </w:pPr>
            <w:r>
              <w:br/>
            </w:r>
            <w:r>
              <w:tab/>
              <w:t>890 000.00</w:t>
            </w:r>
          </w:p>
        </w:tc>
      </w:tr>
      <w:tr>
        <w:tc>
          <w:tcPr>
            <w:tcW w:w="4263" w:type="dxa"/>
            <w:tcBorders>
              <w:bottom w:val="single" w:sz="4" w:space="0" w:color="auto"/>
            </w:tcBorders>
          </w:tcPr>
          <w:p>
            <w:pPr>
              <w:pStyle w:val="Table"/>
            </w:pPr>
            <w:r>
              <w:t>On and from 1 July 2012</w:t>
            </w:r>
          </w:p>
        </w:tc>
        <w:tc>
          <w:tcPr>
            <w:tcW w:w="1774" w:type="dxa"/>
            <w:tcBorders>
              <w:bottom w:val="single" w:sz="4" w:space="0" w:color="auto"/>
            </w:tcBorders>
          </w:tcPr>
          <w:p>
            <w:pPr>
              <w:pStyle w:val="Table"/>
            </w:pPr>
            <w:r>
              <w:tab/>
              <w:t>940 000.00</w:t>
            </w:r>
          </w:p>
        </w:tc>
      </w:tr>
    </w:tbl>
    <w:p>
      <w:pPr>
        <w:pStyle w:val="Footnotesection"/>
      </w:pPr>
      <w:r>
        <w:tab/>
        <w:t>[Regulation 5G inserted in Gazette 22 Jun 2004 p. 2147</w:t>
      </w:r>
      <w:r>
        <w:noBreakHyphen/>
        <w:t>50; amended in Gazette 22 Jun 2007 p. 2841</w:t>
      </w:r>
      <w:r>
        <w:noBreakHyphen/>
        <w:t xml:space="preserve">3.] </w:t>
      </w:r>
    </w:p>
    <w:p>
      <w:pPr>
        <w:pStyle w:val="Heading5"/>
        <w:rPr>
          <w:snapToGrid w:val="0"/>
        </w:rPr>
      </w:pPr>
      <w:bookmarkStart w:id="280" w:name="_Toc122232902"/>
      <w:bookmarkStart w:id="281" w:name="_Toc324153545"/>
      <w:bookmarkStart w:id="282" w:name="_Toc318383429"/>
      <w:r>
        <w:rPr>
          <w:rStyle w:val="CharSectno"/>
        </w:rPr>
        <w:t>5H</w:t>
      </w:r>
      <w:r>
        <w:rPr>
          <w:snapToGrid w:val="0"/>
        </w:rPr>
        <w:t>.</w:t>
      </w:r>
      <w:r>
        <w:rPr>
          <w:snapToGrid w:val="0"/>
        </w:rPr>
        <w:tab/>
        <w:t>Refunds</w:t>
      </w:r>
      <w:bookmarkEnd w:id="275"/>
      <w:bookmarkEnd w:id="276"/>
      <w:bookmarkEnd w:id="277"/>
      <w:bookmarkEnd w:id="278"/>
      <w:bookmarkEnd w:id="279"/>
      <w:bookmarkEnd w:id="280"/>
      <w:bookmarkEnd w:id="281"/>
      <w:bookmarkEnd w:id="282"/>
      <w:r>
        <w:rPr>
          <w:snapToGrid w:val="0"/>
        </w:rPr>
        <w:t xml:space="preserve"> </w:t>
      </w:r>
    </w:p>
    <w:p>
      <w:pPr>
        <w:pStyle w:val="Subsection"/>
        <w:rPr>
          <w:snapToGrid w:val="0"/>
        </w:rPr>
      </w:pPr>
      <w:r>
        <w:rPr>
          <w:snapToGrid w:val="0"/>
        </w:rPr>
        <w:tab/>
        <w:t>(1)</w:t>
      </w:r>
      <w:r>
        <w:rPr>
          <w:snapToGrid w:val="0"/>
        </w:rPr>
        <w:tab/>
        <w:t>If an application for a licence is refused, the Chief Executive Officer is to — </w:t>
      </w:r>
    </w:p>
    <w:p>
      <w:pPr>
        <w:pStyle w:val="Indenta"/>
        <w:rPr>
          <w:snapToGrid w:val="0"/>
        </w:rPr>
      </w:pPr>
      <w:r>
        <w:rPr>
          <w:snapToGrid w:val="0"/>
        </w:rPr>
        <w:tab/>
        <w:t>(a)</w:t>
      </w:r>
      <w:r>
        <w:rPr>
          <w:snapToGrid w:val="0"/>
        </w:rPr>
        <w:tab/>
        <w:t>deduct from the fee which accompanied the application such amount as the Chief Executive Officer considers reasonable to meet the administrative costs associated with determining the application; and</w:t>
      </w:r>
    </w:p>
    <w:p>
      <w:pPr>
        <w:pStyle w:val="Indenta"/>
        <w:rPr>
          <w:snapToGrid w:val="0"/>
        </w:rPr>
      </w:pPr>
      <w:r>
        <w:rPr>
          <w:snapToGrid w:val="0"/>
        </w:rPr>
        <w:tab/>
        <w:t>(b)</w:t>
      </w:r>
      <w:r>
        <w:rPr>
          <w:snapToGrid w:val="0"/>
        </w:rPr>
        <w:tab/>
        <w:t>refund the balance of the fee to the applicant.</w:t>
      </w:r>
    </w:p>
    <w:p>
      <w:pPr>
        <w:pStyle w:val="Subsection"/>
        <w:rPr>
          <w:snapToGrid w:val="0"/>
        </w:rPr>
      </w:pPr>
      <w:r>
        <w:rPr>
          <w:snapToGrid w:val="0"/>
        </w:rPr>
        <w:tab/>
        <w:t>(2)</w:t>
      </w:r>
      <w:r>
        <w:rPr>
          <w:snapToGrid w:val="0"/>
        </w:rPr>
        <w:tab/>
        <w:t>If — </w:t>
      </w:r>
    </w:p>
    <w:p>
      <w:pPr>
        <w:pStyle w:val="Indenta"/>
        <w:rPr>
          <w:snapToGrid w:val="0"/>
        </w:rPr>
      </w:pPr>
      <w:r>
        <w:rPr>
          <w:snapToGrid w:val="0"/>
        </w:rPr>
        <w:tab/>
        <w:t>(a)</w:t>
      </w:r>
      <w:r>
        <w:rPr>
          <w:snapToGrid w:val="0"/>
        </w:rPr>
        <w:tab/>
        <w:t xml:space="preserve">a fee paid in respect of a licence comprised an amount determined under regulation 5E(2) or (3); </w:t>
      </w:r>
    </w:p>
    <w:p>
      <w:pPr>
        <w:pStyle w:val="Indenta"/>
      </w:pPr>
      <w:r>
        <w:rPr>
          <w:snapToGrid w:val="0"/>
        </w:rPr>
        <w:tab/>
        <w:t>(b)</w:t>
      </w:r>
      <w:r>
        <w:rPr>
          <w:snapToGrid w:val="0"/>
        </w:rPr>
        <w:tab/>
        <w:t>the Chief Executive Officer is satisfied that the quantity of waste discharged from the premises during the term of the licence (</w:t>
      </w:r>
      <w:r>
        <w:rPr>
          <w:rStyle w:val="CharDefText"/>
        </w:rPr>
        <w:t>the actual discharge</w:t>
      </w:r>
      <w:r>
        <w:rPr>
          <w:snapToGrid w:val="0"/>
        </w:rPr>
        <w:t>) is less than the quantity used as the basis for determining that amount</w:t>
      </w:r>
      <w:r>
        <w:t>; and</w:t>
      </w:r>
    </w:p>
    <w:p>
      <w:pPr>
        <w:pStyle w:val="Indenta"/>
      </w:pPr>
      <w:r>
        <w:tab/>
        <w:t>(c)</w:t>
      </w:r>
      <w:r>
        <w:tab/>
        <w:t>an application for a refund is made in writing in a form approved by the Chief Executive Officer by the person who is the licensee at the end of the term of the licence —</w:t>
      </w:r>
    </w:p>
    <w:p>
      <w:pPr>
        <w:pStyle w:val="Indenti"/>
      </w:pPr>
      <w:r>
        <w:tab/>
        <w:t>(i)</w:t>
      </w:r>
      <w:r>
        <w:tab/>
        <w:t>on an application for another licence in respect of the same premises made within 3 months of the end of the term of the expired licence; or</w:t>
      </w:r>
    </w:p>
    <w:p>
      <w:pPr>
        <w:pStyle w:val="Indenti"/>
      </w:pPr>
      <w:r>
        <w:tab/>
        <w:t>(ii)</w:t>
      </w:r>
      <w:r>
        <w:tab/>
        <w:t>within 3 months of the end of the term of the licence,</w:t>
      </w:r>
    </w:p>
    <w:p>
      <w:pPr>
        <w:pStyle w:val="Subsection"/>
        <w:rPr>
          <w:snapToGrid w:val="0"/>
        </w:rPr>
      </w:pPr>
      <w:r>
        <w:rPr>
          <w:snapToGrid w:val="0"/>
        </w:rPr>
        <w:tab/>
      </w:r>
      <w:r>
        <w:rPr>
          <w:snapToGrid w:val="0"/>
        </w:rPr>
        <w:tab/>
        <w:t xml:space="preserve">the Chief Executive Officer is to refund to the licensee the difference between the fee that would have been payable if the amount under </w:t>
      </w:r>
      <w:r>
        <w:t>regulation 5E</w:t>
      </w:r>
      <w:r>
        <w:rPr>
          <w:snapToGrid w:val="0"/>
        </w:rPr>
        <w:t xml:space="preserve"> had been determined on the basis of the actual discharge and the fee paid.</w:t>
      </w:r>
    </w:p>
    <w:p>
      <w:pPr>
        <w:pStyle w:val="Subsection"/>
        <w:keepNext/>
        <w:rPr>
          <w:snapToGrid w:val="0"/>
        </w:rPr>
      </w:pPr>
      <w:r>
        <w:rPr>
          <w:snapToGrid w:val="0"/>
        </w:rPr>
        <w:tab/>
        <w:t>(3)</w:t>
      </w:r>
      <w:r>
        <w:rPr>
          <w:snapToGrid w:val="0"/>
        </w:rPr>
        <w:tab/>
        <w:t>If — </w:t>
      </w:r>
    </w:p>
    <w:p>
      <w:pPr>
        <w:pStyle w:val="Indenta"/>
        <w:rPr>
          <w:snapToGrid w:val="0"/>
        </w:rPr>
      </w:pPr>
      <w:r>
        <w:rPr>
          <w:snapToGrid w:val="0"/>
        </w:rPr>
        <w:tab/>
        <w:t>(a)</w:t>
      </w:r>
      <w:r>
        <w:rPr>
          <w:snapToGrid w:val="0"/>
        </w:rPr>
        <w:tab/>
        <w:t>a fee paid in respect of a licence comprised an amount under regulation 5D(1)(b) or (c); and</w:t>
      </w:r>
    </w:p>
    <w:p>
      <w:pPr>
        <w:pStyle w:val="Indenta"/>
        <w:rPr>
          <w:snapToGrid w:val="0"/>
        </w:rPr>
      </w:pPr>
      <w:r>
        <w:rPr>
          <w:snapToGrid w:val="0"/>
        </w:rPr>
        <w:tab/>
        <w:t>(b)</w:t>
      </w:r>
      <w:r>
        <w:rPr>
          <w:snapToGrid w:val="0"/>
        </w:rPr>
        <w:tab/>
        <w:t>the Chief Executive Officer determines during the term of that licence that the environmental performance and management of the premises to which the licence relates conform to best practice criteria,</w:t>
      </w:r>
    </w:p>
    <w:p>
      <w:pPr>
        <w:pStyle w:val="Subsection"/>
        <w:rPr>
          <w:snapToGrid w:val="0"/>
        </w:rPr>
      </w:pPr>
      <w:r>
        <w:rPr>
          <w:snapToGrid w:val="0"/>
        </w:rPr>
        <w:tab/>
      </w:r>
      <w:r>
        <w:rPr>
          <w:snapToGrid w:val="0"/>
        </w:rPr>
        <w:tab/>
        <w:t>the Chief Executive Officer is to refund to the licensee an amount which bears the same proportion to the amount referred to in paragraph (a) as the unexpired portion of the term of licence (calculated from the day of the determination referred to in paragraph (b)) bears to the term of the licence.</w:t>
      </w:r>
    </w:p>
    <w:p>
      <w:pPr>
        <w:pStyle w:val="Footnotesection"/>
      </w:pPr>
      <w:r>
        <w:tab/>
        <w:t>[Regulation 5H inserted in Gazette 13 Sep 1996 p. 4549; amended in Gazette 12 Sep 1997 p. 5150; 15 Aug 2000 p. 4713</w:t>
      </w:r>
      <w:r>
        <w:noBreakHyphen/>
        <w:t xml:space="preserve">14; 22 Jun 2004 p. 2150.] </w:t>
      </w:r>
    </w:p>
    <w:p>
      <w:pPr>
        <w:pStyle w:val="Heading5"/>
        <w:rPr>
          <w:snapToGrid w:val="0"/>
        </w:rPr>
      </w:pPr>
      <w:bookmarkStart w:id="283" w:name="_Toc448822571"/>
      <w:bookmarkStart w:id="284" w:name="_Toc448822697"/>
      <w:bookmarkStart w:id="285" w:name="_Toc503260568"/>
      <w:bookmarkStart w:id="286" w:name="_Toc12076671"/>
      <w:bookmarkStart w:id="287" w:name="_Toc12952187"/>
      <w:bookmarkStart w:id="288" w:name="_Toc122232903"/>
      <w:bookmarkStart w:id="289" w:name="_Toc324153546"/>
      <w:bookmarkStart w:id="290" w:name="_Toc318383430"/>
      <w:r>
        <w:rPr>
          <w:rStyle w:val="CharSectno"/>
        </w:rPr>
        <w:t>5I</w:t>
      </w:r>
      <w:r>
        <w:rPr>
          <w:snapToGrid w:val="0"/>
        </w:rPr>
        <w:t>.</w:t>
      </w:r>
      <w:r>
        <w:rPr>
          <w:snapToGrid w:val="0"/>
        </w:rPr>
        <w:tab/>
        <w:t>Certain matters to be determined by Chief Executive Officer</w:t>
      </w:r>
      <w:bookmarkEnd w:id="283"/>
      <w:bookmarkEnd w:id="284"/>
      <w:bookmarkEnd w:id="285"/>
      <w:bookmarkEnd w:id="286"/>
      <w:bookmarkEnd w:id="287"/>
      <w:bookmarkEnd w:id="288"/>
      <w:bookmarkEnd w:id="289"/>
      <w:bookmarkEnd w:id="290"/>
      <w:r>
        <w:rPr>
          <w:snapToGrid w:val="0"/>
        </w:rPr>
        <w:t xml:space="preserve"> </w:t>
      </w:r>
    </w:p>
    <w:p>
      <w:pPr>
        <w:pStyle w:val="Subsection"/>
        <w:rPr>
          <w:snapToGrid w:val="0"/>
        </w:rPr>
      </w:pPr>
      <w:r>
        <w:rPr>
          <w:snapToGrid w:val="0"/>
        </w:rPr>
        <w:tab/>
      </w:r>
      <w:r>
        <w:rPr>
          <w:snapToGrid w:val="0"/>
        </w:rPr>
        <w:tab/>
        <w:t>For the purposes of determining the amount of a fee under this Part, any question relating to the cost of works, the production or design capacity of premises, or the kind or quantity of waste discharged or to be discharged from premises is to be determined by the Chief Executive Officer.</w:t>
      </w:r>
    </w:p>
    <w:p>
      <w:pPr>
        <w:pStyle w:val="Footnotesection"/>
      </w:pPr>
      <w:r>
        <w:tab/>
        <w:t xml:space="preserve">[Regulation 5I inserted in Gazette 13 Sep 1996 p. 4549.] </w:t>
      </w:r>
    </w:p>
    <w:p>
      <w:pPr>
        <w:pStyle w:val="Heading5"/>
        <w:rPr>
          <w:snapToGrid w:val="0"/>
        </w:rPr>
      </w:pPr>
      <w:bookmarkStart w:id="291" w:name="_Toc448822572"/>
      <w:bookmarkStart w:id="292" w:name="_Toc448822698"/>
      <w:bookmarkStart w:id="293" w:name="_Toc503260569"/>
      <w:bookmarkStart w:id="294" w:name="_Toc12076672"/>
      <w:bookmarkStart w:id="295" w:name="_Toc12952188"/>
      <w:bookmarkStart w:id="296" w:name="_Toc122232904"/>
      <w:bookmarkStart w:id="297" w:name="_Toc324153547"/>
      <w:bookmarkStart w:id="298" w:name="_Toc318383431"/>
      <w:r>
        <w:rPr>
          <w:rStyle w:val="CharSectno"/>
        </w:rPr>
        <w:t>5IA</w:t>
      </w:r>
      <w:r>
        <w:rPr>
          <w:snapToGrid w:val="0"/>
        </w:rPr>
        <w:t>.</w:t>
      </w:r>
      <w:r>
        <w:rPr>
          <w:snapToGrid w:val="0"/>
        </w:rPr>
        <w:tab/>
        <w:t xml:space="preserve">Best practice criteria as condition of </w:t>
      </w:r>
      <w:bookmarkEnd w:id="291"/>
      <w:bookmarkEnd w:id="292"/>
      <w:bookmarkEnd w:id="293"/>
      <w:r>
        <w:rPr>
          <w:snapToGrid w:val="0"/>
        </w:rPr>
        <w:t>licence</w:t>
      </w:r>
      <w:bookmarkEnd w:id="294"/>
      <w:bookmarkEnd w:id="295"/>
      <w:bookmarkEnd w:id="296"/>
      <w:bookmarkEnd w:id="297"/>
      <w:bookmarkEnd w:id="298"/>
      <w:r>
        <w:rPr>
          <w:snapToGrid w:val="0"/>
        </w:rPr>
        <w:t xml:space="preserve"> </w:t>
      </w:r>
    </w:p>
    <w:p>
      <w:pPr>
        <w:pStyle w:val="Subsection"/>
        <w:rPr>
          <w:snapToGrid w:val="0"/>
        </w:rPr>
      </w:pPr>
      <w:r>
        <w:rPr>
          <w:snapToGrid w:val="0"/>
        </w:rPr>
        <w:tab/>
      </w:r>
      <w:r>
        <w:rPr>
          <w:snapToGrid w:val="0"/>
        </w:rPr>
        <w:tab/>
        <w:t>For the purposes of section 62(1)(h) of the Act the Chief Executive Officer may specify as a condition of a licence that the licensee is to comply with best practice criteria in relation to the environmental performance and management of the premises to which the licence relates.</w:t>
      </w:r>
    </w:p>
    <w:p>
      <w:pPr>
        <w:pStyle w:val="Footnotesection"/>
      </w:pPr>
      <w:r>
        <w:tab/>
        <w:t xml:space="preserve">[Regulation 5IA inserted in Gazette 12 Sep 1997 p. 5151.] </w:t>
      </w:r>
    </w:p>
    <w:p>
      <w:pPr>
        <w:pStyle w:val="Heading5"/>
      </w:pPr>
      <w:bookmarkStart w:id="299" w:name="_Toc122232905"/>
      <w:bookmarkStart w:id="300" w:name="_Toc324153548"/>
      <w:bookmarkStart w:id="301" w:name="_Toc318383432"/>
      <w:bookmarkStart w:id="302" w:name="_Toc448822574"/>
      <w:bookmarkStart w:id="303" w:name="_Toc448822700"/>
      <w:bookmarkStart w:id="304" w:name="_Toc503260570"/>
      <w:bookmarkStart w:id="305" w:name="_Toc12076673"/>
      <w:bookmarkStart w:id="306" w:name="_Toc12952189"/>
      <w:r>
        <w:rPr>
          <w:rStyle w:val="CharSectno"/>
        </w:rPr>
        <w:t>5J</w:t>
      </w:r>
      <w:r>
        <w:t>.</w:t>
      </w:r>
      <w:r>
        <w:tab/>
        <w:t>Advertising applications for licences</w:t>
      </w:r>
      <w:bookmarkEnd w:id="299"/>
      <w:bookmarkEnd w:id="300"/>
      <w:bookmarkEnd w:id="301"/>
    </w:p>
    <w:p>
      <w:pPr>
        <w:pStyle w:val="Subsection"/>
      </w:pPr>
      <w:r>
        <w:tab/>
        <w:t>(1)</w:t>
      </w:r>
      <w:r>
        <w:tab/>
        <w:t>For the purposes of section 57(2a) of the Act, the CEO is to advertise the application for a licence in an advertisement published in a newspaper circulated daily in the State.</w:t>
      </w:r>
    </w:p>
    <w:p>
      <w:pPr>
        <w:pStyle w:val="Subsection"/>
      </w:pPr>
      <w:r>
        <w:tab/>
        <w:t>(2)</w:t>
      </w:r>
      <w:r>
        <w:tab/>
        <w:t xml:space="preserve">The advertisement is to include — </w:t>
      </w:r>
    </w:p>
    <w:p>
      <w:pPr>
        <w:pStyle w:val="Indenta"/>
      </w:pPr>
      <w:r>
        <w:tab/>
        <w:t>(a)</w:t>
      </w:r>
      <w:r>
        <w:tab/>
        <w:t>a statement indicating submissions about the application may be sent to the Department of Environment at the address and within the time period specified in the advertisement; and</w:t>
      </w:r>
    </w:p>
    <w:p>
      <w:pPr>
        <w:pStyle w:val="Indenta"/>
      </w:pPr>
      <w:r>
        <w:tab/>
        <w:t>(b)</w:t>
      </w:r>
      <w:r>
        <w:tab/>
        <w:t xml:space="preserve">the following particulars — </w:t>
      </w:r>
    </w:p>
    <w:p>
      <w:pPr>
        <w:pStyle w:val="Indenti"/>
      </w:pPr>
      <w:r>
        <w:tab/>
        <w:t>(i)</w:t>
      </w:r>
      <w:r>
        <w:tab/>
        <w:t>the category of prescribed premises under Schedule 1 that describes the main function of the premises to which the application relates;</w:t>
      </w:r>
    </w:p>
    <w:p>
      <w:pPr>
        <w:pStyle w:val="Indenti"/>
      </w:pPr>
      <w:r>
        <w:tab/>
        <w:t>(ii)</w:t>
      </w:r>
      <w:r>
        <w:tab/>
        <w:t xml:space="preserve">the name of the applicant; </w:t>
      </w:r>
    </w:p>
    <w:p>
      <w:pPr>
        <w:pStyle w:val="Indenti"/>
        <w:keepNext/>
        <w:keepLines/>
      </w:pPr>
      <w:r>
        <w:tab/>
        <w:t>(iii)</w:t>
      </w:r>
      <w:r>
        <w:tab/>
        <w:t>the locality of the premises to which the application relates;</w:t>
      </w:r>
    </w:p>
    <w:p>
      <w:pPr>
        <w:pStyle w:val="Indenti"/>
        <w:keepNext/>
        <w:keepLines/>
      </w:pPr>
      <w:r>
        <w:tab/>
        <w:t>(iv)</w:t>
      </w:r>
      <w:r>
        <w:tab/>
        <w:t>the reference number for the application.</w:t>
      </w:r>
    </w:p>
    <w:p>
      <w:pPr>
        <w:pStyle w:val="Footnotesection"/>
      </w:pPr>
      <w:r>
        <w:tab/>
        <w:t>[Regulation 5J inserted in Gazette 23 Nov 2004 p. 5223.]</w:t>
      </w:r>
    </w:p>
    <w:p>
      <w:pPr>
        <w:pStyle w:val="Heading5"/>
      </w:pPr>
      <w:bookmarkStart w:id="307" w:name="_Toc122232906"/>
      <w:bookmarkStart w:id="308" w:name="_Toc324153549"/>
      <w:bookmarkStart w:id="309" w:name="_Toc318383433"/>
      <w:r>
        <w:rPr>
          <w:rStyle w:val="CharSectno"/>
        </w:rPr>
        <w:t>5K</w:t>
      </w:r>
      <w:r>
        <w:t>.</w:t>
      </w:r>
      <w:r>
        <w:tab/>
        <w:t>Prescribed details of discharge of waste</w:t>
      </w:r>
      <w:bookmarkEnd w:id="302"/>
      <w:bookmarkEnd w:id="303"/>
      <w:bookmarkEnd w:id="304"/>
      <w:bookmarkEnd w:id="305"/>
      <w:bookmarkEnd w:id="306"/>
      <w:bookmarkEnd w:id="307"/>
      <w:bookmarkEnd w:id="308"/>
      <w:bookmarkEnd w:id="309"/>
    </w:p>
    <w:p>
      <w:pPr>
        <w:pStyle w:val="Subsection"/>
        <w:keepNext/>
        <w:keepLines/>
      </w:pPr>
      <w:r>
        <w:tab/>
      </w:r>
      <w:r>
        <w:tab/>
        <w:t>For the purposes of section 72(1) of the Act the prescribed details of a discharge of waste are —</w:t>
      </w:r>
    </w:p>
    <w:p>
      <w:pPr>
        <w:pStyle w:val="Indenta"/>
        <w:keepNext/>
        <w:keepLines/>
      </w:pPr>
      <w:r>
        <w:tab/>
        <w:t>(a)</w:t>
      </w:r>
      <w:r>
        <w:tab/>
        <w:t>the time and the address of the premises on or from which the discharge occurred and a map of the premises showing the location of the discharge;</w:t>
      </w:r>
    </w:p>
    <w:p>
      <w:pPr>
        <w:pStyle w:val="Indenta"/>
      </w:pPr>
      <w:r>
        <w:tab/>
        <w:t>(b)</w:t>
      </w:r>
      <w:r>
        <w:tab/>
        <w:t>if the discharge of the waste was a result of the operation of equipment or otherwise, the name of the person operating the equipment or otherwise responsible for the discharge of the waste;</w:t>
      </w:r>
    </w:p>
    <w:p>
      <w:pPr>
        <w:pStyle w:val="Indenta"/>
      </w:pPr>
      <w:r>
        <w:tab/>
        <w:t>(c)</w:t>
      </w:r>
      <w:r>
        <w:tab/>
        <w:t>the composition of the waste;</w:t>
      </w:r>
    </w:p>
    <w:p>
      <w:pPr>
        <w:pStyle w:val="Indenta"/>
      </w:pPr>
      <w:r>
        <w:tab/>
        <w:t>(d)</w:t>
      </w:r>
      <w:r>
        <w:tab/>
        <w:t>the quantity of the waste discharged;</w:t>
      </w:r>
    </w:p>
    <w:p>
      <w:pPr>
        <w:pStyle w:val="Indenta"/>
      </w:pPr>
      <w:r>
        <w:tab/>
        <w:t>(e)</w:t>
      </w:r>
      <w:r>
        <w:tab/>
        <w:t>whether or not the discharge caused pollution and, if so, the nature and extent of the pollution;</w:t>
      </w:r>
    </w:p>
    <w:p>
      <w:pPr>
        <w:pStyle w:val="Indenta"/>
      </w:pPr>
      <w:r>
        <w:tab/>
        <w:t>(f)</w:t>
      </w:r>
      <w:r>
        <w:tab/>
        <w:t>the action taken by the occupier of the premises to minimize the effect on the environment of the discharge of waste; and</w:t>
      </w:r>
    </w:p>
    <w:p>
      <w:pPr>
        <w:pStyle w:val="Indenta"/>
      </w:pPr>
      <w:r>
        <w:tab/>
        <w:t>(g)</w:t>
      </w:r>
      <w:r>
        <w:tab/>
        <w:t>whether or not the waste involved in the discharge has been removed, dispersed, destroyed, disposed of or otherwise dealt with, and if so, the manner in which the waste was removed, dispersed, destroyed, disposed of or otherwise dealt with.</w:t>
      </w:r>
    </w:p>
    <w:p>
      <w:pPr>
        <w:pStyle w:val="Footnotesection"/>
      </w:pPr>
      <w:r>
        <w:tab/>
        <w:t>[Regulation 5K inserted in Gazette 11 Dec 1998 p. 6599.]</w:t>
      </w:r>
    </w:p>
    <w:p>
      <w:pPr>
        <w:pStyle w:val="Heading5"/>
      </w:pPr>
      <w:bookmarkStart w:id="310" w:name="_Toc448822575"/>
      <w:bookmarkStart w:id="311" w:name="_Toc448822701"/>
      <w:bookmarkStart w:id="312" w:name="_Toc503260571"/>
      <w:bookmarkStart w:id="313" w:name="_Toc12076674"/>
      <w:bookmarkStart w:id="314" w:name="_Toc12952190"/>
      <w:bookmarkStart w:id="315" w:name="_Toc122232907"/>
      <w:bookmarkStart w:id="316" w:name="_Toc324153550"/>
      <w:bookmarkStart w:id="317" w:name="_Toc318383434"/>
      <w:r>
        <w:rPr>
          <w:rStyle w:val="CharSectno"/>
        </w:rPr>
        <w:t>5L</w:t>
      </w:r>
      <w:r>
        <w:t>.</w:t>
      </w:r>
      <w:r>
        <w:tab/>
        <w:t>Notification of details of discharge of waste</w:t>
      </w:r>
      <w:bookmarkEnd w:id="310"/>
      <w:bookmarkEnd w:id="311"/>
      <w:bookmarkEnd w:id="312"/>
      <w:bookmarkEnd w:id="313"/>
      <w:bookmarkEnd w:id="314"/>
      <w:bookmarkEnd w:id="315"/>
      <w:bookmarkEnd w:id="316"/>
      <w:bookmarkEnd w:id="317"/>
    </w:p>
    <w:p>
      <w:pPr>
        <w:pStyle w:val="Subsection"/>
      </w:pPr>
      <w:r>
        <w:tab/>
        <w:t>(1)</w:t>
      </w:r>
      <w:r>
        <w:tab/>
        <w:t>A notification to the Chief Executive Officer under section 72 of the Act may be given by telephone or facsimile.</w:t>
      </w:r>
    </w:p>
    <w:p>
      <w:pPr>
        <w:pStyle w:val="Subsection"/>
      </w:pPr>
      <w:r>
        <w:tab/>
        <w:t>(2)</w:t>
      </w:r>
      <w:r>
        <w:tab/>
        <w:t>If the notification is given by telephone, notification in writing must be given to the Chief Executive Officer as soon as practicable after the telephone notification.</w:t>
      </w:r>
    </w:p>
    <w:p>
      <w:pPr>
        <w:pStyle w:val="Footnotesection"/>
      </w:pPr>
      <w:r>
        <w:tab/>
        <w:t>[Regulation 5L inserted in Gazette 11 Dec 1998 p. 6600.]</w:t>
      </w:r>
    </w:p>
    <w:p>
      <w:pPr>
        <w:pStyle w:val="Heading5"/>
      </w:pPr>
      <w:bookmarkStart w:id="318" w:name="_Toc503260572"/>
      <w:bookmarkStart w:id="319" w:name="_Toc12076675"/>
      <w:bookmarkStart w:id="320" w:name="_Toc12952191"/>
      <w:bookmarkStart w:id="321" w:name="_Toc122232908"/>
      <w:bookmarkStart w:id="322" w:name="_Toc324153551"/>
      <w:bookmarkStart w:id="323" w:name="_Toc318383435"/>
      <w:r>
        <w:rPr>
          <w:rStyle w:val="CharSectno"/>
        </w:rPr>
        <w:t>5M</w:t>
      </w:r>
      <w:r>
        <w:t>.</w:t>
      </w:r>
      <w:r>
        <w:tab/>
        <w:t xml:space="preserve">Notification of changes in information provided for registration or the grant of a works approval or a </w:t>
      </w:r>
      <w:bookmarkEnd w:id="318"/>
      <w:r>
        <w:t>licence</w:t>
      </w:r>
      <w:bookmarkEnd w:id="319"/>
      <w:bookmarkEnd w:id="320"/>
      <w:bookmarkEnd w:id="321"/>
      <w:bookmarkEnd w:id="322"/>
      <w:bookmarkEnd w:id="323"/>
    </w:p>
    <w:p>
      <w:pPr>
        <w:pStyle w:val="Subsection"/>
      </w:pPr>
      <w:r>
        <w:tab/>
        <w:t>(1)</w:t>
      </w:r>
      <w:r>
        <w:tab/>
        <w:t>If the occupier of premises registered under regulation 5B becomes aware —</w:t>
      </w:r>
    </w:p>
    <w:p>
      <w:pPr>
        <w:pStyle w:val="Indenta"/>
      </w:pPr>
      <w:r>
        <w:tab/>
        <w:t>(a)</w:t>
      </w:r>
      <w:r>
        <w:tab/>
        <w:t>of a change in a material particular in the information provided in the application for the registration; or</w:t>
      </w:r>
    </w:p>
    <w:p>
      <w:pPr>
        <w:pStyle w:val="Indenta"/>
      </w:pPr>
      <w:r>
        <w:tab/>
        <w:t>(b)</w:t>
      </w:r>
      <w:r>
        <w:tab/>
        <w:t>that the operation of the registered premises has changed in a material manner after the registration was granted,</w:t>
      </w:r>
    </w:p>
    <w:p>
      <w:pPr>
        <w:pStyle w:val="Subsection"/>
      </w:pPr>
      <w:r>
        <w:tab/>
      </w:r>
      <w:r>
        <w:tab/>
        <w:t>the occupier must promptly notify the Department of the change in a form approved by the Chief Executive Officer.</w:t>
      </w:r>
    </w:p>
    <w:p>
      <w:pPr>
        <w:pStyle w:val="Subsection"/>
      </w:pPr>
      <w:r>
        <w:tab/>
        <w:t>(2)</w:t>
      </w:r>
      <w:r>
        <w:tab/>
        <w:t>If a person to whom a works approval has been granted under section 54 of the Act becomes aware of a change in a material particular in the information provided to the Department in the application for the works approval, or in the course of the processing of the application for the works approval, then the occupier must promptly notify the Department of the change in a form approved by the Chief Executive Officer.</w:t>
      </w:r>
    </w:p>
    <w:p>
      <w:pPr>
        <w:pStyle w:val="Subsection"/>
      </w:pPr>
      <w:r>
        <w:tab/>
        <w:t>(3)</w:t>
      </w:r>
      <w:r>
        <w:tab/>
        <w:t>If a person to whom a licence has been granted under section 57 of the Act becomes aware of a change in a material particular in the information provided to the Department in the application for the licence, or in the course of the processing of the application for the licence, then the occupier must promptly notify the Department of the change in a form approved by the Chief Executive Officer.</w:t>
      </w:r>
    </w:p>
    <w:p>
      <w:pPr>
        <w:pStyle w:val="Subsection"/>
      </w:pPr>
      <w:r>
        <w:tab/>
        <w:t>(4)</w:t>
      </w:r>
      <w:r>
        <w:tab/>
        <w:t>A person who contravenes subregulation (1), (2), or (3) commits an offence.</w:t>
      </w:r>
    </w:p>
    <w:p>
      <w:pPr>
        <w:pStyle w:val="Penstart"/>
      </w:pPr>
      <w:r>
        <w:tab/>
        <w:t>Penalty: $5 000.</w:t>
      </w:r>
    </w:p>
    <w:p>
      <w:pPr>
        <w:pStyle w:val="Footnotesection"/>
      </w:pPr>
      <w:r>
        <w:tab/>
        <w:t>[Regulation 5M inserted in Gazette 15 Aug 2000 p. 4714</w:t>
      </w:r>
      <w:r>
        <w:noBreakHyphen/>
        <w:t>15.]</w:t>
      </w:r>
    </w:p>
    <w:p>
      <w:pPr>
        <w:pStyle w:val="Heading5"/>
      </w:pPr>
      <w:bookmarkStart w:id="324" w:name="_Toc503260573"/>
      <w:bookmarkStart w:id="325" w:name="_Toc12076676"/>
      <w:bookmarkStart w:id="326" w:name="_Toc12952192"/>
      <w:bookmarkStart w:id="327" w:name="_Toc122232909"/>
      <w:bookmarkStart w:id="328" w:name="_Toc324153552"/>
      <w:bookmarkStart w:id="329" w:name="_Toc318383436"/>
      <w:r>
        <w:rPr>
          <w:rStyle w:val="CharSectno"/>
        </w:rPr>
        <w:t>5N</w:t>
      </w:r>
      <w:r>
        <w:t>.</w:t>
      </w:r>
      <w:r>
        <w:tab/>
        <w:t>Transitional provision (reduced fees)</w:t>
      </w:r>
      <w:bookmarkEnd w:id="324"/>
      <w:bookmarkEnd w:id="325"/>
      <w:bookmarkEnd w:id="326"/>
      <w:bookmarkEnd w:id="327"/>
      <w:bookmarkEnd w:id="328"/>
      <w:bookmarkEnd w:id="329"/>
    </w:p>
    <w:p>
      <w:pPr>
        <w:pStyle w:val="Subsection"/>
      </w:pPr>
      <w:r>
        <w:tab/>
      </w:r>
      <w:r>
        <w:tab/>
        <w:t>If a fee prescribed under this Part is paid by a person (</w:t>
      </w:r>
      <w:r>
        <w:rPr>
          <w:rStyle w:val="CharDefText"/>
        </w:rPr>
        <w:t>the payer</w:t>
      </w:r>
      <w:r>
        <w:t xml:space="preserve">) on or after 1 October 1998 but before the </w:t>
      </w:r>
      <w:r>
        <w:rPr>
          <w:i/>
        </w:rPr>
        <w:t>Environmental Protection Amendment Regulations (No. 3) 2000</w:t>
      </w:r>
      <w:r>
        <w:t xml:space="preserve"> come into force </w:t>
      </w:r>
      <w:r>
        <w:rPr>
          <w:vertAlign w:val="superscript"/>
        </w:rPr>
        <w:t>1</w:t>
      </w:r>
      <w:r>
        <w:t>, the Chief Executive Officer may refund to the payer the portion of the fee that exceeds the fee payable under this Part had those regulations come into force on 1 October 1998.</w:t>
      </w:r>
    </w:p>
    <w:p>
      <w:pPr>
        <w:pStyle w:val="Footnotesection"/>
      </w:pPr>
      <w:r>
        <w:tab/>
        <w:t>[Regulation 5N inserted in Gazette 15 Aug 2000 p. 4715.]</w:t>
      </w:r>
    </w:p>
    <w:p>
      <w:pPr>
        <w:pStyle w:val="Heading5"/>
      </w:pPr>
      <w:bookmarkStart w:id="330" w:name="_Toc503260574"/>
      <w:bookmarkStart w:id="331" w:name="_Toc12076677"/>
      <w:bookmarkStart w:id="332" w:name="_Toc12952193"/>
      <w:bookmarkStart w:id="333" w:name="_Toc122232910"/>
      <w:bookmarkStart w:id="334" w:name="_Toc324153553"/>
      <w:bookmarkStart w:id="335" w:name="_Toc318383437"/>
      <w:r>
        <w:rPr>
          <w:rStyle w:val="CharSectno"/>
        </w:rPr>
        <w:t>5O</w:t>
      </w:r>
      <w:r>
        <w:t>.</w:t>
      </w:r>
      <w:r>
        <w:tab/>
        <w:t>Reduction, waiver, or refund of fees</w:t>
      </w:r>
      <w:bookmarkEnd w:id="330"/>
      <w:bookmarkEnd w:id="331"/>
      <w:bookmarkEnd w:id="332"/>
      <w:bookmarkEnd w:id="333"/>
      <w:bookmarkEnd w:id="334"/>
      <w:bookmarkEnd w:id="335"/>
    </w:p>
    <w:p>
      <w:pPr>
        <w:pStyle w:val="Subsection"/>
      </w:pPr>
      <w:r>
        <w:tab/>
      </w:r>
      <w:r>
        <w:tab/>
        <w:t>The Chief Executive Officer may reduce, waive, or refund, in whole or part, any fee referred to in these regulations relating to a works approval, licence, or registration.</w:t>
      </w:r>
    </w:p>
    <w:p>
      <w:pPr>
        <w:pStyle w:val="Footnotesection"/>
      </w:pPr>
      <w:r>
        <w:tab/>
        <w:t>[Regulation 5O inserted in Gazette 15 Aug 2000 p. 4715.]</w:t>
      </w:r>
    </w:p>
    <w:p>
      <w:pPr>
        <w:pStyle w:val="Heading2"/>
      </w:pPr>
      <w:bookmarkStart w:id="336" w:name="_Toc75588377"/>
      <w:bookmarkStart w:id="337" w:name="_Toc76894924"/>
      <w:bookmarkStart w:id="338" w:name="_Toc85279809"/>
      <w:bookmarkStart w:id="339" w:name="_Toc88903671"/>
      <w:bookmarkStart w:id="340" w:name="_Toc88962260"/>
      <w:bookmarkStart w:id="341" w:name="_Toc94320183"/>
      <w:bookmarkStart w:id="342" w:name="_Toc94331019"/>
      <w:bookmarkStart w:id="343" w:name="_Toc94331131"/>
      <w:bookmarkStart w:id="344" w:name="_Toc94428615"/>
      <w:bookmarkStart w:id="345" w:name="_Toc97455594"/>
      <w:bookmarkStart w:id="346" w:name="_Toc97457385"/>
      <w:bookmarkStart w:id="347" w:name="_Toc97630182"/>
      <w:bookmarkStart w:id="348" w:name="_Toc98053327"/>
      <w:bookmarkStart w:id="349" w:name="_Toc99962313"/>
      <w:bookmarkStart w:id="350" w:name="_Toc122159411"/>
      <w:bookmarkStart w:id="351" w:name="_Toc122232735"/>
      <w:bookmarkStart w:id="352" w:name="_Toc122232911"/>
      <w:bookmarkStart w:id="353" w:name="_Toc147220545"/>
      <w:bookmarkStart w:id="354" w:name="_Toc147223898"/>
      <w:bookmarkStart w:id="355" w:name="_Toc165444933"/>
      <w:bookmarkStart w:id="356" w:name="_Toc170557713"/>
      <w:bookmarkStart w:id="357" w:name="_Toc170795104"/>
      <w:bookmarkStart w:id="358" w:name="_Toc172709204"/>
      <w:bookmarkStart w:id="359" w:name="_Toc172964688"/>
      <w:bookmarkStart w:id="360" w:name="_Toc174158405"/>
      <w:bookmarkStart w:id="361" w:name="_Toc174358958"/>
      <w:bookmarkStart w:id="362" w:name="_Toc174518549"/>
      <w:bookmarkStart w:id="363" w:name="_Toc176170494"/>
      <w:bookmarkStart w:id="364" w:name="_Toc181431053"/>
      <w:bookmarkStart w:id="365" w:name="_Toc181497509"/>
      <w:bookmarkStart w:id="366" w:name="_Toc202254176"/>
      <w:bookmarkStart w:id="367" w:name="_Toc267572091"/>
      <w:bookmarkStart w:id="368" w:name="_Toc281461000"/>
      <w:bookmarkStart w:id="369" w:name="_Toc318383318"/>
      <w:bookmarkStart w:id="370" w:name="_Toc318383438"/>
      <w:bookmarkStart w:id="371" w:name="_Toc324153554"/>
      <w:r>
        <w:rPr>
          <w:rStyle w:val="CharPartNo"/>
        </w:rPr>
        <w:t>Part 4</w:t>
      </w:r>
      <w:r>
        <w:rPr>
          <w:rStyle w:val="CharDivNo"/>
        </w:rPr>
        <w:t> </w:t>
      </w:r>
      <w:r>
        <w:t>—</w:t>
      </w:r>
      <w:r>
        <w:rPr>
          <w:rStyle w:val="CharDivText"/>
        </w:rPr>
        <w:t> </w:t>
      </w:r>
      <w:r>
        <w:rPr>
          <w:rStyle w:val="CharPartText"/>
        </w:rPr>
        <w:t>Audible alarms</w:t>
      </w:r>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r>
        <w:rPr>
          <w:rStyle w:val="CharPartText"/>
        </w:rPr>
        <w:t xml:space="preserve"> </w:t>
      </w:r>
    </w:p>
    <w:p>
      <w:pPr>
        <w:pStyle w:val="Footnoteheading"/>
        <w:rPr>
          <w:snapToGrid w:val="0"/>
        </w:rPr>
      </w:pPr>
      <w:r>
        <w:rPr>
          <w:snapToGrid w:val="0"/>
        </w:rPr>
        <w:tab/>
        <w:t xml:space="preserve">[Heading inserted in Gazette 13 Sep 1996 p. 4545.] </w:t>
      </w:r>
    </w:p>
    <w:p>
      <w:pPr>
        <w:pStyle w:val="Heading5"/>
        <w:rPr>
          <w:snapToGrid w:val="0"/>
        </w:rPr>
      </w:pPr>
      <w:bookmarkStart w:id="372" w:name="_Toc448822576"/>
      <w:bookmarkStart w:id="373" w:name="_Toc448822702"/>
      <w:bookmarkStart w:id="374" w:name="_Toc503260575"/>
      <w:bookmarkStart w:id="375" w:name="_Toc12076678"/>
      <w:bookmarkStart w:id="376" w:name="_Toc12952194"/>
      <w:bookmarkStart w:id="377" w:name="_Toc122232912"/>
      <w:bookmarkStart w:id="378" w:name="_Toc324153555"/>
      <w:bookmarkStart w:id="379" w:name="_Toc318383439"/>
      <w:r>
        <w:rPr>
          <w:rStyle w:val="CharSectno"/>
        </w:rPr>
        <w:t>6</w:t>
      </w:r>
      <w:r>
        <w:rPr>
          <w:snapToGrid w:val="0"/>
        </w:rPr>
        <w:t>.</w:t>
      </w:r>
      <w:r>
        <w:rPr>
          <w:snapToGrid w:val="0"/>
        </w:rPr>
        <w:tab/>
        <w:t>Prescribed periods for audible alarms</w:t>
      </w:r>
      <w:bookmarkEnd w:id="372"/>
      <w:bookmarkEnd w:id="373"/>
      <w:bookmarkEnd w:id="374"/>
      <w:bookmarkEnd w:id="375"/>
      <w:bookmarkEnd w:id="376"/>
      <w:bookmarkEnd w:id="377"/>
      <w:bookmarkEnd w:id="378"/>
      <w:bookmarkEnd w:id="379"/>
      <w:r>
        <w:rPr>
          <w:snapToGrid w:val="0"/>
        </w:rPr>
        <w:t xml:space="preserve"> </w:t>
      </w:r>
    </w:p>
    <w:p>
      <w:pPr>
        <w:pStyle w:val="Subsection"/>
        <w:rPr>
          <w:snapToGrid w:val="0"/>
        </w:rPr>
      </w:pPr>
      <w:r>
        <w:rPr>
          <w:snapToGrid w:val="0"/>
        </w:rPr>
        <w:tab/>
      </w:r>
      <w:r>
        <w:rPr>
          <w:snapToGrid w:val="0"/>
        </w:rPr>
        <w:tab/>
        <w:t>For the purposes of section 99(1)(a), the prescribed period is 30 minutes.</w:t>
      </w:r>
    </w:p>
    <w:p>
      <w:pPr>
        <w:pStyle w:val="Heading2"/>
      </w:pPr>
      <w:bookmarkStart w:id="380" w:name="_Toc75588379"/>
      <w:bookmarkStart w:id="381" w:name="_Toc76894926"/>
      <w:bookmarkStart w:id="382" w:name="_Toc85279811"/>
      <w:bookmarkStart w:id="383" w:name="_Toc88903673"/>
      <w:bookmarkStart w:id="384" w:name="_Toc88962262"/>
      <w:bookmarkStart w:id="385" w:name="_Toc94320185"/>
      <w:bookmarkStart w:id="386" w:name="_Toc94331021"/>
      <w:bookmarkStart w:id="387" w:name="_Toc94331133"/>
      <w:bookmarkStart w:id="388" w:name="_Toc94428617"/>
      <w:bookmarkStart w:id="389" w:name="_Toc97455596"/>
      <w:bookmarkStart w:id="390" w:name="_Toc97457387"/>
      <w:bookmarkStart w:id="391" w:name="_Toc97630184"/>
      <w:bookmarkStart w:id="392" w:name="_Toc98053329"/>
      <w:bookmarkStart w:id="393" w:name="_Toc99962315"/>
      <w:bookmarkStart w:id="394" w:name="_Toc122159413"/>
      <w:bookmarkStart w:id="395" w:name="_Toc122232737"/>
      <w:bookmarkStart w:id="396" w:name="_Toc122232913"/>
      <w:bookmarkStart w:id="397" w:name="_Toc147220547"/>
      <w:bookmarkStart w:id="398" w:name="_Toc147223900"/>
      <w:bookmarkStart w:id="399" w:name="_Toc165444935"/>
      <w:bookmarkStart w:id="400" w:name="_Toc170557715"/>
      <w:bookmarkStart w:id="401" w:name="_Toc170795106"/>
      <w:bookmarkStart w:id="402" w:name="_Toc172709206"/>
      <w:bookmarkStart w:id="403" w:name="_Toc172964690"/>
      <w:bookmarkStart w:id="404" w:name="_Toc174158407"/>
      <w:bookmarkStart w:id="405" w:name="_Toc174358960"/>
      <w:bookmarkStart w:id="406" w:name="_Toc174518551"/>
      <w:bookmarkStart w:id="407" w:name="_Toc176170496"/>
      <w:bookmarkStart w:id="408" w:name="_Toc181431055"/>
      <w:bookmarkStart w:id="409" w:name="_Toc181497511"/>
      <w:bookmarkStart w:id="410" w:name="_Toc202254178"/>
      <w:bookmarkStart w:id="411" w:name="_Toc267572093"/>
      <w:bookmarkStart w:id="412" w:name="_Toc281461002"/>
      <w:bookmarkStart w:id="413" w:name="_Toc318383320"/>
      <w:bookmarkStart w:id="414" w:name="_Toc318383440"/>
      <w:bookmarkStart w:id="415" w:name="_Toc324153556"/>
      <w:r>
        <w:rPr>
          <w:rStyle w:val="CharPartNo"/>
        </w:rPr>
        <w:t>Part 5</w:t>
      </w:r>
      <w:r>
        <w:rPr>
          <w:rStyle w:val="CharDivNo"/>
        </w:rPr>
        <w:t> </w:t>
      </w:r>
      <w:r>
        <w:t>—</w:t>
      </w:r>
      <w:r>
        <w:rPr>
          <w:rStyle w:val="CharDivText"/>
        </w:rPr>
        <w:t> </w:t>
      </w:r>
      <w:r>
        <w:rPr>
          <w:rStyle w:val="CharPartText"/>
        </w:rPr>
        <w:t>Appeals</w:t>
      </w:r>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r>
        <w:rPr>
          <w:rStyle w:val="CharPartText"/>
        </w:rPr>
        <w:t xml:space="preserve"> </w:t>
      </w:r>
    </w:p>
    <w:p>
      <w:pPr>
        <w:pStyle w:val="Footnoteheading"/>
        <w:rPr>
          <w:snapToGrid w:val="0"/>
        </w:rPr>
      </w:pPr>
      <w:r>
        <w:rPr>
          <w:snapToGrid w:val="0"/>
        </w:rPr>
        <w:tab/>
        <w:t xml:space="preserve">[Heading inserted in Gazette 13 Sep 1996 p. 4545.] </w:t>
      </w:r>
    </w:p>
    <w:p>
      <w:pPr>
        <w:pStyle w:val="Heading5"/>
        <w:rPr>
          <w:snapToGrid w:val="0"/>
        </w:rPr>
      </w:pPr>
      <w:bookmarkStart w:id="416" w:name="_Toc448822577"/>
      <w:bookmarkStart w:id="417" w:name="_Toc448822703"/>
      <w:bookmarkStart w:id="418" w:name="_Toc503260576"/>
      <w:bookmarkStart w:id="419" w:name="_Toc12076679"/>
      <w:bookmarkStart w:id="420" w:name="_Toc12952195"/>
      <w:bookmarkStart w:id="421" w:name="_Toc122232914"/>
      <w:bookmarkStart w:id="422" w:name="_Toc324153557"/>
      <w:bookmarkStart w:id="423" w:name="_Toc318383441"/>
      <w:r>
        <w:rPr>
          <w:rStyle w:val="CharSectno"/>
        </w:rPr>
        <w:t>7</w:t>
      </w:r>
      <w:r>
        <w:rPr>
          <w:snapToGrid w:val="0"/>
        </w:rPr>
        <w:t>.</w:t>
      </w:r>
      <w:r>
        <w:rPr>
          <w:snapToGrid w:val="0"/>
        </w:rPr>
        <w:tab/>
        <w:t>Fees and procedures in respect of appeals</w:t>
      </w:r>
      <w:bookmarkEnd w:id="416"/>
      <w:bookmarkEnd w:id="417"/>
      <w:bookmarkEnd w:id="418"/>
      <w:bookmarkEnd w:id="419"/>
      <w:bookmarkEnd w:id="420"/>
      <w:bookmarkEnd w:id="421"/>
      <w:bookmarkEnd w:id="422"/>
      <w:bookmarkEnd w:id="423"/>
      <w:r>
        <w:rPr>
          <w:snapToGrid w:val="0"/>
        </w:rPr>
        <w:t xml:space="preserve"> </w:t>
      </w:r>
    </w:p>
    <w:p>
      <w:pPr>
        <w:pStyle w:val="Subsection"/>
        <w:rPr>
          <w:snapToGrid w:val="0"/>
        </w:rPr>
      </w:pPr>
      <w:r>
        <w:rPr>
          <w:snapToGrid w:val="0"/>
        </w:rPr>
        <w:tab/>
        <w:t>(1)</w:t>
      </w:r>
      <w:r>
        <w:rPr>
          <w:snapToGrid w:val="0"/>
        </w:rPr>
        <w:tab/>
        <w:t>A person lodging an appeal under Part VII of the Act shall — </w:t>
      </w:r>
    </w:p>
    <w:p>
      <w:pPr>
        <w:pStyle w:val="Indenta"/>
        <w:rPr>
          <w:snapToGrid w:val="0"/>
        </w:rPr>
      </w:pPr>
      <w:r>
        <w:rPr>
          <w:snapToGrid w:val="0"/>
        </w:rPr>
        <w:tab/>
        <w:t>(a)</w:t>
      </w:r>
      <w:r>
        <w:rPr>
          <w:snapToGrid w:val="0"/>
        </w:rPr>
        <w:tab/>
        <w:t>sign the appeal and address it to the Minister;</w:t>
      </w:r>
    </w:p>
    <w:p>
      <w:pPr>
        <w:pStyle w:val="Indenta"/>
        <w:rPr>
          <w:snapToGrid w:val="0"/>
        </w:rPr>
      </w:pPr>
      <w:r>
        <w:rPr>
          <w:snapToGrid w:val="0"/>
        </w:rPr>
        <w:tab/>
        <w:t>(b)</w:t>
      </w:r>
      <w:r>
        <w:rPr>
          <w:snapToGrid w:val="0"/>
        </w:rPr>
        <w:tab/>
        <w:t>set out in the appeal — </w:t>
      </w:r>
    </w:p>
    <w:p>
      <w:pPr>
        <w:pStyle w:val="Indenti"/>
        <w:rPr>
          <w:snapToGrid w:val="0"/>
        </w:rPr>
      </w:pPr>
      <w:r>
        <w:rPr>
          <w:snapToGrid w:val="0"/>
        </w:rPr>
        <w:tab/>
        <w:t>(i)</w:t>
      </w:r>
      <w:r>
        <w:rPr>
          <w:snapToGrid w:val="0"/>
        </w:rPr>
        <w:tab/>
        <w:t>in the case of an appeal lodged under section 100 of the Act, the title or number or other means of identification of the relevant proposal and the name of, or the office or position held or acted in by, the proponent of that proposal;</w:t>
      </w:r>
    </w:p>
    <w:p>
      <w:pPr>
        <w:pStyle w:val="Indenti"/>
        <w:rPr>
          <w:snapToGrid w:val="0"/>
        </w:rPr>
      </w:pPr>
      <w:r>
        <w:rPr>
          <w:snapToGrid w:val="0"/>
        </w:rPr>
        <w:tab/>
        <w:t>(ii)</w:t>
      </w:r>
      <w:r>
        <w:rPr>
          <w:snapToGrid w:val="0"/>
        </w:rPr>
        <w:tab/>
        <w:t>in the case of an appeal lodged under section 102 of the Act in respect of a works approval or licence, the name of the applicant or holder of the works approval or licence, as the case requires, and the location of the prescribed premises to which that application relates;</w:t>
      </w:r>
    </w:p>
    <w:p>
      <w:pPr>
        <w:pStyle w:val="Indenti"/>
        <w:rPr>
          <w:snapToGrid w:val="0"/>
        </w:rPr>
      </w:pPr>
      <w:r>
        <w:rPr>
          <w:snapToGrid w:val="0"/>
        </w:rPr>
        <w:tab/>
        <w:t>(iii)</w:t>
      </w:r>
      <w:r>
        <w:rPr>
          <w:snapToGrid w:val="0"/>
        </w:rPr>
        <w:tab/>
        <w:t>in the case of an appeal lodged under section 103 of the Act, the name of the person on whom the relevant pollution abatement notice, or notice under section 65(4), was served and the location of the premises to which that pollution abatement notice or notice relates;</w:t>
      </w:r>
    </w:p>
    <w:p>
      <w:pPr>
        <w:pStyle w:val="Indenti"/>
        <w:rPr>
          <w:snapToGrid w:val="0"/>
        </w:rPr>
      </w:pPr>
      <w:r>
        <w:rPr>
          <w:snapToGrid w:val="0"/>
        </w:rPr>
        <w:tab/>
        <w:t>(iv)</w:t>
      </w:r>
      <w:r>
        <w:rPr>
          <w:snapToGrid w:val="0"/>
        </w:rPr>
        <w:tab/>
        <w:t>in the case of an appeal lodged under section 104 of the Act, the name of the person on whom the relevant notice was served under section 96(1) or 97(1) of the Act and a description of the vehicle, vessel or equipment to which that notice relates;</w:t>
      </w:r>
    </w:p>
    <w:p>
      <w:pPr>
        <w:pStyle w:val="Indenti"/>
        <w:rPr>
          <w:snapToGrid w:val="0"/>
        </w:rPr>
      </w:pPr>
      <w:r>
        <w:rPr>
          <w:snapToGrid w:val="0"/>
        </w:rPr>
        <w:tab/>
        <w:t>(v)</w:t>
      </w:r>
      <w:r>
        <w:rPr>
          <w:snapToGrid w:val="0"/>
        </w:rPr>
        <w:tab/>
        <w:t>the substance of the decision or matter the subject of the appeal; and</w:t>
      </w:r>
    </w:p>
    <w:p>
      <w:pPr>
        <w:pStyle w:val="Indenti"/>
        <w:keepNext/>
        <w:rPr>
          <w:snapToGrid w:val="0"/>
        </w:rPr>
      </w:pPr>
      <w:r>
        <w:rPr>
          <w:snapToGrid w:val="0"/>
        </w:rPr>
        <w:tab/>
        <w:t>(vi)</w:t>
      </w:r>
      <w:r>
        <w:rPr>
          <w:snapToGrid w:val="0"/>
        </w:rPr>
        <w:tab/>
        <w:t>the name and address of the appellant for the service of notices;</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lodge with the Minister — </w:t>
      </w:r>
    </w:p>
    <w:p>
      <w:pPr>
        <w:pStyle w:val="Indenti"/>
        <w:rPr>
          <w:snapToGrid w:val="0"/>
        </w:rPr>
      </w:pPr>
      <w:r>
        <w:rPr>
          <w:snapToGrid w:val="0"/>
        </w:rPr>
        <w:tab/>
        <w:t>(i)</w:t>
      </w:r>
      <w:r>
        <w:rPr>
          <w:snapToGrid w:val="0"/>
        </w:rPr>
        <w:tab/>
        <w:t xml:space="preserve">in the case of an appeal lodged under section 100, a fee of $10; </w:t>
      </w:r>
    </w:p>
    <w:p>
      <w:pPr>
        <w:pStyle w:val="Indenti"/>
        <w:rPr>
          <w:snapToGrid w:val="0"/>
        </w:rPr>
      </w:pPr>
      <w:r>
        <w:rPr>
          <w:snapToGrid w:val="0"/>
        </w:rPr>
        <w:tab/>
        <w:t>(ii)</w:t>
      </w:r>
      <w:r>
        <w:rPr>
          <w:snapToGrid w:val="0"/>
        </w:rPr>
        <w:tab/>
        <w:t>in the case of an appeal lodged under section 102, a fee of $50; or</w:t>
      </w:r>
    </w:p>
    <w:p>
      <w:pPr>
        <w:pStyle w:val="Indenti"/>
        <w:rPr>
          <w:snapToGrid w:val="0"/>
        </w:rPr>
      </w:pPr>
      <w:r>
        <w:rPr>
          <w:snapToGrid w:val="0"/>
        </w:rPr>
        <w:tab/>
        <w:t>(iii)</w:t>
      </w:r>
      <w:r>
        <w:rPr>
          <w:snapToGrid w:val="0"/>
        </w:rPr>
        <w:tab/>
        <w:t>in the case of an appeal lodged under section 103 or 104, a fee of $25.</w:t>
      </w:r>
    </w:p>
    <w:p>
      <w:pPr>
        <w:pStyle w:val="Subsection"/>
        <w:rPr>
          <w:snapToGrid w:val="0"/>
        </w:rPr>
      </w:pPr>
      <w:r>
        <w:rPr>
          <w:snapToGrid w:val="0"/>
        </w:rPr>
        <w:tab/>
        <w:t>(2)</w:t>
      </w:r>
      <w:r>
        <w:rPr>
          <w:snapToGrid w:val="0"/>
        </w:rPr>
        <w:tab/>
        <w:t>The Minister may reduce, waive or refund, in whole or in part, any fee referred to in subregulation (1).</w:t>
      </w:r>
    </w:p>
    <w:p>
      <w:pPr>
        <w:pStyle w:val="Subsection"/>
        <w:rPr>
          <w:snapToGrid w:val="0"/>
        </w:rPr>
      </w:pPr>
      <w:r>
        <w:rPr>
          <w:snapToGrid w:val="0"/>
        </w:rPr>
        <w:tab/>
        <w:t>(3)</w:t>
      </w:r>
      <w:r>
        <w:rPr>
          <w:snapToGrid w:val="0"/>
        </w:rPr>
        <w:tab/>
        <w:t>A person who has lodged an appeal under Part VII of the Act may withdraw the appeal after having given the Minister not less than 7 days’ notice in writing of his intention to do so.</w:t>
      </w:r>
    </w:p>
    <w:p>
      <w:pPr>
        <w:pStyle w:val="Heading5"/>
        <w:rPr>
          <w:snapToGrid w:val="0"/>
        </w:rPr>
      </w:pPr>
      <w:bookmarkStart w:id="424" w:name="_Toc448822578"/>
      <w:bookmarkStart w:id="425" w:name="_Toc448822704"/>
      <w:bookmarkStart w:id="426" w:name="_Toc503260577"/>
      <w:bookmarkStart w:id="427" w:name="_Toc12076680"/>
      <w:bookmarkStart w:id="428" w:name="_Toc12952196"/>
      <w:bookmarkStart w:id="429" w:name="_Toc122232915"/>
      <w:bookmarkStart w:id="430" w:name="_Toc324153558"/>
      <w:bookmarkStart w:id="431" w:name="_Toc318383442"/>
      <w:r>
        <w:rPr>
          <w:rStyle w:val="CharSectno"/>
        </w:rPr>
        <w:t>8</w:t>
      </w:r>
      <w:r>
        <w:rPr>
          <w:snapToGrid w:val="0"/>
        </w:rPr>
        <w:t>.</w:t>
      </w:r>
      <w:r>
        <w:rPr>
          <w:snapToGrid w:val="0"/>
        </w:rPr>
        <w:tab/>
        <w:t>Publication of details of decisions on appeal</w:t>
      </w:r>
      <w:bookmarkEnd w:id="424"/>
      <w:bookmarkEnd w:id="425"/>
      <w:bookmarkEnd w:id="426"/>
      <w:bookmarkEnd w:id="427"/>
      <w:bookmarkEnd w:id="428"/>
      <w:bookmarkEnd w:id="429"/>
      <w:bookmarkEnd w:id="430"/>
      <w:bookmarkEnd w:id="431"/>
      <w:r>
        <w:rPr>
          <w:snapToGrid w:val="0"/>
        </w:rPr>
        <w:t xml:space="preserve"> </w:t>
      </w:r>
    </w:p>
    <w:p>
      <w:pPr>
        <w:pStyle w:val="Subsection"/>
        <w:rPr>
          <w:snapToGrid w:val="0"/>
        </w:rPr>
      </w:pPr>
      <w:r>
        <w:rPr>
          <w:snapToGrid w:val="0"/>
        </w:rPr>
        <w:tab/>
        <w:t>(1)</w:t>
      </w:r>
      <w:r>
        <w:rPr>
          <w:snapToGrid w:val="0"/>
        </w:rPr>
        <w:tab/>
        <w:t xml:space="preserve">The Minister shall cause the details set out in subregulation (2) of his decisions on appeals lodged under Part VII of the Act to be published by causing those details to be made available for public inspection </w:t>
      </w:r>
      <w:r>
        <w:t>at the head office</w:t>
      </w:r>
      <w:r>
        <w:rPr>
          <w:snapToGrid w:val="0"/>
        </w:rPr>
        <w:t xml:space="preserve"> between the hours of 8 a.m. and 5 p.m. on any day which is not a Saturday, Sunday or public service holiday or a public holiday appointed or declared for the Perth area.</w:t>
      </w:r>
    </w:p>
    <w:p>
      <w:pPr>
        <w:pStyle w:val="Subsection"/>
        <w:rPr>
          <w:snapToGrid w:val="0"/>
        </w:rPr>
      </w:pPr>
      <w:r>
        <w:rPr>
          <w:snapToGrid w:val="0"/>
        </w:rPr>
        <w:tab/>
        <w:t>(2)</w:t>
      </w:r>
      <w:r>
        <w:rPr>
          <w:snapToGrid w:val="0"/>
        </w:rPr>
        <w:tab/>
        <w:t>The details referred to in subregulation (1) are — </w:t>
      </w:r>
    </w:p>
    <w:p>
      <w:pPr>
        <w:pStyle w:val="Indenta"/>
        <w:rPr>
          <w:snapToGrid w:val="0"/>
        </w:rPr>
      </w:pPr>
      <w:r>
        <w:rPr>
          <w:snapToGrid w:val="0"/>
        </w:rPr>
        <w:tab/>
        <w:t>(a)</w:t>
      </w:r>
      <w:r>
        <w:rPr>
          <w:snapToGrid w:val="0"/>
        </w:rPr>
        <w:tab/>
        <w:t>in the case of an appeal lodged under section 100, the title or number or other means of identification of the relevant proposal and the name, or the office or position held or acted in by, the proponent of that proposal;</w:t>
      </w:r>
    </w:p>
    <w:p>
      <w:pPr>
        <w:pStyle w:val="Indenta"/>
        <w:rPr>
          <w:snapToGrid w:val="0"/>
        </w:rPr>
      </w:pPr>
      <w:r>
        <w:rPr>
          <w:snapToGrid w:val="0"/>
        </w:rPr>
        <w:tab/>
        <w:t>(b)</w:t>
      </w:r>
      <w:r>
        <w:rPr>
          <w:snapToGrid w:val="0"/>
        </w:rPr>
        <w:tab/>
        <w:t>in the case of an appeal lodged under section 102 of the Act in respect of a works approval or licence, the name of the applicant or holder of the works approval or licence, as the case required, and the location of the prescribed premises to which that application relates;</w:t>
      </w:r>
    </w:p>
    <w:p>
      <w:pPr>
        <w:pStyle w:val="Indenta"/>
        <w:rPr>
          <w:snapToGrid w:val="0"/>
        </w:rPr>
      </w:pPr>
      <w:r>
        <w:rPr>
          <w:snapToGrid w:val="0"/>
        </w:rPr>
        <w:tab/>
        <w:t>(c)</w:t>
      </w:r>
      <w:r>
        <w:rPr>
          <w:snapToGrid w:val="0"/>
        </w:rPr>
        <w:tab/>
        <w:t>in the case of an appeal lodged under section 103 of the Act, the name of the person on whom the relevant pollution abatement notice, or notice under section 65(4), is served and the location of the premises to which that pollution abatement notice or notice relates;</w:t>
      </w:r>
    </w:p>
    <w:p>
      <w:pPr>
        <w:pStyle w:val="Indenta"/>
        <w:rPr>
          <w:snapToGrid w:val="0"/>
        </w:rPr>
      </w:pPr>
      <w:r>
        <w:rPr>
          <w:snapToGrid w:val="0"/>
        </w:rPr>
        <w:tab/>
        <w:t>(d)</w:t>
      </w:r>
      <w:r>
        <w:rPr>
          <w:snapToGrid w:val="0"/>
        </w:rPr>
        <w:tab/>
        <w:t>in the case of an appeal lodged under section 104 of the Act, the name of the person on whom the relevant notice was served under section 96(1) or 97(1) of the Act and a description of the vehicle, vessel or equipment to which that notice relates;</w:t>
      </w:r>
    </w:p>
    <w:p>
      <w:pPr>
        <w:pStyle w:val="Indenta"/>
        <w:rPr>
          <w:snapToGrid w:val="0"/>
        </w:rPr>
      </w:pPr>
      <w:r>
        <w:rPr>
          <w:snapToGrid w:val="0"/>
        </w:rPr>
        <w:tab/>
        <w:t>(e)</w:t>
      </w:r>
      <w:r>
        <w:rPr>
          <w:snapToGrid w:val="0"/>
        </w:rPr>
        <w:tab/>
        <w:t>if the name of the appellant is not a detail referred to in paragraph (a), (b), (c) or (d), that name;</w:t>
      </w:r>
    </w:p>
    <w:p>
      <w:pPr>
        <w:pStyle w:val="Indenta"/>
        <w:rPr>
          <w:snapToGrid w:val="0"/>
        </w:rPr>
      </w:pPr>
      <w:r>
        <w:rPr>
          <w:snapToGrid w:val="0"/>
        </w:rPr>
        <w:tab/>
        <w:t>(f)</w:t>
      </w:r>
      <w:r>
        <w:rPr>
          <w:snapToGrid w:val="0"/>
        </w:rPr>
        <w:tab/>
        <w:t>a summary of the nature and grounds of the relevant appeal;</w:t>
      </w:r>
    </w:p>
    <w:p>
      <w:pPr>
        <w:pStyle w:val="Indenta"/>
        <w:rPr>
          <w:snapToGrid w:val="0"/>
        </w:rPr>
      </w:pPr>
      <w:r>
        <w:rPr>
          <w:snapToGrid w:val="0"/>
        </w:rPr>
        <w:tab/>
        <w:t>(g)</w:t>
      </w:r>
      <w:r>
        <w:rPr>
          <w:snapToGrid w:val="0"/>
        </w:rPr>
        <w:tab/>
        <w:t>the decision of the Minister on the relevant appeal and the date of that decision.</w:t>
      </w:r>
    </w:p>
    <w:p>
      <w:pPr>
        <w:pStyle w:val="Footnotesection"/>
      </w:pPr>
      <w:r>
        <w:tab/>
        <w:t xml:space="preserve">[Regulation 8 amended in Gazette 24 Jan 1992 p. 362; 11 Dec 1998 p. 6600.] </w:t>
      </w:r>
    </w:p>
    <w:p>
      <w:pPr>
        <w:pStyle w:val="Heading5"/>
        <w:rPr>
          <w:snapToGrid w:val="0"/>
        </w:rPr>
      </w:pPr>
      <w:bookmarkStart w:id="432" w:name="_Toc448822579"/>
      <w:bookmarkStart w:id="433" w:name="_Toc448822705"/>
      <w:bookmarkStart w:id="434" w:name="_Toc503260578"/>
      <w:bookmarkStart w:id="435" w:name="_Toc12076681"/>
      <w:bookmarkStart w:id="436" w:name="_Toc12952197"/>
      <w:bookmarkStart w:id="437" w:name="_Toc122232916"/>
      <w:bookmarkStart w:id="438" w:name="_Toc324153559"/>
      <w:bookmarkStart w:id="439" w:name="_Toc318383443"/>
      <w:r>
        <w:rPr>
          <w:rStyle w:val="CharSectno"/>
        </w:rPr>
        <w:t>9</w:t>
      </w:r>
      <w:r>
        <w:rPr>
          <w:snapToGrid w:val="0"/>
        </w:rPr>
        <w:t>.</w:t>
      </w:r>
      <w:r>
        <w:rPr>
          <w:snapToGrid w:val="0"/>
        </w:rPr>
        <w:tab/>
        <w:t>Persons to be notified of decisions on appeal</w:t>
      </w:r>
      <w:bookmarkEnd w:id="432"/>
      <w:bookmarkEnd w:id="433"/>
      <w:bookmarkEnd w:id="434"/>
      <w:bookmarkEnd w:id="435"/>
      <w:bookmarkEnd w:id="436"/>
      <w:bookmarkEnd w:id="437"/>
      <w:bookmarkEnd w:id="438"/>
      <w:bookmarkEnd w:id="439"/>
      <w:r>
        <w:rPr>
          <w:snapToGrid w:val="0"/>
        </w:rPr>
        <w:t xml:space="preserve"> </w:t>
      </w:r>
    </w:p>
    <w:p>
      <w:pPr>
        <w:pStyle w:val="Subsection"/>
        <w:rPr>
          <w:snapToGrid w:val="0"/>
        </w:rPr>
      </w:pPr>
      <w:r>
        <w:rPr>
          <w:snapToGrid w:val="0"/>
        </w:rPr>
        <w:tab/>
      </w:r>
      <w:r>
        <w:rPr>
          <w:snapToGrid w:val="0"/>
        </w:rPr>
        <w:tab/>
        <w:t>The Minister shall cause to be notified in writing of his decision on an appeal lodged under Part VII of the Act — </w:t>
      </w:r>
    </w:p>
    <w:p>
      <w:pPr>
        <w:pStyle w:val="Indenta"/>
        <w:rPr>
          <w:snapToGrid w:val="0"/>
        </w:rPr>
      </w:pPr>
      <w:r>
        <w:rPr>
          <w:snapToGrid w:val="0"/>
        </w:rPr>
        <w:tab/>
        <w:t>(a)</w:t>
      </w:r>
      <w:r>
        <w:rPr>
          <w:snapToGrid w:val="0"/>
        </w:rPr>
        <w:tab/>
        <w:t>the appellant;</w:t>
      </w:r>
    </w:p>
    <w:p>
      <w:pPr>
        <w:pStyle w:val="Indenta"/>
        <w:rPr>
          <w:snapToGrid w:val="0"/>
        </w:rPr>
      </w:pPr>
      <w:r>
        <w:rPr>
          <w:snapToGrid w:val="0"/>
        </w:rPr>
        <w:tab/>
        <w:t>(b)</w:t>
      </w:r>
      <w:r>
        <w:rPr>
          <w:snapToGrid w:val="0"/>
        </w:rPr>
        <w:tab/>
        <w:t>any relevant decision</w:t>
      </w:r>
      <w:r>
        <w:rPr>
          <w:snapToGrid w:val="0"/>
        </w:rPr>
        <w:noBreakHyphen/>
        <w:t>making authority;</w:t>
      </w:r>
    </w:p>
    <w:p>
      <w:pPr>
        <w:pStyle w:val="Indenta"/>
        <w:rPr>
          <w:snapToGrid w:val="0"/>
        </w:rPr>
      </w:pPr>
      <w:r>
        <w:rPr>
          <w:snapToGrid w:val="0"/>
        </w:rPr>
        <w:tab/>
        <w:t>(c)</w:t>
      </w:r>
      <w:r>
        <w:rPr>
          <w:snapToGrid w:val="0"/>
        </w:rPr>
        <w:tab/>
        <w:t>the Authority;</w:t>
      </w:r>
    </w:p>
    <w:p>
      <w:pPr>
        <w:pStyle w:val="Indenta"/>
        <w:rPr>
          <w:snapToGrid w:val="0"/>
        </w:rPr>
      </w:pPr>
      <w:r>
        <w:rPr>
          <w:snapToGrid w:val="0"/>
        </w:rPr>
        <w:tab/>
        <w:t>(d)</w:t>
      </w:r>
      <w:r>
        <w:rPr>
          <w:snapToGrid w:val="0"/>
        </w:rPr>
        <w:tab/>
        <w:t>the Chief Executive Officer;</w:t>
      </w:r>
    </w:p>
    <w:p>
      <w:pPr>
        <w:pStyle w:val="Indenta"/>
        <w:rPr>
          <w:snapToGrid w:val="0"/>
        </w:rPr>
      </w:pPr>
      <w:r>
        <w:rPr>
          <w:snapToGrid w:val="0"/>
        </w:rPr>
        <w:tab/>
        <w:t>(e)</w:t>
      </w:r>
      <w:r>
        <w:rPr>
          <w:snapToGrid w:val="0"/>
        </w:rPr>
        <w:tab/>
        <w:t>in the case of an appeal lodged under section 100 of the Act, the proponent of the relevant proposal;</w:t>
      </w:r>
    </w:p>
    <w:p>
      <w:pPr>
        <w:pStyle w:val="Indenta"/>
        <w:rPr>
          <w:snapToGrid w:val="0"/>
        </w:rPr>
      </w:pPr>
      <w:r>
        <w:rPr>
          <w:snapToGrid w:val="0"/>
        </w:rPr>
        <w:tab/>
        <w:t>(f)</w:t>
      </w:r>
      <w:r>
        <w:rPr>
          <w:snapToGrid w:val="0"/>
        </w:rPr>
        <w:tab/>
        <w:t>in the case of an appeal lodged under section 102 of the Act in respect of a works approval or licence, the applicant for or the holder of the works approval or licence, as the case requires;</w:t>
      </w:r>
    </w:p>
    <w:p>
      <w:pPr>
        <w:pStyle w:val="Indenta"/>
        <w:keepNext/>
        <w:keepLines/>
        <w:rPr>
          <w:snapToGrid w:val="0"/>
        </w:rPr>
      </w:pPr>
      <w:r>
        <w:rPr>
          <w:snapToGrid w:val="0"/>
        </w:rPr>
        <w:tab/>
        <w:t>(g)</w:t>
      </w:r>
      <w:r>
        <w:rPr>
          <w:snapToGrid w:val="0"/>
        </w:rPr>
        <w:tab/>
        <w:t>in the case of an appeal lodged under section 103 of the Act, the person on whom the relevant pollution abatement notice, or notice under section 65(4), was served; and</w:t>
      </w:r>
    </w:p>
    <w:p>
      <w:pPr>
        <w:pStyle w:val="Indenta"/>
        <w:rPr>
          <w:snapToGrid w:val="0"/>
        </w:rPr>
      </w:pPr>
      <w:r>
        <w:rPr>
          <w:snapToGrid w:val="0"/>
        </w:rPr>
        <w:tab/>
        <w:t>(h)</w:t>
      </w:r>
      <w:r>
        <w:rPr>
          <w:snapToGrid w:val="0"/>
        </w:rPr>
        <w:tab/>
        <w:t>in the case of an appeal lodged under section 104, the person on whom the relevant notice was served under section 96(1) or 97(1) of the Act.</w:t>
      </w:r>
    </w:p>
    <w:p>
      <w:pPr>
        <w:pStyle w:val="Heading2"/>
      </w:pPr>
      <w:bookmarkStart w:id="440" w:name="_Toc75588383"/>
      <w:bookmarkStart w:id="441" w:name="_Toc76894930"/>
      <w:bookmarkStart w:id="442" w:name="_Toc85279815"/>
      <w:bookmarkStart w:id="443" w:name="_Toc88903677"/>
      <w:bookmarkStart w:id="444" w:name="_Toc88962266"/>
      <w:bookmarkStart w:id="445" w:name="_Toc94320189"/>
      <w:bookmarkStart w:id="446" w:name="_Toc94331025"/>
      <w:bookmarkStart w:id="447" w:name="_Toc94331137"/>
      <w:bookmarkStart w:id="448" w:name="_Toc94428621"/>
      <w:bookmarkStart w:id="449" w:name="_Toc97455600"/>
      <w:bookmarkStart w:id="450" w:name="_Toc97457391"/>
      <w:bookmarkStart w:id="451" w:name="_Toc97630188"/>
      <w:bookmarkStart w:id="452" w:name="_Toc98053333"/>
      <w:bookmarkStart w:id="453" w:name="_Toc99962319"/>
      <w:bookmarkStart w:id="454" w:name="_Toc122159417"/>
      <w:bookmarkStart w:id="455" w:name="_Toc122232741"/>
      <w:bookmarkStart w:id="456" w:name="_Toc122232917"/>
      <w:bookmarkStart w:id="457" w:name="_Toc147220551"/>
      <w:bookmarkStart w:id="458" w:name="_Toc147223904"/>
      <w:bookmarkStart w:id="459" w:name="_Toc165444939"/>
      <w:bookmarkStart w:id="460" w:name="_Toc170557719"/>
      <w:bookmarkStart w:id="461" w:name="_Toc170795110"/>
      <w:bookmarkStart w:id="462" w:name="_Toc172709210"/>
      <w:bookmarkStart w:id="463" w:name="_Toc172964694"/>
      <w:bookmarkStart w:id="464" w:name="_Toc174158411"/>
      <w:bookmarkStart w:id="465" w:name="_Toc174358964"/>
      <w:bookmarkStart w:id="466" w:name="_Toc174518555"/>
      <w:bookmarkStart w:id="467" w:name="_Toc176170500"/>
      <w:bookmarkStart w:id="468" w:name="_Toc181431059"/>
      <w:bookmarkStart w:id="469" w:name="_Toc181497515"/>
      <w:bookmarkStart w:id="470" w:name="_Toc202254182"/>
      <w:bookmarkStart w:id="471" w:name="_Toc267572097"/>
      <w:bookmarkStart w:id="472" w:name="_Toc281461006"/>
      <w:bookmarkStart w:id="473" w:name="_Toc318383324"/>
      <w:bookmarkStart w:id="474" w:name="_Toc318383444"/>
      <w:bookmarkStart w:id="475" w:name="_Toc324153560"/>
      <w:r>
        <w:rPr>
          <w:rStyle w:val="CharPartNo"/>
        </w:rPr>
        <w:t>Part 6</w:t>
      </w:r>
      <w:r>
        <w:rPr>
          <w:rStyle w:val="CharDivNo"/>
        </w:rPr>
        <w:t> </w:t>
      </w:r>
      <w:r>
        <w:t>—</w:t>
      </w:r>
      <w:r>
        <w:rPr>
          <w:rStyle w:val="CharDivText"/>
        </w:rPr>
        <w:t> </w:t>
      </w:r>
      <w:r>
        <w:rPr>
          <w:rStyle w:val="CharPartText"/>
        </w:rPr>
        <w:t>Tyres</w:t>
      </w:r>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r>
        <w:rPr>
          <w:rStyle w:val="CharPartText"/>
        </w:rPr>
        <w:t xml:space="preserve"> </w:t>
      </w:r>
    </w:p>
    <w:p>
      <w:pPr>
        <w:pStyle w:val="Footnoteheading"/>
        <w:rPr>
          <w:snapToGrid w:val="0"/>
        </w:rPr>
      </w:pPr>
      <w:r>
        <w:rPr>
          <w:snapToGrid w:val="0"/>
        </w:rPr>
        <w:tab/>
        <w:t xml:space="preserve">[Heading inserted in Gazette 13 Sep 1996 p. 4545.] </w:t>
      </w:r>
    </w:p>
    <w:p>
      <w:pPr>
        <w:pStyle w:val="Ednotesection"/>
      </w:pPr>
      <w:r>
        <w:t>[</w:t>
      </w:r>
      <w:r>
        <w:rPr>
          <w:b/>
        </w:rPr>
        <w:t>10.</w:t>
      </w:r>
      <w:r>
        <w:tab/>
        <w:t xml:space="preserve">Deleted in Gazette 31 Dec 1993 p. 6878.] </w:t>
      </w:r>
    </w:p>
    <w:p>
      <w:pPr>
        <w:pStyle w:val="Heading5"/>
        <w:rPr>
          <w:snapToGrid w:val="0"/>
        </w:rPr>
      </w:pPr>
      <w:bookmarkStart w:id="476" w:name="_Toc448822580"/>
      <w:bookmarkStart w:id="477" w:name="_Toc448822706"/>
      <w:bookmarkStart w:id="478" w:name="_Toc503260579"/>
      <w:bookmarkStart w:id="479" w:name="_Toc12076682"/>
      <w:bookmarkStart w:id="480" w:name="_Toc12952198"/>
      <w:bookmarkStart w:id="481" w:name="_Toc122232918"/>
      <w:bookmarkStart w:id="482" w:name="_Toc324153561"/>
      <w:bookmarkStart w:id="483" w:name="_Toc318383445"/>
      <w:r>
        <w:rPr>
          <w:rStyle w:val="CharSectno"/>
        </w:rPr>
        <w:t>11</w:t>
      </w:r>
      <w:r>
        <w:rPr>
          <w:snapToGrid w:val="0"/>
        </w:rPr>
        <w:t>.</w:t>
      </w:r>
      <w:r>
        <w:rPr>
          <w:snapToGrid w:val="0"/>
        </w:rPr>
        <w:tab/>
      </w:r>
      <w:bookmarkEnd w:id="476"/>
      <w:bookmarkEnd w:id="477"/>
      <w:bookmarkEnd w:id="478"/>
      <w:bookmarkEnd w:id="479"/>
      <w:bookmarkEnd w:id="480"/>
      <w:bookmarkEnd w:id="481"/>
      <w:r>
        <w:rPr>
          <w:snapToGrid w:val="0"/>
        </w:rPr>
        <w:t>Terms used in this Part</w:t>
      </w:r>
      <w:bookmarkEnd w:id="482"/>
      <w:bookmarkEnd w:id="483"/>
    </w:p>
    <w:p>
      <w:pPr>
        <w:pStyle w:val="Subsection"/>
        <w:rPr>
          <w:snapToGrid w:val="0"/>
        </w:rPr>
      </w:pPr>
      <w:r>
        <w:rPr>
          <w:snapToGrid w:val="0"/>
        </w:rPr>
        <w:tab/>
        <w:t>(1)</w:t>
      </w:r>
      <w:r>
        <w:rPr>
          <w:snapToGrid w:val="0"/>
        </w:rPr>
        <w:tab/>
        <w:t>In this regulation and regulations 12, 13, 13A, 14 and 15 — </w:t>
      </w:r>
    </w:p>
    <w:p>
      <w:pPr>
        <w:pStyle w:val="Defstart"/>
      </w:pPr>
      <w:r>
        <w:rPr>
          <w:b/>
        </w:rPr>
        <w:tab/>
      </w:r>
      <w:r>
        <w:rPr>
          <w:rStyle w:val="CharDefText"/>
        </w:rPr>
        <w:t>approved site</w:t>
      </w:r>
      <w:r>
        <w:t xml:space="preserve"> means a landfill site — </w:t>
      </w:r>
    </w:p>
    <w:p>
      <w:pPr>
        <w:pStyle w:val="Defpara"/>
      </w:pPr>
      <w:r>
        <w:tab/>
        <w:t>(a)</w:t>
      </w:r>
      <w:r>
        <w:tab/>
        <w:t xml:space="preserve">set apart by a local government under section 119 of the </w:t>
      </w:r>
      <w:r>
        <w:rPr>
          <w:i/>
        </w:rPr>
        <w:t>Health Act 1911</w:t>
      </w:r>
      <w:r>
        <w:t>;</w:t>
      </w:r>
    </w:p>
    <w:p>
      <w:pPr>
        <w:pStyle w:val="Defpara"/>
      </w:pPr>
      <w:r>
        <w:tab/>
        <w:t>(b)</w:t>
      </w:r>
      <w:r>
        <w:tab/>
        <w:t>licensed under Part V of the Act; or</w:t>
      </w:r>
    </w:p>
    <w:p>
      <w:pPr>
        <w:pStyle w:val="Defpara"/>
      </w:pPr>
      <w:r>
        <w:tab/>
        <w:t>(c)</w:t>
      </w:r>
      <w:r>
        <w:tab/>
        <w:t>approved by the Chief Executive Officer;</w:t>
      </w:r>
    </w:p>
    <w:p>
      <w:pPr>
        <w:pStyle w:val="Defstart"/>
      </w:pPr>
      <w:r>
        <w:rPr>
          <w:b/>
        </w:rPr>
        <w:tab/>
      </w:r>
      <w:r>
        <w:rPr>
          <w:rStyle w:val="CharDefText"/>
        </w:rPr>
        <w:t>licensed premises</w:t>
      </w:r>
      <w:r>
        <w:t xml:space="preserve"> means a place that is prescribed premises under the Act, and in relation to which the licence is in force under the Act;</w:t>
      </w:r>
    </w:p>
    <w:p>
      <w:pPr>
        <w:pStyle w:val="Defstart"/>
      </w:pPr>
      <w:r>
        <w:rPr>
          <w:b/>
        </w:rPr>
        <w:tab/>
      </w:r>
      <w:r>
        <w:rPr>
          <w:rStyle w:val="CharDefText"/>
        </w:rPr>
        <w:t>storage</w:t>
      </w:r>
      <w:r>
        <w:t xml:space="preserve"> includes collection and deposit;</w:t>
      </w:r>
    </w:p>
    <w:p>
      <w:pPr>
        <w:pStyle w:val="Defstart"/>
      </w:pPr>
      <w:r>
        <w:rPr>
          <w:b/>
        </w:rPr>
        <w:tab/>
      </w:r>
      <w:r>
        <w:rPr>
          <w:rStyle w:val="CharDefText"/>
        </w:rPr>
        <w:t>tyre</w:t>
      </w:r>
      <w:r>
        <w:t xml:space="preserve"> means a tyre made whether wholly or partly of natural or synthetic rubber or similar material;</w:t>
      </w:r>
    </w:p>
    <w:p>
      <w:pPr>
        <w:pStyle w:val="Defstart"/>
      </w:pPr>
      <w:r>
        <w:rPr>
          <w:b/>
        </w:rPr>
        <w:tab/>
      </w:r>
      <w:r>
        <w:rPr>
          <w:rStyle w:val="CharDefText"/>
        </w:rPr>
        <w:t>Tyre Landfill Exclusion Zone</w:t>
      </w:r>
      <w:r>
        <w:t xml:space="preserve"> means the area comprising the local government districts specified in Schedule 5;</w:t>
      </w:r>
    </w:p>
    <w:p>
      <w:pPr>
        <w:pStyle w:val="Defstart"/>
      </w:pPr>
      <w:r>
        <w:rPr>
          <w:b/>
        </w:rPr>
        <w:tab/>
      </w:r>
      <w:r>
        <w:rPr>
          <w:rStyle w:val="CharDefText"/>
        </w:rPr>
        <w:t>tyre retailer</w:t>
      </w:r>
      <w:r>
        <w:t xml:space="preserve"> means a person who carries on a business which principally consists of the sale of tyres by retail or the fitting of tyres, or a combination of those activities.</w:t>
      </w:r>
    </w:p>
    <w:p>
      <w:pPr>
        <w:pStyle w:val="Subsection"/>
        <w:rPr>
          <w:snapToGrid w:val="0"/>
        </w:rPr>
      </w:pPr>
      <w:r>
        <w:rPr>
          <w:snapToGrid w:val="0"/>
        </w:rPr>
        <w:tab/>
        <w:t>(2)</w:t>
      </w:r>
      <w:r>
        <w:rPr>
          <w:snapToGrid w:val="0"/>
        </w:rPr>
        <w:tab/>
        <w:t>For the purposes of these regulations, 2 cubic metres of shredded, broken or pieces of used tyres shall be deemed to equal 100 used tyres and any multiple of 2 cubic metres of shredded, broken or pieces of used tyres shall be deemed to be equal to the corresponding multiple of 100 used tyres and where an intermediate quantity of shredded, broken or pieces of used tyres occurs the equivalent number of used tyres shall be calculated by interpolation.</w:t>
      </w:r>
    </w:p>
    <w:p>
      <w:pPr>
        <w:pStyle w:val="Subsection"/>
        <w:keepNext/>
        <w:spacing w:before="120"/>
        <w:rPr>
          <w:snapToGrid w:val="0"/>
        </w:rPr>
      </w:pPr>
      <w:r>
        <w:rPr>
          <w:snapToGrid w:val="0"/>
        </w:rPr>
        <w:tab/>
        <w:t>(3)</w:t>
      </w:r>
      <w:r>
        <w:rPr>
          <w:snapToGrid w:val="0"/>
        </w:rPr>
        <w:tab/>
        <w:t>For the purposes of these regulations the size of a tyre shall be disregarded when computing the number of tyres in question.</w:t>
      </w:r>
    </w:p>
    <w:p>
      <w:pPr>
        <w:pStyle w:val="Footnotesection"/>
      </w:pPr>
      <w:r>
        <w:tab/>
        <w:t>[Regulation 11 inserted in Gazette 30 Aug 1991 p. 4554</w:t>
      </w:r>
      <w:r>
        <w:noBreakHyphen/>
        <w:t xml:space="preserve">5; amended in Gazette 12 Nov 1996 p. 6303; 10 Dec 1996 p. 6877.] </w:t>
      </w:r>
    </w:p>
    <w:p>
      <w:pPr>
        <w:pStyle w:val="Heading5"/>
        <w:spacing w:before="180"/>
        <w:rPr>
          <w:snapToGrid w:val="0"/>
        </w:rPr>
      </w:pPr>
      <w:bookmarkStart w:id="484" w:name="_Toc448822581"/>
      <w:bookmarkStart w:id="485" w:name="_Toc448822707"/>
      <w:bookmarkStart w:id="486" w:name="_Toc503260580"/>
      <w:bookmarkStart w:id="487" w:name="_Toc12076683"/>
      <w:bookmarkStart w:id="488" w:name="_Toc12952199"/>
      <w:bookmarkStart w:id="489" w:name="_Toc122232919"/>
      <w:bookmarkStart w:id="490" w:name="_Toc324153562"/>
      <w:bookmarkStart w:id="491" w:name="_Toc318383446"/>
      <w:r>
        <w:rPr>
          <w:rStyle w:val="CharSectno"/>
        </w:rPr>
        <w:t>12</w:t>
      </w:r>
      <w:r>
        <w:rPr>
          <w:snapToGrid w:val="0"/>
        </w:rPr>
        <w:t>.</w:t>
      </w:r>
      <w:r>
        <w:rPr>
          <w:snapToGrid w:val="0"/>
        </w:rPr>
        <w:tab/>
        <w:t>Disposal and storage of tyres</w:t>
      </w:r>
      <w:bookmarkEnd w:id="484"/>
      <w:bookmarkEnd w:id="485"/>
      <w:bookmarkEnd w:id="486"/>
      <w:bookmarkEnd w:id="487"/>
      <w:bookmarkEnd w:id="488"/>
      <w:bookmarkEnd w:id="489"/>
      <w:bookmarkEnd w:id="490"/>
      <w:bookmarkEnd w:id="491"/>
      <w:r>
        <w:rPr>
          <w:snapToGrid w:val="0"/>
        </w:rPr>
        <w:t xml:space="preserve"> </w:t>
      </w:r>
    </w:p>
    <w:p>
      <w:pPr>
        <w:pStyle w:val="Subsection"/>
        <w:spacing w:before="120"/>
        <w:rPr>
          <w:snapToGrid w:val="0"/>
        </w:rPr>
      </w:pPr>
      <w:r>
        <w:rPr>
          <w:snapToGrid w:val="0"/>
        </w:rPr>
        <w:tab/>
      </w:r>
      <w:r>
        <w:rPr>
          <w:snapToGrid w:val="0"/>
        </w:rPr>
        <w:tab/>
        <w:t>For the purposes of paragraph (c) of the definition of “pollution” in section 3(1) of the Act — </w:t>
      </w:r>
    </w:p>
    <w:p>
      <w:pPr>
        <w:pStyle w:val="Indenta"/>
        <w:rPr>
          <w:snapToGrid w:val="0"/>
        </w:rPr>
      </w:pPr>
      <w:r>
        <w:rPr>
          <w:snapToGrid w:val="0"/>
        </w:rPr>
        <w:tab/>
        <w:t>(a)</w:t>
      </w:r>
      <w:r>
        <w:rPr>
          <w:snapToGrid w:val="0"/>
        </w:rPr>
        <w:tab/>
        <w:t>the disposal of tyres otherwise than in accordance with regulation 14;</w:t>
      </w:r>
    </w:p>
    <w:p>
      <w:pPr>
        <w:pStyle w:val="Indenta"/>
        <w:rPr>
          <w:snapToGrid w:val="0"/>
        </w:rPr>
      </w:pPr>
      <w:r>
        <w:rPr>
          <w:snapToGrid w:val="0"/>
        </w:rPr>
        <w:tab/>
        <w:t>(b)</w:t>
      </w:r>
      <w:r>
        <w:rPr>
          <w:snapToGrid w:val="0"/>
        </w:rPr>
        <w:tab/>
        <w:t>the storage of used tyres — </w:t>
      </w:r>
    </w:p>
    <w:p>
      <w:pPr>
        <w:pStyle w:val="Indenti"/>
        <w:rPr>
          <w:snapToGrid w:val="0"/>
        </w:rPr>
      </w:pPr>
      <w:r>
        <w:rPr>
          <w:snapToGrid w:val="0"/>
        </w:rPr>
        <w:tab/>
        <w:t>(i)</w:t>
      </w:r>
      <w:r>
        <w:rPr>
          <w:snapToGrid w:val="0"/>
        </w:rPr>
        <w:tab/>
        <w:t>in any number exceeding 500 on a place used for or in connection with a tyre fitting business;</w:t>
      </w:r>
    </w:p>
    <w:p>
      <w:pPr>
        <w:pStyle w:val="Indenti"/>
        <w:rPr>
          <w:snapToGrid w:val="0"/>
        </w:rPr>
      </w:pPr>
      <w:r>
        <w:rPr>
          <w:snapToGrid w:val="0"/>
        </w:rPr>
        <w:tab/>
        <w:t>(ii)</w:t>
      </w:r>
      <w:r>
        <w:rPr>
          <w:snapToGrid w:val="0"/>
        </w:rPr>
        <w:tab/>
        <w:t>in any number exceeding 100 on any other place,</w:t>
      </w:r>
    </w:p>
    <w:p>
      <w:pPr>
        <w:pStyle w:val="Subsection"/>
        <w:spacing w:before="120"/>
        <w:rPr>
          <w:snapToGrid w:val="0"/>
        </w:rPr>
      </w:pPr>
      <w:r>
        <w:rPr>
          <w:snapToGrid w:val="0"/>
        </w:rPr>
        <w:tab/>
      </w:r>
      <w:r>
        <w:rPr>
          <w:snapToGrid w:val="0"/>
        </w:rPr>
        <w:tab/>
        <w:t>is a prescribed alteration of the environment.</w:t>
      </w:r>
    </w:p>
    <w:p>
      <w:pPr>
        <w:pStyle w:val="Footnotesection"/>
      </w:pPr>
      <w:r>
        <w:tab/>
        <w:t>[Regulation 12 inserted in Gazette 30 Aug 1991 p. 4555; amended in Gazette 12 Nov 1996 p. 6303</w:t>
      </w:r>
      <w:r>
        <w:noBreakHyphen/>
        <w:t xml:space="preserve">4.] </w:t>
      </w:r>
    </w:p>
    <w:p>
      <w:pPr>
        <w:pStyle w:val="Heading5"/>
        <w:spacing w:before="180"/>
        <w:rPr>
          <w:snapToGrid w:val="0"/>
        </w:rPr>
      </w:pPr>
      <w:bookmarkStart w:id="492" w:name="_Toc448822582"/>
      <w:bookmarkStart w:id="493" w:name="_Toc448822708"/>
      <w:bookmarkStart w:id="494" w:name="_Toc503260581"/>
      <w:bookmarkStart w:id="495" w:name="_Toc12076684"/>
      <w:bookmarkStart w:id="496" w:name="_Toc12952200"/>
      <w:bookmarkStart w:id="497" w:name="_Toc122232920"/>
      <w:bookmarkStart w:id="498" w:name="_Toc324153563"/>
      <w:bookmarkStart w:id="499" w:name="_Toc318383447"/>
      <w:r>
        <w:rPr>
          <w:rStyle w:val="CharSectno"/>
        </w:rPr>
        <w:t>13</w:t>
      </w:r>
      <w:r>
        <w:rPr>
          <w:snapToGrid w:val="0"/>
        </w:rPr>
        <w:t>.</w:t>
      </w:r>
      <w:r>
        <w:rPr>
          <w:snapToGrid w:val="0"/>
        </w:rPr>
        <w:tab/>
        <w:t>Transport of used tyres prohibited</w:t>
      </w:r>
      <w:bookmarkEnd w:id="492"/>
      <w:bookmarkEnd w:id="493"/>
      <w:bookmarkEnd w:id="494"/>
      <w:bookmarkEnd w:id="495"/>
      <w:bookmarkEnd w:id="496"/>
      <w:bookmarkEnd w:id="497"/>
      <w:bookmarkEnd w:id="498"/>
      <w:bookmarkEnd w:id="499"/>
      <w:r>
        <w:rPr>
          <w:snapToGrid w:val="0"/>
        </w:rPr>
        <w:t xml:space="preserve"> </w:t>
      </w:r>
    </w:p>
    <w:p>
      <w:pPr>
        <w:pStyle w:val="Subsection"/>
        <w:spacing w:before="120"/>
        <w:rPr>
          <w:snapToGrid w:val="0"/>
        </w:rPr>
      </w:pPr>
      <w:r>
        <w:rPr>
          <w:snapToGrid w:val="0"/>
        </w:rPr>
        <w:tab/>
        <w:t>(1)</w:t>
      </w:r>
      <w:r>
        <w:rPr>
          <w:snapToGrid w:val="0"/>
        </w:rPr>
        <w:tab/>
        <w:t>A person shall not — </w:t>
      </w:r>
    </w:p>
    <w:p>
      <w:pPr>
        <w:pStyle w:val="Indenta"/>
        <w:rPr>
          <w:snapToGrid w:val="0"/>
        </w:rPr>
      </w:pPr>
      <w:r>
        <w:rPr>
          <w:snapToGrid w:val="0"/>
        </w:rPr>
        <w:tab/>
        <w:t>(a)</w:t>
      </w:r>
      <w:r>
        <w:rPr>
          <w:snapToGrid w:val="0"/>
        </w:rPr>
        <w:tab/>
        <w:t>for gain or other reward; or</w:t>
      </w:r>
    </w:p>
    <w:p>
      <w:pPr>
        <w:pStyle w:val="Indenta"/>
        <w:rPr>
          <w:snapToGrid w:val="0"/>
        </w:rPr>
      </w:pPr>
      <w:r>
        <w:rPr>
          <w:snapToGrid w:val="0"/>
        </w:rPr>
        <w:tab/>
        <w:t>(b)</w:t>
      </w:r>
      <w:r>
        <w:rPr>
          <w:snapToGrid w:val="0"/>
        </w:rPr>
        <w:tab/>
        <w:t>in the course of any business carried on by that person,</w:t>
      </w:r>
    </w:p>
    <w:p>
      <w:pPr>
        <w:pStyle w:val="Subsection"/>
        <w:spacing w:before="120"/>
        <w:rPr>
          <w:snapToGrid w:val="0"/>
        </w:rPr>
      </w:pPr>
      <w:r>
        <w:rPr>
          <w:snapToGrid w:val="0"/>
        </w:rPr>
        <w:tab/>
      </w:r>
      <w:r>
        <w:rPr>
          <w:snapToGrid w:val="0"/>
        </w:rPr>
        <w:tab/>
        <w:t>transport used tyres — </w:t>
      </w:r>
    </w:p>
    <w:p>
      <w:pPr>
        <w:pStyle w:val="Indenta"/>
        <w:rPr>
          <w:snapToGrid w:val="0"/>
        </w:rPr>
      </w:pPr>
      <w:r>
        <w:rPr>
          <w:snapToGrid w:val="0"/>
        </w:rPr>
        <w:tab/>
        <w:t>(c)</w:t>
      </w:r>
      <w:r>
        <w:rPr>
          <w:snapToGrid w:val="0"/>
        </w:rPr>
        <w:tab/>
        <w:t>for the purpose of storage except to a place that is licensed premises for that purpose; or</w:t>
      </w:r>
    </w:p>
    <w:p>
      <w:pPr>
        <w:pStyle w:val="Indenta"/>
        <w:rPr>
          <w:snapToGrid w:val="0"/>
        </w:rPr>
      </w:pPr>
      <w:r>
        <w:rPr>
          <w:snapToGrid w:val="0"/>
        </w:rPr>
        <w:tab/>
        <w:t>(d)</w:t>
      </w:r>
      <w:r>
        <w:rPr>
          <w:snapToGrid w:val="0"/>
        </w:rPr>
        <w:tab/>
        <w:t>for the purpose of disposal except to a place that is established for that purpose.</w:t>
      </w:r>
    </w:p>
    <w:p>
      <w:pPr>
        <w:pStyle w:val="Penstart"/>
        <w:rPr>
          <w:snapToGrid w:val="0"/>
        </w:rPr>
      </w:pPr>
      <w:r>
        <w:rPr>
          <w:snapToGrid w:val="0"/>
        </w:rPr>
        <w:tab/>
        <w:t>Penalty: $5 000.</w:t>
      </w:r>
    </w:p>
    <w:p>
      <w:pPr>
        <w:pStyle w:val="Subsection"/>
        <w:spacing w:before="120"/>
        <w:rPr>
          <w:snapToGrid w:val="0"/>
        </w:rPr>
      </w:pPr>
      <w:r>
        <w:rPr>
          <w:snapToGrid w:val="0"/>
        </w:rPr>
        <w:tab/>
        <w:t>(2)</w:t>
      </w:r>
      <w:r>
        <w:rPr>
          <w:snapToGrid w:val="0"/>
        </w:rPr>
        <w:tab/>
        <w:t>For the purposes of subregulation (1) a person is deemed to transport used tyres in the course of business whether the transport of used tyres is the principal business carried on by that person or is only incidental to any other business carried on by that person.</w:t>
      </w:r>
    </w:p>
    <w:p>
      <w:pPr>
        <w:pStyle w:val="Footnotesection"/>
      </w:pPr>
      <w:r>
        <w:tab/>
        <w:t xml:space="preserve">[Regulation 13 inserted in Gazette 30 Aug 1991 p. 4555; amended in Gazette 11 Dec 1998 p. 6600.] </w:t>
      </w:r>
    </w:p>
    <w:p>
      <w:pPr>
        <w:pStyle w:val="Heading5"/>
        <w:spacing w:before="180"/>
        <w:rPr>
          <w:snapToGrid w:val="0"/>
        </w:rPr>
      </w:pPr>
      <w:bookmarkStart w:id="500" w:name="_Toc448822583"/>
      <w:bookmarkStart w:id="501" w:name="_Toc448822709"/>
      <w:bookmarkStart w:id="502" w:name="_Toc503260582"/>
      <w:bookmarkStart w:id="503" w:name="_Toc12076685"/>
      <w:bookmarkStart w:id="504" w:name="_Toc12952201"/>
      <w:bookmarkStart w:id="505" w:name="_Toc122232921"/>
      <w:bookmarkStart w:id="506" w:name="_Toc324153564"/>
      <w:bookmarkStart w:id="507" w:name="_Toc318383448"/>
      <w:r>
        <w:rPr>
          <w:rStyle w:val="CharSectno"/>
        </w:rPr>
        <w:t>13A</w:t>
      </w:r>
      <w:r>
        <w:rPr>
          <w:snapToGrid w:val="0"/>
        </w:rPr>
        <w:t>.</w:t>
      </w:r>
      <w:r>
        <w:rPr>
          <w:snapToGrid w:val="0"/>
        </w:rPr>
        <w:tab/>
      </w:r>
      <w:smartTag w:uri="urn:schemas-microsoft-com:office:smarttags" w:element="place">
        <w:smartTag w:uri="urn:schemas-microsoft-com:office:smarttags" w:element="City">
          <w:r>
            <w:rPr>
              <w:snapToGrid w:val="0"/>
            </w:rPr>
            <w:t>Tyre</w:t>
          </w:r>
        </w:smartTag>
      </w:smartTag>
      <w:r>
        <w:rPr>
          <w:snapToGrid w:val="0"/>
        </w:rPr>
        <w:t xml:space="preserve"> retailer not to damage used tyres</w:t>
      </w:r>
      <w:bookmarkEnd w:id="500"/>
      <w:bookmarkEnd w:id="501"/>
      <w:bookmarkEnd w:id="502"/>
      <w:bookmarkEnd w:id="503"/>
      <w:bookmarkEnd w:id="504"/>
      <w:bookmarkEnd w:id="505"/>
      <w:bookmarkEnd w:id="506"/>
      <w:bookmarkEnd w:id="507"/>
      <w:r>
        <w:rPr>
          <w:snapToGrid w:val="0"/>
        </w:rPr>
        <w:t xml:space="preserve"> </w:t>
      </w:r>
    </w:p>
    <w:p>
      <w:pPr>
        <w:pStyle w:val="Subsection"/>
        <w:spacing w:before="120"/>
        <w:rPr>
          <w:snapToGrid w:val="0"/>
        </w:rPr>
      </w:pPr>
      <w:r>
        <w:rPr>
          <w:snapToGrid w:val="0"/>
        </w:rPr>
        <w:tab/>
        <w:t>(1)</w:t>
      </w:r>
      <w:r>
        <w:rPr>
          <w:snapToGrid w:val="0"/>
        </w:rPr>
        <w:tab/>
        <w:t>A tyre retailer shall not, except in accordance with written approval given by the Chief Executive Officer — </w:t>
      </w:r>
    </w:p>
    <w:p>
      <w:pPr>
        <w:pStyle w:val="Indenta"/>
        <w:rPr>
          <w:snapToGrid w:val="0"/>
        </w:rPr>
      </w:pPr>
      <w:r>
        <w:rPr>
          <w:snapToGrid w:val="0"/>
        </w:rPr>
        <w:tab/>
        <w:t>(a)</w:t>
      </w:r>
      <w:r>
        <w:rPr>
          <w:snapToGrid w:val="0"/>
        </w:rPr>
        <w:tab/>
        <w:t>cut or otherwise damage a used tyre; or</w:t>
      </w:r>
    </w:p>
    <w:p>
      <w:pPr>
        <w:pStyle w:val="Indenta"/>
        <w:rPr>
          <w:snapToGrid w:val="0"/>
        </w:rPr>
      </w:pPr>
      <w:r>
        <w:rPr>
          <w:snapToGrid w:val="0"/>
        </w:rPr>
        <w:tab/>
        <w:t>(b)</w:t>
      </w:r>
      <w:r>
        <w:rPr>
          <w:snapToGrid w:val="0"/>
        </w:rPr>
        <w:tab/>
        <w:t>cause or permit a used tyre to be cut or otherwise damaged,</w:t>
      </w:r>
    </w:p>
    <w:p>
      <w:pPr>
        <w:pStyle w:val="Subsection"/>
        <w:spacing w:before="120"/>
        <w:rPr>
          <w:snapToGrid w:val="0"/>
        </w:rPr>
      </w:pPr>
      <w:r>
        <w:rPr>
          <w:snapToGrid w:val="0"/>
        </w:rPr>
        <w:tab/>
      </w:r>
      <w:r>
        <w:rPr>
          <w:snapToGrid w:val="0"/>
        </w:rPr>
        <w:tab/>
        <w:t>in such a manner as to render the tyre unsuitable for retreading.</w:t>
      </w:r>
    </w:p>
    <w:p>
      <w:pPr>
        <w:pStyle w:val="Penstart"/>
        <w:rPr>
          <w:snapToGrid w:val="0"/>
        </w:rPr>
      </w:pPr>
      <w:r>
        <w:rPr>
          <w:snapToGrid w:val="0"/>
        </w:rPr>
        <w:tab/>
        <w:t>Penalty: $5 000.</w:t>
      </w:r>
    </w:p>
    <w:p>
      <w:pPr>
        <w:pStyle w:val="Subsection"/>
        <w:spacing w:before="120"/>
        <w:rPr>
          <w:snapToGrid w:val="0"/>
        </w:rPr>
      </w:pPr>
      <w:r>
        <w:rPr>
          <w:snapToGrid w:val="0"/>
        </w:rPr>
        <w:tab/>
        <w:t>(2)</w:t>
      </w:r>
      <w:r>
        <w:rPr>
          <w:snapToGrid w:val="0"/>
        </w:rPr>
        <w:tab/>
        <w:t>For the purposes of subregulation (1) the Chief Executive Officer may give approval subject to such conditions specified in the approval as the Chief Executive Officer thinks fit.</w:t>
      </w:r>
    </w:p>
    <w:p>
      <w:pPr>
        <w:pStyle w:val="Footnotesection"/>
      </w:pPr>
      <w:r>
        <w:tab/>
        <w:t xml:space="preserve">[Regulation 13A inserted in Gazette 12 Nov 1996 p. 6304; amended in Gazette 11 Dec 1998 p. 6600.] </w:t>
      </w:r>
    </w:p>
    <w:p>
      <w:pPr>
        <w:pStyle w:val="Heading5"/>
        <w:spacing w:before="180"/>
        <w:rPr>
          <w:snapToGrid w:val="0"/>
        </w:rPr>
      </w:pPr>
      <w:bookmarkStart w:id="508" w:name="_Toc448822584"/>
      <w:bookmarkStart w:id="509" w:name="_Toc448822710"/>
      <w:bookmarkStart w:id="510" w:name="_Toc503260583"/>
      <w:bookmarkStart w:id="511" w:name="_Toc12076686"/>
      <w:bookmarkStart w:id="512" w:name="_Toc12952202"/>
      <w:bookmarkStart w:id="513" w:name="_Toc122232922"/>
      <w:bookmarkStart w:id="514" w:name="_Toc324153565"/>
      <w:bookmarkStart w:id="515" w:name="_Toc318383449"/>
      <w:r>
        <w:rPr>
          <w:rStyle w:val="CharSectno"/>
        </w:rPr>
        <w:t>14</w:t>
      </w:r>
      <w:r>
        <w:rPr>
          <w:snapToGrid w:val="0"/>
        </w:rPr>
        <w:t>.</w:t>
      </w:r>
      <w:r>
        <w:rPr>
          <w:snapToGrid w:val="0"/>
        </w:rPr>
        <w:tab/>
        <w:t>Standards for the disposal of tyres</w:t>
      </w:r>
      <w:bookmarkEnd w:id="508"/>
      <w:bookmarkEnd w:id="509"/>
      <w:bookmarkEnd w:id="510"/>
      <w:bookmarkEnd w:id="511"/>
      <w:bookmarkEnd w:id="512"/>
      <w:bookmarkEnd w:id="513"/>
      <w:bookmarkEnd w:id="514"/>
      <w:bookmarkEnd w:id="515"/>
      <w:r>
        <w:rPr>
          <w:snapToGrid w:val="0"/>
        </w:rPr>
        <w:t xml:space="preserve"> </w:t>
      </w:r>
    </w:p>
    <w:p>
      <w:pPr>
        <w:pStyle w:val="Subsection"/>
        <w:spacing w:before="120"/>
        <w:rPr>
          <w:snapToGrid w:val="0"/>
        </w:rPr>
      </w:pPr>
      <w:r>
        <w:rPr>
          <w:snapToGrid w:val="0"/>
        </w:rPr>
        <w:tab/>
        <w:t>(1)</w:t>
      </w:r>
      <w:r>
        <w:rPr>
          <w:snapToGrid w:val="0"/>
        </w:rPr>
        <w:tab/>
        <w:t>Tyres may be disposed of — </w:t>
      </w:r>
    </w:p>
    <w:p>
      <w:pPr>
        <w:pStyle w:val="Indenta"/>
        <w:rPr>
          <w:snapToGrid w:val="0"/>
        </w:rPr>
      </w:pPr>
      <w:r>
        <w:rPr>
          <w:snapToGrid w:val="0"/>
        </w:rPr>
        <w:tab/>
        <w:t>(a)</w:t>
      </w:r>
      <w:r>
        <w:rPr>
          <w:snapToGrid w:val="0"/>
        </w:rPr>
        <w:tab/>
        <w:t>by incineration if — </w:t>
      </w:r>
    </w:p>
    <w:p>
      <w:pPr>
        <w:pStyle w:val="Indenti"/>
        <w:spacing w:after="60"/>
        <w:rPr>
          <w:snapToGrid w:val="0"/>
        </w:rPr>
      </w:pPr>
      <w:r>
        <w:rPr>
          <w:snapToGrid w:val="0"/>
        </w:rPr>
        <w:tab/>
        <w:t>(i)</w:t>
      </w:r>
      <w:r>
        <w:rPr>
          <w:snapToGrid w:val="0"/>
        </w:rPr>
        <w:tab/>
        <w:t>the emissions from the chimney of that incinerator do not exceed the following levels — </w:t>
      </w:r>
    </w:p>
    <w:tbl>
      <w:tblPr>
        <w:tblW w:w="0" w:type="auto"/>
        <w:tblInd w:w="2446" w:type="dxa"/>
        <w:tblLook w:val="0000" w:firstRow="0" w:lastRow="0" w:firstColumn="0" w:lastColumn="0" w:noHBand="0" w:noVBand="0"/>
      </w:tblPr>
      <w:tblGrid>
        <w:gridCol w:w="3062"/>
        <w:gridCol w:w="1804"/>
      </w:tblGrid>
      <w:tr>
        <w:tc>
          <w:tcPr>
            <w:tcW w:w="3062" w:type="dxa"/>
          </w:tcPr>
          <w:p>
            <w:pPr>
              <w:pStyle w:val="MiscellaneousBody"/>
              <w:tabs>
                <w:tab w:val="left" w:pos="2835"/>
                <w:tab w:val="left" w:pos="5103"/>
              </w:tabs>
              <w:spacing w:before="0"/>
              <w:rPr>
                <w:snapToGrid w:val="0"/>
              </w:rPr>
            </w:pPr>
            <w:r>
              <w:rPr>
                <w:snapToGrid w:val="0"/>
              </w:rPr>
              <w:t>particulate matter</w:t>
            </w:r>
          </w:p>
        </w:tc>
        <w:tc>
          <w:tcPr>
            <w:tcW w:w="1804" w:type="dxa"/>
          </w:tcPr>
          <w:p>
            <w:pPr>
              <w:pStyle w:val="MiscellaneousBody"/>
              <w:tabs>
                <w:tab w:val="left" w:pos="2835"/>
                <w:tab w:val="left" w:pos="5103"/>
              </w:tabs>
              <w:spacing w:before="0"/>
              <w:rPr>
                <w:snapToGrid w:val="0"/>
              </w:rPr>
            </w:pPr>
            <w:r>
              <w:rPr>
                <w:snapToGrid w:val="0"/>
              </w:rPr>
              <w:t>50 mg/m</w:t>
            </w:r>
            <w:r>
              <w:rPr>
                <w:snapToGrid w:val="0"/>
                <w:vertAlign w:val="superscript"/>
              </w:rPr>
              <w:t>3</w:t>
            </w:r>
          </w:p>
        </w:tc>
      </w:tr>
      <w:tr>
        <w:tc>
          <w:tcPr>
            <w:tcW w:w="3062" w:type="dxa"/>
          </w:tcPr>
          <w:p>
            <w:pPr>
              <w:pStyle w:val="MiscellaneousBody"/>
              <w:tabs>
                <w:tab w:val="left" w:pos="2835"/>
                <w:tab w:val="left" w:pos="5103"/>
              </w:tabs>
              <w:spacing w:before="0"/>
              <w:rPr>
                <w:snapToGrid w:val="0"/>
              </w:rPr>
            </w:pPr>
            <w:r>
              <w:rPr>
                <w:snapToGrid w:val="0"/>
              </w:rPr>
              <w:t>carbon monoxide</w:t>
            </w:r>
          </w:p>
        </w:tc>
        <w:tc>
          <w:tcPr>
            <w:tcW w:w="1804" w:type="dxa"/>
          </w:tcPr>
          <w:p>
            <w:pPr>
              <w:pStyle w:val="MiscellaneousBody"/>
              <w:tabs>
                <w:tab w:val="left" w:pos="2835"/>
                <w:tab w:val="left" w:pos="5103"/>
              </w:tabs>
              <w:spacing w:before="0"/>
              <w:rPr>
                <w:snapToGrid w:val="0"/>
              </w:rPr>
            </w:pPr>
            <w:r>
              <w:rPr>
                <w:snapToGrid w:val="0"/>
              </w:rPr>
              <w:t>1 g/m</w:t>
            </w:r>
            <w:r>
              <w:rPr>
                <w:snapToGrid w:val="0"/>
                <w:vertAlign w:val="superscript"/>
              </w:rPr>
              <w:t>3</w:t>
            </w:r>
          </w:p>
        </w:tc>
      </w:tr>
      <w:tr>
        <w:tc>
          <w:tcPr>
            <w:tcW w:w="3062" w:type="dxa"/>
          </w:tcPr>
          <w:p>
            <w:pPr>
              <w:pStyle w:val="MiscellaneousBody"/>
              <w:tabs>
                <w:tab w:val="left" w:pos="2835"/>
                <w:tab w:val="left" w:pos="5103"/>
              </w:tabs>
              <w:spacing w:before="0"/>
              <w:rPr>
                <w:snapToGrid w:val="0"/>
              </w:rPr>
            </w:pPr>
            <w:r>
              <w:rPr>
                <w:snapToGrid w:val="0"/>
              </w:rPr>
              <w:t>zinc</w:t>
            </w:r>
          </w:p>
        </w:tc>
        <w:tc>
          <w:tcPr>
            <w:tcW w:w="1804" w:type="dxa"/>
          </w:tcPr>
          <w:p>
            <w:pPr>
              <w:pStyle w:val="MiscellaneousBody"/>
              <w:tabs>
                <w:tab w:val="left" w:pos="2835"/>
                <w:tab w:val="left" w:pos="5103"/>
              </w:tabs>
              <w:spacing w:before="0"/>
              <w:rPr>
                <w:snapToGrid w:val="0"/>
              </w:rPr>
            </w:pPr>
            <w:r>
              <w:rPr>
                <w:snapToGrid w:val="0"/>
              </w:rPr>
              <w:t>3 mg/m</w:t>
            </w:r>
            <w:r>
              <w:rPr>
                <w:snapToGrid w:val="0"/>
                <w:vertAlign w:val="superscript"/>
              </w:rPr>
              <w:t>3</w:t>
            </w:r>
          </w:p>
        </w:tc>
      </w:tr>
      <w:tr>
        <w:tc>
          <w:tcPr>
            <w:tcW w:w="3062" w:type="dxa"/>
          </w:tcPr>
          <w:p>
            <w:pPr>
              <w:pStyle w:val="MiscellaneousBody"/>
              <w:tabs>
                <w:tab w:val="left" w:pos="2835"/>
                <w:tab w:val="left" w:pos="5103"/>
              </w:tabs>
              <w:spacing w:before="0"/>
              <w:rPr>
                <w:snapToGrid w:val="0"/>
              </w:rPr>
            </w:pPr>
            <w:r>
              <w:rPr>
                <w:snapToGrid w:val="0"/>
              </w:rPr>
              <w:t>cadmium</w:t>
            </w:r>
          </w:p>
        </w:tc>
        <w:tc>
          <w:tcPr>
            <w:tcW w:w="1804" w:type="dxa"/>
          </w:tcPr>
          <w:p>
            <w:pPr>
              <w:pStyle w:val="MiscellaneousBody"/>
              <w:tabs>
                <w:tab w:val="left" w:pos="2835"/>
                <w:tab w:val="left" w:pos="5103"/>
              </w:tabs>
              <w:spacing w:before="0"/>
              <w:rPr>
                <w:snapToGrid w:val="0"/>
              </w:rPr>
            </w:pPr>
            <w:r>
              <w:rPr>
                <w:snapToGrid w:val="0"/>
              </w:rPr>
              <w:t>3 mg/m</w:t>
            </w:r>
            <w:r>
              <w:rPr>
                <w:snapToGrid w:val="0"/>
                <w:vertAlign w:val="superscript"/>
              </w:rPr>
              <w:t>3</w:t>
            </w:r>
          </w:p>
        </w:tc>
      </w:tr>
      <w:tr>
        <w:tc>
          <w:tcPr>
            <w:tcW w:w="3062" w:type="dxa"/>
          </w:tcPr>
          <w:p>
            <w:pPr>
              <w:pStyle w:val="MiscellaneousBody"/>
              <w:tabs>
                <w:tab w:val="left" w:pos="2835"/>
                <w:tab w:val="left" w:pos="5103"/>
              </w:tabs>
              <w:spacing w:before="0"/>
              <w:rPr>
                <w:snapToGrid w:val="0"/>
              </w:rPr>
            </w:pPr>
            <w:r>
              <w:rPr>
                <w:snapToGrid w:val="0"/>
              </w:rPr>
              <w:t>aluminium</w:t>
            </w:r>
          </w:p>
        </w:tc>
        <w:tc>
          <w:tcPr>
            <w:tcW w:w="1804" w:type="dxa"/>
          </w:tcPr>
          <w:p>
            <w:pPr>
              <w:pStyle w:val="MiscellaneousBody"/>
              <w:tabs>
                <w:tab w:val="left" w:pos="2835"/>
                <w:tab w:val="left" w:pos="5103"/>
              </w:tabs>
              <w:spacing w:before="0"/>
              <w:rPr>
                <w:snapToGrid w:val="0"/>
              </w:rPr>
            </w:pPr>
            <w:r>
              <w:rPr>
                <w:snapToGrid w:val="0"/>
              </w:rPr>
              <w:t>3 mg/m</w:t>
            </w:r>
            <w:r>
              <w:rPr>
                <w:snapToGrid w:val="0"/>
                <w:vertAlign w:val="superscript"/>
              </w:rPr>
              <w:t>3</w:t>
            </w:r>
          </w:p>
        </w:tc>
      </w:tr>
      <w:tr>
        <w:tc>
          <w:tcPr>
            <w:tcW w:w="3062" w:type="dxa"/>
          </w:tcPr>
          <w:p>
            <w:pPr>
              <w:pStyle w:val="MiscellaneousBody"/>
              <w:tabs>
                <w:tab w:val="left" w:pos="2835"/>
                <w:tab w:val="left" w:pos="5103"/>
              </w:tabs>
              <w:spacing w:before="0"/>
              <w:rPr>
                <w:snapToGrid w:val="0"/>
              </w:rPr>
            </w:pPr>
            <w:r>
              <w:rPr>
                <w:snapToGrid w:val="0"/>
              </w:rPr>
              <w:t>dioxins</w:t>
            </w:r>
          </w:p>
        </w:tc>
        <w:tc>
          <w:tcPr>
            <w:tcW w:w="1804" w:type="dxa"/>
          </w:tcPr>
          <w:p>
            <w:pPr>
              <w:pStyle w:val="MiscellaneousBody"/>
              <w:tabs>
                <w:tab w:val="left" w:pos="2835"/>
                <w:tab w:val="left" w:pos="5103"/>
              </w:tabs>
              <w:spacing w:before="0"/>
              <w:rPr>
                <w:snapToGrid w:val="0"/>
              </w:rPr>
            </w:pPr>
            <w:r>
              <w:rPr>
                <w:snapToGrid w:val="0"/>
              </w:rPr>
              <w:t>5 parts per thousand million</w:t>
            </w:r>
          </w:p>
        </w:tc>
      </w:tr>
    </w:tbl>
    <w:p>
      <w:pPr>
        <w:pStyle w:val="Indenti"/>
        <w:rPr>
          <w:snapToGrid w:val="0"/>
        </w:rPr>
      </w:pPr>
      <w:r>
        <w:rPr>
          <w:snapToGrid w:val="0"/>
        </w:rPr>
        <w:tab/>
      </w:r>
      <w:r>
        <w:rPr>
          <w:snapToGrid w:val="0"/>
        </w:rPr>
        <w:tab/>
        <w:t>or such other levels as are approved by the Chief Executive Officer; and</w:t>
      </w:r>
    </w:p>
    <w:p>
      <w:pPr>
        <w:pStyle w:val="Indenti"/>
        <w:tabs>
          <w:tab w:val="clear" w:pos="2325"/>
        </w:tabs>
        <w:spacing w:before="120"/>
        <w:rPr>
          <w:snapToGrid w:val="0"/>
        </w:rPr>
      </w:pPr>
      <w:r>
        <w:rPr>
          <w:snapToGrid w:val="0"/>
        </w:rPr>
        <w:tab/>
        <w:t>(ii)</w:t>
      </w:r>
      <w:r>
        <w:rPr>
          <w:snapToGrid w:val="0"/>
        </w:rPr>
        <w:tab/>
        <w:t>smoke discharged does not exceed a shade of 1 when compared with the Australian Miniature Smoke Chart (AS 3543 1989);</w:t>
      </w:r>
    </w:p>
    <w:p>
      <w:pPr>
        <w:pStyle w:val="Indenta"/>
        <w:rPr>
          <w:snapToGrid w:val="0"/>
        </w:rPr>
      </w:pPr>
      <w:r>
        <w:rPr>
          <w:snapToGrid w:val="0"/>
        </w:rPr>
        <w:tab/>
      </w:r>
      <w:r>
        <w:rPr>
          <w:snapToGrid w:val="0"/>
        </w:rPr>
        <w:tab/>
        <w:t>or</w:t>
      </w:r>
    </w:p>
    <w:p>
      <w:pPr>
        <w:pStyle w:val="Indenta"/>
        <w:spacing w:before="160"/>
        <w:rPr>
          <w:snapToGrid w:val="0"/>
        </w:rPr>
      </w:pPr>
      <w:r>
        <w:rPr>
          <w:snapToGrid w:val="0"/>
        </w:rPr>
        <w:tab/>
        <w:t>(b)</w:t>
      </w:r>
      <w:r>
        <w:rPr>
          <w:snapToGrid w:val="0"/>
        </w:rPr>
        <w:tab/>
        <w:t>by the method described in subregulation (2) at an approved site located — </w:t>
      </w:r>
    </w:p>
    <w:p>
      <w:pPr>
        <w:pStyle w:val="Indenti"/>
        <w:rPr>
          <w:snapToGrid w:val="0"/>
        </w:rPr>
      </w:pPr>
      <w:r>
        <w:rPr>
          <w:snapToGrid w:val="0"/>
        </w:rPr>
        <w:tab/>
        <w:t>(i)</w:t>
      </w:r>
      <w:r>
        <w:rPr>
          <w:snapToGrid w:val="0"/>
        </w:rPr>
        <w:tab/>
        <w:t>in the Tyre Landfill Exclusion Zone if the written approval of the Chief Executive Officer has first been obtained; or</w:t>
      </w:r>
    </w:p>
    <w:p>
      <w:pPr>
        <w:pStyle w:val="Indenti"/>
        <w:rPr>
          <w:snapToGrid w:val="0"/>
        </w:rPr>
      </w:pPr>
      <w:r>
        <w:rPr>
          <w:snapToGrid w:val="0"/>
        </w:rPr>
        <w:tab/>
        <w:t>(ii)</w:t>
      </w:r>
      <w:r>
        <w:rPr>
          <w:snapToGrid w:val="0"/>
        </w:rPr>
        <w:tab/>
        <w:t xml:space="preserve">in any local government district outside the Tyre Landfill Exclusion Zone; </w:t>
      </w:r>
    </w:p>
    <w:p>
      <w:pPr>
        <w:pStyle w:val="Indenta"/>
        <w:rPr>
          <w:snapToGrid w:val="0"/>
        </w:rPr>
      </w:pPr>
      <w:r>
        <w:rPr>
          <w:snapToGrid w:val="0"/>
        </w:rPr>
        <w:tab/>
      </w:r>
      <w:r>
        <w:rPr>
          <w:snapToGrid w:val="0"/>
        </w:rPr>
        <w:tab/>
        <w:t>or</w:t>
      </w:r>
    </w:p>
    <w:p>
      <w:pPr>
        <w:pStyle w:val="Indenta"/>
        <w:spacing w:before="160"/>
        <w:rPr>
          <w:snapToGrid w:val="0"/>
        </w:rPr>
      </w:pPr>
      <w:r>
        <w:rPr>
          <w:snapToGrid w:val="0"/>
        </w:rPr>
        <w:tab/>
        <w:t>(c)</w:t>
      </w:r>
      <w:r>
        <w:rPr>
          <w:snapToGrid w:val="0"/>
        </w:rPr>
        <w:tab/>
        <w:t>by any other method of disposal approved by the Minister on the advice of the Chief Executive Officer.</w:t>
      </w:r>
    </w:p>
    <w:p>
      <w:pPr>
        <w:pStyle w:val="Subsection"/>
        <w:spacing w:before="200"/>
        <w:rPr>
          <w:snapToGrid w:val="0"/>
        </w:rPr>
      </w:pPr>
      <w:r>
        <w:rPr>
          <w:snapToGrid w:val="0"/>
        </w:rPr>
        <w:tab/>
        <w:t>(2)</w:t>
      </w:r>
      <w:r>
        <w:rPr>
          <w:snapToGrid w:val="0"/>
        </w:rPr>
        <w:tab/>
        <w:t>For the purposes of subregulation (1)(b) tyres may be disposed of by burial under a final soil cover of not less than 500 mm — </w:t>
      </w:r>
    </w:p>
    <w:p>
      <w:pPr>
        <w:pStyle w:val="Indenta"/>
        <w:spacing w:before="160"/>
        <w:rPr>
          <w:snapToGrid w:val="0"/>
        </w:rPr>
      </w:pPr>
      <w:r>
        <w:rPr>
          <w:snapToGrid w:val="0"/>
        </w:rPr>
        <w:tab/>
        <w:t>(a)</w:t>
      </w:r>
      <w:r>
        <w:rPr>
          <w:snapToGrid w:val="0"/>
        </w:rPr>
        <w:tab/>
        <w:t>in batches separated from each other by at least 100 mm of soil and each consisting of not more than 40 cubic metres of tyres reduced to pieces;</w:t>
      </w:r>
    </w:p>
    <w:p>
      <w:pPr>
        <w:pStyle w:val="Indenta"/>
        <w:spacing w:before="160"/>
        <w:rPr>
          <w:snapToGrid w:val="0"/>
        </w:rPr>
      </w:pPr>
      <w:r>
        <w:rPr>
          <w:snapToGrid w:val="0"/>
        </w:rPr>
        <w:tab/>
        <w:t>(b)</w:t>
      </w:r>
      <w:r>
        <w:rPr>
          <w:snapToGrid w:val="0"/>
        </w:rPr>
        <w:tab/>
        <w:t>in batches separated from each other by at least 100 mm of soil and each consisting of not more than 1 000 whole tyres; or</w:t>
      </w:r>
    </w:p>
    <w:p>
      <w:pPr>
        <w:pStyle w:val="Indenta"/>
        <w:spacing w:before="160"/>
        <w:rPr>
          <w:snapToGrid w:val="0"/>
        </w:rPr>
      </w:pPr>
      <w:r>
        <w:rPr>
          <w:snapToGrid w:val="0"/>
        </w:rPr>
        <w:tab/>
        <w:t>(c)</w:t>
      </w:r>
      <w:r>
        <w:rPr>
          <w:snapToGrid w:val="0"/>
        </w:rPr>
        <w:tab/>
        <w:t>in the case of tyres in any volume or number in a dump existing on 4 December 1992, at the location of that dump,</w:t>
      </w:r>
    </w:p>
    <w:p>
      <w:pPr>
        <w:pStyle w:val="Subsection"/>
        <w:rPr>
          <w:snapToGrid w:val="0"/>
        </w:rPr>
      </w:pPr>
      <w:r>
        <w:rPr>
          <w:snapToGrid w:val="0"/>
        </w:rPr>
        <w:tab/>
      </w:r>
      <w:r>
        <w:rPr>
          <w:snapToGrid w:val="0"/>
        </w:rPr>
        <w:tab/>
        <w:t>in accordance with such conditions as are imposed by the Chief Executive Officer in respect of that burial for the purpose of ensuring that drainage, safety, soil erosion and soil stability at, and in the vicinity of, the site of that burial are adequately controlled.</w:t>
      </w:r>
    </w:p>
    <w:p>
      <w:pPr>
        <w:pStyle w:val="Footnotesection"/>
      </w:pPr>
      <w:r>
        <w:tab/>
        <w:t>[Regulation 14 inserted in Gazette 30 Aug 1991 p. 4555; amended in Gazette 4 Dec 1992 p. 5889; 12 Nov 1996 p. 6304</w:t>
      </w:r>
      <w:r>
        <w:noBreakHyphen/>
        <w:t xml:space="preserve">5.] </w:t>
      </w:r>
    </w:p>
    <w:p>
      <w:pPr>
        <w:pStyle w:val="Heading5"/>
        <w:rPr>
          <w:snapToGrid w:val="0"/>
        </w:rPr>
      </w:pPr>
      <w:bookmarkStart w:id="516" w:name="_Toc448822585"/>
      <w:bookmarkStart w:id="517" w:name="_Toc448822711"/>
      <w:bookmarkStart w:id="518" w:name="_Toc503260584"/>
      <w:bookmarkStart w:id="519" w:name="_Toc12076687"/>
      <w:bookmarkStart w:id="520" w:name="_Toc12952203"/>
      <w:bookmarkStart w:id="521" w:name="_Toc122232923"/>
      <w:bookmarkStart w:id="522" w:name="_Toc324153566"/>
      <w:bookmarkStart w:id="523" w:name="_Toc318383450"/>
      <w:r>
        <w:rPr>
          <w:rStyle w:val="CharSectno"/>
        </w:rPr>
        <w:t>15</w:t>
      </w:r>
      <w:r>
        <w:rPr>
          <w:snapToGrid w:val="0"/>
        </w:rPr>
        <w:t>.</w:t>
      </w:r>
      <w:r>
        <w:rPr>
          <w:snapToGrid w:val="0"/>
        </w:rPr>
        <w:tab/>
        <w:t>Standards for the storage of used tyres</w:t>
      </w:r>
      <w:bookmarkEnd w:id="516"/>
      <w:bookmarkEnd w:id="517"/>
      <w:bookmarkEnd w:id="518"/>
      <w:bookmarkEnd w:id="519"/>
      <w:bookmarkEnd w:id="520"/>
      <w:bookmarkEnd w:id="521"/>
      <w:bookmarkEnd w:id="522"/>
      <w:bookmarkEnd w:id="523"/>
      <w:r>
        <w:rPr>
          <w:snapToGrid w:val="0"/>
        </w:rPr>
        <w:t xml:space="preserve"> </w:t>
      </w:r>
    </w:p>
    <w:p>
      <w:pPr>
        <w:pStyle w:val="Subsection"/>
        <w:rPr>
          <w:snapToGrid w:val="0"/>
        </w:rPr>
      </w:pPr>
      <w:r>
        <w:rPr>
          <w:snapToGrid w:val="0"/>
        </w:rPr>
        <w:tab/>
      </w:r>
      <w:r>
        <w:rPr>
          <w:snapToGrid w:val="0"/>
        </w:rPr>
        <w:tab/>
        <w:t>Used tyres shall not be stored on licensed premises otherwise than in accordance with the conditions of the licence issued in relation to those premises.</w:t>
      </w:r>
    </w:p>
    <w:p>
      <w:pPr>
        <w:pStyle w:val="Footnotesection"/>
      </w:pPr>
      <w:r>
        <w:tab/>
        <w:t xml:space="preserve">[Regulation 15 inserted in Gazette 30 Aug 1991 p. 4555.] </w:t>
      </w:r>
    </w:p>
    <w:p>
      <w:pPr>
        <w:pStyle w:val="Heading2"/>
      </w:pPr>
      <w:bookmarkStart w:id="524" w:name="_Toc75588390"/>
      <w:bookmarkStart w:id="525" w:name="_Toc76894937"/>
      <w:bookmarkStart w:id="526" w:name="_Toc85279822"/>
      <w:bookmarkStart w:id="527" w:name="_Toc88903684"/>
      <w:bookmarkStart w:id="528" w:name="_Toc88962273"/>
      <w:bookmarkStart w:id="529" w:name="_Toc94320196"/>
      <w:bookmarkStart w:id="530" w:name="_Toc94331032"/>
      <w:bookmarkStart w:id="531" w:name="_Toc94331144"/>
      <w:bookmarkStart w:id="532" w:name="_Toc94428628"/>
      <w:bookmarkStart w:id="533" w:name="_Toc97455607"/>
      <w:bookmarkStart w:id="534" w:name="_Toc97457398"/>
      <w:bookmarkStart w:id="535" w:name="_Toc97630195"/>
      <w:bookmarkStart w:id="536" w:name="_Toc98053340"/>
      <w:bookmarkStart w:id="537" w:name="_Toc99962326"/>
      <w:bookmarkStart w:id="538" w:name="_Toc122159424"/>
      <w:bookmarkStart w:id="539" w:name="_Toc122232748"/>
      <w:bookmarkStart w:id="540" w:name="_Toc122232924"/>
      <w:bookmarkStart w:id="541" w:name="_Toc147220558"/>
      <w:bookmarkStart w:id="542" w:name="_Toc147223911"/>
      <w:bookmarkStart w:id="543" w:name="_Toc165444946"/>
      <w:bookmarkStart w:id="544" w:name="_Toc170557726"/>
      <w:bookmarkStart w:id="545" w:name="_Toc170795117"/>
      <w:bookmarkStart w:id="546" w:name="_Toc172709217"/>
      <w:bookmarkStart w:id="547" w:name="_Toc172964701"/>
      <w:bookmarkStart w:id="548" w:name="_Toc174158418"/>
      <w:bookmarkStart w:id="549" w:name="_Toc174358971"/>
      <w:bookmarkStart w:id="550" w:name="_Toc174518562"/>
      <w:bookmarkStart w:id="551" w:name="_Toc176170507"/>
      <w:bookmarkStart w:id="552" w:name="_Toc181431066"/>
      <w:bookmarkStart w:id="553" w:name="_Toc181497522"/>
      <w:bookmarkStart w:id="554" w:name="_Toc202254189"/>
      <w:bookmarkStart w:id="555" w:name="_Toc267572104"/>
      <w:bookmarkStart w:id="556" w:name="_Toc281461013"/>
      <w:bookmarkStart w:id="557" w:name="_Toc318383331"/>
      <w:bookmarkStart w:id="558" w:name="_Toc318383451"/>
      <w:bookmarkStart w:id="559" w:name="_Toc324153567"/>
      <w:r>
        <w:rPr>
          <w:rStyle w:val="CharPartNo"/>
        </w:rPr>
        <w:t>Part 7</w:t>
      </w:r>
      <w:r>
        <w:rPr>
          <w:rStyle w:val="CharDivNo"/>
        </w:rPr>
        <w:t> </w:t>
      </w:r>
      <w:r>
        <w:t>—</w:t>
      </w:r>
      <w:r>
        <w:rPr>
          <w:rStyle w:val="CharDivText"/>
        </w:rPr>
        <w:t> </w:t>
      </w:r>
      <w:r>
        <w:rPr>
          <w:rStyle w:val="CharPartText"/>
        </w:rPr>
        <w:t>Anti</w:t>
      </w:r>
      <w:r>
        <w:rPr>
          <w:rStyle w:val="CharPartText"/>
        </w:rPr>
        <w:noBreakHyphen/>
        <w:t>fouling paint</w:t>
      </w:r>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r>
        <w:rPr>
          <w:rStyle w:val="CharPartText"/>
        </w:rPr>
        <w:t xml:space="preserve"> </w:t>
      </w:r>
    </w:p>
    <w:p>
      <w:pPr>
        <w:pStyle w:val="Footnoteheading"/>
        <w:rPr>
          <w:snapToGrid w:val="0"/>
        </w:rPr>
      </w:pPr>
      <w:r>
        <w:rPr>
          <w:snapToGrid w:val="0"/>
        </w:rPr>
        <w:tab/>
        <w:t xml:space="preserve">[Heading inserted in Gazette 13 Sep 1996 p. 4545.] </w:t>
      </w:r>
    </w:p>
    <w:p>
      <w:pPr>
        <w:pStyle w:val="Heading5"/>
        <w:rPr>
          <w:snapToGrid w:val="0"/>
        </w:rPr>
      </w:pPr>
      <w:bookmarkStart w:id="560" w:name="_Toc448822586"/>
      <w:bookmarkStart w:id="561" w:name="_Toc448822712"/>
      <w:bookmarkStart w:id="562" w:name="_Toc503260585"/>
      <w:bookmarkStart w:id="563" w:name="_Toc12076688"/>
      <w:bookmarkStart w:id="564" w:name="_Toc12952204"/>
      <w:bookmarkStart w:id="565" w:name="_Toc122232925"/>
      <w:bookmarkStart w:id="566" w:name="_Toc324153568"/>
      <w:bookmarkStart w:id="567" w:name="_Toc318383452"/>
      <w:r>
        <w:rPr>
          <w:rStyle w:val="CharSectno"/>
        </w:rPr>
        <w:t>16</w:t>
      </w:r>
      <w:r>
        <w:rPr>
          <w:snapToGrid w:val="0"/>
        </w:rPr>
        <w:t>.</w:t>
      </w:r>
      <w:r>
        <w:rPr>
          <w:snapToGrid w:val="0"/>
        </w:rPr>
        <w:tab/>
        <w:t>Control of organotin anti</w:t>
      </w:r>
      <w:r>
        <w:rPr>
          <w:snapToGrid w:val="0"/>
        </w:rPr>
        <w:noBreakHyphen/>
        <w:t>fouling paint</w:t>
      </w:r>
      <w:bookmarkEnd w:id="560"/>
      <w:bookmarkEnd w:id="561"/>
      <w:bookmarkEnd w:id="562"/>
      <w:bookmarkEnd w:id="563"/>
      <w:bookmarkEnd w:id="564"/>
      <w:bookmarkEnd w:id="565"/>
      <w:bookmarkEnd w:id="566"/>
      <w:bookmarkEnd w:id="567"/>
      <w:r>
        <w:rPr>
          <w:snapToGrid w:val="0"/>
        </w:rPr>
        <w:t xml:space="preserve"> </w:t>
      </w:r>
    </w:p>
    <w:p>
      <w:pPr>
        <w:pStyle w:val="Subsection"/>
        <w:rPr>
          <w:snapToGrid w:val="0"/>
        </w:rPr>
      </w:pPr>
      <w:r>
        <w:rPr>
          <w:snapToGrid w:val="0"/>
        </w:rPr>
        <w:tab/>
        <w:t>(1)</w:t>
      </w:r>
      <w:r>
        <w:rPr>
          <w:snapToGrid w:val="0"/>
        </w:rPr>
        <w:tab/>
        <w:t>On and from 1 November 1991, a person shall not apply organotin anti</w:t>
      </w:r>
      <w:r>
        <w:rPr>
          <w:snapToGrid w:val="0"/>
        </w:rPr>
        <w:noBreakHyphen/>
        <w:t>fouling paint to, or cause or permit such paint to be applied to — </w:t>
      </w:r>
    </w:p>
    <w:p>
      <w:pPr>
        <w:pStyle w:val="Indenta"/>
        <w:rPr>
          <w:snapToGrid w:val="0"/>
        </w:rPr>
      </w:pPr>
      <w:r>
        <w:rPr>
          <w:snapToGrid w:val="0"/>
        </w:rPr>
        <w:tab/>
        <w:t>(a)</w:t>
      </w:r>
      <w:r>
        <w:rPr>
          <w:snapToGrid w:val="0"/>
        </w:rPr>
        <w:tab/>
        <w:t>a piling, pier, buoy, mooring or other structure in an enclosed water body or a semi</w:t>
      </w:r>
      <w:r>
        <w:rPr>
          <w:snapToGrid w:val="0"/>
        </w:rPr>
        <w:noBreakHyphen/>
        <w:t>enclosed water body;</w:t>
      </w:r>
    </w:p>
    <w:p>
      <w:pPr>
        <w:pStyle w:val="Indenta"/>
        <w:rPr>
          <w:snapToGrid w:val="0"/>
        </w:rPr>
      </w:pPr>
      <w:r>
        <w:rPr>
          <w:snapToGrid w:val="0"/>
        </w:rPr>
        <w:tab/>
        <w:t>(b)</w:t>
      </w:r>
      <w:r>
        <w:rPr>
          <w:snapToGrid w:val="0"/>
        </w:rPr>
        <w:tab/>
        <w:t>a vessel that is 25 metres or less in length; or</w:t>
      </w:r>
    </w:p>
    <w:p>
      <w:pPr>
        <w:pStyle w:val="Indenta"/>
        <w:rPr>
          <w:snapToGrid w:val="0"/>
        </w:rPr>
      </w:pPr>
      <w:r>
        <w:rPr>
          <w:snapToGrid w:val="0"/>
        </w:rPr>
        <w:tab/>
        <w:t>(c)</w:t>
      </w:r>
      <w:r>
        <w:rPr>
          <w:snapToGrid w:val="0"/>
        </w:rPr>
        <w:tab/>
        <w:t>a vessel that is more than 25 metres in length, unless the paint has been formulated so that in respect of each square centimetre of surface to which it is applied — </w:t>
      </w:r>
    </w:p>
    <w:p>
      <w:pPr>
        <w:pStyle w:val="Indenti"/>
        <w:rPr>
          <w:snapToGrid w:val="0"/>
        </w:rPr>
      </w:pPr>
      <w:r>
        <w:rPr>
          <w:snapToGrid w:val="0"/>
        </w:rPr>
        <w:tab/>
        <w:t>(i)</w:t>
      </w:r>
      <w:r>
        <w:rPr>
          <w:snapToGrid w:val="0"/>
        </w:rPr>
        <w:tab/>
        <w:t>not more than 210 micrograms of organotin are released during the first 14 days after the application of the paint; and</w:t>
      </w:r>
    </w:p>
    <w:p>
      <w:pPr>
        <w:pStyle w:val="Indenti"/>
        <w:rPr>
          <w:snapToGrid w:val="0"/>
        </w:rPr>
      </w:pPr>
      <w:r>
        <w:rPr>
          <w:snapToGrid w:val="0"/>
        </w:rPr>
        <w:tab/>
        <w:t>(ii)</w:t>
      </w:r>
      <w:r>
        <w:rPr>
          <w:snapToGrid w:val="0"/>
        </w:rPr>
        <w:tab/>
        <w:t>not more than 5 micrograms of organotin are released during each subsequent day.</w:t>
      </w:r>
    </w:p>
    <w:p>
      <w:pPr>
        <w:pStyle w:val="Penstart"/>
        <w:rPr>
          <w:snapToGrid w:val="0"/>
        </w:rPr>
      </w:pPr>
      <w:r>
        <w:rPr>
          <w:snapToGrid w:val="0"/>
        </w:rPr>
        <w:tab/>
      </w:r>
      <w:r>
        <w:t>Penalty: $5 000.</w:t>
      </w:r>
    </w:p>
    <w:p>
      <w:pPr>
        <w:pStyle w:val="Subsection"/>
        <w:rPr>
          <w:snapToGrid w:val="0"/>
        </w:rPr>
      </w:pPr>
      <w:r>
        <w:rPr>
          <w:snapToGrid w:val="0"/>
        </w:rPr>
        <w:tab/>
        <w:t>(2)</w:t>
      </w:r>
      <w:r>
        <w:rPr>
          <w:snapToGrid w:val="0"/>
        </w:rPr>
        <w:tab/>
        <w:t>On and from 1 September 1991, a person shall not sell organotin anti</w:t>
      </w:r>
      <w:r>
        <w:rPr>
          <w:snapToGrid w:val="0"/>
        </w:rPr>
        <w:noBreakHyphen/>
        <w:t>fouling paint that is formulated other than as described in subregulation (1)(c).</w:t>
      </w:r>
    </w:p>
    <w:p>
      <w:pPr>
        <w:pStyle w:val="Penstart"/>
        <w:rPr>
          <w:snapToGrid w:val="0"/>
        </w:rPr>
      </w:pPr>
      <w:r>
        <w:tab/>
        <w:t>Penalty: $5 000.</w:t>
      </w:r>
    </w:p>
    <w:p>
      <w:pPr>
        <w:pStyle w:val="Subsection"/>
        <w:rPr>
          <w:snapToGrid w:val="0"/>
        </w:rPr>
      </w:pPr>
      <w:r>
        <w:rPr>
          <w:snapToGrid w:val="0"/>
        </w:rPr>
        <w:tab/>
        <w:t>(3)</w:t>
      </w:r>
      <w:r>
        <w:rPr>
          <w:snapToGrid w:val="0"/>
        </w:rPr>
        <w:tab/>
        <w:t>On and from 1 September 1991, a person who has a container containing organotin anti</w:t>
      </w:r>
      <w:r>
        <w:rPr>
          <w:snapToGrid w:val="0"/>
        </w:rPr>
        <w:noBreakHyphen/>
        <w:t>fouling paint shall ensure that it has a clearly readable label with the words “NOT TO BE APPLIED TO VESSELS 25 METRES OR LESS IN LENGTH”.</w:t>
      </w:r>
    </w:p>
    <w:p>
      <w:pPr>
        <w:pStyle w:val="Penstart"/>
        <w:rPr>
          <w:snapToGrid w:val="0"/>
        </w:rPr>
      </w:pPr>
      <w:r>
        <w:rPr>
          <w:snapToGrid w:val="0"/>
        </w:rPr>
        <w:tab/>
      </w:r>
      <w:r>
        <w:t>Penalty: $5 000.</w:t>
      </w:r>
    </w:p>
    <w:p>
      <w:pPr>
        <w:pStyle w:val="Subsection"/>
        <w:rPr>
          <w:snapToGrid w:val="0"/>
        </w:rPr>
      </w:pPr>
      <w:r>
        <w:rPr>
          <w:snapToGrid w:val="0"/>
        </w:rPr>
        <w:tab/>
        <w:t>(4)</w:t>
      </w:r>
      <w:r>
        <w:rPr>
          <w:snapToGrid w:val="0"/>
        </w:rPr>
        <w:tab/>
        <w:t>In this regulation — </w:t>
      </w:r>
    </w:p>
    <w:p>
      <w:pPr>
        <w:pStyle w:val="Defstart"/>
      </w:pPr>
      <w:r>
        <w:rPr>
          <w:b/>
        </w:rPr>
        <w:tab/>
      </w:r>
      <w:r>
        <w:rPr>
          <w:rStyle w:val="CharDefText"/>
        </w:rPr>
        <w:t>enclosed water body</w:t>
      </w:r>
      <w:r>
        <w:t xml:space="preserve"> means a body of water, such as a lake, not connected to the sea;</w:t>
      </w:r>
    </w:p>
    <w:p>
      <w:pPr>
        <w:pStyle w:val="Defstart"/>
      </w:pPr>
      <w:r>
        <w:rPr>
          <w:b/>
        </w:rPr>
        <w:tab/>
      </w:r>
      <w:r>
        <w:rPr>
          <w:rStyle w:val="CharDefText"/>
        </w:rPr>
        <w:t>length</w:t>
      </w:r>
      <w:r>
        <w:t xml:space="preserve"> means the hull length of a ship, boat or hovercraft or the overall length of any other vessel;</w:t>
      </w:r>
    </w:p>
    <w:p>
      <w:pPr>
        <w:pStyle w:val="Defstart"/>
      </w:pPr>
      <w:r>
        <w:rPr>
          <w:b/>
        </w:rPr>
        <w:tab/>
      </w:r>
      <w:r>
        <w:rPr>
          <w:rStyle w:val="CharDefText"/>
        </w:rPr>
        <w:t>organotin anti</w:t>
      </w:r>
      <w:r>
        <w:rPr>
          <w:rStyle w:val="CharDefText"/>
        </w:rPr>
        <w:noBreakHyphen/>
        <w:t>fouling paint</w:t>
      </w:r>
      <w:r>
        <w:t xml:space="preserve"> means a coating, paint or treatment that contains an organic derivative of tin;</w:t>
      </w:r>
    </w:p>
    <w:p>
      <w:pPr>
        <w:pStyle w:val="Defstart"/>
      </w:pPr>
      <w:r>
        <w:rPr>
          <w:b/>
        </w:rPr>
        <w:tab/>
      </w:r>
      <w:r>
        <w:rPr>
          <w:rStyle w:val="CharDefText"/>
        </w:rPr>
        <w:t>semi</w:t>
      </w:r>
      <w:r>
        <w:rPr>
          <w:rStyle w:val="CharDefText"/>
        </w:rPr>
        <w:noBreakHyphen/>
        <w:t>enclosed water body</w:t>
      </w:r>
      <w:r>
        <w:t xml:space="preserve"> means a partially enclosed coastal water, such as an estuary, river, port, harbour, bay, marina or yacht club;</w:t>
      </w:r>
    </w:p>
    <w:p>
      <w:pPr>
        <w:pStyle w:val="Defstart"/>
      </w:pPr>
      <w:r>
        <w:rPr>
          <w:b/>
        </w:rPr>
        <w:tab/>
      </w:r>
      <w:r>
        <w:rPr>
          <w:rStyle w:val="CharDefText"/>
        </w:rPr>
        <w:t>vessel</w:t>
      </w:r>
      <w:r>
        <w:t xml:space="preserve"> means any ship, boat, hovercraft or hulk and any vehicle, whether floating or submersible and whether self</w:t>
      </w:r>
      <w:r>
        <w:noBreakHyphen/>
        <w:t xml:space="preserve">propelled or not, that is capable of being used in or on water. </w:t>
      </w:r>
    </w:p>
    <w:p>
      <w:pPr>
        <w:pStyle w:val="Footnotesection"/>
      </w:pPr>
      <w:r>
        <w:tab/>
        <w:t>[Regulation 16 inserted in Gazette 30 Aug 1991 p. 4553</w:t>
      </w:r>
      <w:r>
        <w:noBreakHyphen/>
        <w:t xml:space="preserve">4; amended in Gazette 11 Dec 1998 p. 6600.] </w:t>
      </w:r>
    </w:p>
    <w:p>
      <w:pPr>
        <w:pStyle w:val="Heading2"/>
      </w:pPr>
      <w:bookmarkStart w:id="568" w:name="_Toc75588392"/>
      <w:bookmarkStart w:id="569" w:name="_Toc76894939"/>
      <w:bookmarkStart w:id="570" w:name="_Toc85279824"/>
      <w:bookmarkStart w:id="571" w:name="_Toc88903686"/>
      <w:bookmarkStart w:id="572" w:name="_Toc88962275"/>
      <w:bookmarkStart w:id="573" w:name="_Toc94320198"/>
      <w:bookmarkStart w:id="574" w:name="_Toc94331034"/>
      <w:bookmarkStart w:id="575" w:name="_Toc94331146"/>
      <w:bookmarkStart w:id="576" w:name="_Toc94428630"/>
      <w:bookmarkStart w:id="577" w:name="_Toc97455609"/>
      <w:bookmarkStart w:id="578" w:name="_Toc97457400"/>
      <w:bookmarkStart w:id="579" w:name="_Toc97630197"/>
      <w:bookmarkStart w:id="580" w:name="_Toc98053342"/>
      <w:bookmarkStart w:id="581" w:name="_Toc99962328"/>
      <w:bookmarkStart w:id="582" w:name="_Toc122159426"/>
      <w:bookmarkStart w:id="583" w:name="_Toc122232750"/>
      <w:bookmarkStart w:id="584" w:name="_Toc122232926"/>
      <w:bookmarkStart w:id="585" w:name="_Toc147220560"/>
      <w:bookmarkStart w:id="586" w:name="_Toc147223913"/>
      <w:bookmarkStart w:id="587" w:name="_Toc165444948"/>
      <w:bookmarkStart w:id="588" w:name="_Toc170557728"/>
      <w:bookmarkStart w:id="589" w:name="_Toc170795119"/>
      <w:bookmarkStart w:id="590" w:name="_Toc172709219"/>
      <w:bookmarkStart w:id="591" w:name="_Toc172964703"/>
      <w:bookmarkStart w:id="592" w:name="_Toc174158420"/>
      <w:bookmarkStart w:id="593" w:name="_Toc174358973"/>
      <w:bookmarkStart w:id="594" w:name="_Toc174518564"/>
      <w:bookmarkStart w:id="595" w:name="_Toc176170509"/>
      <w:bookmarkStart w:id="596" w:name="_Toc181431068"/>
      <w:bookmarkStart w:id="597" w:name="_Toc181497524"/>
      <w:bookmarkStart w:id="598" w:name="_Toc202254191"/>
      <w:bookmarkStart w:id="599" w:name="_Toc267572106"/>
      <w:bookmarkStart w:id="600" w:name="_Toc281461015"/>
      <w:bookmarkStart w:id="601" w:name="_Toc318383333"/>
      <w:bookmarkStart w:id="602" w:name="_Toc318383453"/>
      <w:bookmarkStart w:id="603" w:name="_Toc324153569"/>
      <w:r>
        <w:rPr>
          <w:rStyle w:val="CharPartNo"/>
        </w:rPr>
        <w:t>Part 7A</w:t>
      </w:r>
      <w:r>
        <w:t> — </w:t>
      </w:r>
      <w:r>
        <w:rPr>
          <w:rStyle w:val="CharPartText"/>
        </w:rPr>
        <w:t>Burning on development sites</w:t>
      </w:r>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p>
    <w:p>
      <w:pPr>
        <w:pStyle w:val="Footnoteheading"/>
      </w:pPr>
      <w:r>
        <w:tab/>
        <w:t>[Heading inserted in Gazette 19 Dec 2000 p. 7283.]</w:t>
      </w:r>
    </w:p>
    <w:p>
      <w:pPr>
        <w:pStyle w:val="Heading5"/>
      </w:pPr>
      <w:bookmarkStart w:id="604" w:name="_Toc503260586"/>
      <w:bookmarkStart w:id="605" w:name="_Toc12076689"/>
      <w:bookmarkStart w:id="606" w:name="_Toc12952205"/>
      <w:bookmarkStart w:id="607" w:name="_Toc122232927"/>
      <w:bookmarkStart w:id="608" w:name="_Toc324153570"/>
      <w:bookmarkStart w:id="609" w:name="_Toc318383454"/>
      <w:r>
        <w:rPr>
          <w:rStyle w:val="CharSectno"/>
        </w:rPr>
        <w:t>16A</w:t>
      </w:r>
      <w:r>
        <w:t>.</w:t>
      </w:r>
      <w:r>
        <w:tab/>
      </w:r>
      <w:bookmarkEnd w:id="604"/>
      <w:bookmarkEnd w:id="605"/>
      <w:bookmarkEnd w:id="606"/>
      <w:bookmarkEnd w:id="607"/>
      <w:r>
        <w:t>Terms used in this Part</w:t>
      </w:r>
      <w:bookmarkEnd w:id="608"/>
      <w:bookmarkEnd w:id="609"/>
    </w:p>
    <w:p>
      <w:pPr>
        <w:pStyle w:val="Subsection"/>
      </w:pPr>
      <w:r>
        <w:tab/>
      </w:r>
      <w:r>
        <w:tab/>
        <w:t>In this Part —</w:t>
      </w:r>
    </w:p>
    <w:p>
      <w:pPr>
        <w:pStyle w:val="Defstart"/>
      </w:pPr>
      <w:r>
        <w:tab/>
      </w:r>
      <w:r>
        <w:rPr>
          <w:rStyle w:val="CharDefText"/>
        </w:rPr>
        <w:t>development site</w:t>
      </w:r>
      <w:r>
        <w:rPr>
          <w:b/>
        </w:rPr>
        <w:t xml:space="preserve"> </w:t>
      </w:r>
      <w:r>
        <w:t>means a lot that is, or contiguous lots that are together, larger than 2 000 m</w:t>
      </w:r>
      <w:r>
        <w:rPr>
          <w:vertAlign w:val="superscript"/>
        </w:rPr>
        <w:t>2</w:t>
      </w:r>
      <w:r>
        <w:t xml:space="preserve"> and on which development work is being carried out;</w:t>
      </w:r>
    </w:p>
    <w:p>
      <w:pPr>
        <w:pStyle w:val="Defstart"/>
      </w:pPr>
      <w:r>
        <w:tab/>
      </w:r>
      <w:r>
        <w:rPr>
          <w:rStyle w:val="CharDefText"/>
        </w:rPr>
        <w:t>development work</w:t>
      </w:r>
      <w:r>
        <w:t xml:space="preserve"> means work to develop land for use, including —</w:t>
      </w:r>
    </w:p>
    <w:p>
      <w:pPr>
        <w:pStyle w:val="Defpara"/>
      </w:pPr>
      <w:r>
        <w:tab/>
        <w:t>(a)</w:t>
      </w:r>
      <w:r>
        <w:tab/>
        <w:t>the clearing of vegetation or topsoil;</w:t>
      </w:r>
    </w:p>
    <w:p>
      <w:pPr>
        <w:pStyle w:val="Defpara"/>
      </w:pPr>
      <w:r>
        <w:tab/>
        <w:t>(b)</w:t>
      </w:r>
      <w:r>
        <w:tab/>
        <w:t>recontouring or other bulk earthworks; or</w:t>
      </w:r>
    </w:p>
    <w:p>
      <w:pPr>
        <w:pStyle w:val="Defpara"/>
      </w:pPr>
      <w:r>
        <w:tab/>
        <w:t>(c)</w:t>
      </w:r>
      <w:r>
        <w:tab/>
        <w:t>trench or road construction;</w:t>
      </w:r>
    </w:p>
    <w:p>
      <w:pPr>
        <w:pStyle w:val="Defstart"/>
      </w:pPr>
      <w:r>
        <w:tab/>
      </w:r>
      <w:r>
        <w:rPr>
          <w:rStyle w:val="CharDefText"/>
        </w:rPr>
        <w:t>lot</w:t>
      </w:r>
      <w:r>
        <w:t xml:space="preserve"> has the meaning given by the </w:t>
      </w:r>
      <w:r>
        <w:rPr>
          <w:i/>
          <w:iCs/>
        </w:rPr>
        <w:t>Planning and Development Act 2005</w:t>
      </w:r>
      <w:r>
        <w:t>.</w:t>
      </w:r>
    </w:p>
    <w:p>
      <w:pPr>
        <w:pStyle w:val="Footnotesection"/>
      </w:pPr>
      <w:r>
        <w:tab/>
        <w:t>[Regulation 16A inserted in Gazette 19 Dec 2000 p. 7283; amended in Gazette 29 Sep 2006 p. 4261.]</w:t>
      </w:r>
    </w:p>
    <w:p>
      <w:pPr>
        <w:pStyle w:val="Heading5"/>
      </w:pPr>
      <w:bookmarkStart w:id="610" w:name="_Toc503260587"/>
      <w:bookmarkStart w:id="611" w:name="_Toc12076690"/>
      <w:bookmarkStart w:id="612" w:name="_Toc12952206"/>
      <w:bookmarkStart w:id="613" w:name="_Toc122232928"/>
      <w:bookmarkStart w:id="614" w:name="_Toc324153571"/>
      <w:bookmarkStart w:id="615" w:name="_Toc318383455"/>
      <w:r>
        <w:rPr>
          <w:rStyle w:val="CharSectno"/>
        </w:rPr>
        <w:t>16B</w:t>
      </w:r>
      <w:r>
        <w:t>.</w:t>
      </w:r>
      <w:r>
        <w:tab/>
        <w:t>Burning on development sites prohibited in certain areas</w:t>
      </w:r>
      <w:bookmarkEnd w:id="610"/>
      <w:bookmarkEnd w:id="611"/>
      <w:bookmarkEnd w:id="612"/>
      <w:bookmarkEnd w:id="613"/>
      <w:bookmarkEnd w:id="614"/>
      <w:bookmarkEnd w:id="615"/>
    </w:p>
    <w:p>
      <w:pPr>
        <w:pStyle w:val="Subsection"/>
      </w:pPr>
      <w:r>
        <w:tab/>
      </w:r>
      <w:r>
        <w:tab/>
        <w:t>A person who, in an area prescribed in Schedule 5A, burns, or causes or allows to be burned, vegetation or other matter on or from a development site commits an offence unless —</w:t>
      </w:r>
    </w:p>
    <w:p>
      <w:pPr>
        <w:pStyle w:val="Indenta"/>
      </w:pPr>
      <w:r>
        <w:tab/>
        <w:t>(a)</w:t>
      </w:r>
      <w:r>
        <w:tab/>
        <w:t>the person is a public authority and the burning is done in the exercise of a function conferred by a written law; or</w:t>
      </w:r>
    </w:p>
    <w:p>
      <w:pPr>
        <w:pStyle w:val="Indenta"/>
      </w:pPr>
      <w:r>
        <w:tab/>
        <w:t>(b)</w:t>
      </w:r>
      <w:r>
        <w:tab/>
        <w:t>the burning is carried out for agricultural purposes.</w:t>
      </w:r>
    </w:p>
    <w:p>
      <w:pPr>
        <w:pStyle w:val="Penstart"/>
      </w:pPr>
      <w:r>
        <w:tab/>
        <w:t>Penalty: $5 000.</w:t>
      </w:r>
    </w:p>
    <w:p>
      <w:pPr>
        <w:pStyle w:val="Footnotesection"/>
      </w:pPr>
      <w:r>
        <w:tab/>
        <w:t>[Regulation 16B inserted in Gazette 19 Dec 2000 p. 7284.]</w:t>
      </w:r>
    </w:p>
    <w:p>
      <w:pPr>
        <w:pStyle w:val="Heading2"/>
      </w:pPr>
      <w:bookmarkStart w:id="616" w:name="_Toc75588395"/>
      <w:bookmarkStart w:id="617" w:name="_Toc76894942"/>
      <w:bookmarkStart w:id="618" w:name="_Toc85279827"/>
      <w:bookmarkStart w:id="619" w:name="_Toc88903689"/>
      <w:bookmarkStart w:id="620" w:name="_Toc88962278"/>
      <w:bookmarkStart w:id="621" w:name="_Toc94320201"/>
      <w:bookmarkStart w:id="622" w:name="_Toc94331037"/>
      <w:bookmarkStart w:id="623" w:name="_Toc94331149"/>
      <w:bookmarkStart w:id="624" w:name="_Toc94428633"/>
      <w:bookmarkStart w:id="625" w:name="_Toc97455612"/>
      <w:bookmarkStart w:id="626" w:name="_Toc97457403"/>
      <w:bookmarkStart w:id="627" w:name="_Toc97630200"/>
      <w:bookmarkStart w:id="628" w:name="_Toc98053345"/>
      <w:bookmarkStart w:id="629" w:name="_Toc99962331"/>
      <w:bookmarkStart w:id="630" w:name="_Toc122159429"/>
      <w:bookmarkStart w:id="631" w:name="_Toc122232753"/>
      <w:bookmarkStart w:id="632" w:name="_Toc122232929"/>
      <w:bookmarkStart w:id="633" w:name="_Toc147220563"/>
      <w:bookmarkStart w:id="634" w:name="_Toc147223916"/>
      <w:bookmarkStart w:id="635" w:name="_Toc165444951"/>
      <w:bookmarkStart w:id="636" w:name="_Toc170557731"/>
      <w:bookmarkStart w:id="637" w:name="_Toc170795122"/>
      <w:bookmarkStart w:id="638" w:name="_Toc172709222"/>
      <w:bookmarkStart w:id="639" w:name="_Toc172964706"/>
      <w:bookmarkStart w:id="640" w:name="_Toc174158423"/>
      <w:bookmarkStart w:id="641" w:name="_Toc174358976"/>
      <w:bookmarkStart w:id="642" w:name="_Toc174518567"/>
      <w:bookmarkStart w:id="643" w:name="_Toc176170512"/>
      <w:bookmarkStart w:id="644" w:name="_Toc181431071"/>
      <w:bookmarkStart w:id="645" w:name="_Toc181497527"/>
      <w:bookmarkStart w:id="646" w:name="_Toc202254194"/>
      <w:bookmarkStart w:id="647" w:name="_Toc267572109"/>
      <w:bookmarkStart w:id="648" w:name="_Toc281461018"/>
      <w:bookmarkStart w:id="649" w:name="_Toc318383336"/>
      <w:bookmarkStart w:id="650" w:name="_Toc318383456"/>
      <w:bookmarkStart w:id="651" w:name="_Toc324153572"/>
      <w:r>
        <w:rPr>
          <w:rStyle w:val="CharPartNo"/>
        </w:rPr>
        <w:t>Part 8</w:t>
      </w:r>
      <w:r>
        <w:t xml:space="preserve"> — </w:t>
      </w:r>
      <w:r>
        <w:rPr>
          <w:rStyle w:val="CharPartText"/>
        </w:rPr>
        <w:t>Monitoring</w:t>
      </w:r>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p>
    <w:p>
      <w:pPr>
        <w:pStyle w:val="Footnoteheading"/>
        <w:rPr>
          <w:snapToGrid w:val="0"/>
        </w:rPr>
      </w:pPr>
      <w:r>
        <w:rPr>
          <w:snapToGrid w:val="0"/>
        </w:rPr>
        <w:tab/>
        <w:t xml:space="preserve">[Heading inserted in Gazette 5 Jan 2001 p. 115.] </w:t>
      </w:r>
    </w:p>
    <w:p>
      <w:pPr>
        <w:pStyle w:val="Heading5"/>
      </w:pPr>
      <w:bookmarkStart w:id="652" w:name="_Toc503260588"/>
      <w:bookmarkStart w:id="653" w:name="_Toc12076691"/>
      <w:bookmarkStart w:id="654" w:name="_Toc12952207"/>
      <w:bookmarkStart w:id="655" w:name="_Toc122232930"/>
      <w:bookmarkStart w:id="656" w:name="_Toc324153573"/>
      <w:bookmarkStart w:id="657" w:name="_Toc318383457"/>
      <w:r>
        <w:rPr>
          <w:rStyle w:val="CharSectno"/>
        </w:rPr>
        <w:t>17</w:t>
      </w:r>
      <w:r>
        <w:t>.</w:t>
      </w:r>
      <w:r>
        <w:tab/>
      </w:r>
      <w:bookmarkEnd w:id="652"/>
      <w:bookmarkEnd w:id="653"/>
      <w:bookmarkEnd w:id="654"/>
      <w:bookmarkEnd w:id="655"/>
      <w:r>
        <w:t>Terms used in this Part</w:t>
      </w:r>
      <w:bookmarkEnd w:id="656"/>
      <w:bookmarkEnd w:id="657"/>
    </w:p>
    <w:p>
      <w:pPr>
        <w:pStyle w:val="Subsection"/>
      </w:pPr>
      <w:r>
        <w:tab/>
      </w:r>
      <w:r>
        <w:tab/>
        <w:t>In this Part, unless the contrary intention appears —</w:t>
      </w:r>
    </w:p>
    <w:p>
      <w:pPr>
        <w:pStyle w:val="Defstart"/>
      </w:pPr>
      <w:r>
        <w:tab/>
      </w:r>
      <w:r>
        <w:rPr>
          <w:rStyle w:val="CharDefText"/>
        </w:rPr>
        <w:t>approved monitoring equipment</w:t>
      </w:r>
      <w:r>
        <w:t xml:space="preserve"> means monitoring equipment that has been approved by the Chief Executive Officer under regulation 20F;</w:t>
      </w:r>
    </w:p>
    <w:p>
      <w:pPr>
        <w:pStyle w:val="Defstart"/>
      </w:pPr>
      <w:r>
        <w:tab/>
      </w:r>
      <w:r>
        <w:rPr>
          <w:rStyle w:val="CharDefText"/>
        </w:rPr>
        <w:t>specified monitoring programme</w:t>
      </w:r>
      <w:r>
        <w:t xml:space="preserve"> means a monitoring programme specified by the Chief Executive Officer in a works approval or a licence.</w:t>
      </w:r>
    </w:p>
    <w:p>
      <w:pPr>
        <w:pStyle w:val="Footnotesection"/>
      </w:pPr>
      <w:r>
        <w:tab/>
        <w:t>[Regulation 17 inserted in Gazette 5 Jan 2001 p. 115.]</w:t>
      </w:r>
    </w:p>
    <w:p>
      <w:pPr>
        <w:pStyle w:val="Heading5"/>
      </w:pPr>
      <w:bookmarkStart w:id="658" w:name="_Toc503260589"/>
      <w:bookmarkStart w:id="659" w:name="_Toc12076692"/>
      <w:bookmarkStart w:id="660" w:name="_Toc12952208"/>
      <w:bookmarkStart w:id="661" w:name="_Toc122232931"/>
      <w:bookmarkStart w:id="662" w:name="_Toc324153574"/>
      <w:bookmarkStart w:id="663" w:name="_Toc318383458"/>
      <w:r>
        <w:rPr>
          <w:rStyle w:val="CharSectno"/>
        </w:rPr>
        <w:t>18</w:t>
      </w:r>
      <w:r>
        <w:t>.</w:t>
      </w:r>
      <w:r>
        <w:tab/>
        <w:t xml:space="preserve">Prescribed conditions for a works approval or </w:t>
      </w:r>
      <w:bookmarkEnd w:id="658"/>
      <w:r>
        <w:t>licence</w:t>
      </w:r>
      <w:bookmarkEnd w:id="659"/>
      <w:bookmarkEnd w:id="660"/>
      <w:bookmarkEnd w:id="661"/>
      <w:bookmarkEnd w:id="662"/>
      <w:bookmarkEnd w:id="663"/>
    </w:p>
    <w:p>
      <w:pPr>
        <w:pStyle w:val="Subsection"/>
      </w:pPr>
      <w:r>
        <w:tab/>
      </w:r>
      <w:r>
        <w:tab/>
        <w:t>There is prescribed for the purposes of section 62(1)(h) of the Act as a condition of a works approval or licence the condition that if the Chief Executive Officer certifies that the results of a specified monitoring programme or measurements taken for the purposes of a specified monitoring programme may be relevant to determining whether or not there has been a breach of the Act or regulations made under the Act —</w:t>
      </w:r>
    </w:p>
    <w:p>
      <w:pPr>
        <w:pStyle w:val="Indenta"/>
      </w:pPr>
      <w:r>
        <w:tab/>
        <w:t>(a)</w:t>
      </w:r>
      <w:r>
        <w:tab/>
        <w:t>then monitoring equipment used for the purposes of a specified monitoring programme is to be approved monitoring equipment; and</w:t>
      </w:r>
    </w:p>
    <w:p>
      <w:pPr>
        <w:pStyle w:val="Indenta"/>
      </w:pPr>
      <w:r>
        <w:tab/>
        <w:t>(b)</w:t>
      </w:r>
      <w:r>
        <w:tab/>
        <w:t>then any measurement taken for the purpose of the specified monitoring programme is to be taken with approved monitoring equipment.</w:t>
      </w:r>
    </w:p>
    <w:p>
      <w:pPr>
        <w:pStyle w:val="Footnotesection"/>
      </w:pPr>
      <w:r>
        <w:tab/>
        <w:t>[Regulation 18 inserted in Gazette 5 Jan 2001 p. 115</w:t>
      </w:r>
      <w:r>
        <w:noBreakHyphen/>
        <w:t>16.]</w:t>
      </w:r>
    </w:p>
    <w:p>
      <w:pPr>
        <w:pStyle w:val="Heading5"/>
        <w:keepLines w:val="0"/>
      </w:pPr>
      <w:bookmarkStart w:id="664" w:name="_Toc503260590"/>
      <w:bookmarkStart w:id="665" w:name="_Toc12076693"/>
      <w:bookmarkStart w:id="666" w:name="_Toc12952209"/>
      <w:bookmarkStart w:id="667" w:name="_Toc122232932"/>
      <w:bookmarkStart w:id="668" w:name="_Toc324153575"/>
      <w:bookmarkStart w:id="669" w:name="_Toc318383459"/>
      <w:r>
        <w:rPr>
          <w:rStyle w:val="CharSectno"/>
        </w:rPr>
        <w:t>19</w:t>
      </w:r>
      <w:r>
        <w:t>.</w:t>
      </w:r>
      <w:r>
        <w:tab/>
        <w:t>Approved monitoring equipment to be used in specified monitoring programme</w:t>
      </w:r>
      <w:bookmarkEnd w:id="664"/>
      <w:bookmarkEnd w:id="665"/>
      <w:bookmarkEnd w:id="666"/>
      <w:bookmarkEnd w:id="667"/>
      <w:bookmarkEnd w:id="668"/>
      <w:bookmarkEnd w:id="669"/>
    </w:p>
    <w:p>
      <w:pPr>
        <w:pStyle w:val="Subsection"/>
        <w:keepNext/>
      </w:pPr>
      <w:r>
        <w:tab/>
      </w:r>
      <w:r>
        <w:tab/>
        <w:t>A person who —</w:t>
      </w:r>
    </w:p>
    <w:p>
      <w:pPr>
        <w:pStyle w:val="Indenta"/>
        <w:keepNext/>
      </w:pPr>
      <w:r>
        <w:tab/>
        <w:t>(a)</w:t>
      </w:r>
      <w:r>
        <w:tab/>
        <w:t>is required by a works approval or licence to carry out a specified monitoring programme with approved monitoring equipment; and</w:t>
      </w:r>
    </w:p>
    <w:p>
      <w:pPr>
        <w:pStyle w:val="Indenta"/>
      </w:pPr>
      <w:r>
        <w:tab/>
        <w:t>(b)</w:t>
      </w:r>
      <w:r>
        <w:tab/>
        <w:t>does not use approved monitoring equipment for the purpose of carrying out that monitoring programme,</w:t>
      </w:r>
    </w:p>
    <w:p>
      <w:pPr>
        <w:pStyle w:val="Subsection"/>
      </w:pPr>
      <w:r>
        <w:tab/>
      </w:r>
      <w:r>
        <w:tab/>
        <w:t>commits an offence.</w:t>
      </w:r>
    </w:p>
    <w:p>
      <w:pPr>
        <w:pStyle w:val="Penstart"/>
      </w:pPr>
      <w:r>
        <w:tab/>
        <w:t>Penalty: $5 000.</w:t>
      </w:r>
    </w:p>
    <w:p>
      <w:pPr>
        <w:pStyle w:val="Footnotesection"/>
      </w:pPr>
      <w:r>
        <w:tab/>
        <w:t xml:space="preserve">[Regulation 19 inserted in Gazette 7 Jul 2000 p. 3678.] </w:t>
      </w:r>
    </w:p>
    <w:p>
      <w:pPr>
        <w:pStyle w:val="Heading5"/>
        <w:keepNext w:val="0"/>
        <w:keepLines w:val="0"/>
      </w:pPr>
      <w:bookmarkStart w:id="670" w:name="_Toc503260591"/>
      <w:bookmarkStart w:id="671" w:name="_Toc12076694"/>
      <w:bookmarkStart w:id="672" w:name="_Toc12952210"/>
      <w:bookmarkStart w:id="673" w:name="_Toc122232933"/>
      <w:bookmarkStart w:id="674" w:name="_Toc324153576"/>
      <w:bookmarkStart w:id="675" w:name="_Toc318383460"/>
      <w:r>
        <w:rPr>
          <w:rStyle w:val="CharSectno"/>
        </w:rPr>
        <w:t>20</w:t>
      </w:r>
      <w:r>
        <w:t>.</w:t>
      </w:r>
      <w:r>
        <w:tab/>
        <w:t>Duty to ensure that approved monitoring equipment is accurate</w:t>
      </w:r>
      <w:bookmarkEnd w:id="670"/>
      <w:bookmarkEnd w:id="671"/>
      <w:bookmarkEnd w:id="672"/>
      <w:bookmarkEnd w:id="673"/>
      <w:bookmarkEnd w:id="674"/>
      <w:bookmarkEnd w:id="675"/>
    </w:p>
    <w:p>
      <w:pPr>
        <w:pStyle w:val="Subsection"/>
      </w:pPr>
      <w:r>
        <w:tab/>
        <w:t>(1)</w:t>
      </w:r>
      <w:r>
        <w:tab/>
        <w:t>A person who —</w:t>
      </w:r>
    </w:p>
    <w:p>
      <w:pPr>
        <w:pStyle w:val="Indenta"/>
      </w:pPr>
      <w:r>
        <w:tab/>
        <w:t>(a)</w:t>
      </w:r>
      <w:r>
        <w:tab/>
        <w:t>is required by a works approval or licence to carry out a specified monitoring programme with approved monitoring equipment; and</w:t>
      </w:r>
    </w:p>
    <w:p>
      <w:pPr>
        <w:pStyle w:val="Indenta"/>
      </w:pPr>
      <w:r>
        <w:tab/>
        <w:t>(b)</w:t>
      </w:r>
      <w:r>
        <w:tab/>
        <w:t>does not ensure that any approved monitoring equipment used in that monitoring programme is operating so as to give measurements that are accurate,</w:t>
      </w:r>
    </w:p>
    <w:p>
      <w:pPr>
        <w:pStyle w:val="Subsection"/>
      </w:pPr>
      <w:r>
        <w:tab/>
      </w:r>
      <w:r>
        <w:tab/>
        <w:t>commits an offence.</w:t>
      </w:r>
    </w:p>
    <w:p>
      <w:pPr>
        <w:pStyle w:val="Penstart"/>
      </w:pPr>
      <w:r>
        <w:tab/>
        <w:t>Penalty: $5 000.</w:t>
      </w:r>
    </w:p>
    <w:p>
      <w:pPr>
        <w:pStyle w:val="Subsection"/>
      </w:pPr>
      <w:r>
        <w:tab/>
        <w:t>(2)</w:t>
      </w:r>
      <w:r>
        <w:tab/>
        <w:t>It is a defence to proceedings for an offence under subregulation (1) if the person charged with that offence proves that the person took reasonable precautions and exercised due diligence to prevent the commission of the offence.</w:t>
      </w:r>
    </w:p>
    <w:p>
      <w:pPr>
        <w:pStyle w:val="Footnotesection"/>
      </w:pPr>
      <w:r>
        <w:tab/>
        <w:t>[Regulation 20 inserted in Gazette 7 Jul 2000 p. 3678</w:t>
      </w:r>
      <w:r>
        <w:noBreakHyphen/>
        <w:t xml:space="preserve">9.] </w:t>
      </w:r>
    </w:p>
    <w:p>
      <w:pPr>
        <w:pStyle w:val="Heading5"/>
      </w:pPr>
      <w:bookmarkStart w:id="676" w:name="_Toc503260592"/>
      <w:bookmarkStart w:id="677" w:name="_Toc12076695"/>
      <w:bookmarkStart w:id="678" w:name="_Toc12952211"/>
      <w:bookmarkStart w:id="679" w:name="_Toc122232934"/>
      <w:bookmarkStart w:id="680" w:name="_Toc324153577"/>
      <w:bookmarkStart w:id="681" w:name="_Toc318383461"/>
      <w:r>
        <w:rPr>
          <w:rStyle w:val="CharSectno"/>
        </w:rPr>
        <w:t>20A</w:t>
      </w:r>
      <w:r>
        <w:t>.</w:t>
      </w:r>
      <w:r>
        <w:tab/>
        <w:t>Duty to comply with conditions of approval of monitoring equipment</w:t>
      </w:r>
      <w:bookmarkEnd w:id="676"/>
      <w:bookmarkEnd w:id="677"/>
      <w:bookmarkEnd w:id="678"/>
      <w:bookmarkEnd w:id="679"/>
      <w:bookmarkEnd w:id="680"/>
      <w:bookmarkEnd w:id="681"/>
    </w:p>
    <w:p>
      <w:pPr>
        <w:pStyle w:val="Subsection"/>
        <w:keepNext/>
      </w:pPr>
      <w:r>
        <w:tab/>
        <w:t>(1)</w:t>
      </w:r>
      <w:r>
        <w:tab/>
        <w:t>A person who —</w:t>
      </w:r>
    </w:p>
    <w:p>
      <w:pPr>
        <w:pStyle w:val="Indenta"/>
      </w:pPr>
      <w:r>
        <w:tab/>
        <w:t>(a)</w:t>
      </w:r>
      <w:r>
        <w:tab/>
        <w:t>is required by a works approval or licence to carry out a specified monitoring programme with approved monitoring equipment; and</w:t>
      </w:r>
    </w:p>
    <w:p>
      <w:pPr>
        <w:pStyle w:val="Indenta"/>
      </w:pPr>
      <w:r>
        <w:tab/>
        <w:t>(b)</w:t>
      </w:r>
      <w:r>
        <w:tab/>
        <w:t>does not comply with a condition imposed under regulation 20G,</w:t>
      </w:r>
    </w:p>
    <w:p>
      <w:pPr>
        <w:pStyle w:val="Subsection"/>
      </w:pPr>
      <w:r>
        <w:tab/>
      </w:r>
      <w:r>
        <w:tab/>
        <w:t>commits an offence.</w:t>
      </w:r>
    </w:p>
    <w:p>
      <w:pPr>
        <w:pStyle w:val="Penstart"/>
      </w:pPr>
      <w:r>
        <w:tab/>
        <w:t>Penalty: $5 000.</w:t>
      </w:r>
    </w:p>
    <w:p>
      <w:pPr>
        <w:pStyle w:val="Subsection"/>
      </w:pPr>
      <w:r>
        <w:tab/>
        <w:t>(2)</w:t>
      </w:r>
      <w:r>
        <w:tab/>
        <w:t>It is a defence to proceedings for an offence under subregulation (1) if the person charged with that offence proves that the person took reasonable precautions and exercised due diligence to prevent the commission of the offence.</w:t>
      </w:r>
    </w:p>
    <w:p>
      <w:pPr>
        <w:pStyle w:val="Footnotesection"/>
      </w:pPr>
      <w:r>
        <w:tab/>
        <w:t xml:space="preserve">[Regulation 20A inserted in Gazette 7 Jul 2000 p. 3679.] </w:t>
      </w:r>
    </w:p>
    <w:p>
      <w:pPr>
        <w:pStyle w:val="Heading5"/>
      </w:pPr>
      <w:bookmarkStart w:id="682" w:name="_Toc503260593"/>
      <w:bookmarkStart w:id="683" w:name="_Toc12076696"/>
      <w:bookmarkStart w:id="684" w:name="_Toc12952212"/>
      <w:bookmarkStart w:id="685" w:name="_Toc122232935"/>
      <w:bookmarkStart w:id="686" w:name="_Toc324153578"/>
      <w:bookmarkStart w:id="687" w:name="_Toc318383462"/>
      <w:r>
        <w:rPr>
          <w:rStyle w:val="CharSectno"/>
        </w:rPr>
        <w:t>20B</w:t>
      </w:r>
      <w:r>
        <w:t>.</w:t>
      </w:r>
      <w:r>
        <w:tab/>
        <w:t>Report on results of specified monitoring programme</w:t>
      </w:r>
      <w:bookmarkEnd w:id="682"/>
      <w:bookmarkEnd w:id="683"/>
      <w:bookmarkEnd w:id="684"/>
      <w:bookmarkEnd w:id="685"/>
      <w:bookmarkEnd w:id="686"/>
      <w:bookmarkEnd w:id="687"/>
    </w:p>
    <w:p>
      <w:pPr>
        <w:pStyle w:val="Subsection"/>
      </w:pPr>
      <w:r>
        <w:tab/>
        <w:t>(1)</w:t>
      </w:r>
      <w:r>
        <w:tab/>
        <w:t>A person who is required by a works approval or a licence to carry out a specified monitoring programme with approved monitoring equipment must report to the Chief Executive Officer on the matters referred to in subregulation (2) —</w:t>
      </w:r>
    </w:p>
    <w:p>
      <w:pPr>
        <w:pStyle w:val="Indenta"/>
      </w:pPr>
      <w:r>
        <w:tab/>
        <w:t>(a)</w:t>
      </w:r>
      <w:r>
        <w:tab/>
        <w:t>at periods or on dates specified in the works approval or licence; or</w:t>
      </w:r>
    </w:p>
    <w:p>
      <w:pPr>
        <w:pStyle w:val="Indenta"/>
      </w:pPr>
      <w:r>
        <w:tab/>
        <w:t>(b)</w:t>
      </w:r>
      <w:r>
        <w:tab/>
        <w:t>at such other times as the Chief Executive Officer may require by a written notice which states the reasons for the requirement.</w:t>
      </w:r>
    </w:p>
    <w:p>
      <w:pPr>
        <w:pStyle w:val="Subsection"/>
      </w:pPr>
      <w:r>
        <w:tab/>
        <w:t>(2)</w:t>
      </w:r>
      <w:r>
        <w:tab/>
        <w:t>The report under subregulation (1) is to —</w:t>
      </w:r>
    </w:p>
    <w:p>
      <w:pPr>
        <w:pStyle w:val="Indenta"/>
      </w:pPr>
      <w:r>
        <w:tab/>
        <w:t>(a)</w:t>
      </w:r>
      <w:r>
        <w:tab/>
        <w:t>contain details of the measurements taken using approved monitoring equipment or other equipment in the course of a specified monitoring programme;</w:t>
      </w:r>
    </w:p>
    <w:p>
      <w:pPr>
        <w:pStyle w:val="Indenta"/>
      </w:pPr>
      <w:r>
        <w:tab/>
        <w:t>(b)</w:t>
      </w:r>
      <w:r>
        <w:tab/>
        <w:t>state whether or not any inaccuracy in those measurements is known to the person making the report;</w:t>
      </w:r>
    </w:p>
    <w:p>
      <w:pPr>
        <w:pStyle w:val="Indenta"/>
      </w:pPr>
      <w:r>
        <w:tab/>
        <w:t>(c)</w:t>
      </w:r>
      <w:r>
        <w:tab/>
        <w:t>if an inaccuracy in those measurements is known —</w:t>
      </w:r>
    </w:p>
    <w:p>
      <w:pPr>
        <w:pStyle w:val="Indenti"/>
      </w:pPr>
      <w:r>
        <w:tab/>
        <w:t>(i)</w:t>
      </w:r>
      <w:r>
        <w:tab/>
        <w:t>state the extent of the inaccuracy known to the person making the report;</w:t>
      </w:r>
    </w:p>
    <w:p>
      <w:pPr>
        <w:pStyle w:val="Indenti"/>
      </w:pPr>
      <w:r>
        <w:tab/>
        <w:t>(ii)</w:t>
      </w:r>
      <w:r>
        <w:tab/>
        <w:t>state any cause of the inaccuracy known to the person making the report.</w:t>
      </w:r>
    </w:p>
    <w:p>
      <w:pPr>
        <w:pStyle w:val="Subsection"/>
      </w:pPr>
      <w:r>
        <w:tab/>
        <w:t>(3)</w:t>
      </w:r>
      <w:r>
        <w:tab/>
        <w:t>A person who does not comply with this regulation commits an offence.</w:t>
      </w:r>
    </w:p>
    <w:p>
      <w:pPr>
        <w:pStyle w:val="Penstart"/>
      </w:pPr>
      <w:r>
        <w:tab/>
        <w:t>Penalty: $5 000.</w:t>
      </w:r>
    </w:p>
    <w:p>
      <w:pPr>
        <w:pStyle w:val="Footnotesection"/>
      </w:pPr>
      <w:r>
        <w:tab/>
        <w:t>[Regulation 20B inserted in Gazette 7 Jul 2000 p. 3679</w:t>
      </w:r>
      <w:r>
        <w:noBreakHyphen/>
        <w:t xml:space="preserve">80; amended in Gazette 5 Jan 2001 p. 116.] </w:t>
      </w:r>
    </w:p>
    <w:p>
      <w:pPr>
        <w:pStyle w:val="Heading5"/>
      </w:pPr>
      <w:bookmarkStart w:id="688" w:name="_Toc503260594"/>
      <w:bookmarkStart w:id="689" w:name="_Toc12076697"/>
      <w:bookmarkStart w:id="690" w:name="_Toc12952213"/>
      <w:bookmarkStart w:id="691" w:name="_Toc122232936"/>
      <w:bookmarkStart w:id="692" w:name="_Toc324153579"/>
      <w:bookmarkStart w:id="693" w:name="_Toc318383463"/>
      <w:r>
        <w:rPr>
          <w:rStyle w:val="CharSectno"/>
        </w:rPr>
        <w:t>20C</w:t>
      </w:r>
      <w:r>
        <w:t>.</w:t>
      </w:r>
      <w:r>
        <w:tab/>
        <w:t>Presumption of accuracy of measurements</w:t>
      </w:r>
      <w:bookmarkEnd w:id="688"/>
      <w:bookmarkEnd w:id="689"/>
      <w:bookmarkEnd w:id="690"/>
      <w:bookmarkEnd w:id="691"/>
      <w:bookmarkEnd w:id="692"/>
      <w:bookmarkEnd w:id="693"/>
    </w:p>
    <w:p>
      <w:pPr>
        <w:pStyle w:val="Subsection"/>
      </w:pPr>
      <w:r>
        <w:tab/>
      </w:r>
      <w:r>
        <w:tab/>
        <w:t>A measurement taken by approved monitoring equipment is to be taken to be correct in the absence of proof, on the balance of probability, to the contrary.</w:t>
      </w:r>
    </w:p>
    <w:p>
      <w:pPr>
        <w:pStyle w:val="Footnotesection"/>
      </w:pPr>
      <w:r>
        <w:tab/>
        <w:t xml:space="preserve">[Regulation 20C inserted in Gazette 7 Jul 2000 p. 3680.] </w:t>
      </w:r>
    </w:p>
    <w:p>
      <w:pPr>
        <w:pStyle w:val="Heading5"/>
      </w:pPr>
      <w:bookmarkStart w:id="694" w:name="_Toc503260595"/>
      <w:bookmarkStart w:id="695" w:name="_Toc12076698"/>
      <w:bookmarkStart w:id="696" w:name="_Toc12952214"/>
      <w:bookmarkStart w:id="697" w:name="_Toc122232937"/>
      <w:bookmarkStart w:id="698" w:name="_Toc324153580"/>
      <w:bookmarkStart w:id="699" w:name="_Toc318383464"/>
      <w:r>
        <w:rPr>
          <w:rStyle w:val="CharSectno"/>
        </w:rPr>
        <w:t>20D</w:t>
      </w:r>
      <w:r>
        <w:t>.</w:t>
      </w:r>
      <w:r>
        <w:tab/>
        <w:t>Presumption of accuracy of contents of report</w:t>
      </w:r>
      <w:bookmarkEnd w:id="694"/>
      <w:bookmarkEnd w:id="695"/>
      <w:bookmarkEnd w:id="696"/>
      <w:bookmarkEnd w:id="697"/>
      <w:bookmarkEnd w:id="698"/>
      <w:bookmarkEnd w:id="699"/>
    </w:p>
    <w:p>
      <w:pPr>
        <w:pStyle w:val="Subsection"/>
      </w:pPr>
      <w:r>
        <w:tab/>
      </w:r>
      <w:r>
        <w:tab/>
        <w:t>A statement in a report as to the results of a specified monitoring programme made under section 62(3) of the Act or regulation 20B detailing the measurements that were taken using approved monitoring equipment is to be taken to be evidence that those measurements were taken by the monitoring equipment in the absence of proof, on the balance of probability, to the contrary.</w:t>
      </w:r>
    </w:p>
    <w:p>
      <w:pPr>
        <w:pStyle w:val="Footnotesection"/>
      </w:pPr>
      <w:r>
        <w:tab/>
        <w:t xml:space="preserve">[Regulation 20D inserted in Gazette 7 Jul 2000 p. 3680.] </w:t>
      </w:r>
    </w:p>
    <w:p>
      <w:pPr>
        <w:pStyle w:val="Heading5"/>
      </w:pPr>
      <w:bookmarkStart w:id="700" w:name="_Toc503260596"/>
      <w:bookmarkStart w:id="701" w:name="_Toc12076699"/>
      <w:bookmarkStart w:id="702" w:name="_Toc12952215"/>
      <w:bookmarkStart w:id="703" w:name="_Toc122232938"/>
      <w:bookmarkStart w:id="704" w:name="_Toc324153581"/>
      <w:bookmarkStart w:id="705" w:name="_Toc318383465"/>
      <w:r>
        <w:rPr>
          <w:rStyle w:val="CharSectno"/>
        </w:rPr>
        <w:t>20E</w:t>
      </w:r>
      <w:r>
        <w:t>.</w:t>
      </w:r>
      <w:r>
        <w:tab/>
        <w:t>Notification of inaccurate measurement</w:t>
      </w:r>
      <w:bookmarkEnd w:id="700"/>
      <w:bookmarkEnd w:id="701"/>
      <w:bookmarkEnd w:id="702"/>
      <w:bookmarkEnd w:id="703"/>
      <w:bookmarkEnd w:id="704"/>
      <w:bookmarkEnd w:id="705"/>
    </w:p>
    <w:p>
      <w:pPr>
        <w:pStyle w:val="Subsection"/>
      </w:pPr>
      <w:r>
        <w:tab/>
      </w:r>
      <w:r>
        <w:tab/>
        <w:t>A person who has submitted a report under regulation 20B who becomes aware that a measurement referred to in the report is inaccurate must, as soon as practicable after discovering the inaccuracy, report to the Chief Executive Officer the extent, and cause, of the inaccuracy which is known to the person making the report.</w:t>
      </w:r>
    </w:p>
    <w:p>
      <w:pPr>
        <w:pStyle w:val="Penstart"/>
      </w:pPr>
      <w:r>
        <w:tab/>
        <w:t>Penalty: $5 000.</w:t>
      </w:r>
    </w:p>
    <w:p>
      <w:pPr>
        <w:pStyle w:val="Footnotesection"/>
      </w:pPr>
      <w:r>
        <w:tab/>
        <w:t xml:space="preserve">[Regulation 20E inserted in Gazette 7 Jul 2000 p. 3680.] </w:t>
      </w:r>
    </w:p>
    <w:p>
      <w:pPr>
        <w:pStyle w:val="Heading5"/>
      </w:pPr>
      <w:bookmarkStart w:id="706" w:name="_Toc503260597"/>
      <w:bookmarkStart w:id="707" w:name="_Toc12076700"/>
      <w:bookmarkStart w:id="708" w:name="_Toc12952216"/>
      <w:bookmarkStart w:id="709" w:name="_Toc122232939"/>
      <w:bookmarkStart w:id="710" w:name="_Toc324153582"/>
      <w:bookmarkStart w:id="711" w:name="_Toc318383466"/>
      <w:r>
        <w:rPr>
          <w:rStyle w:val="CharSectno"/>
        </w:rPr>
        <w:t>20F</w:t>
      </w:r>
      <w:r>
        <w:t>.</w:t>
      </w:r>
      <w:r>
        <w:tab/>
        <w:t>Approval of monitoring equipment</w:t>
      </w:r>
      <w:bookmarkEnd w:id="706"/>
      <w:bookmarkEnd w:id="707"/>
      <w:bookmarkEnd w:id="708"/>
      <w:bookmarkEnd w:id="709"/>
      <w:bookmarkEnd w:id="710"/>
      <w:bookmarkEnd w:id="711"/>
    </w:p>
    <w:p>
      <w:pPr>
        <w:pStyle w:val="Subsection"/>
      </w:pPr>
      <w:r>
        <w:tab/>
        <w:t>(1)</w:t>
      </w:r>
      <w:r>
        <w:tab/>
        <w:t>A person may apply to the Chief Executive Officer for monitoring equipment to be approved.</w:t>
      </w:r>
    </w:p>
    <w:p>
      <w:pPr>
        <w:pStyle w:val="Subsection"/>
      </w:pPr>
      <w:r>
        <w:tab/>
        <w:t>(2)</w:t>
      </w:r>
      <w:r>
        <w:tab/>
        <w:t>Subject to subregulation (3), an application for approval of monitoring equipment is to be in a form approved by the Chief Executive Officer.</w:t>
      </w:r>
    </w:p>
    <w:p>
      <w:pPr>
        <w:pStyle w:val="Subsection"/>
      </w:pPr>
      <w:r>
        <w:tab/>
        <w:t>(3)</w:t>
      </w:r>
      <w:r>
        <w:tab/>
        <w:t>The Chief Executive Officer must allow an application to be made by telephone or other electronic means if the Chief Executive Officer is satisfied that, due to the malfunction of approved monitoring equipment or some other reasonable cause, it is necessary to deal with an application as a matter of urgency.</w:t>
      </w:r>
    </w:p>
    <w:p>
      <w:pPr>
        <w:pStyle w:val="Subsection"/>
      </w:pPr>
      <w:r>
        <w:tab/>
        <w:t>(4)</w:t>
      </w:r>
      <w:r>
        <w:tab/>
        <w:t>A person who makes an application under subregulation (3) must, as soon as practicable, also make the application for approval of the monitoring equipment in the form approved by the Chief Executive Officer under subregulation (2).</w:t>
      </w:r>
    </w:p>
    <w:p>
      <w:pPr>
        <w:pStyle w:val="Subsection"/>
      </w:pPr>
      <w:r>
        <w:tab/>
        <w:t>(5)</w:t>
      </w:r>
      <w:r>
        <w:tab/>
        <w:t>If an application made under subregulation (3) is approved, the approval lapses —</w:t>
      </w:r>
    </w:p>
    <w:p>
      <w:pPr>
        <w:pStyle w:val="Indenta"/>
      </w:pPr>
      <w:r>
        <w:tab/>
        <w:t>(a)</w:t>
      </w:r>
      <w:r>
        <w:tab/>
        <w:t>if an application is not made under subregulation (2) within 30 days of the day on which the approval was granted; or</w:t>
      </w:r>
    </w:p>
    <w:p>
      <w:pPr>
        <w:pStyle w:val="Indenta"/>
      </w:pPr>
      <w:r>
        <w:tab/>
        <w:t>(b)</w:t>
      </w:r>
      <w:r>
        <w:tab/>
        <w:t>in any other case, 60 days after the day on which the approval was granted.</w:t>
      </w:r>
    </w:p>
    <w:p>
      <w:pPr>
        <w:pStyle w:val="Subsection"/>
        <w:keepNext/>
        <w:keepLines/>
      </w:pPr>
      <w:r>
        <w:tab/>
        <w:t>(6)</w:t>
      </w:r>
      <w:r>
        <w:tab/>
        <w:t>If a person applies to the Chief Executive Officer for monitoring equipment to be approved, the Chief Executive Officer may —</w:t>
      </w:r>
    </w:p>
    <w:p>
      <w:pPr>
        <w:pStyle w:val="Indenta"/>
      </w:pPr>
      <w:r>
        <w:tab/>
        <w:t>(a)</w:t>
      </w:r>
      <w:r>
        <w:tab/>
        <w:t>require the applicant to provide more information before deciding whether or not to grant the approval;</w:t>
      </w:r>
    </w:p>
    <w:p>
      <w:pPr>
        <w:pStyle w:val="Indenta"/>
      </w:pPr>
      <w:r>
        <w:tab/>
        <w:t>(b)</w:t>
      </w:r>
      <w:r>
        <w:tab/>
        <w:t>allow the applicant to provide more information or amend its application before deciding whether or not to grant the approval;</w:t>
      </w:r>
    </w:p>
    <w:p>
      <w:pPr>
        <w:pStyle w:val="Indenta"/>
      </w:pPr>
      <w:r>
        <w:tab/>
        <w:t>(c)</w:t>
      </w:r>
      <w:r>
        <w:tab/>
        <w:t>refuse to grant the approval; or</w:t>
      </w:r>
    </w:p>
    <w:p>
      <w:pPr>
        <w:pStyle w:val="Indenta"/>
      </w:pPr>
      <w:r>
        <w:tab/>
        <w:t>(d)</w:t>
      </w:r>
      <w:r>
        <w:tab/>
        <w:t>grant the approval.</w:t>
      </w:r>
    </w:p>
    <w:p>
      <w:pPr>
        <w:pStyle w:val="Subsection"/>
      </w:pPr>
      <w:r>
        <w:tab/>
        <w:t>(7)</w:t>
      </w:r>
      <w:r>
        <w:tab/>
        <w:t>Within 60 days of —</w:t>
      </w:r>
    </w:p>
    <w:p>
      <w:pPr>
        <w:pStyle w:val="Indenta"/>
      </w:pPr>
      <w:r>
        <w:tab/>
        <w:t>(a)</w:t>
      </w:r>
      <w:r>
        <w:tab/>
        <w:t>the making of an application under subregulation (1); or</w:t>
      </w:r>
    </w:p>
    <w:p>
      <w:pPr>
        <w:pStyle w:val="Indenta"/>
      </w:pPr>
      <w:r>
        <w:tab/>
        <w:t>(b)</w:t>
      </w:r>
      <w:r>
        <w:tab/>
        <w:t>the amendment of the application under subregulation (6)(b) or the provision of information under subregulation (6)(a) or (b),</w:t>
      </w:r>
    </w:p>
    <w:p>
      <w:pPr>
        <w:pStyle w:val="Subsection"/>
      </w:pPr>
      <w:r>
        <w:tab/>
      </w:r>
      <w:r>
        <w:tab/>
        <w:t>whichever is the latter, the Chief Executive Officer is to —</w:t>
      </w:r>
    </w:p>
    <w:p>
      <w:pPr>
        <w:pStyle w:val="Indenta"/>
      </w:pPr>
      <w:r>
        <w:tab/>
        <w:t>(c)</w:t>
      </w:r>
      <w:r>
        <w:tab/>
        <w:t>determine the application.</w:t>
      </w:r>
    </w:p>
    <w:p>
      <w:pPr>
        <w:pStyle w:val="Subsection"/>
      </w:pPr>
      <w:r>
        <w:tab/>
        <w:t>(8)</w:t>
      </w:r>
      <w:r>
        <w:tab/>
        <w:t>If the application is refused, the Chief Executive Officer is to provide the person who applied for the approval with a statement of the reasons for refusing the application.</w:t>
      </w:r>
    </w:p>
    <w:p>
      <w:pPr>
        <w:pStyle w:val="Subsection"/>
      </w:pPr>
      <w:r>
        <w:tab/>
        <w:t>(9)</w:t>
      </w:r>
      <w:r>
        <w:tab/>
        <w:t>If the application is granted, the Chief Executive Officer is to issue a certificate of approval to the applicant.</w:t>
      </w:r>
    </w:p>
    <w:p>
      <w:pPr>
        <w:pStyle w:val="Subsection"/>
      </w:pPr>
      <w:r>
        <w:tab/>
        <w:t>(10)</w:t>
      </w:r>
      <w:r>
        <w:tab/>
        <w:t>A certificate of the Chief Executive Officer stating that monitoring equipment is or is not approved monitoring equipment is conclusive proof of that fact.</w:t>
      </w:r>
    </w:p>
    <w:p>
      <w:pPr>
        <w:pStyle w:val="Footnotesection"/>
      </w:pPr>
      <w:r>
        <w:tab/>
        <w:t>[Regulation 20F inserted in Gazette 5 Jan 2001 p. 116</w:t>
      </w:r>
      <w:r>
        <w:noBreakHyphen/>
        <w:t>17.]</w:t>
      </w:r>
    </w:p>
    <w:p>
      <w:pPr>
        <w:pStyle w:val="Heading5"/>
      </w:pPr>
      <w:bookmarkStart w:id="712" w:name="_Toc503260598"/>
      <w:bookmarkStart w:id="713" w:name="_Toc12076701"/>
      <w:bookmarkStart w:id="714" w:name="_Toc12952217"/>
      <w:bookmarkStart w:id="715" w:name="_Toc122232940"/>
      <w:bookmarkStart w:id="716" w:name="_Toc324153583"/>
      <w:bookmarkStart w:id="717" w:name="_Toc318383467"/>
      <w:r>
        <w:rPr>
          <w:rStyle w:val="CharSectno"/>
        </w:rPr>
        <w:t>20G</w:t>
      </w:r>
      <w:r>
        <w:t>.</w:t>
      </w:r>
      <w:r>
        <w:tab/>
        <w:t>Conditions of approval of monitoring equipment</w:t>
      </w:r>
      <w:bookmarkEnd w:id="712"/>
      <w:bookmarkEnd w:id="713"/>
      <w:bookmarkEnd w:id="714"/>
      <w:bookmarkEnd w:id="715"/>
      <w:bookmarkEnd w:id="716"/>
      <w:bookmarkEnd w:id="717"/>
    </w:p>
    <w:p>
      <w:pPr>
        <w:pStyle w:val="Subsection"/>
        <w:keepNext/>
        <w:keepLines/>
      </w:pPr>
      <w:r>
        <w:tab/>
      </w:r>
      <w:r>
        <w:tab/>
        <w:t>If monitoring equipment is approved under regulation 20F, that approval is subject to the following conditions —</w:t>
      </w:r>
    </w:p>
    <w:p>
      <w:pPr>
        <w:pStyle w:val="Indenta"/>
      </w:pPr>
      <w:r>
        <w:tab/>
        <w:t>(a)</w:t>
      </w:r>
      <w:r>
        <w:tab/>
        <w:t>the equipment is to be calibrated in accordance with any of the following standards as the Chief Executive Officer may specify in writing —</w:t>
      </w:r>
    </w:p>
    <w:p>
      <w:pPr>
        <w:pStyle w:val="Indenti"/>
      </w:pPr>
      <w:r>
        <w:tab/>
        <w:t>(i)</w:t>
      </w:r>
      <w:r>
        <w:tab/>
        <w:t>the standards specified by the manufacturer of the equipment;</w:t>
      </w:r>
    </w:p>
    <w:p>
      <w:pPr>
        <w:pStyle w:val="Indenti"/>
      </w:pPr>
      <w:r>
        <w:tab/>
        <w:t>(ii)</w:t>
      </w:r>
      <w:r>
        <w:tab/>
        <w:t>an Australian standard;</w:t>
      </w:r>
    </w:p>
    <w:p>
      <w:pPr>
        <w:pStyle w:val="Indenti"/>
        <w:spacing w:before="0"/>
      </w:pPr>
      <w:r>
        <w:tab/>
        <w:t>(iii)</w:t>
      </w:r>
      <w:r>
        <w:tab/>
        <w:t xml:space="preserve">an international standard; </w:t>
      </w:r>
    </w:p>
    <w:p>
      <w:pPr>
        <w:pStyle w:val="Indenta"/>
      </w:pPr>
      <w:r>
        <w:tab/>
      </w:r>
      <w:r>
        <w:tab/>
        <w:t>and</w:t>
      </w:r>
    </w:p>
    <w:p>
      <w:pPr>
        <w:pStyle w:val="Indenta"/>
      </w:pPr>
      <w:r>
        <w:tab/>
        <w:t>(b)</w:t>
      </w:r>
      <w:r>
        <w:tab/>
        <w:t>the equipment is to be operated in accordance with such quality assurance programme as the Chief Executive Officer may specify in writing.</w:t>
      </w:r>
    </w:p>
    <w:p>
      <w:pPr>
        <w:pStyle w:val="Footnotesection"/>
        <w:spacing w:before="100"/>
        <w:ind w:left="890" w:hanging="890"/>
      </w:pPr>
      <w:r>
        <w:tab/>
        <w:t xml:space="preserve">[Regulation 20G inserted in Gazette 7 Jul 2000 p. 3681.] </w:t>
      </w:r>
    </w:p>
    <w:p>
      <w:pPr>
        <w:pStyle w:val="Heading5"/>
      </w:pPr>
      <w:bookmarkStart w:id="718" w:name="_Toc503260599"/>
      <w:bookmarkStart w:id="719" w:name="_Toc12076702"/>
      <w:bookmarkStart w:id="720" w:name="_Toc12952218"/>
      <w:bookmarkStart w:id="721" w:name="_Toc122232941"/>
      <w:bookmarkStart w:id="722" w:name="_Toc324153584"/>
      <w:bookmarkStart w:id="723" w:name="_Toc318383468"/>
      <w:r>
        <w:rPr>
          <w:rStyle w:val="CharSectno"/>
        </w:rPr>
        <w:t>20H</w:t>
      </w:r>
      <w:r>
        <w:t>.</w:t>
      </w:r>
      <w:r>
        <w:tab/>
        <w:t>Revocation of approval</w:t>
      </w:r>
      <w:bookmarkEnd w:id="718"/>
      <w:bookmarkEnd w:id="719"/>
      <w:bookmarkEnd w:id="720"/>
      <w:bookmarkEnd w:id="721"/>
      <w:bookmarkEnd w:id="722"/>
      <w:bookmarkEnd w:id="723"/>
    </w:p>
    <w:p>
      <w:pPr>
        <w:pStyle w:val="Subsection"/>
      </w:pPr>
      <w:r>
        <w:tab/>
        <w:t>(1)</w:t>
      </w:r>
      <w:r>
        <w:tab/>
        <w:t>The Chief Executive Officer may revoke an approval under regulation 20F if, in the Chief Executive Officer’s opinion — </w:t>
      </w:r>
    </w:p>
    <w:p>
      <w:pPr>
        <w:pStyle w:val="Indenta"/>
      </w:pPr>
      <w:r>
        <w:tab/>
        <w:t>(a)</w:t>
      </w:r>
      <w:r>
        <w:tab/>
        <w:t>the equipment referred to in the certificate of approval is not considered to be suitable to be used in a specified monitoring programme;</w:t>
      </w:r>
    </w:p>
    <w:p>
      <w:pPr>
        <w:pStyle w:val="Indenta"/>
      </w:pPr>
      <w:r>
        <w:tab/>
        <w:t>(b)</w:t>
      </w:r>
      <w:r>
        <w:tab/>
        <w:t>the equipment referred to in the certificate of approval has not provided accurate measurements; or</w:t>
      </w:r>
    </w:p>
    <w:p>
      <w:pPr>
        <w:pStyle w:val="Indenta"/>
      </w:pPr>
      <w:r>
        <w:tab/>
        <w:t>(c)</w:t>
      </w:r>
      <w:r>
        <w:tab/>
        <w:t>a person has, in relation to an application under regulation 20F(1), provided information in written or oral form that the person knew, or could reasonably be expected to have known, to be — </w:t>
      </w:r>
    </w:p>
    <w:p>
      <w:pPr>
        <w:pStyle w:val="Indenti"/>
      </w:pPr>
      <w:r>
        <w:tab/>
        <w:t>(i)</w:t>
      </w:r>
      <w:r>
        <w:tab/>
        <w:t>false or misleading in a material particular; or</w:t>
      </w:r>
    </w:p>
    <w:p>
      <w:pPr>
        <w:pStyle w:val="Indenti"/>
      </w:pPr>
      <w:r>
        <w:tab/>
        <w:t>(ii)</w:t>
      </w:r>
      <w:r>
        <w:tab/>
        <w:t>likely to deceive in a material way.</w:t>
      </w:r>
    </w:p>
    <w:p>
      <w:pPr>
        <w:pStyle w:val="Subsection"/>
        <w:keepNext/>
        <w:spacing w:before="120"/>
      </w:pPr>
      <w:r>
        <w:tab/>
        <w:t>(2)</w:t>
      </w:r>
      <w:r>
        <w:tab/>
        <w:t>An approval of approved monitoring equipment may be revoked if in the Chief Executive Officer’s opinion —</w:t>
      </w:r>
    </w:p>
    <w:p>
      <w:pPr>
        <w:pStyle w:val="Indenta"/>
      </w:pPr>
      <w:r>
        <w:tab/>
        <w:t>(a)</w:t>
      </w:r>
      <w:r>
        <w:tab/>
        <w:t>that equipment has not been calibrated or operated in accordance with a condition imposed under regulation 20G; and</w:t>
      </w:r>
    </w:p>
    <w:p>
      <w:pPr>
        <w:pStyle w:val="Indenta"/>
      </w:pPr>
      <w:r>
        <w:tab/>
        <w:t>(b)</w:t>
      </w:r>
      <w:r>
        <w:tab/>
        <w:t>that failure to comply with the condition could have materially affected the accuracy of the equipment or the reliability of the results obtained from that equipment.</w:t>
      </w:r>
    </w:p>
    <w:p>
      <w:pPr>
        <w:pStyle w:val="Subsection"/>
        <w:spacing w:before="120"/>
      </w:pPr>
      <w:r>
        <w:tab/>
        <w:t>(3)</w:t>
      </w:r>
      <w:r>
        <w:tab/>
        <w:t>A revocation of an approval under regulation 20F is not effective unless the Chief Executive Officer has caused written notice of the intention to revoke the approval to be served personally or by post on the person who obtained the approval stating the grounds on which, and reasons for which, the revocation is to be made and has allowed the person 21 days to provide reasons as to why the Chief Executive Officer should not revoke the approval.</w:t>
      </w:r>
    </w:p>
    <w:p>
      <w:pPr>
        <w:pStyle w:val="Subsection"/>
        <w:spacing w:before="120"/>
      </w:pPr>
      <w:r>
        <w:tab/>
        <w:t>(4)</w:t>
      </w:r>
      <w:r>
        <w:tab/>
        <w:t>If the Chief Executive Officer decides to revoke an approval, the Chief Executive Officer is to give the person who obtained the approval a notice in writing revoking the approval and stating the reasons for the revocation of the approval.</w:t>
      </w:r>
    </w:p>
    <w:p>
      <w:pPr>
        <w:pStyle w:val="Footnotesection"/>
        <w:spacing w:before="100"/>
        <w:ind w:left="890" w:hanging="890"/>
      </w:pPr>
      <w:r>
        <w:tab/>
        <w:t>[Regulation 20H inserted in Gazette 7 Jul 2000 p. 3681</w:t>
      </w:r>
      <w:r>
        <w:noBreakHyphen/>
        <w:t>2; amended in Gazette 5 Jan 2001 p. 117</w:t>
      </w:r>
      <w:r>
        <w:noBreakHyphen/>
        <w:t xml:space="preserve">18.] </w:t>
      </w:r>
    </w:p>
    <w:p>
      <w:pPr>
        <w:pStyle w:val="Heading5"/>
        <w:spacing w:before="180"/>
      </w:pPr>
      <w:bookmarkStart w:id="724" w:name="_Toc503260600"/>
      <w:bookmarkStart w:id="725" w:name="_Toc12076703"/>
      <w:bookmarkStart w:id="726" w:name="_Toc12952219"/>
      <w:bookmarkStart w:id="727" w:name="_Toc122232942"/>
      <w:bookmarkStart w:id="728" w:name="_Toc324153585"/>
      <w:bookmarkStart w:id="729" w:name="_Toc318383469"/>
      <w:r>
        <w:rPr>
          <w:rStyle w:val="CharSectno"/>
        </w:rPr>
        <w:t>20I</w:t>
      </w:r>
      <w:r>
        <w:t>.</w:t>
      </w:r>
      <w:r>
        <w:tab/>
        <w:t>Appeal</w:t>
      </w:r>
      <w:bookmarkEnd w:id="724"/>
      <w:bookmarkEnd w:id="725"/>
      <w:bookmarkEnd w:id="726"/>
      <w:bookmarkEnd w:id="727"/>
      <w:bookmarkEnd w:id="728"/>
      <w:bookmarkEnd w:id="729"/>
    </w:p>
    <w:p>
      <w:pPr>
        <w:pStyle w:val="Subsection"/>
        <w:spacing w:before="120"/>
      </w:pPr>
      <w:r>
        <w:tab/>
        <w:t>(1)</w:t>
      </w:r>
      <w:r>
        <w:tab/>
        <w:t>A person who is aggrieved by a decision of the Chief Executive Officer under regulation 20F, 20G, or 20H may within 21 days after the day on which the person is notified of the decision lodge with the Minister an appeal in writing setting out the grounds of the appeal.</w:t>
      </w:r>
    </w:p>
    <w:p>
      <w:pPr>
        <w:pStyle w:val="Subsection"/>
        <w:spacing w:before="120"/>
      </w:pPr>
      <w:r>
        <w:tab/>
        <w:t>(2)</w:t>
      </w:r>
      <w:r>
        <w:tab/>
        <w:t>An appeal lodged under subregulation (1) is to be treated as if it were an appeal under section 102 of the Act, and for that purpose sections 106 to 110 of the Act apply as if the appeal were an appeal under section 102.</w:t>
      </w:r>
    </w:p>
    <w:p>
      <w:pPr>
        <w:pStyle w:val="Footnotesection"/>
        <w:keepLines w:val="0"/>
        <w:spacing w:before="100"/>
        <w:ind w:left="890" w:hanging="890"/>
      </w:pPr>
      <w:r>
        <w:tab/>
        <w:t xml:space="preserve">[Regulation 20I inserted in Gazette 7 Jul 2000 p. 3682.] </w:t>
      </w:r>
    </w:p>
    <w:p>
      <w:pPr>
        <w:pStyle w:val="Heading5"/>
        <w:spacing w:before="180"/>
      </w:pPr>
      <w:bookmarkStart w:id="730" w:name="_Toc503260601"/>
      <w:bookmarkStart w:id="731" w:name="_Toc12076704"/>
      <w:bookmarkStart w:id="732" w:name="_Toc12952220"/>
      <w:bookmarkStart w:id="733" w:name="_Toc122232943"/>
      <w:bookmarkStart w:id="734" w:name="_Toc324153586"/>
      <w:bookmarkStart w:id="735" w:name="_Toc318383470"/>
      <w:r>
        <w:rPr>
          <w:rStyle w:val="CharSectno"/>
        </w:rPr>
        <w:t>20J</w:t>
      </w:r>
      <w:r>
        <w:t>.</w:t>
      </w:r>
      <w:r>
        <w:tab/>
        <w:t>Approval of monitoring equipment pending determination of appeal</w:t>
      </w:r>
      <w:bookmarkEnd w:id="730"/>
      <w:bookmarkEnd w:id="731"/>
      <w:bookmarkEnd w:id="732"/>
      <w:bookmarkEnd w:id="733"/>
      <w:bookmarkEnd w:id="734"/>
      <w:bookmarkEnd w:id="735"/>
    </w:p>
    <w:p>
      <w:pPr>
        <w:pStyle w:val="Subsection"/>
        <w:spacing w:before="120"/>
      </w:pPr>
      <w:r>
        <w:tab/>
        <w:t>(1)</w:t>
      </w:r>
      <w:r>
        <w:tab/>
        <w:t>If —</w:t>
      </w:r>
    </w:p>
    <w:p>
      <w:pPr>
        <w:pStyle w:val="Indenta"/>
      </w:pPr>
      <w:r>
        <w:tab/>
        <w:t>(a)</w:t>
      </w:r>
      <w:r>
        <w:tab/>
        <w:t>an appeal has been lodged under regulation 20I(1) in relation to an approval revoked under regulation 20H; and</w:t>
      </w:r>
    </w:p>
    <w:p>
      <w:pPr>
        <w:pStyle w:val="Indenta"/>
      </w:pPr>
      <w:r>
        <w:tab/>
        <w:t>(b)</w:t>
      </w:r>
      <w:r>
        <w:tab/>
        <w:t>the Chief Executive Officer has entered into an agreement in writing with the licensee as to the interim monitoring measures to be adopted by the licensee pending the determination of the appeal,</w:t>
      </w:r>
    </w:p>
    <w:p>
      <w:pPr>
        <w:pStyle w:val="Subsection"/>
        <w:spacing w:before="0"/>
      </w:pPr>
      <w:r>
        <w:tab/>
      </w:r>
      <w:r>
        <w:tab/>
        <w:t>until 60 days after the determination of the appeal, or such other time as is agreed in writing by the Chief Executive Officer and the licensee, any monitoring equipment used in accordance with that agreement is to be taken to be approved monitoring equipment.</w:t>
      </w:r>
    </w:p>
    <w:p>
      <w:pPr>
        <w:pStyle w:val="Subsection"/>
        <w:spacing w:before="140"/>
      </w:pPr>
      <w:r>
        <w:tab/>
        <w:t>(2)</w:t>
      </w:r>
      <w:r>
        <w:tab/>
        <w:t>A certificate issued by the Chief Executive Officer stating that monitoring equipment specified in the certificate has or has not been used in accordance with an agreement referred to in subregulation (1)(b) is, in the absence of proof on the balance of probability to the contrary, evidence of that fact.</w:t>
      </w:r>
    </w:p>
    <w:p>
      <w:pPr>
        <w:pStyle w:val="Subsection"/>
        <w:spacing w:before="140"/>
      </w:pPr>
      <w:r>
        <w:tab/>
        <w:t>(3)</w:t>
      </w:r>
      <w:r>
        <w:tab/>
        <w:t>In this regulation, a reference to the licensee is a reference to a person who is required by a works approval or a licence to carry out a specified monitoring programme with approved monitoring equipment.</w:t>
      </w:r>
    </w:p>
    <w:p>
      <w:pPr>
        <w:pStyle w:val="Footnotesection"/>
        <w:spacing w:before="100"/>
        <w:ind w:left="890" w:hanging="890"/>
      </w:pPr>
      <w:r>
        <w:tab/>
        <w:t>[Regulation 20J inserted in Gazette 7 Jul 2000 p. 3682</w:t>
      </w:r>
      <w:r>
        <w:noBreakHyphen/>
        <w:t xml:space="preserve">3.] </w:t>
      </w:r>
    </w:p>
    <w:p>
      <w:pPr>
        <w:pStyle w:val="Heading5"/>
      </w:pPr>
      <w:bookmarkStart w:id="736" w:name="_Toc503260602"/>
      <w:bookmarkStart w:id="737" w:name="_Toc12076705"/>
      <w:bookmarkStart w:id="738" w:name="_Toc12952221"/>
      <w:bookmarkStart w:id="739" w:name="_Toc122232944"/>
      <w:bookmarkStart w:id="740" w:name="_Toc324153587"/>
      <w:bookmarkStart w:id="741" w:name="_Toc318383471"/>
      <w:r>
        <w:rPr>
          <w:rStyle w:val="CharSectno"/>
        </w:rPr>
        <w:t>20K</w:t>
      </w:r>
      <w:r>
        <w:t>.</w:t>
      </w:r>
      <w:r>
        <w:tab/>
        <w:t>Judicial notice of signature of the Chief Executive Officer</w:t>
      </w:r>
      <w:bookmarkEnd w:id="736"/>
      <w:bookmarkEnd w:id="737"/>
      <w:bookmarkEnd w:id="738"/>
      <w:bookmarkEnd w:id="739"/>
      <w:bookmarkEnd w:id="740"/>
      <w:bookmarkEnd w:id="741"/>
    </w:p>
    <w:p>
      <w:pPr>
        <w:pStyle w:val="Subsection"/>
        <w:spacing w:before="140"/>
      </w:pPr>
      <w:r>
        <w:tab/>
      </w:r>
      <w:r>
        <w:tab/>
        <w:t>Judicial notice is to be taken of the signature of the Chief Executive Officer on a certificate purporting to be issued under regulation 20F(10) or 20J(2).</w:t>
      </w:r>
    </w:p>
    <w:p>
      <w:pPr>
        <w:pStyle w:val="Footnotesection"/>
        <w:spacing w:before="100"/>
        <w:ind w:left="890" w:hanging="890"/>
      </w:pPr>
      <w:r>
        <w:tab/>
        <w:t xml:space="preserve">[Regulation 20K inserted in Gazette 7 Jul 2000 p. 3683; amended in Gazette 5 Jan 2001 p. 118.] </w:t>
      </w:r>
    </w:p>
    <w:p>
      <w:pPr>
        <w:pStyle w:val="Heading5"/>
      </w:pPr>
      <w:bookmarkStart w:id="742" w:name="_Toc503260603"/>
      <w:bookmarkStart w:id="743" w:name="_Toc12076706"/>
      <w:bookmarkStart w:id="744" w:name="_Toc12952222"/>
      <w:bookmarkStart w:id="745" w:name="_Toc122232945"/>
      <w:bookmarkStart w:id="746" w:name="_Toc324153588"/>
      <w:bookmarkStart w:id="747" w:name="_Toc318383472"/>
      <w:r>
        <w:rPr>
          <w:rStyle w:val="CharSectno"/>
        </w:rPr>
        <w:t>20KA</w:t>
      </w:r>
      <w:r>
        <w:t>.</w:t>
      </w:r>
      <w:r>
        <w:tab/>
        <w:t>Ministerial guidelines</w:t>
      </w:r>
      <w:bookmarkEnd w:id="742"/>
      <w:bookmarkEnd w:id="743"/>
      <w:bookmarkEnd w:id="744"/>
      <w:bookmarkEnd w:id="745"/>
      <w:bookmarkEnd w:id="746"/>
      <w:bookmarkEnd w:id="747"/>
    </w:p>
    <w:p>
      <w:pPr>
        <w:pStyle w:val="Subsection"/>
        <w:spacing w:before="140"/>
      </w:pPr>
      <w:r>
        <w:tab/>
        <w:t>(1)</w:t>
      </w:r>
      <w:r>
        <w:tab/>
        <w:t xml:space="preserve">The Minister may by notice published in the </w:t>
      </w:r>
      <w:r>
        <w:rPr>
          <w:i/>
        </w:rPr>
        <w:t>Gazette</w:t>
      </w:r>
      <w:r>
        <w:t xml:space="preserve"> make, amend, or revoke guidelines relating to the manner in which the Chief Executive Officer is to perform the Chief Executive Officer’s functions under this Part.</w:t>
      </w:r>
    </w:p>
    <w:p>
      <w:pPr>
        <w:pStyle w:val="Subsection"/>
        <w:spacing w:before="140"/>
      </w:pPr>
      <w:r>
        <w:tab/>
        <w:t>(2)</w:t>
      </w:r>
      <w:r>
        <w:tab/>
        <w:t>The Chief Executive Officer is to have regard to the guidelines in the exercise of his or her functions under this Part.</w:t>
      </w:r>
    </w:p>
    <w:p>
      <w:pPr>
        <w:pStyle w:val="Subsection"/>
        <w:spacing w:before="120"/>
      </w:pPr>
      <w:r>
        <w:tab/>
        <w:t>(3)</w:t>
      </w:r>
      <w:r>
        <w:tab/>
        <w:t>A failure to comply with subregulation (2) does not invalidate an approval of monitoring equipment or the issue of a certificate under this Part.</w:t>
      </w:r>
    </w:p>
    <w:p>
      <w:pPr>
        <w:pStyle w:val="Footnotesection"/>
        <w:keepLines w:val="0"/>
        <w:spacing w:before="100"/>
        <w:ind w:left="890" w:hanging="890"/>
      </w:pPr>
      <w:r>
        <w:tab/>
        <w:t>[Regulation 20KA inserted in Gazette 5 Jan 2001 p. 118.]</w:t>
      </w:r>
    </w:p>
    <w:p>
      <w:pPr>
        <w:pStyle w:val="Heading5"/>
      </w:pPr>
      <w:bookmarkStart w:id="748" w:name="_Toc503260604"/>
      <w:bookmarkStart w:id="749" w:name="_Toc12076707"/>
      <w:bookmarkStart w:id="750" w:name="_Toc12952223"/>
      <w:bookmarkStart w:id="751" w:name="_Toc122232946"/>
      <w:bookmarkStart w:id="752" w:name="_Toc324153589"/>
      <w:bookmarkStart w:id="753" w:name="_Toc318383473"/>
      <w:r>
        <w:rPr>
          <w:rStyle w:val="CharSectno"/>
        </w:rPr>
        <w:t>20L</w:t>
      </w:r>
      <w:r>
        <w:t>.</w:t>
      </w:r>
      <w:r>
        <w:tab/>
        <w:t>Review of this Part</w:t>
      </w:r>
      <w:bookmarkEnd w:id="748"/>
      <w:bookmarkEnd w:id="749"/>
      <w:bookmarkEnd w:id="750"/>
      <w:bookmarkEnd w:id="751"/>
      <w:bookmarkEnd w:id="752"/>
      <w:bookmarkEnd w:id="753"/>
    </w:p>
    <w:p>
      <w:pPr>
        <w:pStyle w:val="Subsection"/>
      </w:pPr>
      <w:r>
        <w:tab/>
        <w:t>(1)</w:t>
      </w:r>
      <w:r>
        <w:tab/>
        <w:t>The Authority is to report to the Minister on the operation and effectiveness of this Part within 5 years after its commencement or such other shorter period as the Minister specifies.</w:t>
      </w:r>
    </w:p>
    <w:p>
      <w:pPr>
        <w:pStyle w:val="Subsection"/>
      </w:pPr>
      <w:r>
        <w:tab/>
        <w:t>(2)</w:t>
      </w:r>
      <w:r>
        <w:tab/>
        <w:t>The report is to be made after —</w:t>
      </w:r>
    </w:p>
    <w:p>
      <w:pPr>
        <w:pStyle w:val="Indenta"/>
      </w:pPr>
      <w:r>
        <w:tab/>
        <w:t>(a)</w:t>
      </w:r>
      <w:r>
        <w:tab/>
        <w:t>the public has been given an opportunity to make submissions on the operation and effectiveness of the Part; and</w:t>
      </w:r>
    </w:p>
    <w:p>
      <w:pPr>
        <w:pStyle w:val="Indenta"/>
      </w:pPr>
      <w:r>
        <w:tab/>
        <w:t>(b)</w:t>
      </w:r>
      <w:r>
        <w:tab/>
        <w:t>a reasonable endeavour has been made to obtain the views of public authorities and persons that appear to the Authority to be significantly affected by the Part.</w:t>
      </w:r>
    </w:p>
    <w:p>
      <w:pPr>
        <w:pStyle w:val="Subsection"/>
      </w:pPr>
      <w:r>
        <w:tab/>
        <w:t>(3)</w:t>
      </w:r>
      <w:r>
        <w:tab/>
        <w:t>As soon as is practicable after the preparation of the report the Minister is to cause it to be laid before each House of Parliament.</w:t>
      </w:r>
    </w:p>
    <w:p>
      <w:pPr>
        <w:pStyle w:val="Footnotesection"/>
      </w:pPr>
      <w:r>
        <w:tab/>
        <w:t xml:space="preserve">[Regulation 20L inserted in Gazette 7 Jul 2000 p. 3683; amended in Gazette 5 Jan 2001 p. 118.] </w:t>
      </w:r>
    </w:p>
    <w:p>
      <w:pPr>
        <w:pStyle w:val="Heading2"/>
      </w:pPr>
      <w:bookmarkStart w:id="754" w:name="_Toc75588413"/>
      <w:bookmarkStart w:id="755" w:name="_Toc76894960"/>
      <w:bookmarkStart w:id="756" w:name="_Toc85279845"/>
      <w:bookmarkStart w:id="757" w:name="_Toc88903707"/>
      <w:bookmarkStart w:id="758" w:name="_Toc88962296"/>
      <w:bookmarkStart w:id="759" w:name="_Toc94320219"/>
      <w:bookmarkStart w:id="760" w:name="_Toc94331055"/>
      <w:bookmarkStart w:id="761" w:name="_Toc94331167"/>
      <w:bookmarkStart w:id="762" w:name="_Toc94428651"/>
      <w:bookmarkStart w:id="763" w:name="_Toc97455630"/>
      <w:bookmarkStart w:id="764" w:name="_Toc97457421"/>
      <w:bookmarkStart w:id="765" w:name="_Toc97630218"/>
      <w:bookmarkStart w:id="766" w:name="_Toc98053363"/>
      <w:bookmarkStart w:id="767" w:name="_Toc99962349"/>
      <w:bookmarkStart w:id="768" w:name="_Toc122159447"/>
      <w:bookmarkStart w:id="769" w:name="_Toc122232771"/>
      <w:bookmarkStart w:id="770" w:name="_Toc122232947"/>
      <w:bookmarkStart w:id="771" w:name="_Toc147220581"/>
      <w:bookmarkStart w:id="772" w:name="_Toc147223934"/>
      <w:bookmarkStart w:id="773" w:name="_Toc165444969"/>
      <w:bookmarkStart w:id="774" w:name="_Toc170557749"/>
      <w:bookmarkStart w:id="775" w:name="_Toc170795140"/>
      <w:bookmarkStart w:id="776" w:name="_Toc172709240"/>
      <w:bookmarkStart w:id="777" w:name="_Toc172964724"/>
      <w:bookmarkStart w:id="778" w:name="_Toc174158441"/>
      <w:bookmarkStart w:id="779" w:name="_Toc174358994"/>
      <w:bookmarkStart w:id="780" w:name="_Toc174518585"/>
      <w:bookmarkStart w:id="781" w:name="_Toc176170530"/>
      <w:bookmarkStart w:id="782" w:name="_Toc181431089"/>
      <w:bookmarkStart w:id="783" w:name="_Toc181497545"/>
      <w:bookmarkStart w:id="784" w:name="_Toc202254212"/>
      <w:bookmarkStart w:id="785" w:name="_Toc267572127"/>
      <w:bookmarkStart w:id="786" w:name="_Toc281461036"/>
      <w:bookmarkStart w:id="787" w:name="_Toc318383354"/>
      <w:bookmarkStart w:id="788" w:name="_Toc318383474"/>
      <w:bookmarkStart w:id="789" w:name="_Toc324153590"/>
      <w:r>
        <w:rPr>
          <w:rStyle w:val="CharPartNo"/>
        </w:rPr>
        <w:t>Part 9</w:t>
      </w:r>
      <w:r>
        <w:rPr>
          <w:rStyle w:val="CharDivNo"/>
        </w:rPr>
        <w:t> </w:t>
      </w:r>
      <w:r>
        <w:t>—</w:t>
      </w:r>
      <w:r>
        <w:rPr>
          <w:rStyle w:val="CharDivText"/>
        </w:rPr>
        <w:t> </w:t>
      </w:r>
      <w:r>
        <w:rPr>
          <w:rStyle w:val="CharPartText"/>
        </w:rPr>
        <w:t>Landfill levy</w:t>
      </w:r>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r>
        <w:rPr>
          <w:rStyle w:val="CharPartText"/>
        </w:rPr>
        <w:t xml:space="preserve"> </w:t>
      </w:r>
    </w:p>
    <w:p>
      <w:pPr>
        <w:pStyle w:val="Footnoteheading"/>
        <w:rPr>
          <w:snapToGrid w:val="0"/>
        </w:rPr>
      </w:pPr>
      <w:r>
        <w:rPr>
          <w:snapToGrid w:val="0"/>
        </w:rPr>
        <w:tab/>
        <w:t>[Heading inserted in Gazette 26 Jun 1998 p. 3370.]</w:t>
      </w:r>
    </w:p>
    <w:p>
      <w:pPr>
        <w:pStyle w:val="Heading5"/>
        <w:rPr>
          <w:snapToGrid w:val="0"/>
        </w:rPr>
      </w:pPr>
      <w:bookmarkStart w:id="790" w:name="_Toc448822591"/>
      <w:bookmarkStart w:id="791" w:name="_Toc448822717"/>
      <w:bookmarkStart w:id="792" w:name="_Toc503260605"/>
      <w:bookmarkStart w:id="793" w:name="_Toc12076708"/>
      <w:bookmarkStart w:id="794" w:name="_Toc12952224"/>
      <w:bookmarkStart w:id="795" w:name="_Toc122232948"/>
      <w:bookmarkStart w:id="796" w:name="_Toc324153591"/>
      <w:bookmarkStart w:id="797" w:name="_Toc318383475"/>
      <w:r>
        <w:rPr>
          <w:rStyle w:val="CharSectno"/>
        </w:rPr>
        <w:t>21</w:t>
      </w:r>
      <w:r>
        <w:rPr>
          <w:snapToGrid w:val="0"/>
        </w:rPr>
        <w:t>.</w:t>
      </w:r>
      <w:r>
        <w:rPr>
          <w:snapToGrid w:val="0"/>
        </w:rPr>
        <w:tab/>
      </w:r>
      <w:bookmarkEnd w:id="790"/>
      <w:bookmarkEnd w:id="791"/>
      <w:bookmarkEnd w:id="792"/>
      <w:bookmarkEnd w:id="793"/>
      <w:bookmarkEnd w:id="794"/>
      <w:bookmarkEnd w:id="795"/>
      <w:r>
        <w:rPr>
          <w:snapToGrid w:val="0"/>
        </w:rPr>
        <w:t>Terms used in this Part</w:t>
      </w:r>
      <w:bookmarkEnd w:id="796"/>
      <w:bookmarkEnd w:id="797"/>
    </w:p>
    <w:p>
      <w:pPr>
        <w:pStyle w:val="Subsection"/>
        <w:rPr>
          <w:snapToGrid w:val="0"/>
        </w:rPr>
      </w:pPr>
      <w:r>
        <w:rPr>
          <w:snapToGrid w:val="0"/>
        </w:rPr>
        <w:tab/>
        <w:t>(1)</w:t>
      </w:r>
      <w:r>
        <w:rPr>
          <w:snapToGrid w:val="0"/>
        </w:rPr>
        <w:tab/>
        <w:t>In this Part — </w:t>
      </w:r>
    </w:p>
    <w:p>
      <w:pPr>
        <w:pStyle w:val="Defstart"/>
      </w:pPr>
      <w:r>
        <w:rPr>
          <w:b/>
        </w:rPr>
        <w:tab/>
      </w:r>
      <w:r>
        <w:rPr>
          <w:rStyle w:val="CharDefText"/>
        </w:rPr>
        <w:t>approved</w:t>
      </w:r>
      <w:r>
        <w:t xml:space="preserve"> means approved in writing by the Chief Executive Officer;</w:t>
      </w:r>
    </w:p>
    <w:p>
      <w:pPr>
        <w:pStyle w:val="Defstart"/>
      </w:pPr>
      <w:r>
        <w:rPr>
          <w:b/>
        </w:rPr>
        <w:tab/>
      </w:r>
      <w:r>
        <w:rPr>
          <w:rStyle w:val="CharDefText"/>
        </w:rPr>
        <w:t>commencement day</w:t>
      </w:r>
      <w:r>
        <w:t xml:space="preserve"> means the day on which the </w:t>
      </w:r>
      <w:r>
        <w:rPr>
          <w:i/>
        </w:rPr>
        <w:t>Environmental Protection (Landfill) Levy Act 1998</w:t>
      </w:r>
      <w:r>
        <w:t xml:space="preserve"> comes into operation </w:t>
      </w:r>
      <w:r>
        <w:rPr>
          <w:vertAlign w:val="superscript"/>
        </w:rPr>
        <w:t>3</w:t>
      </w:r>
      <w:r>
        <w:t>;</w:t>
      </w:r>
    </w:p>
    <w:p>
      <w:pPr>
        <w:pStyle w:val="Defstart"/>
      </w:pPr>
      <w:r>
        <w:rPr>
          <w:b/>
        </w:rPr>
        <w:tab/>
      </w:r>
      <w:r>
        <w:rPr>
          <w:rStyle w:val="CharDefText"/>
        </w:rPr>
        <w:t>exemption period</w:t>
      </w:r>
      <w:r>
        <w:t xml:space="preserve"> means the period of exemption specified in a notice of exemption under regulation 23(4);</w:t>
      </w:r>
    </w:p>
    <w:p>
      <w:pPr>
        <w:pStyle w:val="Defstart"/>
      </w:pPr>
      <w:r>
        <w:rPr>
          <w:b/>
        </w:rPr>
        <w:tab/>
      </w:r>
      <w:r>
        <w:rPr>
          <w:rStyle w:val="CharDefText"/>
        </w:rPr>
        <w:t>existing licensee</w:t>
      </w:r>
      <w:r>
        <w:t xml:space="preserve"> means a person who is a licensee on commencement day;</w:t>
      </w:r>
    </w:p>
    <w:p>
      <w:pPr>
        <w:pStyle w:val="Defstart"/>
      </w:pPr>
      <w:r>
        <w:rPr>
          <w:b/>
        </w:rPr>
        <w:tab/>
      </w:r>
      <w:r>
        <w:rPr>
          <w:rStyle w:val="CharDefText"/>
        </w:rPr>
        <w:t>Fund</w:t>
      </w:r>
      <w:r>
        <w:t xml:space="preserve"> means the Waste Management and Recycling Fund established under section 110H of the Act;</w:t>
      </w:r>
    </w:p>
    <w:p>
      <w:pPr>
        <w:pStyle w:val="Defstart"/>
      </w:pPr>
      <w:r>
        <w:rPr>
          <w:b/>
        </w:rPr>
        <w:tab/>
      </w:r>
      <w:r>
        <w:rPr>
          <w:rStyle w:val="CharDefText"/>
        </w:rPr>
        <w:t>levy</w:t>
      </w:r>
      <w:r>
        <w:t xml:space="preserve"> means a levy imposed under the </w:t>
      </w:r>
      <w:r>
        <w:rPr>
          <w:i/>
        </w:rPr>
        <w:t>Environmental Protection (Landfill) Levy Act 1998</w:t>
      </w:r>
      <w:r>
        <w:t>;</w:t>
      </w:r>
    </w:p>
    <w:p>
      <w:pPr>
        <w:pStyle w:val="Defstart"/>
      </w:pPr>
      <w:r>
        <w:rPr>
          <w:b/>
        </w:rPr>
        <w:tab/>
      </w:r>
      <w:r>
        <w:rPr>
          <w:rStyle w:val="CharDefText"/>
        </w:rPr>
        <w:t>licensed landfill</w:t>
      </w:r>
      <w:r>
        <w:t xml:space="preserve"> means premises specified in category 63, 64 or 65 of Schedule 1;</w:t>
      </w:r>
    </w:p>
    <w:p>
      <w:pPr>
        <w:pStyle w:val="Defstart"/>
      </w:pPr>
      <w:r>
        <w:rPr>
          <w:b/>
        </w:rPr>
        <w:tab/>
      </w:r>
      <w:r>
        <w:rPr>
          <w:rStyle w:val="CharDefText"/>
        </w:rPr>
        <w:t>licensee</w:t>
      </w:r>
      <w:r>
        <w:t xml:space="preserve"> means the holder of a licence in respect of a licensed landfill;</w:t>
      </w:r>
    </w:p>
    <w:p>
      <w:pPr>
        <w:pStyle w:val="Defstart"/>
      </w:pPr>
      <w:r>
        <w:rPr>
          <w:b/>
        </w:rPr>
        <w:tab/>
      </w:r>
      <w:r>
        <w:rPr>
          <w:rStyle w:val="CharDefText"/>
        </w:rPr>
        <w:t>metropolitan region</w:t>
      </w:r>
      <w:r>
        <w:t xml:space="preserve"> has the same meaning as it has in the </w:t>
      </w:r>
      <w:r>
        <w:rPr>
          <w:i/>
          <w:iCs/>
        </w:rPr>
        <w:t>Planning and Development Act 2005</w:t>
      </w:r>
      <w:r>
        <w:t>;</w:t>
      </w:r>
    </w:p>
    <w:p>
      <w:pPr>
        <w:pStyle w:val="Defstart"/>
      </w:pPr>
      <w:r>
        <w:rPr>
          <w:b/>
        </w:rPr>
        <w:tab/>
      </w:r>
      <w:r>
        <w:rPr>
          <w:rStyle w:val="CharDefText"/>
        </w:rPr>
        <w:t>return period</w:t>
      </w:r>
      <w:r>
        <w:t xml:space="preserve"> means — </w:t>
      </w:r>
    </w:p>
    <w:p>
      <w:pPr>
        <w:pStyle w:val="Defpara"/>
      </w:pPr>
      <w:r>
        <w:tab/>
        <w:t>(a)</w:t>
      </w:r>
      <w:r>
        <w:tab/>
        <w:t>in the case of an existing licensee, the following periods — </w:t>
      </w:r>
    </w:p>
    <w:p>
      <w:pPr>
        <w:pStyle w:val="Defsubpara"/>
      </w:pPr>
      <w:r>
        <w:tab/>
        <w:t>•</w:t>
      </w:r>
      <w:r>
        <w:tab/>
        <w:t xml:space="preserve">Period 1: July 1 </w:t>
      </w:r>
      <w:r>
        <w:noBreakHyphen/>
        <w:t xml:space="preserve"> September 30;</w:t>
      </w:r>
    </w:p>
    <w:p>
      <w:pPr>
        <w:pStyle w:val="Defsubpara"/>
      </w:pPr>
      <w:r>
        <w:tab/>
        <w:t>•</w:t>
      </w:r>
      <w:r>
        <w:tab/>
        <w:t xml:space="preserve">Period 2: October 1 </w:t>
      </w:r>
      <w:r>
        <w:noBreakHyphen/>
        <w:t xml:space="preserve"> December 31;</w:t>
      </w:r>
    </w:p>
    <w:p>
      <w:pPr>
        <w:pStyle w:val="Defsubpara"/>
      </w:pPr>
      <w:r>
        <w:tab/>
        <w:t>•</w:t>
      </w:r>
      <w:r>
        <w:tab/>
        <w:t xml:space="preserve">Period 3: January 1 </w:t>
      </w:r>
      <w:r>
        <w:noBreakHyphen/>
        <w:t xml:space="preserve"> March 31;</w:t>
      </w:r>
    </w:p>
    <w:p>
      <w:pPr>
        <w:pStyle w:val="Defsubpara"/>
      </w:pPr>
      <w:r>
        <w:tab/>
        <w:t>•</w:t>
      </w:r>
      <w:r>
        <w:tab/>
        <w:t xml:space="preserve">Period 4: April 1 </w:t>
      </w:r>
      <w:r>
        <w:noBreakHyphen/>
        <w:t xml:space="preserve"> June 30;</w:t>
      </w:r>
    </w:p>
    <w:p>
      <w:pPr>
        <w:pStyle w:val="Defpara"/>
      </w:pPr>
      <w:r>
        <w:tab/>
        <w:t>(b)</w:t>
      </w:r>
      <w:r>
        <w:tab/>
        <w:t>in the case of a licensee who is granted a licence after commencement day, the following periods — </w:t>
      </w:r>
    </w:p>
    <w:p>
      <w:pPr>
        <w:pStyle w:val="Defsubpara"/>
      </w:pPr>
      <w:r>
        <w:tab/>
        <w:t>•</w:t>
      </w:r>
      <w:r>
        <w:tab/>
        <w:t>Period 1: the period beginning on the date of the grant of the licence and ending on the September 30, December 31, March 31 or June 30 immediately next following;</w:t>
      </w:r>
    </w:p>
    <w:p>
      <w:pPr>
        <w:pStyle w:val="Defsubpara"/>
      </w:pPr>
      <w:r>
        <w:tab/>
        <w:t>•</w:t>
      </w:r>
      <w:r>
        <w:tab/>
        <w:t>Each 3 month period next following Period 1.</w:t>
      </w:r>
    </w:p>
    <w:p>
      <w:pPr>
        <w:pStyle w:val="Subsection"/>
        <w:rPr>
          <w:snapToGrid w:val="0"/>
        </w:rPr>
      </w:pPr>
      <w:r>
        <w:rPr>
          <w:snapToGrid w:val="0"/>
        </w:rPr>
        <w:tab/>
        <w:t>(2)</w:t>
      </w:r>
      <w:r>
        <w:rPr>
          <w:snapToGrid w:val="0"/>
        </w:rPr>
        <w:tab/>
        <w:t>A reference in this Part to a category followed by a designation is a reference to the category so designated in the first column of Schedule 1.</w:t>
      </w:r>
    </w:p>
    <w:p>
      <w:pPr>
        <w:pStyle w:val="Footnotesection"/>
      </w:pPr>
      <w:r>
        <w:tab/>
        <w:t>[Regulation 21 inserted in Gazette 26 Jun 1998 p. 3370</w:t>
      </w:r>
      <w:r>
        <w:noBreakHyphen/>
        <w:t xml:space="preserve">1; amended in Gazette 29 Sep 2006 p. 4261.] </w:t>
      </w:r>
    </w:p>
    <w:p>
      <w:pPr>
        <w:pStyle w:val="Heading5"/>
        <w:rPr>
          <w:snapToGrid w:val="0"/>
        </w:rPr>
      </w:pPr>
      <w:bookmarkStart w:id="798" w:name="_Toc448822592"/>
      <w:bookmarkStart w:id="799" w:name="_Toc448822718"/>
      <w:bookmarkStart w:id="800" w:name="_Toc503260606"/>
      <w:bookmarkStart w:id="801" w:name="_Toc12076709"/>
      <w:bookmarkStart w:id="802" w:name="_Toc12952225"/>
      <w:bookmarkStart w:id="803" w:name="_Toc122232949"/>
      <w:bookmarkStart w:id="804" w:name="_Toc324153592"/>
      <w:bookmarkStart w:id="805" w:name="_Toc318383476"/>
      <w:r>
        <w:rPr>
          <w:rStyle w:val="CharSectno"/>
        </w:rPr>
        <w:t>22</w:t>
      </w:r>
      <w:r>
        <w:rPr>
          <w:snapToGrid w:val="0"/>
        </w:rPr>
        <w:t xml:space="preserve">. </w:t>
      </w:r>
      <w:r>
        <w:rPr>
          <w:snapToGrid w:val="0"/>
        </w:rPr>
        <w:tab/>
        <w:t>Application</w:t>
      </w:r>
      <w:bookmarkEnd w:id="798"/>
      <w:bookmarkEnd w:id="799"/>
      <w:bookmarkEnd w:id="800"/>
      <w:bookmarkEnd w:id="801"/>
      <w:bookmarkEnd w:id="802"/>
      <w:bookmarkEnd w:id="803"/>
      <w:bookmarkEnd w:id="804"/>
      <w:bookmarkEnd w:id="805"/>
      <w:r>
        <w:rPr>
          <w:snapToGrid w:val="0"/>
        </w:rPr>
        <w:t xml:space="preserve"> </w:t>
      </w:r>
    </w:p>
    <w:p>
      <w:pPr>
        <w:pStyle w:val="Subsection"/>
        <w:rPr>
          <w:snapToGrid w:val="0"/>
        </w:rPr>
      </w:pPr>
      <w:r>
        <w:rPr>
          <w:snapToGrid w:val="0"/>
        </w:rPr>
        <w:tab/>
        <w:t>(1)</w:t>
      </w:r>
      <w:r>
        <w:rPr>
          <w:snapToGrid w:val="0"/>
        </w:rPr>
        <w:tab/>
        <w:t>Subject to any exemption granted on application under regulation 23(1), this Part applies to — </w:t>
      </w:r>
    </w:p>
    <w:p>
      <w:pPr>
        <w:pStyle w:val="Indenta"/>
        <w:rPr>
          <w:snapToGrid w:val="0"/>
        </w:rPr>
      </w:pPr>
      <w:r>
        <w:rPr>
          <w:snapToGrid w:val="0"/>
        </w:rPr>
        <w:tab/>
        <w:t>(a)</w:t>
      </w:r>
      <w:r>
        <w:rPr>
          <w:snapToGrid w:val="0"/>
        </w:rPr>
        <w:tab/>
        <w:t>all waste received at licensed landfills in the metropolitan region; and</w:t>
      </w:r>
    </w:p>
    <w:p>
      <w:pPr>
        <w:pStyle w:val="Indenta"/>
        <w:rPr>
          <w:snapToGrid w:val="0"/>
        </w:rPr>
      </w:pPr>
      <w:r>
        <w:rPr>
          <w:snapToGrid w:val="0"/>
        </w:rPr>
        <w:tab/>
        <w:t>(b)</w:t>
      </w:r>
      <w:r>
        <w:rPr>
          <w:snapToGrid w:val="0"/>
        </w:rPr>
        <w:tab/>
        <w:t>all waste collected within the metropolitan region and received at licensed landfills outside the metropolitan area.</w:t>
      </w:r>
    </w:p>
    <w:p>
      <w:pPr>
        <w:pStyle w:val="Subsection"/>
      </w:pPr>
      <w:r>
        <w:tab/>
        <w:t>(2)</w:t>
      </w:r>
      <w:r>
        <w:tab/>
        <w:t xml:space="preserve">This </w:t>
      </w:r>
      <w:r>
        <w:rPr>
          <w:snapToGrid w:val="0"/>
        </w:rPr>
        <w:t>Part</w:t>
      </w:r>
      <w:r>
        <w:t xml:space="preserve"> does not apply to — </w:t>
      </w:r>
    </w:p>
    <w:p>
      <w:pPr>
        <w:pStyle w:val="Indenta"/>
      </w:pPr>
      <w:r>
        <w:tab/>
        <w:t>(a)</w:t>
      </w:r>
      <w:r>
        <w:tab/>
      </w:r>
      <w:r>
        <w:rPr>
          <w:snapToGrid w:val="0"/>
        </w:rPr>
        <w:t>waste</w:t>
      </w:r>
      <w:r>
        <w:t xml:space="preserve"> received at licensed landfills on or after 1 July 2008; and</w:t>
      </w:r>
    </w:p>
    <w:p>
      <w:pPr>
        <w:pStyle w:val="Indenta"/>
      </w:pPr>
      <w:r>
        <w:tab/>
        <w:t>(b)</w:t>
      </w:r>
      <w:r>
        <w:tab/>
      </w:r>
      <w:r>
        <w:rPr>
          <w:snapToGrid w:val="0"/>
        </w:rPr>
        <w:t>return</w:t>
      </w:r>
      <w:r>
        <w:t xml:space="preserve"> periods commencing on or after 1 July 2008.</w:t>
      </w:r>
    </w:p>
    <w:p>
      <w:pPr>
        <w:pStyle w:val="Footnotesection"/>
      </w:pPr>
      <w:r>
        <w:tab/>
        <w:t xml:space="preserve">[Regulation 22 inserted in Gazette 26 Jun 1998 p. 3371; amended in Gazette 20 Jun 2008 p. 2683.] </w:t>
      </w:r>
    </w:p>
    <w:p>
      <w:pPr>
        <w:pStyle w:val="Heading5"/>
        <w:rPr>
          <w:snapToGrid w:val="0"/>
        </w:rPr>
      </w:pPr>
      <w:bookmarkStart w:id="806" w:name="_Toc448822593"/>
      <w:bookmarkStart w:id="807" w:name="_Toc448822719"/>
      <w:bookmarkStart w:id="808" w:name="_Toc503260607"/>
      <w:bookmarkStart w:id="809" w:name="_Toc12076710"/>
      <w:bookmarkStart w:id="810" w:name="_Toc12952226"/>
      <w:bookmarkStart w:id="811" w:name="_Toc122232950"/>
      <w:bookmarkStart w:id="812" w:name="_Toc324153593"/>
      <w:bookmarkStart w:id="813" w:name="_Toc318383477"/>
      <w:r>
        <w:rPr>
          <w:rStyle w:val="CharSectno"/>
        </w:rPr>
        <w:t>23</w:t>
      </w:r>
      <w:r>
        <w:rPr>
          <w:snapToGrid w:val="0"/>
        </w:rPr>
        <w:t>.</w:t>
      </w:r>
      <w:r>
        <w:rPr>
          <w:snapToGrid w:val="0"/>
        </w:rPr>
        <w:tab/>
        <w:t>Exemptions</w:t>
      </w:r>
      <w:bookmarkEnd w:id="806"/>
      <w:bookmarkEnd w:id="807"/>
      <w:bookmarkEnd w:id="808"/>
      <w:bookmarkEnd w:id="809"/>
      <w:bookmarkEnd w:id="810"/>
      <w:bookmarkEnd w:id="811"/>
      <w:bookmarkEnd w:id="812"/>
      <w:bookmarkEnd w:id="813"/>
      <w:r>
        <w:rPr>
          <w:snapToGrid w:val="0"/>
        </w:rPr>
        <w:t xml:space="preserve"> </w:t>
      </w:r>
    </w:p>
    <w:p>
      <w:pPr>
        <w:pStyle w:val="Subsection"/>
        <w:rPr>
          <w:snapToGrid w:val="0"/>
        </w:rPr>
      </w:pPr>
      <w:r>
        <w:rPr>
          <w:snapToGrid w:val="0"/>
        </w:rPr>
        <w:tab/>
        <w:t>(1)</w:t>
      </w:r>
      <w:r>
        <w:rPr>
          <w:snapToGrid w:val="0"/>
        </w:rPr>
        <w:tab/>
        <w:t>A licensee may by application in the approved form claim an exemption from regulation 22 for the following waste received at a licensed landfill in any return period — </w:t>
      </w:r>
    </w:p>
    <w:p>
      <w:pPr>
        <w:pStyle w:val="Indenta"/>
      </w:pPr>
      <w:r>
        <w:tab/>
        <w:t>(a)</w:t>
      </w:r>
      <w:r>
        <w:tab/>
        <w:t xml:space="preserve">uncontaminated soil or other clean fill that — </w:t>
      </w:r>
    </w:p>
    <w:p>
      <w:pPr>
        <w:pStyle w:val="Indenti"/>
      </w:pPr>
      <w:r>
        <w:tab/>
        <w:t>(i)</w:t>
      </w:r>
      <w:r>
        <w:tab/>
        <w:t>is, or is to be, used after the completion of landfill operations to cover, to a depth of up to 500 mm, waste disposed of on the premises; and</w:t>
      </w:r>
    </w:p>
    <w:p>
      <w:pPr>
        <w:pStyle w:val="Indenti"/>
      </w:pPr>
      <w:r>
        <w:tab/>
        <w:t>(ii)</w:t>
      </w:r>
      <w:r>
        <w:tab/>
        <w:t>was accepted by the licensee at no charge;</w:t>
      </w:r>
    </w:p>
    <w:p>
      <w:pPr>
        <w:pStyle w:val="Indenta"/>
        <w:rPr>
          <w:snapToGrid w:val="0"/>
        </w:rPr>
      </w:pPr>
      <w:r>
        <w:rPr>
          <w:snapToGrid w:val="0"/>
        </w:rPr>
        <w:tab/>
        <w:t>(b)</w:t>
      </w:r>
      <w:r>
        <w:rPr>
          <w:snapToGrid w:val="0"/>
        </w:rPr>
        <w:tab/>
        <w:t>waste that is not disposed of to landfill but is collected and stored at a licensed landfill for recycling;</w:t>
      </w:r>
    </w:p>
    <w:p>
      <w:pPr>
        <w:pStyle w:val="Indenta"/>
        <w:rPr>
          <w:snapToGrid w:val="0"/>
        </w:rPr>
      </w:pPr>
      <w:r>
        <w:rPr>
          <w:snapToGrid w:val="0"/>
        </w:rPr>
        <w:tab/>
        <w:t>(c)</w:t>
      </w:r>
      <w:r>
        <w:rPr>
          <w:snapToGrid w:val="0"/>
        </w:rPr>
        <w:tab/>
        <w:t>approved waste that has been disposed of in an approved manner.</w:t>
      </w:r>
    </w:p>
    <w:p>
      <w:pPr>
        <w:pStyle w:val="Subsection"/>
        <w:rPr>
          <w:snapToGrid w:val="0"/>
        </w:rPr>
      </w:pPr>
      <w:r>
        <w:rPr>
          <w:snapToGrid w:val="0"/>
        </w:rPr>
        <w:tab/>
        <w:t>(2)</w:t>
      </w:r>
      <w:r>
        <w:rPr>
          <w:snapToGrid w:val="0"/>
        </w:rPr>
        <w:tab/>
        <w:t>A licensee may by application in the approved form claim an exemption from the requirement under regulation 25(1) to weigh waste on a weighbridge.</w:t>
      </w:r>
    </w:p>
    <w:p>
      <w:pPr>
        <w:pStyle w:val="Subsection"/>
      </w:pPr>
      <w:r>
        <w:tab/>
        <w:t>(2a)</w:t>
      </w:r>
      <w:r>
        <w:tab/>
        <w:t xml:space="preserve">A licensee of a category 63 licensed landfill may by application in the approved form claim an exemption from the requirements of regulation 26(4) and (5) in respect of a return period if no waste has been disposed of to landfill on the licensed landfill. </w:t>
      </w:r>
    </w:p>
    <w:p>
      <w:pPr>
        <w:pStyle w:val="Subsection"/>
        <w:rPr>
          <w:snapToGrid w:val="0"/>
        </w:rPr>
      </w:pPr>
      <w:r>
        <w:rPr>
          <w:snapToGrid w:val="0"/>
        </w:rPr>
        <w:tab/>
        <w:t>(3)</w:t>
      </w:r>
      <w:r>
        <w:rPr>
          <w:snapToGrid w:val="0"/>
        </w:rPr>
        <w:tab/>
        <w:t>The Chief Executive Officer may, by written notice — </w:t>
      </w:r>
    </w:p>
    <w:p>
      <w:pPr>
        <w:pStyle w:val="Indenta"/>
        <w:rPr>
          <w:snapToGrid w:val="0"/>
        </w:rPr>
      </w:pPr>
      <w:r>
        <w:rPr>
          <w:snapToGrid w:val="0"/>
        </w:rPr>
        <w:tab/>
        <w:t>(a)</w:t>
      </w:r>
      <w:r>
        <w:rPr>
          <w:snapToGrid w:val="0"/>
        </w:rPr>
        <w:tab/>
        <w:t>grant, or refuse to grant, an exemption;</w:t>
      </w:r>
    </w:p>
    <w:p>
      <w:pPr>
        <w:pStyle w:val="Indenta"/>
        <w:rPr>
          <w:snapToGrid w:val="0"/>
        </w:rPr>
      </w:pPr>
      <w:r>
        <w:rPr>
          <w:snapToGrid w:val="0"/>
        </w:rPr>
        <w:tab/>
        <w:t>(b)</w:t>
      </w:r>
      <w:r>
        <w:rPr>
          <w:snapToGrid w:val="0"/>
        </w:rPr>
        <w:tab/>
        <w:t>grant an exemption subject to conditions, or limited to circumstances, specified in the notice; or</w:t>
      </w:r>
    </w:p>
    <w:p>
      <w:pPr>
        <w:pStyle w:val="Indenta"/>
        <w:rPr>
          <w:snapToGrid w:val="0"/>
        </w:rPr>
      </w:pPr>
      <w:r>
        <w:rPr>
          <w:snapToGrid w:val="0"/>
        </w:rPr>
        <w:tab/>
        <w:t>(c)</w:t>
      </w:r>
      <w:r>
        <w:rPr>
          <w:snapToGrid w:val="0"/>
        </w:rPr>
        <w:tab/>
        <w:t>revoke an exemption.</w:t>
      </w:r>
    </w:p>
    <w:p>
      <w:pPr>
        <w:pStyle w:val="Subsection"/>
        <w:rPr>
          <w:snapToGrid w:val="0"/>
        </w:rPr>
      </w:pPr>
      <w:r>
        <w:rPr>
          <w:snapToGrid w:val="0"/>
        </w:rPr>
        <w:tab/>
        <w:t>(4)</w:t>
      </w:r>
      <w:r>
        <w:rPr>
          <w:snapToGrid w:val="0"/>
        </w:rPr>
        <w:tab/>
        <w:t>In any exemption notice for waste referred to in subregulation (1)(b) or (c) the Chief Executive Officer is to specify the period for which the exemption applies.</w:t>
      </w:r>
    </w:p>
    <w:p>
      <w:pPr>
        <w:pStyle w:val="Subsection"/>
        <w:rPr>
          <w:snapToGrid w:val="0"/>
        </w:rPr>
      </w:pPr>
      <w:r>
        <w:rPr>
          <w:snapToGrid w:val="0"/>
        </w:rPr>
        <w:tab/>
        <w:t>(5)</w:t>
      </w:r>
      <w:r>
        <w:rPr>
          <w:snapToGrid w:val="0"/>
        </w:rPr>
        <w:tab/>
        <w:t>If a condition subject to which an exemption is given is breached, the exemption ceases to have effect.</w:t>
      </w:r>
    </w:p>
    <w:p>
      <w:pPr>
        <w:pStyle w:val="Subsection"/>
        <w:rPr>
          <w:snapToGrid w:val="0"/>
        </w:rPr>
      </w:pPr>
      <w:r>
        <w:rPr>
          <w:snapToGrid w:val="0"/>
        </w:rPr>
        <w:tab/>
        <w:t>(6)</w:t>
      </w:r>
      <w:r>
        <w:rPr>
          <w:snapToGrid w:val="0"/>
        </w:rPr>
        <w:tab/>
        <w:t>If waste referred to in subregulation (1)(b) for which an exemption is granted has not been recycled, or otherwise removed in an approved manner, from the licensed landfill within the exemption period, the licensee is to pay the levy that would have been payable in respect of that waste if the exemption had not been granted not later than 2 weeks after the end of the exemption period.</w:t>
      </w:r>
    </w:p>
    <w:p>
      <w:pPr>
        <w:pStyle w:val="Subsection"/>
        <w:keepNext/>
        <w:rPr>
          <w:snapToGrid w:val="0"/>
        </w:rPr>
      </w:pPr>
      <w:r>
        <w:rPr>
          <w:snapToGrid w:val="0"/>
        </w:rPr>
        <w:tab/>
        <w:t>(7)</w:t>
      </w:r>
      <w:r>
        <w:rPr>
          <w:snapToGrid w:val="0"/>
        </w:rPr>
        <w:tab/>
        <w:t>If the Chief Executive Officer is satisfied that — </w:t>
      </w:r>
    </w:p>
    <w:p>
      <w:pPr>
        <w:pStyle w:val="Indenta"/>
        <w:rPr>
          <w:snapToGrid w:val="0"/>
        </w:rPr>
      </w:pPr>
      <w:r>
        <w:rPr>
          <w:snapToGrid w:val="0"/>
        </w:rPr>
        <w:tab/>
        <w:t>(a)</w:t>
      </w:r>
      <w:r>
        <w:rPr>
          <w:snapToGrid w:val="0"/>
        </w:rPr>
        <w:tab/>
        <w:t>waste referred to in subregulation (1)(b) for which an exemption is granted has been recycled or otherwise removed from the licensed landfill within 12 months after the exemption period; and</w:t>
      </w:r>
    </w:p>
    <w:p>
      <w:pPr>
        <w:pStyle w:val="Indenta"/>
        <w:rPr>
          <w:snapToGrid w:val="0"/>
        </w:rPr>
      </w:pPr>
      <w:r>
        <w:rPr>
          <w:snapToGrid w:val="0"/>
        </w:rPr>
        <w:tab/>
        <w:t>(b)</w:t>
      </w:r>
      <w:r>
        <w:rPr>
          <w:snapToGrid w:val="0"/>
        </w:rPr>
        <w:tab/>
        <w:t xml:space="preserve">the levy has been paid in respect of the waste, </w:t>
      </w:r>
    </w:p>
    <w:p>
      <w:pPr>
        <w:pStyle w:val="Subsection"/>
        <w:rPr>
          <w:snapToGrid w:val="0"/>
        </w:rPr>
      </w:pPr>
      <w:r>
        <w:rPr>
          <w:snapToGrid w:val="0"/>
        </w:rPr>
        <w:tab/>
      </w:r>
      <w:r>
        <w:rPr>
          <w:snapToGrid w:val="0"/>
        </w:rPr>
        <w:tab/>
        <w:t>the Chief Executive Officer may refund or rebate to the licensee an amount equal to the amount of levy paid in respect of the waste.</w:t>
      </w:r>
    </w:p>
    <w:p>
      <w:pPr>
        <w:pStyle w:val="Footnotesection"/>
      </w:pPr>
      <w:r>
        <w:tab/>
        <w:t xml:space="preserve">[Regulation 23 inserted in Gazette 26 Jun 1998 p. 3371; amended in Gazette 29 Sep 2006 p. 4262.] </w:t>
      </w:r>
    </w:p>
    <w:p>
      <w:pPr>
        <w:pStyle w:val="Heading5"/>
        <w:rPr>
          <w:snapToGrid w:val="0"/>
        </w:rPr>
      </w:pPr>
      <w:bookmarkStart w:id="814" w:name="_Toc448822594"/>
      <w:bookmarkStart w:id="815" w:name="_Toc448822720"/>
      <w:bookmarkStart w:id="816" w:name="_Toc503260608"/>
      <w:bookmarkStart w:id="817" w:name="_Toc12076711"/>
      <w:bookmarkStart w:id="818" w:name="_Toc12952227"/>
      <w:bookmarkStart w:id="819" w:name="_Toc122232951"/>
      <w:bookmarkStart w:id="820" w:name="_Toc324153594"/>
      <w:bookmarkStart w:id="821" w:name="_Toc318383478"/>
      <w:r>
        <w:rPr>
          <w:rStyle w:val="CharSectno"/>
        </w:rPr>
        <w:t>24</w:t>
      </w:r>
      <w:r>
        <w:rPr>
          <w:snapToGrid w:val="0"/>
        </w:rPr>
        <w:t>.</w:t>
      </w:r>
      <w:r>
        <w:rPr>
          <w:snapToGrid w:val="0"/>
        </w:rPr>
        <w:tab/>
        <w:t>Financial assurance — exempt waste</w:t>
      </w:r>
      <w:bookmarkEnd w:id="814"/>
      <w:bookmarkEnd w:id="815"/>
      <w:bookmarkEnd w:id="816"/>
      <w:bookmarkEnd w:id="817"/>
      <w:bookmarkEnd w:id="818"/>
      <w:bookmarkEnd w:id="819"/>
      <w:bookmarkEnd w:id="820"/>
      <w:bookmarkEnd w:id="821"/>
      <w:r>
        <w:rPr>
          <w:snapToGrid w:val="0"/>
        </w:rPr>
        <w:t xml:space="preserve"> </w:t>
      </w:r>
    </w:p>
    <w:p>
      <w:pPr>
        <w:pStyle w:val="Subsection"/>
        <w:rPr>
          <w:snapToGrid w:val="0"/>
        </w:rPr>
      </w:pPr>
      <w:r>
        <w:rPr>
          <w:snapToGrid w:val="0"/>
        </w:rPr>
        <w:tab/>
        <w:t>(1)</w:t>
      </w:r>
      <w:r>
        <w:rPr>
          <w:snapToGrid w:val="0"/>
        </w:rPr>
        <w:tab/>
        <w:t>In this regulation — </w:t>
      </w:r>
    </w:p>
    <w:p>
      <w:pPr>
        <w:pStyle w:val="Defstart"/>
      </w:pPr>
      <w:r>
        <w:rPr>
          <w:b/>
        </w:rPr>
        <w:tab/>
      </w:r>
      <w:r>
        <w:rPr>
          <w:rStyle w:val="CharDefText"/>
        </w:rPr>
        <w:t>licensee</w:t>
      </w:r>
      <w:r>
        <w:t xml:space="preserve"> does not include a licensee who is a local government.</w:t>
      </w:r>
    </w:p>
    <w:p>
      <w:pPr>
        <w:pStyle w:val="Subsection"/>
        <w:rPr>
          <w:snapToGrid w:val="0"/>
        </w:rPr>
      </w:pPr>
      <w:r>
        <w:rPr>
          <w:snapToGrid w:val="0"/>
        </w:rPr>
        <w:tab/>
        <w:t>(2)</w:t>
      </w:r>
      <w:r>
        <w:rPr>
          <w:snapToGrid w:val="0"/>
        </w:rPr>
        <w:tab/>
        <w:t>If a licensee is granted an exemption for waste referred to in regulation 23(1)(b), the Chief Executive Officer may require the licensee to provide a financial assurance to the Chief Executive Officer of an amount specified by the Chief Executive Officer that does not exceed the amount of levy that would otherwise be payable in respect of the waste.</w:t>
      </w:r>
    </w:p>
    <w:p>
      <w:pPr>
        <w:pStyle w:val="Subsection"/>
        <w:rPr>
          <w:snapToGrid w:val="0"/>
        </w:rPr>
      </w:pPr>
      <w:r>
        <w:rPr>
          <w:snapToGrid w:val="0"/>
        </w:rPr>
        <w:tab/>
        <w:t>(3)</w:t>
      </w:r>
      <w:r>
        <w:rPr>
          <w:snapToGrid w:val="0"/>
        </w:rPr>
        <w:tab/>
        <w:t>The licensee is to provide the financial assurance — </w:t>
      </w:r>
    </w:p>
    <w:p>
      <w:pPr>
        <w:pStyle w:val="Indenta"/>
        <w:rPr>
          <w:snapToGrid w:val="0"/>
        </w:rPr>
      </w:pPr>
      <w:r>
        <w:rPr>
          <w:snapToGrid w:val="0"/>
        </w:rPr>
        <w:tab/>
        <w:t>(a)</w:t>
      </w:r>
      <w:r>
        <w:rPr>
          <w:snapToGrid w:val="0"/>
        </w:rPr>
        <w:tab/>
        <w:t>not later than 2 weeks after the licensee is notified by the Chief Executive Officer that the financial assurance is required; and</w:t>
      </w:r>
    </w:p>
    <w:p>
      <w:pPr>
        <w:pStyle w:val="Indenta"/>
        <w:rPr>
          <w:snapToGrid w:val="0"/>
        </w:rPr>
      </w:pPr>
      <w:r>
        <w:rPr>
          <w:snapToGrid w:val="0"/>
        </w:rPr>
        <w:tab/>
        <w:t>(b)</w:t>
      </w:r>
      <w:r>
        <w:rPr>
          <w:snapToGrid w:val="0"/>
        </w:rPr>
        <w:tab/>
        <w:t xml:space="preserve">in an approved form, </w:t>
      </w:r>
    </w:p>
    <w:p>
      <w:pPr>
        <w:pStyle w:val="Subsection"/>
        <w:rPr>
          <w:snapToGrid w:val="0"/>
        </w:rPr>
      </w:pPr>
      <w:r>
        <w:rPr>
          <w:snapToGrid w:val="0"/>
        </w:rPr>
        <w:tab/>
      </w:r>
      <w:r>
        <w:rPr>
          <w:snapToGrid w:val="0"/>
        </w:rPr>
        <w:tab/>
        <w:t xml:space="preserve">and is to maintain the financial assurance in accordance with any requirements of the Chief Executive </w:t>
      </w:r>
      <w:r>
        <w:t>Officer of which the licensee has been given written notice.</w:t>
      </w:r>
    </w:p>
    <w:p>
      <w:pPr>
        <w:pStyle w:val="Subsection"/>
        <w:rPr>
          <w:snapToGrid w:val="0"/>
        </w:rPr>
      </w:pPr>
      <w:r>
        <w:rPr>
          <w:snapToGrid w:val="0"/>
        </w:rPr>
        <w:tab/>
        <w:t>(4)</w:t>
      </w:r>
      <w:r>
        <w:rPr>
          <w:snapToGrid w:val="0"/>
        </w:rPr>
        <w:tab/>
        <w:t>If the financial assurance is not provided and maintained in accordance with subregulation (3) — </w:t>
      </w:r>
    </w:p>
    <w:p>
      <w:pPr>
        <w:pStyle w:val="Indenta"/>
        <w:rPr>
          <w:snapToGrid w:val="0"/>
        </w:rPr>
      </w:pPr>
      <w:r>
        <w:rPr>
          <w:snapToGrid w:val="0"/>
        </w:rPr>
        <w:tab/>
        <w:t>(a)</w:t>
      </w:r>
      <w:r>
        <w:rPr>
          <w:snapToGrid w:val="0"/>
        </w:rPr>
        <w:tab/>
        <w:t>the exemption ceases to have effect; and</w:t>
      </w:r>
    </w:p>
    <w:p>
      <w:pPr>
        <w:pStyle w:val="Indenta"/>
        <w:rPr>
          <w:snapToGrid w:val="0"/>
        </w:rPr>
      </w:pPr>
      <w:r>
        <w:rPr>
          <w:snapToGrid w:val="0"/>
        </w:rPr>
        <w:tab/>
        <w:t>(b)</w:t>
      </w:r>
      <w:r>
        <w:rPr>
          <w:snapToGrid w:val="0"/>
        </w:rPr>
        <w:tab/>
        <w:t>the amount of levy that would have been payable in respect of the waste if the exemption had not been granted becomes due and payable.</w:t>
      </w:r>
    </w:p>
    <w:p>
      <w:pPr>
        <w:pStyle w:val="Subsection"/>
        <w:spacing w:before="120"/>
        <w:rPr>
          <w:snapToGrid w:val="0"/>
        </w:rPr>
      </w:pPr>
      <w:r>
        <w:rPr>
          <w:snapToGrid w:val="0"/>
        </w:rPr>
        <w:tab/>
        <w:t>(5)</w:t>
      </w:r>
      <w:r>
        <w:rPr>
          <w:snapToGrid w:val="0"/>
        </w:rPr>
        <w:tab/>
        <w:t>The Chief Executive Officer may call on or use the financial assurance and pay the moneys into the Fund if — </w:t>
      </w:r>
    </w:p>
    <w:p>
      <w:pPr>
        <w:pStyle w:val="Indenta"/>
        <w:rPr>
          <w:snapToGrid w:val="0"/>
        </w:rPr>
      </w:pPr>
      <w:r>
        <w:rPr>
          <w:snapToGrid w:val="0"/>
        </w:rPr>
        <w:tab/>
        <w:t>(a)</w:t>
      </w:r>
      <w:r>
        <w:rPr>
          <w:snapToGrid w:val="0"/>
        </w:rPr>
        <w:tab/>
        <w:t>the waste in respect of which the financial assurance is paid has not been recycled, or otherwise removed from the licensed landfill in an approved manner, within the exemption period; and</w:t>
      </w:r>
    </w:p>
    <w:p>
      <w:pPr>
        <w:pStyle w:val="Indenta"/>
        <w:rPr>
          <w:snapToGrid w:val="0"/>
        </w:rPr>
      </w:pPr>
      <w:r>
        <w:rPr>
          <w:snapToGrid w:val="0"/>
        </w:rPr>
        <w:tab/>
        <w:t>(b)</w:t>
      </w:r>
      <w:r>
        <w:rPr>
          <w:snapToGrid w:val="0"/>
        </w:rPr>
        <w:tab/>
        <w:t>the levy in respect of the waste is not paid as required under regulation 23(6).</w:t>
      </w:r>
    </w:p>
    <w:p>
      <w:pPr>
        <w:pStyle w:val="Subsection"/>
        <w:spacing w:before="120"/>
        <w:rPr>
          <w:snapToGrid w:val="0"/>
        </w:rPr>
      </w:pPr>
      <w:r>
        <w:rPr>
          <w:snapToGrid w:val="0"/>
        </w:rPr>
        <w:tab/>
        <w:t>(6)</w:t>
      </w:r>
      <w:r>
        <w:rPr>
          <w:snapToGrid w:val="0"/>
        </w:rPr>
        <w:tab/>
        <w:t>If — </w:t>
      </w:r>
    </w:p>
    <w:p>
      <w:pPr>
        <w:pStyle w:val="Indenta"/>
        <w:rPr>
          <w:snapToGrid w:val="0"/>
        </w:rPr>
      </w:pPr>
      <w:r>
        <w:rPr>
          <w:snapToGrid w:val="0"/>
        </w:rPr>
        <w:tab/>
        <w:t>(a)</w:t>
      </w:r>
      <w:r>
        <w:rPr>
          <w:snapToGrid w:val="0"/>
        </w:rPr>
        <w:tab/>
        <w:t xml:space="preserve">waste referred to in regulation 23(1)(b) for which an exemption is granted is recycled or otherwise removed from the licensed landfill within the exemption period; or </w:t>
      </w:r>
    </w:p>
    <w:p>
      <w:pPr>
        <w:pStyle w:val="Indenta"/>
        <w:rPr>
          <w:snapToGrid w:val="0"/>
        </w:rPr>
      </w:pPr>
      <w:r>
        <w:rPr>
          <w:snapToGrid w:val="0"/>
        </w:rPr>
        <w:tab/>
        <w:t>(b)</w:t>
      </w:r>
      <w:r>
        <w:rPr>
          <w:snapToGrid w:val="0"/>
        </w:rPr>
        <w:tab/>
        <w:t xml:space="preserve">the levy is paid in respect of the waste, </w:t>
      </w:r>
    </w:p>
    <w:p>
      <w:pPr>
        <w:pStyle w:val="Subsection"/>
        <w:spacing w:before="120"/>
        <w:rPr>
          <w:snapToGrid w:val="0"/>
        </w:rPr>
      </w:pPr>
      <w:r>
        <w:rPr>
          <w:snapToGrid w:val="0"/>
        </w:rPr>
        <w:tab/>
      </w:r>
      <w:r>
        <w:rPr>
          <w:snapToGrid w:val="0"/>
        </w:rPr>
        <w:tab/>
        <w:t>the financial assurance in respect of the waste may be terminated by the licensee.</w:t>
      </w:r>
    </w:p>
    <w:p>
      <w:pPr>
        <w:pStyle w:val="Footnotesection"/>
      </w:pPr>
      <w:r>
        <w:tab/>
        <w:t>[Regulation 24 inserted in Gazette 26 Jun 1998 p. 3371</w:t>
      </w:r>
      <w:r>
        <w:noBreakHyphen/>
        <w:t xml:space="preserve">2; amended in Gazette 29 Sep 2006 p. 4262.] </w:t>
      </w:r>
    </w:p>
    <w:p>
      <w:pPr>
        <w:pStyle w:val="Heading5"/>
        <w:rPr>
          <w:snapToGrid w:val="0"/>
        </w:rPr>
      </w:pPr>
      <w:bookmarkStart w:id="822" w:name="_Toc448822595"/>
      <w:bookmarkStart w:id="823" w:name="_Toc448822721"/>
      <w:bookmarkStart w:id="824" w:name="_Toc503260609"/>
      <w:bookmarkStart w:id="825" w:name="_Toc12076712"/>
      <w:bookmarkStart w:id="826" w:name="_Toc12952228"/>
      <w:bookmarkStart w:id="827" w:name="_Toc122232952"/>
      <w:bookmarkStart w:id="828" w:name="_Toc324153595"/>
      <w:bookmarkStart w:id="829" w:name="_Toc318383479"/>
      <w:r>
        <w:rPr>
          <w:rStyle w:val="CharSectno"/>
        </w:rPr>
        <w:t>25</w:t>
      </w:r>
      <w:r>
        <w:rPr>
          <w:snapToGrid w:val="0"/>
        </w:rPr>
        <w:t>.</w:t>
      </w:r>
      <w:r>
        <w:rPr>
          <w:snapToGrid w:val="0"/>
        </w:rPr>
        <w:tab/>
        <w:t>Amount of levy — when waste received at licensed landfill with weighbridge</w:t>
      </w:r>
      <w:bookmarkEnd w:id="822"/>
      <w:bookmarkEnd w:id="823"/>
      <w:bookmarkEnd w:id="824"/>
      <w:bookmarkEnd w:id="825"/>
      <w:bookmarkEnd w:id="826"/>
      <w:bookmarkEnd w:id="827"/>
      <w:bookmarkEnd w:id="828"/>
      <w:bookmarkEnd w:id="829"/>
      <w:r>
        <w:rPr>
          <w:snapToGrid w:val="0"/>
        </w:rPr>
        <w:t xml:space="preserve"> </w:t>
      </w:r>
    </w:p>
    <w:p>
      <w:pPr>
        <w:pStyle w:val="Subsection"/>
        <w:spacing w:before="120"/>
        <w:rPr>
          <w:snapToGrid w:val="0"/>
        </w:rPr>
      </w:pPr>
      <w:r>
        <w:rPr>
          <w:snapToGrid w:val="0"/>
        </w:rPr>
        <w:tab/>
        <w:t>(1)</w:t>
      </w:r>
      <w:r>
        <w:rPr>
          <w:snapToGrid w:val="0"/>
        </w:rPr>
        <w:tab/>
        <w:t>Subject to any exemption granted on application under regulation 23(2), waste to which this Part applies that is received at a</w:t>
      </w:r>
      <w:r>
        <w:t xml:space="preserve"> category 64 or 65</w:t>
      </w:r>
      <w:r>
        <w:rPr>
          <w:snapToGrid w:val="0"/>
        </w:rPr>
        <w:t xml:space="preserve"> licensed landfill with a weighbridge is to be weighed on the weighbridge at the time of delivery and the weight of the waste as shown at the weighbridge is to be the weight that is used for the purpose of determining the amount of the levy under regulation 27.</w:t>
      </w:r>
    </w:p>
    <w:p>
      <w:pPr>
        <w:pStyle w:val="Subsection"/>
        <w:keepNext/>
      </w:pPr>
      <w:r>
        <w:tab/>
        <w:t>(2)</w:t>
      </w:r>
      <w:r>
        <w:tab/>
        <w:t xml:space="preserve">If — </w:t>
      </w:r>
    </w:p>
    <w:p>
      <w:pPr>
        <w:pStyle w:val="Indenta"/>
      </w:pPr>
      <w:r>
        <w:tab/>
        <w:t>(a)</w:t>
      </w:r>
      <w:r>
        <w:tab/>
        <w:t>the licensee of a category 64 or 65 licensed landfill has been granted an exemption from the requirement to weigh waste received at the licensed landfill; or</w:t>
      </w:r>
    </w:p>
    <w:p>
      <w:pPr>
        <w:pStyle w:val="Indenta"/>
      </w:pPr>
      <w:r>
        <w:tab/>
        <w:t>(b)</w:t>
      </w:r>
      <w:r>
        <w:tab/>
        <w:t>a category 64 or 65 licensed landfill does not have a weighbridge,</w:t>
      </w:r>
    </w:p>
    <w:p>
      <w:pPr>
        <w:pStyle w:val="Subsection"/>
      </w:pPr>
      <w:r>
        <w:tab/>
      </w:r>
      <w:r>
        <w:tab/>
        <w:t>when waste is received at that licensed landfill the licensee is to estimate the weight of that waste in the approved manner, and the estimated weight is to be the weight that is used for the purpose of determining the amount of the levy under regulation 27.</w:t>
      </w:r>
    </w:p>
    <w:p>
      <w:pPr>
        <w:pStyle w:val="Footnotesection"/>
      </w:pPr>
      <w:r>
        <w:tab/>
        <w:t xml:space="preserve">[Regulation 25 inserted in Gazette 26 Jun 1998 p. 3372; amended in Gazette 29 Sep 2006 p. 4262-3.] </w:t>
      </w:r>
    </w:p>
    <w:p>
      <w:pPr>
        <w:pStyle w:val="Heading5"/>
      </w:pPr>
      <w:bookmarkStart w:id="830" w:name="_Toc324153596"/>
      <w:bookmarkStart w:id="831" w:name="_Toc318383480"/>
      <w:bookmarkStart w:id="832" w:name="_Toc448822598"/>
      <w:bookmarkStart w:id="833" w:name="_Toc448822724"/>
      <w:bookmarkStart w:id="834" w:name="_Toc503260612"/>
      <w:bookmarkStart w:id="835" w:name="_Toc12076715"/>
      <w:bookmarkStart w:id="836" w:name="_Toc12952231"/>
      <w:bookmarkStart w:id="837" w:name="_Toc122232955"/>
      <w:r>
        <w:rPr>
          <w:rStyle w:val="CharSectno"/>
        </w:rPr>
        <w:t>26</w:t>
      </w:r>
      <w:r>
        <w:t>.</w:t>
      </w:r>
      <w:r>
        <w:tab/>
        <w:t>Amount of waste — category 63 licensed landfills</w:t>
      </w:r>
      <w:bookmarkEnd w:id="830"/>
      <w:bookmarkEnd w:id="831"/>
    </w:p>
    <w:p>
      <w:pPr>
        <w:pStyle w:val="Subsection"/>
      </w:pPr>
      <w:r>
        <w:tab/>
        <w:t>(1)</w:t>
      </w:r>
      <w:r>
        <w:tab/>
        <w:t xml:space="preserve">The licensee of a category 63 licensed landfill must — </w:t>
      </w:r>
    </w:p>
    <w:p>
      <w:pPr>
        <w:pStyle w:val="Indenta"/>
      </w:pPr>
      <w:r>
        <w:tab/>
        <w:t>(a)</w:t>
      </w:r>
      <w:r>
        <w:tab/>
        <w:t xml:space="preserve">cause a survey of the premises to be conducted by a surveyor for the purpose of establishing a base from which the volume of waste subsequently disposed of to landfill on the premises can be measured (the </w:t>
      </w:r>
      <w:r>
        <w:rPr>
          <w:rStyle w:val="CharDefText"/>
        </w:rPr>
        <w:t>baseline survey</w:t>
      </w:r>
      <w:r>
        <w:t>); and</w:t>
      </w:r>
    </w:p>
    <w:p>
      <w:pPr>
        <w:pStyle w:val="Indenta"/>
      </w:pPr>
      <w:r>
        <w:tab/>
        <w:t>(b)</w:t>
      </w:r>
      <w:r>
        <w:tab/>
        <w:t xml:space="preserve">lodge with the Chief Executive Officer a report of that survey prepared by the surveyor (the </w:t>
      </w:r>
      <w:r>
        <w:rPr>
          <w:rStyle w:val="CharDefText"/>
        </w:rPr>
        <w:t>baseline report</w:t>
      </w:r>
      <w:r>
        <w:t>).</w:t>
      </w:r>
    </w:p>
    <w:p>
      <w:pPr>
        <w:pStyle w:val="Penstart"/>
      </w:pPr>
      <w:r>
        <w:tab/>
        <w:t>Penalty: $5 000.</w:t>
      </w:r>
    </w:p>
    <w:p>
      <w:pPr>
        <w:pStyle w:val="Subsection"/>
      </w:pPr>
      <w:r>
        <w:tab/>
        <w:t>(2)</w:t>
      </w:r>
      <w:r>
        <w:tab/>
        <w:t xml:space="preserve">In the case of an existing landfill — </w:t>
      </w:r>
    </w:p>
    <w:p>
      <w:pPr>
        <w:pStyle w:val="Indenta"/>
      </w:pPr>
      <w:r>
        <w:tab/>
        <w:t>(a)</w:t>
      </w:r>
      <w:r>
        <w:tab/>
        <w:t xml:space="preserve">the baseline survey must be conducted as soon as practicable after 1 October 2006; and </w:t>
      </w:r>
    </w:p>
    <w:p>
      <w:pPr>
        <w:pStyle w:val="Indenta"/>
      </w:pPr>
      <w:r>
        <w:tab/>
        <w:t>(b)</w:t>
      </w:r>
      <w:r>
        <w:tab/>
        <w:t xml:space="preserve">the baseline report must be lodged on or before 14 October 2006. </w:t>
      </w:r>
    </w:p>
    <w:p>
      <w:pPr>
        <w:pStyle w:val="Subsection"/>
        <w:keepNext/>
        <w:keepLines/>
      </w:pPr>
      <w:r>
        <w:tab/>
        <w:t>(3)</w:t>
      </w:r>
      <w:r>
        <w:tab/>
        <w:t xml:space="preserve">In the case of a category 63 licensed landfill other than an existing landfill — </w:t>
      </w:r>
    </w:p>
    <w:p>
      <w:pPr>
        <w:pStyle w:val="Indenta"/>
      </w:pPr>
      <w:r>
        <w:tab/>
        <w:t>(a)</w:t>
      </w:r>
      <w:r>
        <w:tab/>
        <w:t xml:space="preserve">the baseline survey must be conducted — </w:t>
      </w:r>
    </w:p>
    <w:p>
      <w:pPr>
        <w:pStyle w:val="Indenti"/>
      </w:pPr>
      <w:r>
        <w:tab/>
        <w:t>(i)</w:t>
      </w:r>
      <w:r>
        <w:tab/>
        <w:t>after the licence is issued; and</w:t>
      </w:r>
    </w:p>
    <w:p>
      <w:pPr>
        <w:pStyle w:val="Indenti"/>
      </w:pPr>
      <w:r>
        <w:tab/>
        <w:t>(ii)</w:t>
      </w:r>
      <w:r>
        <w:tab/>
        <w:t>not more than 14 days before the licensee commences accepting waste for disposal to landfill on the premises;</w:t>
      </w:r>
    </w:p>
    <w:p>
      <w:pPr>
        <w:pStyle w:val="Indenta"/>
      </w:pPr>
      <w:r>
        <w:tab/>
      </w:r>
      <w:r>
        <w:tab/>
        <w:t>and</w:t>
      </w:r>
    </w:p>
    <w:p>
      <w:pPr>
        <w:pStyle w:val="Indenta"/>
      </w:pPr>
      <w:r>
        <w:tab/>
        <w:t>(b)</w:t>
      </w:r>
      <w:r>
        <w:tab/>
        <w:t>the baseline report must be lodged within 14 days after the licensee commences accepting waste for disposal to landfill on the premises.</w:t>
      </w:r>
    </w:p>
    <w:p>
      <w:pPr>
        <w:pStyle w:val="Subsection"/>
      </w:pPr>
      <w:r>
        <w:tab/>
        <w:t>(4)</w:t>
      </w:r>
      <w:r>
        <w:tab/>
        <w:t xml:space="preserve">Subject to any exemption granted on application under regulation 23(2a), after the end of a return period the licensee of a category 63 licensed landfill must cause a survey of the premises to be conducted by a surveyor for the purpose of calculating the volume of waste disposed of to landfill during that return period (a </w:t>
      </w:r>
      <w:r>
        <w:rPr>
          <w:rStyle w:val="CharDefText"/>
        </w:rPr>
        <w:t>quarterly survey</w:t>
      </w:r>
      <w:r>
        <w:rPr>
          <w:bCs/>
        </w:rPr>
        <w:t>)</w:t>
      </w:r>
      <w:r>
        <w:t xml:space="preserve">. </w:t>
      </w:r>
    </w:p>
    <w:p>
      <w:pPr>
        <w:pStyle w:val="Subsection"/>
      </w:pPr>
      <w:r>
        <w:tab/>
        <w:t>(5)</w:t>
      </w:r>
      <w:r>
        <w:tab/>
        <w:t xml:space="preserve">The licensee must lodge a report on a quarterly survey, prepared by the surveyor, with the return lodged under regulation 30 for that return period. </w:t>
      </w:r>
    </w:p>
    <w:p>
      <w:pPr>
        <w:pStyle w:val="Penstart"/>
      </w:pPr>
      <w:r>
        <w:tab/>
        <w:t xml:space="preserve">Penalty: $5 000. </w:t>
      </w:r>
    </w:p>
    <w:p>
      <w:pPr>
        <w:pStyle w:val="Subsection"/>
      </w:pPr>
      <w:r>
        <w:tab/>
        <w:t>(6)</w:t>
      </w:r>
      <w:r>
        <w:tab/>
        <w:t>The report referred to in subregulation (5) must include the surveyor’s calculation of the number of cubic metres of waste disposed of to landfill on the premises during the return period based on a comparison of the quarterly survey for that return period and the previous quarterly survey or, if there is no previous quarterly survey, the baseline survey for the premises or the estimated base established under regulation 26A(1).</w:t>
      </w:r>
    </w:p>
    <w:p>
      <w:pPr>
        <w:pStyle w:val="Subsection"/>
      </w:pPr>
      <w:r>
        <w:tab/>
        <w:t>(7)</w:t>
      </w:r>
      <w:r>
        <w:tab/>
        <w:t>The volume of waste so calculated by the surveyor is to be the volume used for the purposes of determining the amount of the levy under regulation 27.</w:t>
      </w:r>
    </w:p>
    <w:p>
      <w:pPr>
        <w:pStyle w:val="Subsection"/>
        <w:keepNext/>
      </w:pPr>
      <w:r>
        <w:tab/>
        <w:t>(8)</w:t>
      </w:r>
      <w:r>
        <w:tab/>
        <w:t xml:space="preserve">In this regulation — </w:t>
      </w:r>
    </w:p>
    <w:p>
      <w:pPr>
        <w:pStyle w:val="Defstart"/>
      </w:pPr>
      <w:r>
        <w:rPr>
          <w:b/>
        </w:rPr>
        <w:tab/>
      </w:r>
      <w:r>
        <w:rPr>
          <w:rStyle w:val="CharDefText"/>
        </w:rPr>
        <w:t>existing landfill</w:t>
      </w:r>
      <w:r>
        <w:t xml:space="preserve"> means a category 63 licensed landfill — </w:t>
      </w:r>
    </w:p>
    <w:p>
      <w:pPr>
        <w:pStyle w:val="Defpara"/>
      </w:pPr>
      <w:r>
        <w:tab/>
        <w:t>(a)</w:t>
      </w:r>
      <w:r>
        <w:tab/>
        <w:t>for which the licence was in force on 1 October 2006; and</w:t>
      </w:r>
    </w:p>
    <w:p>
      <w:pPr>
        <w:pStyle w:val="Defpara"/>
      </w:pPr>
      <w:r>
        <w:tab/>
        <w:t>(b)</w:t>
      </w:r>
      <w:r>
        <w:tab/>
        <w:t xml:space="preserve">at which waste was being accepted for disposal to landfill prior to 1 October 2006; </w:t>
      </w:r>
    </w:p>
    <w:p>
      <w:pPr>
        <w:pStyle w:val="Defstart"/>
      </w:pPr>
      <w:r>
        <w:rPr>
          <w:b/>
        </w:rPr>
        <w:tab/>
      </w:r>
      <w:r>
        <w:rPr>
          <w:rStyle w:val="CharDefText"/>
        </w:rPr>
        <w:t>surveyor</w:t>
      </w:r>
      <w:r>
        <w:t xml:space="preserve"> means — </w:t>
      </w:r>
    </w:p>
    <w:p>
      <w:pPr>
        <w:pStyle w:val="Defpara"/>
      </w:pPr>
      <w:r>
        <w:tab/>
        <w:t>(a)</w:t>
      </w:r>
      <w:r>
        <w:tab/>
        <w:t xml:space="preserve">a licensed surveyor as defined in the </w:t>
      </w:r>
      <w:r>
        <w:rPr>
          <w:i/>
        </w:rPr>
        <w:t>Licensed Surveyors Act 1909</w:t>
      </w:r>
      <w:r>
        <w:t>; or</w:t>
      </w:r>
    </w:p>
    <w:p>
      <w:pPr>
        <w:pStyle w:val="Defpara"/>
      </w:pPr>
      <w:r>
        <w:tab/>
        <w:t>(b)</w:t>
      </w:r>
      <w:r>
        <w:tab/>
        <w:t xml:space="preserve">a person who is, or is eligible to be, a member of — </w:t>
      </w:r>
    </w:p>
    <w:p>
      <w:pPr>
        <w:pStyle w:val="Defsubpara"/>
      </w:pPr>
      <w:r>
        <w:tab/>
        <w:t>(i)</w:t>
      </w:r>
      <w:r>
        <w:tab/>
        <w:t xml:space="preserve">the Institution of Surveyors, </w:t>
      </w:r>
      <w:smartTag w:uri="urn:schemas-microsoft-com:office:smarttags" w:element="place">
        <w:smartTag w:uri="urn:schemas-microsoft-com:office:smarttags" w:element="country-region">
          <w:r>
            <w:t>Australia</w:t>
          </w:r>
        </w:smartTag>
      </w:smartTag>
      <w:r>
        <w:t xml:space="preserve">; or </w:t>
      </w:r>
    </w:p>
    <w:p>
      <w:pPr>
        <w:pStyle w:val="Defsubpara"/>
      </w:pPr>
      <w:r>
        <w:tab/>
        <w:t>(ii)</w:t>
      </w:r>
      <w:r>
        <w:tab/>
        <w:t>the Spatial Sciences Institute.</w:t>
      </w:r>
    </w:p>
    <w:p>
      <w:pPr>
        <w:pStyle w:val="Footnotesection"/>
      </w:pPr>
      <w:r>
        <w:tab/>
        <w:t>[Regulation 26 inserted in Gazette 29 Sep 2006 p. 4263-4.]</w:t>
      </w:r>
    </w:p>
    <w:p>
      <w:pPr>
        <w:pStyle w:val="Heading5"/>
      </w:pPr>
      <w:bookmarkStart w:id="838" w:name="_Toc324153597"/>
      <w:bookmarkStart w:id="839" w:name="_Toc318383481"/>
      <w:r>
        <w:rPr>
          <w:rStyle w:val="CharSectno"/>
        </w:rPr>
        <w:t>26A</w:t>
      </w:r>
      <w:r>
        <w:t>.</w:t>
      </w:r>
      <w:r>
        <w:tab/>
        <w:t>CEO may make estimates if survey not conducted</w:t>
      </w:r>
      <w:bookmarkEnd w:id="838"/>
      <w:bookmarkEnd w:id="839"/>
    </w:p>
    <w:p>
      <w:pPr>
        <w:pStyle w:val="Subsection"/>
      </w:pPr>
      <w:r>
        <w:tab/>
        <w:t>(1)</w:t>
      </w:r>
      <w:r>
        <w:tab/>
        <w:t>If the licensee of a category 63 licensed landfill fails to comply with regulation 26(1) the Chief Executive Officer may establish an estimated base from which the volume of waste subsequently disposed of to landfill on the premises can be measured.</w:t>
      </w:r>
    </w:p>
    <w:p>
      <w:pPr>
        <w:pStyle w:val="Subsection"/>
      </w:pPr>
      <w:r>
        <w:tab/>
        <w:t>(2)</w:t>
      </w:r>
      <w:r>
        <w:tab/>
        <w:t>If the licensee of a category 63 licensed landfill fails to comply with regulation 26(5) in respect of a return period the Chief Executive Officer may estimate the number of cubic metres of waste disposed of to landfill on the premises during the return period.</w:t>
      </w:r>
    </w:p>
    <w:p>
      <w:pPr>
        <w:pStyle w:val="Subsection"/>
      </w:pPr>
      <w:r>
        <w:tab/>
        <w:t>(3)</w:t>
      </w:r>
      <w:r>
        <w:tab/>
        <w:t xml:space="preserve">For the purposes of this regulation the Chief Executive Officer may cause a survey of the kind referred to in regulation 26(1)(a) or (4) to be conducted in respect of the licensed landfill. </w:t>
      </w:r>
    </w:p>
    <w:p>
      <w:pPr>
        <w:pStyle w:val="Subsection"/>
      </w:pPr>
      <w:r>
        <w:tab/>
        <w:t>(4)</w:t>
      </w:r>
      <w:r>
        <w:tab/>
        <w:t xml:space="preserve">The Chief Executive Officer must give written notice to the licensee of any estimated base established under subregulation (1) or any estimation made under subregulation (2). </w:t>
      </w:r>
    </w:p>
    <w:p>
      <w:pPr>
        <w:pStyle w:val="Subsection"/>
      </w:pPr>
      <w:r>
        <w:tab/>
        <w:t>(5)</w:t>
      </w:r>
      <w:r>
        <w:tab/>
        <w:t>The Chief Executive Officer may call on or use the financial assurance provided by the licensee under regulation 28 to cover any costs incurred under this regulation.</w:t>
      </w:r>
    </w:p>
    <w:p>
      <w:pPr>
        <w:pStyle w:val="Footnotesection"/>
      </w:pPr>
      <w:r>
        <w:tab/>
        <w:t>[Regulation 26A inserted in Gazette 29 Sep 2006 p. 4264-5.]</w:t>
      </w:r>
    </w:p>
    <w:p>
      <w:pPr>
        <w:pStyle w:val="Heading5"/>
      </w:pPr>
      <w:bookmarkStart w:id="840" w:name="_Toc324153598"/>
      <w:bookmarkStart w:id="841" w:name="_Toc318383482"/>
      <w:r>
        <w:rPr>
          <w:rStyle w:val="CharSectno"/>
        </w:rPr>
        <w:t>27</w:t>
      </w:r>
      <w:r>
        <w:t>.</w:t>
      </w:r>
      <w:r>
        <w:tab/>
        <w:t>Determination of amount of levy</w:t>
      </w:r>
      <w:bookmarkEnd w:id="840"/>
      <w:bookmarkEnd w:id="841"/>
    </w:p>
    <w:p>
      <w:pPr>
        <w:pStyle w:val="Subsection"/>
      </w:pPr>
      <w:r>
        <w:tab/>
        <w:t>(1)</w:t>
      </w:r>
      <w:r>
        <w:tab/>
        <w:t xml:space="preserve">The amount by way of levy that is payable in respect of waste to which this Part applies that is received at a category 63 licensed landfill during a return period is the amount (in dollars) equal to L in the formula — </w:t>
      </w:r>
    </w:p>
    <w:p>
      <w:pPr>
        <w:pStyle w:val="Subsection"/>
      </w:pPr>
      <w:r>
        <w:tab/>
      </w:r>
      <w:r>
        <w:tab/>
      </w:r>
      <w:del w:id="842" w:author="Master Repository Process" w:date="2021-08-01T12:45:00Z">
        <w:r>
          <w:rPr>
            <w:noProof/>
            <w:position w:val="-10"/>
            <w:lang w:eastAsia="en-AU"/>
          </w:rPr>
          <w:drawing>
            <wp:inline distT="0" distB="0" distL="0" distR="0">
              <wp:extent cx="966470" cy="21590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966470" cy="215900"/>
                      </a:xfrm>
                      <a:prstGeom prst="rect">
                        <a:avLst/>
                      </a:prstGeom>
                      <a:noFill/>
                      <a:ln>
                        <a:noFill/>
                      </a:ln>
                    </pic:spPr>
                  </pic:pic>
                </a:graphicData>
              </a:graphic>
            </wp:inline>
          </w:drawing>
        </w:r>
      </w:del>
      <w:ins w:id="843" w:author="Master Repository Process" w:date="2021-08-01T12:45:00Z">
        <w:r>
          <w:rPr>
            <w:noProof/>
            <w:position w:val="-10"/>
            <w:lang w:eastAsia="en-AU"/>
          </w:rPr>
          <w:drawing>
            <wp:inline distT="0" distB="0" distL="0" distR="0">
              <wp:extent cx="962025" cy="21907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962025" cy="219075"/>
                      </a:xfrm>
                      <a:prstGeom prst="rect">
                        <a:avLst/>
                      </a:prstGeom>
                      <a:noFill/>
                      <a:ln>
                        <a:noFill/>
                      </a:ln>
                    </pic:spPr>
                  </pic:pic>
                </a:graphicData>
              </a:graphic>
            </wp:inline>
          </w:drawing>
        </w:r>
      </w:ins>
    </w:p>
    <w:p>
      <w:pPr>
        <w:pStyle w:val="Subsection"/>
      </w:pPr>
      <w:r>
        <w:tab/>
      </w:r>
      <w:r>
        <w:tab/>
        <w:t xml:space="preserve">where — </w:t>
      </w:r>
    </w:p>
    <w:p>
      <w:pPr>
        <w:pStyle w:val="Indenta"/>
      </w:pPr>
      <w:r>
        <w:tab/>
        <w:t>V</w:t>
      </w:r>
      <w:r>
        <w:tab/>
        <w:t>is the number of cubic metres of waste to which this Part applies received at the licensed landfill during the return period determined in accordance with regulation 26 or estimated under regulation 26A(2); and</w:t>
      </w:r>
    </w:p>
    <w:p>
      <w:pPr>
        <w:pStyle w:val="Indenta"/>
      </w:pPr>
      <w:r>
        <w:tab/>
        <w:t>R</w:t>
      </w:r>
      <w:r>
        <w:tab/>
        <w:t xml:space="preserve">is, if the first day of the return period is — </w:t>
      </w:r>
    </w:p>
    <w:p>
      <w:pPr>
        <w:pStyle w:val="Indenti"/>
      </w:pPr>
      <w:r>
        <w:tab/>
        <w:t>(a)</w:t>
      </w:r>
      <w:r>
        <w:tab/>
        <w:t>before 1 July 2008, $3; or</w:t>
      </w:r>
    </w:p>
    <w:p>
      <w:pPr>
        <w:pStyle w:val="Indenti"/>
      </w:pPr>
      <w:r>
        <w:tab/>
        <w:t>(b)</w:t>
      </w:r>
      <w:r>
        <w:tab/>
        <w:t>on or after 1 July 2008 and before 1 July 2009, $5; or</w:t>
      </w:r>
    </w:p>
    <w:p>
      <w:pPr>
        <w:pStyle w:val="Indenti"/>
      </w:pPr>
      <w:r>
        <w:tab/>
        <w:t>(c)</w:t>
      </w:r>
      <w:r>
        <w:tab/>
        <w:t>on or after 1 July 2009 and before 1 July 2010, $7; or</w:t>
      </w:r>
    </w:p>
    <w:p>
      <w:pPr>
        <w:pStyle w:val="Indenti"/>
      </w:pPr>
      <w:r>
        <w:tab/>
        <w:t>(d)</w:t>
      </w:r>
      <w:r>
        <w:tab/>
        <w:t>on or after 1 July 2010, $9;</w:t>
      </w:r>
    </w:p>
    <w:p>
      <w:pPr>
        <w:pStyle w:val="Indenta"/>
      </w:pPr>
      <w:r>
        <w:tab/>
      </w:r>
      <w:r>
        <w:tab/>
        <w:t>and</w:t>
      </w:r>
    </w:p>
    <w:p>
      <w:pPr>
        <w:pStyle w:val="Indenta"/>
      </w:pPr>
      <w:r>
        <w:tab/>
        <w:t>S</w:t>
      </w:r>
      <w:r>
        <w:tab/>
        <w:t xml:space="preserve">is the lesser of — </w:t>
      </w:r>
    </w:p>
    <w:p>
      <w:pPr>
        <w:pStyle w:val="Indenti"/>
        <w:rPr>
          <w:rStyle w:val="DraftersNotes"/>
        </w:rPr>
      </w:pPr>
      <w:r>
        <w:tab/>
        <w:t>(a)</w:t>
      </w:r>
      <w:r>
        <w:tab/>
        <w:t xml:space="preserve">the cost incurred by the licensee in complying with regulation 26(4) and (5) in respect of the return period; and </w:t>
      </w:r>
    </w:p>
    <w:p>
      <w:pPr>
        <w:pStyle w:val="Indenti"/>
      </w:pPr>
      <w:r>
        <w:tab/>
        <w:t>(b)</w:t>
      </w:r>
      <w:r>
        <w:tab/>
        <w:t>$2 000.</w:t>
      </w:r>
    </w:p>
    <w:p>
      <w:pPr>
        <w:pStyle w:val="Subsection"/>
      </w:pPr>
      <w:r>
        <w:tab/>
        <w:t>(2)</w:t>
      </w:r>
      <w:r>
        <w:tab/>
        <w:t xml:space="preserve">The amount by way of levy that is payable in respect of waste to which this Part applies that is received at a category 64 or 65 licensed landfill during a return period is the amount (in dollars) equal to L in the formula — </w:t>
      </w:r>
    </w:p>
    <w:p>
      <w:pPr>
        <w:pStyle w:val="Subsection"/>
      </w:pPr>
      <w:r>
        <w:tab/>
      </w:r>
      <w:r>
        <w:tab/>
      </w:r>
      <w:del w:id="844" w:author="Master Repository Process" w:date="2021-08-01T12:45:00Z">
        <w:r>
          <w:rPr>
            <w:noProof/>
            <w:position w:val="-10"/>
            <w:lang w:eastAsia="en-AU"/>
          </w:rPr>
          <w:drawing>
            <wp:inline distT="0" distB="0" distL="0" distR="0">
              <wp:extent cx="1190625" cy="215900"/>
              <wp:effectExtent l="0" t="0" r="952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190625" cy="215900"/>
                      </a:xfrm>
                      <a:prstGeom prst="rect">
                        <a:avLst/>
                      </a:prstGeom>
                      <a:noFill/>
                      <a:ln>
                        <a:noFill/>
                      </a:ln>
                    </pic:spPr>
                  </pic:pic>
                </a:graphicData>
              </a:graphic>
            </wp:inline>
          </w:drawing>
        </w:r>
      </w:del>
      <w:ins w:id="845" w:author="Master Repository Process" w:date="2021-08-01T12:45:00Z">
        <w:r>
          <w:rPr>
            <w:noProof/>
            <w:position w:val="-10"/>
            <w:lang w:eastAsia="en-AU"/>
          </w:rPr>
          <w:drawing>
            <wp:inline distT="0" distB="0" distL="0" distR="0">
              <wp:extent cx="1190625" cy="219075"/>
              <wp:effectExtent l="0" t="0" r="9525"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190625" cy="219075"/>
                      </a:xfrm>
                      <a:prstGeom prst="rect">
                        <a:avLst/>
                      </a:prstGeom>
                      <a:noFill/>
                      <a:ln>
                        <a:noFill/>
                      </a:ln>
                    </pic:spPr>
                  </pic:pic>
                </a:graphicData>
              </a:graphic>
            </wp:inline>
          </w:drawing>
        </w:r>
      </w:ins>
    </w:p>
    <w:p>
      <w:pPr>
        <w:pStyle w:val="Subsection"/>
      </w:pPr>
      <w:r>
        <w:tab/>
      </w:r>
      <w:r>
        <w:tab/>
        <w:t xml:space="preserve">where — </w:t>
      </w:r>
    </w:p>
    <w:p>
      <w:pPr>
        <w:pStyle w:val="Indenta"/>
      </w:pPr>
      <w:r>
        <w:tab/>
        <w:t>W</w:t>
      </w:r>
      <w:r>
        <w:tab/>
        <w:t>is the number of tonnes of waste to which this Part applies received at the licensed landfill during the return period determined in accordance with regulation 25; and</w:t>
      </w:r>
    </w:p>
    <w:p>
      <w:pPr>
        <w:pStyle w:val="Indenta"/>
      </w:pPr>
      <w:r>
        <w:tab/>
        <w:t>R</w:t>
      </w:r>
      <w:r>
        <w:tab/>
        <w:t>is, if the first day of the return period is —</w:t>
      </w:r>
    </w:p>
    <w:p>
      <w:pPr>
        <w:pStyle w:val="Indenti"/>
      </w:pPr>
      <w:r>
        <w:tab/>
        <w:t>(a)</w:t>
      </w:r>
      <w:r>
        <w:tab/>
        <w:t>before 1 July 2008, $6; or</w:t>
      </w:r>
    </w:p>
    <w:p>
      <w:pPr>
        <w:pStyle w:val="Indenti"/>
      </w:pPr>
      <w:r>
        <w:tab/>
        <w:t>(b)</w:t>
      </w:r>
      <w:r>
        <w:tab/>
        <w:t>on or after 1 July 2008 and before 1 July 2009, $7; or</w:t>
      </w:r>
    </w:p>
    <w:p>
      <w:pPr>
        <w:pStyle w:val="Indenti"/>
      </w:pPr>
      <w:r>
        <w:tab/>
        <w:t>(c)</w:t>
      </w:r>
      <w:r>
        <w:tab/>
        <w:t>on or after 1 July 2009 and before 1 July 2010, $8; or</w:t>
      </w:r>
    </w:p>
    <w:p>
      <w:pPr>
        <w:pStyle w:val="Indenti"/>
      </w:pPr>
      <w:r>
        <w:tab/>
        <w:t>(d)</w:t>
      </w:r>
      <w:r>
        <w:tab/>
        <w:t>on or after 1 July 2010, $9.</w:t>
      </w:r>
    </w:p>
    <w:p>
      <w:pPr>
        <w:pStyle w:val="Footnotesection"/>
      </w:pPr>
      <w:r>
        <w:tab/>
        <w:t>[Regulation 27 inserted in Gazette 29 Sep 2006 p. 4265-6.]</w:t>
      </w:r>
    </w:p>
    <w:p>
      <w:pPr>
        <w:pStyle w:val="Heading5"/>
        <w:rPr>
          <w:snapToGrid w:val="0"/>
        </w:rPr>
      </w:pPr>
      <w:bookmarkStart w:id="846" w:name="_Toc324153599"/>
      <w:bookmarkStart w:id="847" w:name="_Toc318383483"/>
      <w:r>
        <w:rPr>
          <w:rStyle w:val="CharSectno"/>
        </w:rPr>
        <w:t>28</w:t>
      </w:r>
      <w:r>
        <w:rPr>
          <w:snapToGrid w:val="0"/>
        </w:rPr>
        <w:t>.</w:t>
      </w:r>
      <w:r>
        <w:rPr>
          <w:snapToGrid w:val="0"/>
        </w:rPr>
        <w:tab/>
        <w:t>Financial assurance — private licensee</w:t>
      </w:r>
      <w:bookmarkEnd w:id="832"/>
      <w:bookmarkEnd w:id="833"/>
      <w:bookmarkEnd w:id="834"/>
      <w:bookmarkEnd w:id="835"/>
      <w:bookmarkEnd w:id="836"/>
      <w:bookmarkEnd w:id="837"/>
      <w:bookmarkEnd w:id="846"/>
      <w:bookmarkEnd w:id="847"/>
      <w:r>
        <w:rPr>
          <w:snapToGrid w:val="0"/>
        </w:rPr>
        <w:t xml:space="preserve"> </w:t>
      </w:r>
    </w:p>
    <w:p>
      <w:pPr>
        <w:pStyle w:val="Subsection"/>
        <w:rPr>
          <w:snapToGrid w:val="0"/>
        </w:rPr>
      </w:pPr>
      <w:r>
        <w:rPr>
          <w:snapToGrid w:val="0"/>
        </w:rPr>
        <w:tab/>
        <w:t>(1)</w:t>
      </w:r>
      <w:r>
        <w:rPr>
          <w:snapToGrid w:val="0"/>
        </w:rPr>
        <w:tab/>
        <w:t>In this regulation — </w:t>
      </w:r>
    </w:p>
    <w:p>
      <w:pPr>
        <w:pStyle w:val="Defstart"/>
      </w:pPr>
      <w:r>
        <w:rPr>
          <w:b/>
        </w:rPr>
        <w:tab/>
      </w:r>
      <w:r>
        <w:rPr>
          <w:rStyle w:val="CharDefText"/>
        </w:rPr>
        <w:t>licensee</w:t>
      </w:r>
      <w:r>
        <w:t xml:space="preserve"> does not include a licensee who is a local government.</w:t>
      </w:r>
    </w:p>
    <w:p>
      <w:pPr>
        <w:pStyle w:val="Subsection"/>
      </w:pPr>
      <w:r>
        <w:tab/>
        <w:t>(2)</w:t>
      </w:r>
      <w:r>
        <w:tab/>
        <w:t>Each licensee is to pay to the Chief Executive Officer, in accordance with subsection (3), a financial assurance that — </w:t>
      </w:r>
    </w:p>
    <w:p>
      <w:pPr>
        <w:pStyle w:val="Indenta"/>
      </w:pPr>
      <w:r>
        <w:tab/>
        <w:t>(a)</w:t>
      </w:r>
      <w:r>
        <w:tab/>
        <w:t>is in an approved form; and</w:t>
      </w:r>
    </w:p>
    <w:p>
      <w:pPr>
        <w:pStyle w:val="Indenta"/>
      </w:pPr>
      <w:r>
        <w:tab/>
        <w:t>(b)</w:t>
      </w:r>
      <w:r>
        <w:tab/>
        <w:t xml:space="preserve">secures or guarantees payment of an amount determined by the Chief Executive Officer, being an amount that in the opinion of the Chief Executive Officer is equivalent to the average levy to be paid by the licensee in a return period. </w:t>
      </w:r>
    </w:p>
    <w:p>
      <w:pPr>
        <w:pStyle w:val="Penstart"/>
      </w:pPr>
      <w:r>
        <w:tab/>
        <w:t>Penalty: $5 000.</w:t>
      </w:r>
    </w:p>
    <w:p>
      <w:pPr>
        <w:pStyle w:val="Subsection"/>
        <w:keepNext/>
        <w:keepLines/>
        <w:spacing w:before="120"/>
        <w:rPr>
          <w:snapToGrid w:val="0"/>
        </w:rPr>
      </w:pPr>
      <w:r>
        <w:rPr>
          <w:snapToGrid w:val="0"/>
        </w:rPr>
        <w:tab/>
        <w:t>(3)</w:t>
      </w:r>
      <w:r>
        <w:rPr>
          <w:snapToGrid w:val="0"/>
        </w:rPr>
        <w:tab/>
        <w:t>The financial assurance is to be paid to the Chief Executive Officer — </w:t>
      </w:r>
    </w:p>
    <w:p>
      <w:pPr>
        <w:pStyle w:val="Indenta"/>
        <w:rPr>
          <w:snapToGrid w:val="0"/>
        </w:rPr>
      </w:pPr>
      <w:r>
        <w:rPr>
          <w:snapToGrid w:val="0"/>
        </w:rPr>
        <w:tab/>
        <w:t>(a)</w:t>
      </w:r>
      <w:r>
        <w:rPr>
          <w:snapToGrid w:val="0"/>
        </w:rPr>
        <w:tab/>
        <w:t>in the case of an existing licensee, not later than 2 weeks after commencement day; and</w:t>
      </w:r>
    </w:p>
    <w:p>
      <w:pPr>
        <w:pStyle w:val="Indenta"/>
        <w:rPr>
          <w:snapToGrid w:val="0"/>
        </w:rPr>
      </w:pPr>
      <w:r>
        <w:rPr>
          <w:snapToGrid w:val="0"/>
        </w:rPr>
        <w:tab/>
        <w:t>(b)</w:t>
      </w:r>
      <w:r>
        <w:rPr>
          <w:snapToGrid w:val="0"/>
        </w:rPr>
        <w:tab/>
        <w:t>in the case of a licensee who is granted a licence after commencement day, not later than 2 weeks after the licence is granted.</w:t>
      </w:r>
    </w:p>
    <w:p>
      <w:pPr>
        <w:pStyle w:val="Subsection"/>
        <w:spacing w:before="120"/>
        <w:rPr>
          <w:snapToGrid w:val="0"/>
        </w:rPr>
      </w:pPr>
      <w:r>
        <w:rPr>
          <w:snapToGrid w:val="0"/>
        </w:rPr>
        <w:tab/>
        <w:t>(4)</w:t>
      </w:r>
      <w:r>
        <w:rPr>
          <w:snapToGrid w:val="0"/>
        </w:rPr>
        <w:tab/>
        <w:t xml:space="preserve">The licensee is to maintain the financial assurance in accordance with any requirements of the Chief Executive </w:t>
      </w:r>
      <w:r>
        <w:t>Officer of which the licensee has been given written notice.</w:t>
      </w:r>
    </w:p>
    <w:p>
      <w:pPr>
        <w:pStyle w:val="Penstart"/>
        <w:rPr>
          <w:snapToGrid w:val="0"/>
        </w:rPr>
      </w:pPr>
      <w:r>
        <w:rPr>
          <w:snapToGrid w:val="0"/>
        </w:rPr>
        <w:tab/>
        <w:t>Penalty: $5 000.</w:t>
      </w:r>
    </w:p>
    <w:p>
      <w:pPr>
        <w:pStyle w:val="Subsection"/>
        <w:spacing w:before="120"/>
        <w:rPr>
          <w:snapToGrid w:val="0"/>
        </w:rPr>
      </w:pPr>
      <w:r>
        <w:rPr>
          <w:snapToGrid w:val="0"/>
        </w:rPr>
        <w:tab/>
        <w:t>(5)</w:t>
      </w:r>
      <w:r>
        <w:rPr>
          <w:snapToGrid w:val="0"/>
        </w:rPr>
        <w:tab/>
        <w:t>The moneys from any financial assurance that is called on or used by the Chief Executive Officer are to be paid into the Fund.</w:t>
      </w:r>
    </w:p>
    <w:p>
      <w:pPr>
        <w:pStyle w:val="Subsection"/>
        <w:spacing w:before="120"/>
        <w:rPr>
          <w:snapToGrid w:val="0"/>
        </w:rPr>
      </w:pPr>
      <w:r>
        <w:rPr>
          <w:snapToGrid w:val="0"/>
        </w:rPr>
        <w:tab/>
        <w:t>(6)</w:t>
      </w:r>
      <w:r>
        <w:rPr>
          <w:snapToGrid w:val="0"/>
        </w:rPr>
        <w:tab/>
        <w:t>The Chief Executive Officer is to review the amount of a financial assurance provided under this regulation not later than 2 years after it is provided and thereafter not later than 2 years after each review.</w:t>
      </w:r>
    </w:p>
    <w:p>
      <w:pPr>
        <w:pStyle w:val="Subsection"/>
        <w:spacing w:before="120"/>
        <w:rPr>
          <w:snapToGrid w:val="0"/>
        </w:rPr>
      </w:pPr>
      <w:r>
        <w:rPr>
          <w:snapToGrid w:val="0"/>
        </w:rPr>
        <w:tab/>
        <w:t>(7)</w:t>
      </w:r>
      <w:r>
        <w:rPr>
          <w:snapToGrid w:val="0"/>
        </w:rPr>
        <w:tab/>
        <w:t>The Chief Executive Officer may at any time, by written direction, require a licensee to increase the amount of the financial assurance provided by the licensee if the Chief Executive Officer thinks it is appropriate to do so.</w:t>
      </w:r>
    </w:p>
    <w:p>
      <w:pPr>
        <w:pStyle w:val="Subsection"/>
        <w:spacing w:before="120"/>
        <w:rPr>
          <w:snapToGrid w:val="0"/>
        </w:rPr>
      </w:pPr>
      <w:r>
        <w:rPr>
          <w:snapToGrid w:val="0"/>
        </w:rPr>
        <w:tab/>
        <w:t>(8)</w:t>
      </w:r>
      <w:r>
        <w:rPr>
          <w:snapToGrid w:val="0"/>
        </w:rPr>
        <w:tab/>
        <w:t>A licensee is to comply with a direction given to the licensee under subregulation (7).</w:t>
      </w:r>
    </w:p>
    <w:p>
      <w:pPr>
        <w:pStyle w:val="Penstart"/>
        <w:rPr>
          <w:snapToGrid w:val="0"/>
        </w:rPr>
      </w:pPr>
      <w:r>
        <w:rPr>
          <w:snapToGrid w:val="0"/>
        </w:rPr>
        <w:tab/>
        <w:t>Penalty: $5 000.</w:t>
      </w:r>
    </w:p>
    <w:p>
      <w:pPr>
        <w:pStyle w:val="Footnotesection"/>
        <w:keepLines w:val="0"/>
      </w:pPr>
      <w:r>
        <w:tab/>
        <w:t xml:space="preserve">[Regulation 28 inserted in Gazette 26 Jun 1998 p. 3373; amended in Gazette 11 Dec 1998 p. 6601; 29 Sep 2006 p. 4266.] </w:t>
      </w:r>
    </w:p>
    <w:p>
      <w:pPr>
        <w:pStyle w:val="Heading5"/>
        <w:rPr>
          <w:snapToGrid w:val="0"/>
        </w:rPr>
      </w:pPr>
      <w:bookmarkStart w:id="848" w:name="_Toc448822599"/>
      <w:bookmarkStart w:id="849" w:name="_Toc448822725"/>
      <w:bookmarkStart w:id="850" w:name="_Toc503260613"/>
      <w:bookmarkStart w:id="851" w:name="_Toc12076716"/>
      <w:bookmarkStart w:id="852" w:name="_Toc12952232"/>
      <w:bookmarkStart w:id="853" w:name="_Toc122232956"/>
      <w:bookmarkStart w:id="854" w:name="_Toc324153600"/>
      <w:bookmarkStart w:id="855" w:name="_Toc318383484"/>
      <w:r>
        <w:rPr>
          <w:rStyle w:val="CharSectno"/>
        </w:rPr>
        <w:t>29</w:t>
      </w:r>
      <w:r>
        <w:rPr>
          <w:snapToGrid w:val="0"/>
        </w:rPr>
        <w:t>.</w:t>
      </w:r>
      <w:r>
        <w:rPr>
          <w:snapToGrid w:val="0"/>
        </w:rPr>
        <w:tab/>
        <w:t>Records</w:t>
      </w:r>
      <w:bookmarkEnd w:id="848"/>
      <w:bookmarkEnd w:id="849"/>
      <w:bookmarkEnd w:id="850"/>
      <w:bookmarkEnd w:id="851"/>
      <w:bookmarkEnd w:id="852"/>
      <w:bookmarkEnd w:id="853"/>
      <w:bookmarkEnd w:id="854"/>
      <w:bookmarkEnd w:id="855"/>
      <w:r>
        <w:rPr>
          <w:snapToGrid w:val="0"/>
        </w:rPr>
        <w:t xml:space="preserve"> </w:t>
      </w:r>
    </w:p>
    <w:p>
      <w:pPr>
        <w:pStyle w:val="Subsection"/>
        <w:rPr>
          <w:snapToGrid w:val="0"/>
        </w:rPr>
      </w:pPr>
      <w:r>
        <w:rPr>
          <w:snapToGrid w:val="0"/>
        </w:rPr>
        <w:tab/>
        <w:t>(1)</w:t>
      </w:r>
      <w:r>
        <w:rPr>
          <w:snapToGrid w:val="0"/>
        </w:rPr>
        <w:tab/>
        <w:t>Upon receiving waste at a licensed landfill, the licensee is to make a record in accordance with this regulation.</w:t>
      </w:r>
    </w:p>
    <w:p>
      <w:pPr>
        <w:pStyle w:val="Subsection"/>
        <w:keepNext/>
        <w:rPr>
          <w:snapToGrid w:val="0"/>
        </w:rPr>
      </w:pPr>
      <w:r>
        <w:rPr>
          <w:snapToGrid w:val="0"/>
        </w:rPr>
        <w:tab/>
        <w:t>(2)</w:t>
      </w:r>
      <w:r>
        <w:rPr>
          <w:snapToGrid w:val="0"/>
        </w:rPr>
        <w:tab/>
        <w:t>The record is to be in an approved form and is to show — </w:t>
      </w:r>
    </w:p>
    <w:p>
      <w:pPr>
        <w:pStyle w:val="Indenta"/>
        <w:rPr>
          <w:snapToGrid w:val="0"/>
        </w:rPr>
      </w:pPr>
      <w:r>
        <w:rPr>
          <w:snapToGrid w:val="0"/>
        </w:rPr>
        <w:tab/>
        <w:t>(a)</w:t>
      </w:r>
      <w:r>
        <w:rPr>
          <w:snapToGrid w:val="0"/>
        </w:rPr>
        <w:tab/>
        <w:t>the time and date of the delivery; and</w:t>
      </w:r>
    </w:p>
    <w:p>
      <w:pPr>
        <w:pStyle w:val="Indenta"/>
        <w:rPr>
          <w:snapToGrid w:val="0"/>
        </w:rPr>
      </w:pPr>
      <w:r>
        <w:rPr>
          <w:snapToGrid w:val="0"/>
        </w:rPr>
        <w:tab/>
        <w:t>(b)</w:t>
      </w:r>
      <w:r>
        <w:rPr>
          <w:snapToGrid w:val="0"/>
        </w:rPr>
        <w:tab/>
        <w:t>the name and licence number of the licensee; and</w:t>
      </w:r>
    </w:p>
    <w:p>
      <w:pPr>
        <w:pStyle w:val="Indenta"/>
      </w:pPr>
      <w:r>
        <w:tab/>
        <w:t>(c)</w:t>
      </w:r>
      <w:r>
        <w:tab/>
        <w:t>in the case of a category 63 licensed landfill, the volume of the waste disposed of to landfill on the premises calculated in accordance with regulation 26; and</w:t>
      </w:r>
    </w:p>
    <w:p>
      <w:pPr>
        <w:pStyle w:val="Indenta"/>
      </w:pPr>
      <w:r>
        <w:tab/>
        <w:t>(ca)</w:t>
      </w:r>
      <w:r>
        <w:tab/>
        <w:t>in the case of a category 64 or 65 licensed landfill, the weight of the waste as weighed or estimated in accordance with regulation 25; and</w:t>
      </w:r>
    </w:p>
    <w:p>
      <w:pPr>
        <w:pStyle w:val="Indenta"/>
        <w:rPr>
          <w:snapToGrid w:val="0"/>
        </w:rPr>
      </w:pPr>
      <w:r>
        <w:rPr>
          <w:snapToGrid w:val="0"/>
        </w:rPr>
        <w:tab/>
        <w:t>(d)</w:t>
      </w:r>
      <w:r>
        <w:rPr>
          <w:snapToGrid w:val="0"/>
        </w:rPr>
        <w:tab/>
        <w:t>a description of the type of waste; and</w:t>
      </w:r>
    </w:p>
    <w:p>
      <w:pPr>
        <w:pStyle w:val="Indenta"/>
        <w:rPr>
          <w:snapToGrid w:val="0"/>
        </w:rPr>
      </w:pPr>
      <w:r>
        <w:rPr>
          <w:snapToGrid w:val="0"/>
        </w:rPr>
        <w:tab/>
        <w:t>(e)</w:t>
      </w:r>
      <w:r>
        <w:rPr>
          <w:snapToGrid w:val="0"/>
        </w:rPr>
        <w:tab/>
        <w:t>the amount of levy payable in respect of the waste; and</w:t>
      </w:r>
    </w:p>
    <w:p>
      <w:pPr>
        <w:pStyle w:val="Indenta"/>
        <w:rPr>
          <w:snapToGrid w:val="0"/>
        </w:rPr>
      </w:pPr>
      <w:r>
        <w:rPr>
          <w:snapToGrid w:val="0"/>
        </w:rPr>
        <w:tab/>
        <w:t>(f)</w:t>
      </w:r>
      <w:r>
        <w:rPr>
          <w:snapToGrid w:val="0"/>
        </w:rPr>
        <w:tab/>
        <w:t>any other particulars the Chief Executive Officer may, by written notice to the licensee, require the licensee to include.</w:t>
      </w:r>
    </w:p>
    <w:p>
      <w:pPr>
        <w:pStyle w:val="Subsection"/>
        <w:rPr>
          <w:snapToGrid w:val="0"/>
        </w:rPr>
      </w:pPr>
      <w:r>
        <w:rPr>
          <w:snapToGrid w:val="0"/>
        </w:rPr>
        <w:tab/>
        <w:t>(3)</w:t>
      </w:r>
      <w:r>
        <w:rPr>
          <w:snapToGrid w:val="0"/>
        </w:rPr>
        <w:tab/>
        <w:t>Any record made by a licensee under this regulation is to be kept by the licensee in a legible written form, or so as to be readily convertible into such a form, for a period of not less than 5 years from the day on which the record was made.</w:t>
      </w:r>
    </w:p>
    <w:p>
      <w:pPr>
        <w:pStyle w:val="Subsection"/>
        <w:rPr>
          <w:snapToGrid w:val="0"/>
        </w:rPr>
      </w:pPr>
      <w:r>
        <w:rPr>
          <w:snapToGrid w:val="0"/>
        </w:rPr>
        <w:tab/>
        <w:t>(4)</w:t>
      </w:r>
      <w:r>
        <w:rPr>
          <w:snapToGrid w:val="0"/>
        </w:rPr>
        <w:tab/>
        <w:t>A licensee is to make the records available to an authorised person within 24 hours of being requested by the authorised person to do so.</w:t>
      </w:r>
    </w:p>
    <w:p>
      <w:pPr>
        <w:pStyle w:val="Subsection"/>
        <w:rPr>
          <w:snapToGrid w:val="0"/>
        </w:rPr>
      </w:pPr>
      <w:r>
        <w:rPr>
          <w:snapToGrid w:val="0"/>
        </w:rPr>
        <w:tab/>
        <w:t>(5)</w:t>
      </w:r>
      <w:r>
        <w:rPr>
          <w:snapToGrid w:val="0"/>
        </w:rPr>
        <w:tab/>
        <w:t>A licensee who — </w:t>
      </w:r>
    </w:p>
    <w:p>
      <w:pPr>
        <w:pStyle w:val="Indenta"/>
        <w:rPr>
          <w:snapToGrid w:val="0"/>
        </w:rPr>
      </w:pPr>
      <w:r>
        <w:rPr>
          <w:snapToGrid w:val="0"/>
        </w:rPr>
        <w:tab/>
        <w:t>(a)</w:t>
      </w:r>
      <w:r>
        <w:rPr>
          <w:snapToGrid w:val="0"/>
        </w:rPr>
        <w:tab/>
        <w:t>contravenes subregulation (1) or (4); or</w:t>
      </w:r>
    </w:p>
    <w:p>
      <w:pPr>
        <w:pStyle w:val="Indenta"/>
        <w:keepNext/>
        <w:rPr>
          <w:snapToGrid w:val="0"/>
        </w:rPr>
      </w:pPr>
      <w:r>
        <w:rPr>
          <w:snapToGrid w:val="0"/>
        </w:rPr>
        <w:tab/>
        <w:t>(b)</w:t>
      </w:r>
      <w:r>
        <w:rPr>
          <w:snapToGrid w:val="0"/>
        </w:rPr>
        <w:tab/>
        <w:t>makes a record under this regulation which is false in any material particular,</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$5 000.</w:t>
      </w:r>
    </w:p>
    <w:p>
      <w:pPr>
        <w:pStyle w:val="Footnotesection"/>
      </w:pPr>
      <w:r>
        <w:tab/>
        <w:t>[Regulation 29 inserted in Gazette 26 Jun 1998 p. 3373</w:t>
      </w:r>
      <w:r>
        <w:noBreakHyphen/>
        <w:t xml:space="preserve">4; amended in Gazette 11 Dec 1998 p. 6601; 29 Sep 2006 p. 4266.] </w:t>
      </w:r>
    </w:p>
    <w:p>
      <w:pPr>
        <w:pStyle w:val="Heading5"/>
        <w:spacing w:before="120"/>
        <w:rPr>
          <w:snapToGrid w:val="0"/>
        </w:rPr>
      </w:pPr>
      <w:bookmarkStart w:id="856" w:name="_Toc448822600"/>
      <w:bookmarkStart w:id="857" w:name="_Toc448822726"/>
      <w:bookmarkStart w:id="858" w:name="_Toc503260614"/>
      <w:bookmarkStart w:id="859" w:name="_Toc12076717"/>
      <w:bookmarkStart w:id="860" w:name="_Toc12952233"/>
      <w:bookmarkStart w:id="861" w:name="_Toc122232957"/>
      <w:bookmarkStart w:id="862" w:name="_Toc324153601"/>
      <w:bookmarkStart w:id="863" w:name="_Toc318383485"/>
      <w:r>
        <w:rPr>
          <w:rStyle w:val="CharSectno"/>
        </w:rPr>
        <w:t>30</w:t>
      </w:r>
      <w:r>
        <w:rPr>
          <w:snapToGrid w:val="0"/>
        </w:rPr>
        <w:t>.</w:t>
      </w:r>
      <w:r>
        <w:rPr>
          <w:snapToGrid w:val="0"/>
        </w:rPr>
        <w:tab/>
        <w:t>Return and payment of levy</w:t>
      </w:r>
      <w:bookmarkEnd w:id="856"/>
      <w:bookmarkEnd w:id="857"/>
      <w:bookmarkEnd w:id="858"/>
      <w:bookmarkEnd w:id="859"/>
      <w:bookmarkEnd w:id="860"/>
      <w:bookmarkEnd w:id="861"/>
      <w:bookmarkEnd w:id="862"/>
      <w:bookmarkEnd w:id="863"/>
      <w:r>
        <w:rPr>
          <w:snapToGrid w:val="0"/>
        </w:rPr>
        <w:t xml:space="preserve"> </w:t>
      </w:r>
    </w:p>
    <w:p>
      <w:pPr>
        <w:pStyle w:val="Subsection"/>
        <w:rPr>
          <w:snapToGrid w:val="0"/>
        </w:rPr>
      </w:pPr>
      <w:r>
        <w:rPr>
          <w:snapToGrid w:val="0"/>
        </w:rPr>
        <w:tab/>
        <w:t>(1)</w:t>
      </w:r>
      <w:r>
        <w:rPr>
          <w:snapToGrid w:val="0"/>
        </w:rPr>
        <w:tab/>
        <w:t>The levy is payable not later than 14 days after the end of each return period.</w:t>
      </w:r>
    </w:p>
    <w:p>
      <w:pPr>
        <w:pStyle w:val="Subsection"/>
        <w:rPr>
          <w:snapToGrid w:val="0"/>
        </w:rPr>
      </w:pPr>
      <w:r>
        <w:rPr>
          <w:snapToGrid w:val="0"/>
        </w:rPr>
        <w:tab/>
        <w:t>(2)</w:t>
      </w:r>
      <w:r>
        <w:rPr>
          <w:snapToGrid w:val="0"/>
        </w:rPr>
        <w:tab/>
        <w:t xml:space="preserve">A licensee, from the details entered in the records referred to in regulation 29 and any estimate made under </w:t>
      </w:r>
      <w:r>
        <w:t xml:space="preserve">regulation 26A, </w:t>
      </w:r>
      <w:r>
        <w:rPr>
          <w:snapToGrid w:val="0"/>
        </w:rPr>
        <w:t>is to — </w:t>
      </w:r>
    </w:p>
    <w:p>
      <w:pPr>
        <w:pStyle w:val="Indenta"/>
        <w:rPr>
          <w:snapToGrid w:val="0"/>
        </w:rPr>
      </w:pPr>
      <w:r>
        <w:rPr>
          <w:snapToGrid w:val="0"/>
        </w:rPr>
        <w:tab/>
        <w:t>(a)</w:t>
      </w:r>
      <w:r>
        <w:rPr>
          <w:snapToGrid w:val="0"/>
        </w:rPr>
        <w:tab/>
        <w:t xml:space="preserve">make a return in the approved form in respect of each return period setting out details of waste received; and </w:t>
      </w:r>
    </w:p>
    <w:p>
      <w:pPr>
        <w:pStyle w:val="Indenta"/>
        <w:rPr>
          <w:snapToGrid w:val="0"/>
        </w:rPr>
      </w:pPr>
      <w:r>
        <w:rPr>
          <w:snapToGrid w:val="0"/>
        </w:rPr>
        <w:tab/>
        <w:t>(b)</w:t>
      </w:r>
      <w:r>
        <w:rPr>
          <w:snapToGrid w:val="0"/>
        </w:rPr>
        <w:tab/>
        <w:t>lodge the return with the Chief Executive Officer.</w:t>
      </w:r>
    </w:p>
    <w:p>
      <w:pPr>
        <w:pStyle w:val="Subsection"/>
        <w:rPr>
          <w:snapToGrid w:val="0"/>
        </w:rPr>
      </w:pPr>
      <w:r>
        <w:rPr>
          <w:snapToGrid w:val="0"/>
        </w:rPr>
        <w:tab/>
        <w:t>(3)</w:t>
      </w:r>
      <w:r>
        <w:rPr>
          <w:snapToGrid w:val="0"/>
        </w:rPr>
        <w:tab/>
        <w:t>The return is to be accompanied by a remittance for the amount of the levy payable on the waste to which that return relates.</w:t>
      </w:r>
    </w:p>
    <w:p>
      <w:pPr>
        <w:pStyle w:val="Footnotesection"/>
        <w:ind w:left="890" w:hanging="890"/>
      </w:pPr>
      <w:r>
        <w:tab/>
        <w:t xml:space="preserve">[Regulation 30 inserted in Gazette 26 Jun 1998 p. 3374; amended in Gazette 29 Sep 2006 p. 4266.] </w:t>
      </w:r>
    </w:p>
    <w:p>
      <w:pPr>
        <w:pStyle w:val="Heading5"/>
        <w:rPr>
          <w:snapToGrid w:val="0"/>
        </w:rPr>
      </w:pPr>
      <w:bookmarkStart w:id="864" w:name="_Toc448822601"/>
      <w:bookmarkStart w:id="865" w:name="_Toc448822727"/>
      <w:bookmarkStart w:id="866" w:name="_Toc503260615"/>
      <w:bookmarkStart w:id="867" w:name="_Toc12076718"/>
      <w:bookmarkStart w:id="868" w:name="_Toc12952234"/>
      <w:bookmarkStart w:id="869" w:name="_Toc122232958"/>
      <w:bookmarkStart w:id="870" w:name="_Toc324153602"/>
      <w:bookmarkStart w:id="871" w:name="_Toc318383486"/>
      <w:r>
        <w:rPr>
          <w:rStyle w:val="CharSectno"/>
        </w:rPr>
        <w:t>31</w:t>
      </w:r>
      <w:r>
        <w:rPr>
          <w:snapToGrid w:val="0"/>
        </w:rPr>
        <w:t>.</w:t>
      </w:r>
      <w:r>
        <w:rPr>
          <w:snapToGrid w:val="0"/>
        </w:rPr>
        <w:tab/>
        <w:t>Audit</w:t>
      </w:r>
      <w:bookmarkEnd w:id="864"/>
      <w:bookmarkEnd w:id="865"/>
      <w:bookmarkEnd w:id="866"/>
      <w:bookmarkEnd w:id="867"/>
      <w:bookmarkEnd w:id="868"/>
      <w:bookmarkEnd w:id="869"/>
      <w:bookmarkEnd w:id="870"/>
      <w:bookmarkEnd w:id="871"/>
      <w:r>
        <w:rPr>
          <w:snapToGrid w:val="0"/>
        </w:rPr>
        <w:t xml:space="preserve"> </w:t>
      </w:r>
    </w:p>
    <w:p>
      <w:pPr>
        <w:pStyle w:val="Subsection"/>
        <w:rPr>
          <w:snapToGrid w:val="0"/>
        </w:rPr>
      </w:pPr>
      <w:r>
        <w:rPr>
          <w:snapToGrid w:val="0"/>
        </w:rPr>
        <w:tab/>
        <w:t>(1)</w:t>
      </w:r>
      <w:r>
        <w:rPr>
          <w:snapToGrid w:val="0"/>
        </w:rPr>
        <w:tab/>
        <w:t>The Chief Executive Officer may at any time, by notice in writing, direct a licensee to cause — </w:t>
      </w:r>
    </w:p>
    <w:p>
      <w:pPr>
        <w:pStyle w:val="Indenta"/>
        <w:spacing w:before="120"/>
        <w:rPr>
          <w:snapToGrid w:val="0"/>
        </w:rPr>
      </w:pPr>
      <w:r>
        <w:rPr>
          <w:snapToGrid w:val="0"/>
        </w:rPr>
        <w:tab/>
        <w:t>(a)</w:t>
      </w:r>
      <w:r>
        <w:rPr>
          <w:snapToGrid w:val="0"/>
        </w:rPr>
        <w:tab/>
        <w:t>an audit of — </w:t>
      </w:r>
    </w:p>
    <w:p>
      <w:pPr>
        <w:pStyle w:val="Indenti"/>
        <w:rPr>
          <w:snapToGrid w:val="0"/>
        </w:rPr>
      </w:pPr>
      <w:r>
        <w:rPr>
          <w:snapToGrid w:val="0"/>
        </w:rPr>
        <w:tab/>
        <w:t>(i)</w:t>
      </w:r>
      <w:r>
        <w:rPr>
          <w:snapToGrid w:val="0"/>
        </w:rPr>
        <w:tab/>
        <w:t xml:space="preserve">the amount of waste received at the licensed landfill within the specified period; and </w:t>
      </w:r>
    </w:p>
    <w:p>
      <w:pPr>
        <w:pStyle w:val="Indenti"/>
        <w:rPr>
          <w:snapToGrid w:val="0"/>
        </w:rPr>
      </w:pPr>
      <w:r>
        <w:rPr>
          <w:snapToGrid w:val="0"/>
        </w:rPr>
        <w:tab/>
        <w:t>(ii)</w:t>
      </w:r>
      <w:r>
        <w:rPr>
          <w:snapToGrid w:val="0"/>
        </w:rPr>
        <w:tab/>
        <w:t>the amount of levy payable in respect of that waste,</w:t>
      </w:r>
    </w:p>
    <w:p>
      <w:pPr>
        <w:pStyle w:val="Indenta"/>
        <w:rPr>
          <w:snapToGrid w:val="0"/>
        </w:rPr>
      </w:pPr>
      <w:r>
        <w:rPr>
          <w:snapToGrid w:val="0"/>
        </w:rPr>
        <w:tab/>
      </w:r>
      <w:r>
        <w:rPr>
          <w:snapToGrid w:val="0"/>
        </w:rPr>
        <w:tab/>
        <w:t>to be carried out by a person from the specified class of persons; and</w:t>
      </w:r>
    </w:p>
    <w:p>
      <w:pPr>
        <w:pStyle w:val="Indenta"/>
        <w:spacing w:before="120"/>
        <w:rPr>
          <w:snapToGrid w:val="0"/>
        </w:rPr>
      </w:pPr>
      <w:r>
        <w:rPr>
          <w:snapToGrid w:val="0"/>
        </w:rPr>
        <w:tab/>
        <w:t>(b)</w:t>
      </w:r>
      <w:r>
        <w:rPr>
          <w:snapToGrid w:val="0"/>
        </w:rPr>
        <w:tab/>
        <w:t>a report to be prepared on the audit by the person who carried out the audit.</w:t>
      </w:r>
    </w:p>
    <w:p>
      <w:pPr>
        <w:pStyle w:val="Subsection"/>
        <w:rPr>
          <w:snapToGrid w:val="0"/>
        </w:rPr>
      </w:pPr>
      <w:r>
        <w:rPr>
          <w:snapToGrid w:val="0"/>
        </w:rPr>
        <w:tab/>
        <w:t>(2)</w:t>
      </w:r>
      <w:r>
        <w:rPr>
          <w:snapToGrid w:val="0"/>
        </w:rPr>
        <w:tab/>
        <w:t>The licensee is to provide the copy of the report of the audit, certified as correct by the person who carried out the audit, to the Chief Executive Officer within the specified period.</w:t>
      </w:r>
    </w:p>
    <w:p>
      <w:pPr>
        <w:pStyle w:val="Penstart"/>
        <w:rPr>
          <w:snapToGrid w:val="0"/>
        </w:rPr>
      </w:pPr>
      <w:r>
        <w:rPr>
          <w:snapToGrid w:val="0"/>
        </w:rPr>
        <w:tab/>
        <w:t>Penalty: $5 000.</w:t>
      </w:r>
    </w:p>
    <w:p>
      <w:pPr>
        <w:pStyle w:val="Subsection"/>
        <w:keepNext/>
        <w:spacing w:before="120"/>
        <w:rPr>
          <w:snapToGrid w:val="0"/>
        </w:rPr>
      </w:pPr>
      <w:r>
        <w:rPr>
          <w:snapToGrid w:val="0"/>
        </w:rPr>
        <w:tab/>
        <w:t>(3)</w:t>
      </w:r>
      <w:r>
        <w:rPr>
          <w:snapToGrid w:val="0"/>
        </w:rPr>
        <w:tab/>
        <w:t>In this regulation — </w:t>
      </w:r>
    </w:p>
    <w:p>
      <w:pPr>
        <w:pStyle w:val="Defstart"/>
        <w:keepNext/>
      </w:pPr>
      <w:r>
        <w:rPr>
          <w:b/>
        </w:rPr>
        <w:tab/>
      </w:r>
      <w:r>
        <w:rPr>
          <w:rStyle w:val="CharDefText"/>
        </w:rPr>
        <w:t>specified</w:t>
      </w:r>
      <w:r>
        <w:t xml:space="preserve"> means specified in the notice.</w:t>
      </w:r>
    </w:p>
    <w:p>
      <w:pPr>
        <w:pStyle w:val="Footnotesection"/>
        <w:keepLines w:val="0"/>
        <w:ind w:left="890" w:hanging="890"/>
      </w:pPr>
      <w:r>
        <w:tab/>
        <w:t xml:space="preserve">[Regulation 31 inserted in Gazette 26 Jun 1998 p. 3374; amended in Gazette 11 Dec 1998 p. 6601.] </w:t>
      </w:r>
    </w:p>
    <w:p>
      <w:pPr>
        <w:pStyle w:val="Heading5"/>
        <w:rPr>
          <w:snapToGrid w:val="0"/>
        </w:rPr>
      </w:pPr>
      <w:bookmarkStart w:id="872" w:name="_Toc448822602"/>
      <w:bookmarkStart w:id="873" w:name="_Toc448822728"/>
      <w:bookmarkStart w:id="874" w:name="_Toc503260616"/>
      <w:bookmarkStart w:id="875" w:name="_Toc12076719"/>
      <w:bookmarkStart w:id="876" w:name="_Toc12952235"/>
      <w:bookmarkStart w:id="877" w:name="_Toc122232959"/>
      <w:bookmarkStart w:id="878" w:name="_Toc324153603"/>
      <w:bookmarkStart w:id="879" w:name="_Toc318383487"/>
      <w:r>
        <w:rPr>
          <w:rStyle w:val="CharSectno"/>
        </w:rPr>
        <w:t>32</w:t>
      </w:r>
      <w:r>
        <w:rPr>
          <w:snapToGrid w:val="0"/>
        </w:rPr>
        <w:t>.</w:t>
      </w:r>
      <w:r>
        <w:rPr>
          <w:snapToGrid w:val="0"/>
        </w:rPr>
        <w:tab/>
        <w:t>Review and appeal</w:t>
      </w:r>
      <w:bookmarkEnd w:id="872"/>
      <w:bookmarkEnd w:id="873"/>
      <w:bookmarkEnd w:id="874"/>
      <w:bookmarkEnd w:id="875"/>
      <w:bookmarkEnd w:id="876"/>
      <w:bookmarkEnd w:id="877"/>
      <w:bookmarkEnd w:id="878"/>
      <w:bookmarkEnd w:id="879"/>
      <w:r>
        <w:rPr>
          <w:snapToGrid w:val="0"/>
        </w:rPr>
        <w:t xml:space="preserve"> </w:t>
      </w:r>
    </w:p>
    <w:p>
      <w:pPr>
        <w:pStyle w:val="Subsection"/>
        <w:spacing w:before="120"/>
        <w:rPr>
          <w:snapToGrid w:val="0"/>
        </w:rPr>
      </w:pPr>
      <w:r>
        <w:rPr>
          <w:snapToGrid w:val="0"/>
        </w:rPr>
        <w:tab/>
        <w:t>(1)</w:t>
      </w:r>
      <w:r>
        <w:rPr>
          <w:snapToGrid w:val="0"/>
        </w:rPr>
        <w:tab/>
        <w:t>If the Chief Executive Officer — </w:t>
      </w:r>
    </w:p>
    <w:p>
      <w:pPr>
        <w:pStyle w:val="Indenta"/>
        <w:rPr>
          <w:snapToGrid w:val="0"/>
        </w:rPr>
      </w:pPr>
      <w:r>
        <w:rPr>
          <w:snapToGrid w:val="0"/>
        </w:rPr>
        <w:tab/>
        <w:t>(a)</w:t>
      </w:r>
      <w:r>
        <w:rPr>
          <w:snapToGrid w:val="0"/>
        </w:rPr>
        <w:tab/>
        <w:t>refuses to grant an exemption, or imposes conditions or limitations upon the grant of an exemption, under regulation 23;</w:t>
      </w:r>
    </w:p>
    <w:p>
      <w:pPr>
        <w:pStyle w:val="Indenta"/>
        <w:rPr>
          <w:snapToGrid w:val="0"/>
        </w:rPr>
      </w:pPr>
      <w:r>
        <w:rPr>
          <w:snapToGrid w:val="0"/>
        </w:rPr>
        <w:tab/>
        <w:t>(b)</w:t>
      </w:r>
      <w:r>
        <w:rPr>
          <w:snapToGrid w:val="0"/>
        </w:rPr>
        <w:tab/>
        <w:t>requires the provision of a financial assurance under regulation 24; or</w:t>
      </w:r>
    </w:p>
    <w:p>
      <w:pPr>
        <w:pStyle w:val="Indenta"/>
        <w:rPr>
          <w:snapToGrid w:val="0"/>
        </w:rPr>
      </w:pPr>
      <w:r>
        <w:rPr>
          <w:snapToGrid w:val="0"/>
        </w:rPr>
        <w:tab/>
        <w:t>(c)</w:t>
      </w:r>
      <w:r>
        <w:rPr>
          <w:snapToGrid w:val="0"/>
        </w:rPr>
        <w:tab/>
        <w:t>gives a direction under regulation 31,</w:t>
      </w:r>
    </w:p>
    <w:p>
      <w:pPr>
        <w:pStyle w:val="Subsection"/>
        <w:spacing w:before="120"/>
        <w:rPr>
          <w:snapToGrid w:val="0"/>
          <w:spacing w:val="-4"/>
        </w:rPr>
      </w:pPr>
      <w:r>
        <w:rPr>
          <w:snapToGrid w:val="0"/>
        </w:rPr>
        <w:tab/>
      </w:r>
      <w:r>
        <w:rPr>
          <w:snapToGrid w:val="0"/>
        </w:rPr>
        <w:tab/>
      </w:r>
      <w:r>
        <w:rPr>
          <w:snapToGrid w:val="0"/>
          <w:spacing w:val="-4"/>
        </w:rPr>
        <w:t>the applicant may, within 14 days of notice of the decision, apply to the Chief Executive Officer for a review of the decision.</w:t>
      </w:r>
    </w:p>
    <w:p>
      <w:pPr>
        <w:pStyle w:val="Subsection"/>
        <w:spacing w:before="120"/>
        <w:rPr>
          <w:snapToGrid w:val="0"/>
        </w:rPr>
      </w:pPr>
      <w:r>
        <w:rPr>
          <w:snapToGrid w:val="0"/>
        </w:rPr>
        <w:tab/>
        <w:t>(2)</w:t>
      </w:r>
      <w:r>
        <w:rPr>
          <w:snapToGrid w:val="0"/>
        </w:rPr>
        <w:tab/>
        <w:t>When a request is made under subregulation (1), the Chief Executive Officer is to review the decision and make a fresh decision.</w:t>
      </w:r>
    </w:p>
    <w:p>
      <w:pPr>
        <w:pStyle w:val="Subsection"/>
        <w:spacing w:before="120"/>
        <w:rPr>
          <w:snapToGrid w:val="0"/>
        </w:rPr>
      </w:pPr>
      <w:r>
        <w:rPr>
          <w:snapToGrid w:val="0"/>
        </w:rPr>
        <w:tab/>
        <w:t>(3)</w:t>
      </w:r>
      <w:r>
        <w:rPr>
          <w:snapToGrid w:val="0"/>
        </w:rPr>
        <w:tab/>
        <w:t>If the applicant is dissatisfied with a decision under subregulation (2), the applicant may, within 14 days of notice of the decision, institute an appeal against the decision to the Minister.</w:t>
      </w:r>
    </w:p>
    <w:p>
      <w:pPr>
        <w:pStyle w:val="Subsection"/>
        <w:spacing w:before="120"/>
        <w:rPr>
          <w:snapToGrid w:val="0"/>
        </w:rPr>
      </w:pPr>
      <w:r>
        <w:rPr>
          <w:snapToGrid w:val="0"/>
        </w:rPr>
        <w:tab/>
        <w:t>(4)</w:t>
      </w:r>
      <w:r>
        <w:rPr>
          <w:snapToGrid w:val="0"/>
        </w:rPr>
        <w:tab/>
        <w:t>An appeal is instituted by giving notice in writing of the appeal, setting out the grounds and facts on which the appellant is relies.</w:t>
      </w:r>
    </w:p>
    <w:p>
      <w:pPr>
        <w:pStyle w:val="Subsection"/>
        <w:spacing w:before="120"/>
        <w:rPr>
          <w:snapToGrid w:val="0"/>
        </w:rPr>
      </w:pPr>
      <w:r>
        <w:rPr>
          <w:snapToGrid w:val="0"/>
        </w:rPr>
        <w:tab/>
        <w:t>(5)</w:t>
      </w:r>
      <w:r>
        <w:rPr>
          <w:snapToGrid w:val="0"/>
        </w:rPr>
        <w:tab/>
        <w:t>The Minister may affirm or vary the decision, or set aside the decision and substitute another decision, as the Minister thinks fit and the decision of the Minister is final.</w:t>
      </w:r>
    </w:p>
    <w:p>
      <w:pPr>
        <w:pStyle w:val="Subsection"/>
        <w:spacing w:before="120"/>
        <w:rPr>
          <w:snapToGrid w:val="0"/>
        </w:rPr>
      </w:pPr>
      <w:r>
        <w:rPr>
          <w:snapToGrid w:val="0"/>
        </w:rPr>
        <w:tab/>
        <w:t>(6)</w:t>
      </w:r>
      <w:r>
        <w:rPr>
          <w:snapToGrid w:val="0"/>
        </w:rPr>
        <w:tab/>
        <w:t>The making of an application for review or the institution of an appeal in respect of a decision under regulation 23 or 24 does not operate to stay the decision.</w:t>
      </w:r>
    </w:p>
    <w:p>
      <w:pPr>
        <w:pStyle w:val="Footnotesection"/>
      </w:pPr>
      <w:r>
        <w:tab/>
        <w:t xml:space="preserve">[Regulation 32 inserted in Gazette 26 Jun 1998 p. 3374.] </w:t>
      </w:r>
    </w:p>
    <w:p>
      <w:pPr>
        <w:pStyle w:val="Heading5"/>
      </w:pPr>
      <w:bookmarkStart w:id="880" w:name="_Toc202242103"/>
      <w:bookmarkStart w:id="881" w:name="_Toc324153604"/>
      <w:bookmarkStart w:id="882" w:name="_Toc318383488"/>
      <w:bookmarkStart w:id="883" w:name="_Toc75588427"/>
      <w:bookmarkStart w:id="884" w:name="_Toc76894974"/>
      <w:bookmarkStart w:id="885" w:name="_Toc85279859"/>
      <w:bookmarkStart w:id="886" w:name="_Toc88903721"/>
      <w:bookmarkStart w:id="887" w:name="_Toc88962310"/>
      <w:bookmarkStart w:id="888" w:name="_Toc94320233"/>
      <w:bookmarkStart w:id="889" w:name="_Toc94331069"/>
      <w:bookmarkStart w:id="890" w:name="_Toc94331181"/>
      <w:bookmarkStart w:id="891" w:name="_Toc94428665"/>
      <w:bookmarkStart w:id="892" w:name="_Toc97455644"/>
      <w:bookmarkStart w:id="893" w:name="_Toc97457435"/>
      <w:bookmarkStart w:id="894" w:name="_Toc97630232"/>
      <w:bookmarkStart w:id="895" w:name="_Toc98053377"/>
      <w:bookmarkStart w:id="896" w:name="_Toc99962363"/>
      <w:bookmarkStart w:id="897" w:name="_Toc122159461"/>
      <w:bookmarkStart w:id="898" w:name="_Toc122232785"/>
      <w:bookmarkStart w:id="899" w:name="_Toc122232961"/>
      <w:bookmarkStart w:id="900" w:name="_Toc147220598"/>
      <w:bookmarkStart w:id="901" w:name="_Toc147223949"/>
      <w:bookmarkStart w:id="902" w:name="_Toc165444984"/>
      <w:bookmarkStart w:id="903" w:name="_Toc170557764"/>
      <w:bookmarkStart w:id="904" w:name="_Toc170795155"/>
      <w:bookmarkStart w:id="905" w:name="_Toc172709255"/>
      <w:bookmarkStart w:id="906" w:name="_Toc172964739"/>
      <w:bookmarkStart w:id="907" w:name="_Toc174158456"/>
      <w:bookmarkStart w:id="908" w:name="_Toc174359009"/>
      <w:bookmarkStart w:id="909" w:name="_Toc174518600"/>
      <w:bookmarkStart w:id="910" w:name="_Toc176170545"/>
      <w:bookmarkStart w:id="911" w:name="_Toc181431104"/>
      <w:bookmarkStart w:id="912" w:name="_Toc181497560"/>
      <w:r>
        <w:rPr>
          <w:rStyle w:val="CharSectno"/>
        </w:rPr>
        <w:t>33</w:t>
      </w:r>
      <w:r>
        <w:t>.</w:t>
      </w:r>
      <w:r>
        <w:tab/>
        <w:t>Payment of levy as condition of licence (section 62(2))</w:t>
      </w:r>
      <w:bookmarkEnd w:id="880"/>
      <w:bookmarkEnd w:id="881"/>
      <w:bookmarkEnd w:id="882"/>
    </w:p>
    <w:p>
      <w:pPr>
        <w:pStyle w:val="Subsection"/>
        <w:spacing w:before="120"/>
      </w:pPr>
      <w:r>
        <w:tab/>
      </w:r>
      <w:r>
        <w:tab/>
        <w:t xml:space="preserve">It is a condition of a licence in respect of a licensed landfill that the licensee is to pay the following — </w:t>
      </w:r>
    </w:p>
    <w:p>
      <w:pPr>
        <w:pStyle w:val="Indenta"/>
      </w:pPr>
      <w:r>
        <w:tab/>
        <w:t>(a)</w:t>
      </w:r>
      <w:r>
        <w:tab/>
        <w:t xml:space="preserve">any levy imposed under the </w:t>
      </w:r>
      <w:r>
        <w:rPr>
          <w:i/>
          <w:iCs/>
        </w:rPr>
        <w:t>Environmental Protection (Landfill) Levy Act 1998</w:t>
      </w:r>
      <w:r>
        <w:t xml:space="preserve"> in respect of waste to which this Part applies that is received at those premises;</w:t>
      </w:r>
    </w:p>
    <w:p>
      <w:pPr>
        <w:pStyle w:val="Indenta"/>
      </w:pPr>
      <w:r>
        <w:tab/>
        <w:t>(b)</w:t>
      </w:r>
      <w:r>
        <w:tab/>
        <w:t xml:space="preserve">any levy imposed under the </w:t>
      </w:r>
      <w:r>
        <w:rPr>
          <w:i/>
          <w:iCs/>
        </w:rPr>
        <w:t>Waste Avoidance and Resource Recovery Levy Act 2007</w:t>
      </w:r>
      <w:r>
        <w:t xml:space="preserve"> in respect of waste to which the </w:t>
      </w:r>
      <w:r>
        <w:rPr>
          <w:i/>
          <w:iCs/>
        </w:rPr>
        <w:t xml:space="preserve">Waste Avoidance and Resource Recovery Regulations 2008 </w:t>
      </w:r>
      <w:r>
        <w:t>Part 3 applies that is received at those premises.</w:t>
      </w:r>
    </w:p>
    <w:p>
      <w:pPr>
        <w:pStyle w:val="Footnotesection"/>
      </w:pPr>
      <w:r>
        <w:tab/>
        <w:t xml:space="preserve">[Regulation 33 inserted in Gazette 20 Jun 2008 p. 2683-4.] </w:t>
      </w:r>
    </w:p>
    <w:p>
      <w:pPr>
        <w:pStyle w:val="Heading2"/>
      </w:pPr>
      <w:bookmarkStart w:id="913" w:name="_Toc202254227"/>
      <w:bookmarkStart w:id="914" w:name="_Toc267572142"/>
      <w:bookmarkStart w:id="915" w:name="_Toc281461051"/>
      <w:bookmarkStart w:id="916" w:name="_Toc318383369"/>
      <w:bookmarkStart w:id="917" w:name="_Toc318383489"/>
      <w:bookmarkStart w:id="918" w:name="_Toc324153605"/>
      <w:r>
        <w:rPr>
          <w:rStyle w:val="CharPartNo"/>
        </w:rPr>
        <w:t>Part 10</w:t>
      </w:r>
      <w:r>
        <w:t xml:space="preserve"> — </w:t>
      </w:r>
      <w:r>
        <w:rPr>
          <w:rStyle w:val="CharPartText"/>
        </w:rPr>
        <w:t>Things seized or forfeited</w:t>
      </w:r>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p>
    <w:p>
      <w:pPr>
        <w:pStyle w:val="Footnoteheading"/>
      </w:pPr>
      <w:r>
        <w:tab/>
        <w:t>[Heading inserted in Gazette 11 Dec 1998 p. 6601.]</w:t>
      </w:r>
    </w:p>
    <w:p>
      <w:pPr>
        <w:pStyle w:val="Heading5"/>
        <w:spacing w:before="180"/>
      </w:pPr>
      <w:bookmarkStart w:id="919" w:name="_Toc448822604"/>
      <w:bookmarkStart w:id="920" w:name="_Toc448822730"/>
      <w:bookmarkStart w:id="921" w:name="_Toc503260618"/>
      <w:bookmarkStart w:id="922" w:name="_Toc12076721"/>
      <w:bookmarkStart w:id="923" w:name="_Toc12952237"/>
      <w:bookmarkStart w:id="924" w:name="_Toc122232962"/>
      <w:bookmarkStart w:id="925" w:name="_Toc324153606"/>
      <w:bookmarkStart w:id="926" w:name="_Toc318383490"/>
      <w:r>
        <w:rPr>
          <w:rStyle w:val="CharSectno"/>
        </w:rPr>
        <w:t>34</w:t>
      </w:r>
      <w:r>
        <w:t>.</w:t>
      </w:r>
      <w:r>
        <w:tab/>
        <w:t>Prescribed ways of dealing with thing seized — section 92B(1)</w:t>
      </w:r>
      <w:bookmarkEnd w:id="919"/>
      <w:bookmarkEnd w:id="920"/>
      <w:bookmarkEnd w:id="921"/>
      <w:bookmarkEnd w:id="922"/>
      <w:bookmarkEnd w:id="923"/>
      <w:bookmarkEnd w:id="924"/>
      <w:bookmarkEnd w:id="925"/>
      <w:bookmarkEnd w:id="926"/>
    </w:p>
    <w:p>
      <w:pPr>
        <w:pStyle w:val="Subsection"/>
        <w:spacing w:before="120"/>
      </w:pPr>
      <w:r>
        <w:tab/>
        <w:t>(1)</w:t>
      </w:r>
      <w:r>
        <w:tab/>
        <w:t>For the purposes of section 92B(1) of the Act, the following ways are prescribed as a way of dealing with any thing seized under section 92A of the Act —</w:t>
      </w:r>
    </w:p>
    <w:p>
      <w:pPr>
        <w:pStyle w:val="Indenta"/>
      </w:pPr>
      <w:r>
        <w:tab/>
        <w:t>(a)</w:t>
      </w:r>
      <w:r>
        <w:tab/>
        <w:t>sale at public auction, by tender or by private contract, as specified by the Chief Executive Officer;</w:t>
      </w:r>
    </w:p>
    <w:p>
      <w:pPr>
        <w:pStyle w:val="Indenta"/>
      </w:pPr>
      <w:r>
        <w:tab/>
        <w:t>(b)</w:t>
      </w:r>
      <w:r>
        <w:tab/>
        <w:t>destruction or treatment at a site licensed under Part V of the Act, as specified by the Chief Executive Officer;</w:t>
      </w:r>
    </w:p>
    <w:p>
      <w:pPr>
        <w:pStyle w:val="Indenta"/>
      </w:pPr>
      <w:r>
        <w:tab/>
        <w:t>(c)</w:t>
      </w:r>
      <w:r>
        <w:tab/>
        <w:t>preservation, as specified by the Chief Executive Officer;</w:t>
      </w:r>
    </w:p>
    <w:p>
      <w:pPr>
        <w:pStyle w:val="Indenta"/>
      </w:pPr>
      <w:r>
        <w:tab/>
        <w:t>(d)</w:t>
      </w:r>
      <w:r>
        <w:tab/>
        <w:t>disposal at a site licensed under Part V of the Act, as specified by the Chief Executive Officer; or</w:t>
      </w:r>
    </w:p>
    <w:p>
      <w:pPr>
        <w:pStyle w:val="Indenta"/>
      </w:pPr>
      <w:r>
        <w:tab/>
        <w:t>(e)</w:t>
      </w:r>
      <w:r>
        <w:tab/>
        <w:t>storage at a site, as specified by the Chief Executive Officer.</w:t>
      </w:r>
    </w:p>
    <w:p>
      <w:pPr>
        <w:pStyle w:val="Subsection"/>
        <w:spacing w:before="120"/>
      </w:pPr>
      <w:r>
        <w:tab/>
        <w:t>(2)</w:t>
      </w:r>
      <w:r>
        <w:tab/>
      </w:r>
      <w:r>
        <w:rPr>
          <w:spacing w:val="-4"/>
        </w:rPr>
        <w:t>The Chief Executive Officer is to specify which method referred to in regulation (1) is to apply in respect of a particular thing seized.</w:t>
      </w:r>
    </w:p>
    <w:p>
      <w:pPr>
        <w:pStyle w:val="Footnotesection"/>
      </w:pPr>
      <w:r>
        <w:tab/>
        <w:t>[Regulation 34 inserted in Gazette 11 Dec 1998 p. 6601</w:t>
      </w:r>
      <w:r>
        <w:noBreakHyphen/>
        <w:t>2.]</w:t>
      </w:r>
    </w:p>
    <w:p>
      <w:pPr>
        <w:pStyle w:val="Heading5"/>
        <w:spacing w:before="180"/>
      </w:pPr>
      <w:bookmarkStart w:id="927" w:name="_Toc448822605"/>
      <w:bookmarkStart w:id="928" w:name="_Toc448822731"/>
      <w:bookmarkStart w:id="929" w:name="_Toc503260619"/>
      <w:bookmarkStart w:id="930" w:name="_Toc12076722"/>
      <w:bookmarkStart w:id="931" w:name="_Toc12952238"/>
      <w:bookmarkStart w:id="932" w:name="_Toc122232963"/>
      <w:bookmarkStart w:id="933" w:name="_Toc324153607"/>
      <w:bookmarkStart w:id="934" w:name="_Toc318383491"/>
      <w:r>
        <w:rPr>
          <w:rStyle w:val="CharSectno"/>
        </w:rPr>
        <w:t>35</w:t>
      </w:r>
      <w:r>
        <w:t>.</w:t>
      </w:r>
      <w:r>
        <w:tab/>
        <w:t>Notice that a thing has been seized — section 92D</w:t>
      </w:r>
      <w:bookmarkEnd w:id="927"/>
      <w:bookmarkEnd w:id="928"/>
      <w:bookmarkEnd w:id="929"/>
      <w:bookmarkEnd w:id="930"/>
      <w:bookmarkEnd w:id="931"/>
      <w:bookmarkEnd w:id="932"/>
      <w:bookmarkEnd w:id="933"/>
      <w:bookmarkEnd w:id="934"/>
    </w:p>
    <w:p>
      <w:pPr>
        <w:pStyle w:val="Subsection"/>
      </w:pPr>
      <w:r>
        <w:tab/>
      </w:r>
      <w:r>
        <w:tab/>
        <w:t>If —</w:t>
      </w:r>
    </w:p>
    <w:p>
      <w:pPr>
        <w:pStyle w:val="Indenta"/>
      </w:pPr>
      <w:r>
        <w:tab/>
        <w:t>(a)</w:t>
      </w:r>
      <w:r>
        <w:tab/>
        <w:t>a thing has been seized under the Act; and</w:t>
      </w:r>
    </w:p>
    <w:p>
      <w:pPr>
        <w:pStyle w:val="Indenta"/>
      </w:pPr>
      <w:r>
        <w:tab/>
        <w:t>(b)</w:t>
      </w:r>
      <w:r>
        <w:tab/>
        <w:t>a person to whom the thing can be returned under section 92C of the Act cannot be found,</w:t>
      </w:r>
    </w:p>
    <w:p>
      <w:pPr>
        <w:pStyle w:val="Subsection"/>
      </w:pPr>
      <w:r>
        <w:tab/>
      </w:r>
      <w:r>
        <w:tab/>
        <w:t>the Chief Executive Officer is to give notice that the thing is being held by the Department and may be claimed by its owner by publishing a notice once in a newspaper circulating throughout the State —</w:t>
      </w:r>
    </w:p>
    <w:p>
      <w:pPr>
        <w:pStyle w:val="Indenta"/>
      </w:pPr>
      <w:r>
        <w:tab/>
        <w:t>(c)</w:t>
      </w:r>
      <w:r>
        <w:tab/>
        <w:t>setting out a description of the thing seized;</w:t>
      </w:r>
    </w:p>
    <w:p>
      <w:pPr>
        <w:pStyle w:val="Indenta"/>
      </w:pPr>
      <w:r>
        <w:tab/>
        <w:t>(d)</w:t>
      </w:r>
      <w:r>
        <w:tab/>
        <w:t>stating the place where the thing was seized;</w:t>
      </w:r>
    </w:p>
    <w:p>
      <w:pPr>
        <w:pStyle w:val="Indenta"/>
      </w:pPr>
      <w:r>
        <w:tab/>
        <w:t>(e)</w:t>
      </w:r>
      <w:r>
        <w:tab/>
        <w:t>stating the place where the thing may be claimed;</w:t>
      </w:r>
    </w:p>
    <w:p>
      <w:pPr>
        <w:pStyle w:val="Indenta"/>
      </w:pPr>
      <w:r>
        <w:tab/>
        <w:t>(f)</w:t>
      </w:r>
      <w:r>
        <w:tab/>
        <w:t>setting out the manner in which ownership of the thing may be proved; and</w:t>
      </w:r>
    </w:p>
    <w:p>
      <w:pPr>
        <w:pStyle w:val="Indenta"/>
      </w:pPr>
      <w:r>
        <w:tab/>
        <w:t>(g)</w:t>
      </w:r>
      <w:r>
        <w:tab/>
        <w:t>to the effect that if, after the expiration of 3 months from the day on which the notice has been given in the newspaper, the thing has not been claimed by its owner, the thing is forfeited to the Crown.</w:t>
      </w:r>
    </w:p>
    <w:p>
      <w:pPr>
        <w:pStyle w:val="Footnotesection"/>
      </w:pPr>
      <w:r>
        <w:tab/>
        <w:t>[Regulation 35 inserted in Gazette 11 Dec 1998 p. 6602.]</w:t>
      </w:r>
    </w:p>
    <w:p>
      <w:pPr>
        <w:pStyle w:val="Heading5"/>
      </w:pPr>
      <w:bookmarkStart w:id="935" w:name="_Toc448822606"/>
      <w:bookmarkStart w:id="936" w:name="_Toc448822732"/>
      <w:bookmarkStart w:id="937" w:name="_Toc503260620"/>
      <w:bookmarkStart w:id="938" w:name="_Toc12076723"/>
      <w:bookmarkStart w:id="939" w:name="_Toc12952239"/>
      <w:bookmarkStart w:id="940" w:name="_Toc122232964"/>
      <w:bookmarkStart w:id="941" w:name="_Toc324153608"/>
      <w:bookmarkStart w:id="942" w:name="_Toc318383492"/>
      <w:r>
        <w:rPr>
          <w:rStyle w:val="CharSectno"/>
        </w:rPr>
        <w:t>36</w:t>
      </w:r>
      <w:r>
        <w:t>.</w:t>
      </w:r>
      <w:r>
        <w:tab/>
        <w:t>Disposing of any thing forfeited to the Crown</w:t>
      </w:r>
      <w:bookmarkEnd w:id="935"/>
      <w:bookmarkEnd w:id="936"/>
      <w:bookmarkEnd w:id="937"/>
      <w:bookmarkEnd w:id="938"/>
      <w:bookmarkEnd w:id="939"/>
      <w:bookmarkEnd w:id="940"/>
      <w:bookmarkEnd w:id="941"/>
      <w:bookmarkEnd w:id="942"/>
    </w:p>
    <w:p>
      <w:pPr>
        <w:pStyle w:val="Subsection"/>
      </w:pPr>
      <w:r>
        <w:tab/>
        <w:t>(1)</w:t>
      </w:r>
      <w:r>
        <w:tab/>
        <w:t>For the purposes of section 99W(1) of the Act, the following ways are prescribed for disposing of any thing forfeited to the Crown under the Act —</w:t>
      </w:r>
    </w:p>
    <w:p>
      <w:pPr>
        <w:pStyle w:val="Indenta"/>
      </w:pPr>
      <w:r>
        <w:tab/>
        <w:t>(a)</w:t>
      </w:r>
      <w:r>
        <w:tab/>
        <w:t>transfer to the Department for its use or transfer, with or without charge, to another public authority or to a department of the Commonwealth;</w:t>
      </w:r>
    </w:p>
    <w:p>
      <w:pPr>
        <w:pStyle w:val="Indenta"/>
      </w:pPr>
      <w:r>
        <w:tab/>
        <w:t>(b)</w:t>
      </w:r>
      <w:r>
        <w:tab/>
        <w:t>sale at public auction, by tender or by private contract;</w:t>
      </w:r>
    </w:p>
    <w:p>
      <w:pPr>
        <w:pStyle w:val="Indenta"/>
      </w:pPr>
      <w:r>
        <w:tab/>
        <w:t>(c)</w:t>
      </w:r>
      <w:r>
        <w:tab/>
        <w:t>treatment at a site licensed under Part V of the Act, as specified by the Chief Executive Officer; or</w:t>
      </w:r>
    </w:p>
    <w:p>
      <w:pPr>
        <w:pStyle w:val="Indenta"/>
      </w:pPr>
      <w:r>
        <w:tab/>
        <w:t>(d)</w:t>
      </w:r>
      <w:r>
        <w:tab/>
        <w:t>destruction or disposal at a site licensed under Part V of the Act, as specified by the Chief Executive Officer.</w:t>
      </w:r>
    </w:p>
    <w:p>
      <w:pPr>
        <w:pStyle w:val="Subsection"/>
      </w:pPr>
      <w:r>
        <w:tab/>
        <w:t>(2)</w:t>
      </w:r>
      <w:r>
        <w:tab/>
        <w:t>The Chief Executive Officer is to specify which method referred to in subregulation (1) is to apply in respect of a particular thing forfeited to the Crown.</w:t>
      </w:r>
    </w:p>
    <w:p>
      <w:pPr>
        <w:pStyle w:val="Footnotesection"/>
      </w:pPr>
      <w:r>
        <w:tab/>
        <w:t>[Regulation 36 inserted in Gazette 11 Dec 1998 p. 6602</w:t>
      </w:r>
      <w:r>
        <w:noBreakHyphen/>
        <w:t>3.]</w:t>
      </w:r>
    </w:p>
    <w:p>
      <w:pPr>
        <w:pStyle w:val="Heading2"/>
      </w:pPr>
      <w:bookmarkStart w:id="943" w:name="_Toc75588431"/>
      <w:bookmarkStart w:id="944" w:name="_Toc76894978"/>
      <w:bookmarkStart w:id="945" w:name="_Toc85279863"/>
      <w:bookmarkStart w:id="946" w:name="_Toc88903725"/>
      <w:bookmarkStart w:id="947" w:name="_Toc88962314"/>
      <w:bookmarkStart w:id="948" w:name="_Toc94320237"/>
      <w:bookmarkStart w:id="949" w:name="_Toc94331073"/>
      <w:bookmarkStart w:id="950" w:name="_Toc94331185"/>
      <w:bookmarkStart w:id="951" w:name="_Toc94428669"/>
      <w:bookmarkStart w:id="952" w:name="_Toc97455648"/>
      <w:bookmarkStart w:id="953" w:name="_Toc97457439"/>
      <w:bookmarkStart w:id="954" w:name="_Toc97630236"/>
      <w:bookmarkStart w:id="955" w:name="_Toc98053381"/>
      <w:bookmarkStart w:id="956" w:name="_Toc99962367"/>
      <w:bookmarkStart w:id="957" w:name="_Toc122159465"/>
      <w:bookmarkStart w:id="958" w:name="_Toc122232789"/>
      <w:bookmarkStart w:id="959" w:name="_Toc122232965"/>
      <w:bookmarkStart w:id="960" w:name="_Toc147220602"/>
      <w:bookmarkStart w:id="961" w:name="_Toc147223953"/>
      <w:bookmarkStart w:id="962" w:name="_Toc165444988"/>
      <w:bookmarkStart w:id="963" w:name="_Toc170557768"/>
      <w:bookmarkStart w:id="964" w:name="_Toc170795159"/>
      <w:bookmarkStart w:id="965" w:name="_Toc172709259"/>
      <w:bookmarkStart w:id="966" w:name="_Toc172964743"/>
      <w:bookmarkStart w:id="967" w:name="_Toc174158460"/>
      <w:bookmarkStart w:id="968" w:name="_Toc174359013"/>
      <w:bookmarkStart w:id="969" w:name="_Toc174518604"/>
      <w:bookmarkStart w:id="970" w:name="_Toc176170549"/>
      <w:bookmarkStart w:id="971" w:name="_Toc181431108"/>
      <w:bookmarkStart w:id="972" w:name="_Toc181497564"/>
      <w:bookmarkStart w:id="973" w:name="_Toc202254231"/>
      <w:bookmarkStart w:id="974" w:name="_Toc267572146"/>
      <w:bookmarkStart w:id="975" w:name="_Toc281461055"/>
      <w:bookmarkStart w:id="976" w:name="_Toc318383373"/>
      <w:bookmarkStart w:id="977" w:name="_Toc318383493"/>
      <w:bookmarkStart w:id="978" w:name="_Toc324153609"/>
      <w:r>
        <w:rPr>
          <w:rStyle w:val="CharPartNo"/>
        </w:rPr>
        <w:t>Part 11</w:t>
      </w:r>
      <w:r>
        <w:t xml:space="preserve"> — </w:t>
      </w:r>
      <w:r>
        <w:rPr>
          <w:rStyle w:val="CharPartText"/>
        </w:rPr>
        <w:t>Modified penalties and Tier 2 offences</w:t>
      </w:r>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p>
    <w:p>
      <w:pPr>
        <w:pStyle w:val="Footnoteheading"/>
      </w:pPr>
      <w:r>
        <w:tab/>
        <w:t>[Heading inserted in Gazette 11 Dec 1998 p. 6603.]</w:t>
      </w:r>
    </w:p>
    <w:p>
      <w:pPr>
        <w:pStyle w:val="Heading5"/>
        <w:spacing w:before="180"/>
      </w:pPr>
      <w:bookmarkStart w:id="979" w:name="_Toc448822607"/>
      <w:bookmarkStart w:id="980" w:name="_Toc448822733"/>
      <w:bookmarkStart w:id="981" w:name="_Toc503260621"/>
      <w:bookmarkStart w:id="982" w:name="_Toc12076724"/>
      <w:bookmarkStart w:id="983" w:name="_Toc12952240"/>
      <w:bookmarkStart w:id="984" w:name="_Toc122232966"/>
      <w:bookmarkStart w:id="985" w:name="_Toc324153610"/>
      <w:bookmarkStart w:id="986" w:name="_Toc318383494"/>
      <w:r>
        <w:rPr>
          <w:rStyle w:val="CharSectno"/>
        </w:rPr>
        <w:t>37</w:t>
      </w:r>
      <w:r>
        <w:t>.</w:t>
      </w:r>
      <w:r>
        <w:tab/>
        <w:t>Modified penalty notice</w:t>
      </w:r>
      <w:bookmarkEnd w:id="979"/>
      <w:bookmarkEnd w:id="980"/>
      <w:bookmarkEnd w:id="981"/>
      <w:bookmarkEnd w:id="982"/>
      <w:bookmarkEnd w:id="983"/>
      <w:bookmarkEnd w:id="984"/>
      <w:bookmarkEnd w:id="985"/>
      <w:bookmarkEnd w:id="986"/>
    </w:p>
    <w:p>
      <w:pPr>
        <w:pStyle w:val="Subsection"/>
        <w:spacing w:before="120"/>
      </w:pPr>
      <w:r>
        <w:tab/>
      </w:r>
      <w:r>
        <w:tab/>
        <w:t>Form 1 in Schedule 7 is prescribed, under section 99B(1) of the Act, as the form of modified penalty notice.</w:t>
      </w:r>
    </w:p>
    <w:p>
      <w:pPr>
        <w:pStyle w:val="Footnotesection"/>
        <w:spacing w:before="80"/>
        <w:ind w:left="890" w:hanging="890"/>
      </w:pPr>
      <w:r>
        <w:tab/>
        <w:t>[Regulation 37 inserted in Gazette 11 Dec 1998 p. 6603.]</w:t>
      </w:r>
    </w:p>
    <w:p>
      <w:pPr>
        <w:pStyle w:val="Heading5"/>
        <w:spacing w:before="180"/>
      </w:pPr>
      <w:bookmarkStart w:id="987" w:name="_Toc448822608"/>
      <w:bookmarkStart w:id="988" w:name="_Toc448822734"/>
      <w:bookmarkStart w:id="989" w:name="_Toc503260622"/>
      <w:bookmarkStart w:id="990" w:name="_Toc12076725"/>
      <w:bookmarkStart w:id="991" w:name="_Toc12952241"/>
      <w:bookmarkStart w:id="992" w:name="_Toc122232967"/>
      <w:bookmarkStart w:id="993" w:name="_Toc324153611"/>
      <w:bookmarkStart w:id="994" w:name="_Toc318383495"/>
      <w:r>
        <w:rPr>
          <w:rStyle w:val="CharSectno"/>
        </w:rPr>
        <w:t>38</w:t>
      </w:r>
      <w:r>
        <w:t>.</w:t>
      </w:r>
      <w:r>
        <w:tab/>
        <w:t>Withdrawal of modified penalty notice</w:t>
      </w:r>
      <w:bookmarkEnd w:id="987"/>
      <w:bookmarkEnd w:id="988"/>
      <w:bookmarkEnd w:id="989"/>
      <w:bookmarkEnd w:id="990"/>
      <w:bookmarkEnd w:id="991"/>
      <w:bookmarkEnd w:id="992"/>
      <w:bookmarkEnd w:id="993"/>
      <w:bookmarkEnd w:id="994"/>
    </w:p>
    <w:p>
      <w:pPr>
        <w:pStyle w:val="Subsection"/>
        <w:spacing w:before="120"/>
      </w:pPr>
      <w:r>
        <w:tab/>
      </w:r>
      <w:r>
        <w:tab/>
        <w:t>Form 2 in Schedule 7 is prescribed, under section 99D(1) of the Act, as the form of withdrawal of modified penalty notice.</w:t>
      </w:r>
    </w:p>
    <w:p>
      <w:pPr>
        <w:pStyle w:val="Footnotesection"/>
        <w:spacing w:before="80"/>
        <w:ind w:left="890" w:hanging="890"/>
      </w:pPr>
      <w:r>
        <w:tab/>
        <w:t>[Regulation 38 inserted in Gazette 11 Dec 1998 p. 6603.]</w:t>
      </w:r>
    </w:p>
    <w:p>
      <w:pPr>
        <w:pStyle w:val="Heading5"/>
        <w:spacing w:before="180"/>
      </w:pPr>
      <w:bookmarkStart w:id="995" w:name="_Toc448822609"/>
      <w:bookmarkStart w:id="996" w:name="_Toc448822735"/>
      <w:bookmarkStart w:id="997" w:name="_Toc503260623"/>
      <w:bookmarkStart w:id="998" w:name="_Toc12076726"/>
      <w:bookmarkStart w:id="999" w:name="_Toc12952242"/>
      <w:bookmarkStart w:id="1000" w:name="_Toc122232968"/>
      <w:bookmarkStart w:id="1001" w:name="_Toc324153612"/>
      <w:bookmarkStart w:id="1002" w:name="_Toc318383496"/>
      <w:r>
        <w:rPr>
          <w:rStyle w:val="CharSectno"/>
        </w:rPr>
        <w:t>39</w:t>
      </w:r>
      <w:r>
        <w:t>.</w:t>
      </w:r>
      <w:r>
        <w:tab/>
        <w:t>Prescribed particulars to be included in notice of payment of modified penalty — section 99E(3)</w:t>
      </w:r>
      <w:bookmarkEnd w:id="995"/>
      <w:bookmarkEnd w:id="996"/>
      <w:bookmarkEnd w:id="997"/>
      <w:bookmarkEnd w:id="998"/>
      <w:bookmarkEnd w:id="999"/>
      <w:bookmarkEnd w:id="1000"/>
      <w:bookmarkEnd w:id="1001"/>
      <w:bookmarkEnd w:id="1002"/>
    </w:p>
    <w:p>
      <w:pPr>
        <w:pStyle w:val="Subsection"/>
        <w:spacing w:before="120"/>
      </w:pPr>
      <w:r>
        <w:tab/>
      </w:r>
      <w:r>
        <w:tab/>
        <w:t>For the purposes of section 99E(3) of the Act, the following particulars are prescribed —</w:t>
      </w:r>
    </w:p>
    <w:p>
      <w:pPr>
        <w:pStyle w:val="Indenta"/>
        <w:spacing w:before="60"/>
      </w:pPr>
      <w:r>
        <w:tab/>
        <w:t>(a)</w:t>
      </w:r>
      <w:r>
        <w:tab/>
        <w:t>the name of the person who paid the modified penalty;</w:t>
      </w:r>
    </w:p>
    <w:p>
      <w:pPr>
        <w:pStyle w:val="Indenta"/>
        <w:spacing w:before="60"/>
      </w:pPr>
      <w:r>
        <w:tab/>
        <w:t>(b)</w:t>
      </w:r>
      <w:r>
        <w:tab/>
        <w:t>the section of the Act contravened in respect of which the modified penalty was paid;</w:t>
      </w:r>
    </w:p>
    <w:p>
      <w:pPr>
        <w:pStyle w:val="Indenta"/>
        <w:spacing w:before="60"/>
      </w:pPr>
      <w:r>
        <w:tab/>
        <w:t>(c)</w:t>
      </w:r>
      <w:r>
        <w:tab/>
        <w:t>a description of the offence;</w:t>
      </w:r>
    </w:p>
    <w:p>
      <w:pPr>
        <w:pStyle w:val="Indenta"/>
        <w:spacing w:before="60"/>
      </w:pPr>
      <w:r>
        <w:tab/>
        <w:t>(d)</w:t>
      </w:r>
      <w:r>
        <w:tab/>
        <w:t>the penalty paid;</w:t>
      </w:r>
    </w:p>
    <w:p>
      <w:pPr>
        <w:pStyle w:val="Indenta"/>
        <w:spacing w:before="60"/>
      </w:pPr>
      <w:r>
        <w:tab/>
        <w:t>(e)</w:t>
      </w:r>
      <w:r>
        <w:tab/>
        <w:t>the place where the register of certificates issued under section 99A of the Act and modified penalty notices may be inspected.</w:t>
      </w:r>
    </w:p>
    <w:p>
      <w:pPr>
        <w:pStyle w:val="Footnotesection"/>
        <w:spacing w:before="80"/>
        <w:ind w:left="890" w:hanging="890"/>
      </w:pPr>
      <w:r>
        <w:tab/>
        <w:t>[Regulation 39 inserted in Gazette 11 Dec 1998 p. 6603.]</w:t>
      </w:r>
    </w:p>
    <w:p>
      <w:pPr>
        <w:pStyle w:val="Heading5"/>
        <w:spacing w:before="180"/>
      </w:pPr>
      <w:bookmarkStart w:id="1003" w:name="_Toc448822610"/>
      <w:bookmarkStart w:id="1004" w:name="_Toc448822736"/>
      <w:bookmarkStart w:id="1005" w:name="_Toc503260624"/>
      <w:bookmarkStart w:id="1006" w:name="_Toc12076727"/>
      <w:bookmarkStart w:id="1007" w:name="_Toc12952243"/>
      <w:bookmarkStart w:id="1008" w:name="_Toc122232969"/>
      <w:bookmarkStart w:id="1009" w:name="_Toc324153613"/>
      <w:bookmarkStart w:id="1010" w:name="_Toc318383497"/>
      <w:r>
        <w:rPr>
          <w:rStyle w:val="CharSectno"/>
        </w:rPr>
        <w:t>40</w:t>
      </w:r>
      <w:r>
        <w:t>.</w:t>
      </w:r>
      <w:r>
        <w:tab/>
        <w:t>Public inspection of register of certificates and modified penalty notices — section 99F(2)</w:t>
      </w:r>
      <w:bookmarkEnd w:id="1003"/>
      <w:bookmarkEnd w:id="1004"/>
      <w:bookmarkEnd w:id="1005"/>
      <w:bookmarkEnd w:id="1006"/>
      <w:bookmarkEnd w:id="1007"/>
      <w:bookmarkEnd w:id="1008"/>
      <w:bookmarkEnd w:id="1009"/>
      <w:bookmarkEnd w:id="1010"/>
    </w:p>
    <w:p>
      <w:pPr>
        <w:pStyle w:val="Subsection"/>
        <w:spacing w:before="120"/>
        <w:rPr>
          <w:spacing w:val="-6"/>
        </w:rPr>
      </w:pPr>
      <w:r>
        <w:rPr>
          <w:spacing w:val="-6"/>
        </w:rPr>
        <w:tab/>
      </w:r>
      <w:r>
        <w:rPr>
          <w:spacing w:val="-6"/>
        </w:rPr>
        <w:tab/>
        <w:t>The register that the Chief Executive Officer is required to maintain under section 99F(1) of the Act is to be available for public inspection during normal office hours at the</w:t>
      </w:r>
      <w:r>
        <w:t xml:space="preserve"> Departmental library</w:t>
      </w:r>
      <w:r>
        <w:rPr>
          <w:spacing w:val="-6"/>
        </w:rPr>
        <w:t>.</w:t>
      </w:r>
    </w:p>
    <w:p>
      <w:pPr>
        <w:pStyle w:val="Footnotesection"/>
        <w:keepLines w:val="0"/>
        <w:spacing w:before="80"/>
        <w:ind w:left="890" w:hanging="890"/>
      </w:pPr>
      <w:r>
        <w:tab/>
        <w:t>[Regulation 40 inserted in Gazette 11 Dec 1998 p. 6603; amended in Gazette 29 Sep 2006 p. 4261.]</w:t>
      </w:r>
    </w:p>
    <w:p>
      <w:pPr>
        <w:pStyle w:val="Heading2"/>
      </w:pPr>
      <w:bookmarkStart w:id="1011" w:name="_Toc75588436"/>
      <w:bookmarkStart w:id="1012" w:name="_Toc76894983"/>
      <w:bookmarkStart w:id="1013" w:name="_Toc85279868"/>
      <w:bookmarkStart w:id="1014" w:name="_Toc88903730"/>
      <w:bookmarkStart w:id="1015" w:name="_Toc88962319"/>
      <w:bookmarkStart w:id="1016" w:name="_Toc94320242"/>
      <w:bookmarkStart w:id="1017" w:name="_Toc94331078"/>
      <w:bookmarkStart w:id="1018" w:name="_Toc94331190"/>
      <w:bookmarkStart w:id="1019" w:name="_Toc94428674"/>
      <w:bookmarkStart w:id="1020" w:name="_Toc97455653"/>
      <w:bookmarkStart w:id="1021" w:name="_Toc97457444"/>
      <w:bookmarkStart w:id="1022" w:name="_Toc97630241"/>
      <w:bookmarkStart w:id="1023" w:name="_Toc98053386"/>
      <w:bookmarkStart w:id="1024" w:name="_Toc99962372"/>
      <w:bookmarkStart w:id="1025" w:name="_Toc122159470"/>
      <w:bookmarkStart w:id="1026" w:name="_Toc122232794"/>
      <w:bookmarkStart w:id="1027" w:name="_Toc122232970"/>
      <w:bookmarkStart w:id="1028" w:name="_Toc147220607"/>
      <w:bookmarkStart w:id="1029" w:name="_Toc147223958"/>
      <w:bookmarkStart w:id="1030" w:name="_Toc165444993"/>
      <w:bookmarkStart w:id="1031" w:name="_Toc170557773"/>
      <w:bookmarkStart w:id="1032" w:name="_Toc170795164"/>
      <w:bookmarkStart w:id="1033" w:name="_Toc172709264"/>
      <w:bookmarkStart w:id="1034" w:name="_Toc172964748"/>
      <w:bookmarkStart w:id="1035" w:name="_Toc174158465"/>
      <w:bookmarkStart w:id="1036" w:name="_Toc174359018"/>
      <w:bookmarkStart w:id="1037" w:name="_Toc174518609"/>
      <w:bookmarkStart w:id="1038" w:name="_Toc176170554"/>
      <w:bookmarkStart w:id="1039" w:name="_Toc181431113"/>
      <w:bookmarkStart w:id="1040" w:name="_Toc181497569"/>
      <w:bookmarkStart w:id="1041" w:name="_Toc202254236"/>
      <w:bookmarkStart w:id="1042" w:name="_Toc267572151"/>
      <w:bookmarkStart w:id="1043" w:name="_Toc281461060"/>
      <w:bookmarkStart w:id="1044" w:name="_Toc318383378"/>
      <w:bookmarkStart w:id="1045" w:name="_Toc318383498"/>
      <w:bookmarkStart w:id="1046" w:name="_Toc324153614"/>
      <w:r>
        <w:rPr>
          <w:rStyle w:val="CharPartNo"/>
        </w:rPr>
        <w:t>Part 12</w:t>
      </w:r>
      <w:r>
        <w:t xml:space="preserve"> — </w:t>
      </w:r>
      <w:r>
        <w:rPr>
          <w:rStyle w:val="CharPartText"/>
        </w:rPr>
        <w:t>Infringement notices and offences</w:t>
      </w:r>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p>
    <w:p>
      <w:pPr>
        <w:pStyle w:val="Footnoteheading"/>
      </w:pPr>
      <w:r>
        <w:tab/>
        <w:t>[Heading inserted in Gazette 11 Dec 1998 p. 6603.]</w:t>
      </w:r>
    </w:p>
    <w:p>
      <w:pPr>
        <w:pStyle w:val="Heading5"/>
      </w:pPr>
      <w:bookmarkStart w:id="1047" w:name="_Toc448822611"/>
      <w:bookmarkStart w:id="1048" w:name="_Toc448822737"/>
      <w:bookmarkStart w:id="1049" w:name="_Toc503260625"/>
      <w:bookmarkStart w:id="1050" w:name="_Toc12076728"/>
      <w:bookmarkStart w:id="1051" w:name="_Toc12952244"/>
      <w:bookmarkStart w:id="1052" w:name="_Toc122232971"/>
      <w:bookmarkStart w:id="1053" w:name="_Toc324153615"/>
      <w:bookmarkStart w:id="1054" w:name="_Toc318383499"/>
      <w:r>
        <w:rPr>
          <w:rStyle w:val="CharSectno"/>
        </w:rPr>
        <w:t>41</w:t>
      </w:r>
      <w:r>
        <w:t>.</w:t>
      </w:r>
      <w:r>
        <w:tab/>
        <w:t xml:space="preserve">Offences prescribed as an </w:t>
      </w:r>
      <w:r>
        <w:rPr>
          <w:bCs/>
        </w:rPr>
        <w:t>“</w:t>
      </w:r>
      <w:r>
        <w:t>infringement notice offence</w:t>
      </w:r>
      <w:r>
        <w:rPr>
          <w:bCs/>
        </w:rPr>
        <w:t>”</w:t>
      </w:r>
      <w:r>
        <w:t xml:space="preserve"> and prescribed penalties — sections 99H and 99K</w:t>
      </w:r>
      <w:bookmarkEnd w:id="1047"/>
      <w:bookmarkEnd w:id="1048"/>
      <w:bookmarkEnd w:id="1049"/>
      <w:bookmarkEnd w:id="1050"/>
      <w:bookmarkEnd w:id="1051"/>
      <w:bookmarkEnd w:id="1052"/>
      <w:bookmarkEnd w:id="1053"/>
      <w:bookmarkEnd w:id="1054"/>
    </w:p>
    <w:p>
      <w:pPr>
        <w:pStyle w:val="Subsection"/>
      </w:pPr>
      <w:r>
        <w:tab/>
        <w:t>(1)</w:t>
      </w:r>
      <w:r>
        <w:tab/>
        <w:t>The offences described in the first column of Schedule 6 are prescribed for the purpose of the definition of “infringement notice offence” in section 99H of the Act and —</w:t>
      </w:r>
    </w:p>
    <w:p>
      <w:pPr>
        <w:pStyle w:val="Indenta"/>
      </w:pPr>
      <w:r>
        <w:tab/>
        <w:t>(a)</w:t>
      </w:r>
      <w:r>
        <w:tab/>
        <w:t>the amount appearing in the second column of that Schedule, directly opposite an offence, is the modified penalty prescribed in respect of that offence if the alleged offender has not previously been convicted of an offence of that kind and has not previously paid a modified penalty under Division 2 of Part VIA of the Act in respect of an alleged offence of that kind; and</w:t>
      </w:r>
    </w:p>
    <w:p>
      <w:pPr>
        <w:pStyle w:val="Indenta"/>
      </w:pPr>
      <w:r>
        <w:tab/>
        <w:t>(b)</w:t>
      </w:r>
      <w:r>
        <w:tab/>
        <w:t>the amount appearing in the third column of that Schedule, directly opposite an offence, is the modified penalty prescribed in respect of that offence if the alleged offender has previously been convicted of an offence of that kind, or has previously paid a modified penalty under Division 2 of Part VIA of the Act in respect of an alleged offence of that kind.</w:t>
      </w:r>
    </w:p>
    <w:p>
      <w:pPr>
        <w:pStyle w:val="Subsection"/>
      </w:pPr>
      <w:r>
        <w:tab/>
        <w:t>(2)</w:t>
      </w:r>
      <w:r>
        <w:tab/>
        <w:t>For the purposes of subregulation (1), a prior conviction or payment of a modified penalty in respect of an alleged offence against the regulations is not to be taken into account for the purposes of determining whether the alleged offender has previously been convicted of an offence or has previously paid a modified penalty notice unless —</w:t>
      </w:r>
    </w:p>
    <w:p>
      <w:pPr>
        <w:pStyle w:val="Indenta"/>
      </w:pPr>
      <w:r>
        <w:tab/>
        <w:t>(a)</w:t>
      </w:r>
      <w:r>
        <w:tab/>
        <w:t>the prior conviction was recorded within the period of 5 years immediately prior to the giving of an infringement notice in respect of the present alleged offence; or</w:t>
      </w:r>
    </w:p>
    <w:p>
      <w:pPr>
        <w:pStyle w:val="Indenta"/>
        <w:keepNext/>
        <w:keepLines/>
      </w:pPr>
      <w:r>
        <w:tab/>
        <w:t>(b)</w:t>
      </w:r>
      <w:r>
        <w:tab/>
        <w:t>the modified penalty was paid in respect of the prior alleged offence within the period of 5 years immediately prior to the giving of an infringement notice in respect of the present alleged offence.</w:t>
      </w:r>
    </w:p>
    <w:p>
      <w:pPr>
        <w:pStyle w:val="Footnotesection"/>
      </w:pPr>
      <w:r>
        <w:tab/>
        <w:t>[Regulation 41 inserted in Gazette 11 Dec 1998 p. 6603</w:t>
      </w:r>
      <w:r>
        <w:noBreakHyphen/>
        <w:t>4.]</w:t>
      </w:r>
    </w:p>
    <w:p>
      <w:pPr>
        <w:pStyle w:val="Heading5"/>
      </w:pPr>
      <w:bookmarkStart w:id="1055" w:name="_Toc448822612"/>
      <w:bookmarkStart w:id="1056" w:name="_Toc448822738"/>
      <w:bookmarkStart w:id="1057" w:name="_Toc503260626"/>
      <w:bookmarkStart w:id="1058" w:name="_Toc12076729"/>
      <w:bookmarkStart w:id="1059" w:name="_Toc12952245"/>
      <w:bookmarkStart w:id="1060" w:name="_Toc122232972"/>
      <w:bookmarkStart w:id="1061" w:name="_Toc324153616"/>
      <w:bookmarkStart w:id="1062" w:name="_Toc318383500"/>
      <w:r>
        <w:rPr>
          <w:rStyle w:val="CharSectno"/>
        </w:rPr>
        <w:t>42</w:t>
      </w:r>
      <w:r>
        <w:t>.</w:t>
      </w:r>
      <w:r>
        <w:tab/>
        <w:t>Infringement notice</w:t>
      </w:r>
      <w:bookmarkEnd w:id="1055"/>
      <w:bookmarkEnd w:id="1056"/>
      <w:bookmarkEnd w:id="1057"/>
      <w:bookmarkEnd w:id="1058"/>
      <w:bookmarkEnd w:id="1059"/>
      <w:bookmarkEnd w:id="1060"/>
      <w:bookmarkEnd w:id="1061"/>
      <w:bookmarkEnd w:id="1062"/>
    </w:p>
    <w:p>
      <w:pPr>
        <w:pStyle w:val="Subsection"/>
      </w:pPr>
      <w:r>
        <w:tab/>
      </w:r>
      <w:r>
        <w:tab/>
        <w:t>Form 3 in Schedule 7 is prescribed, under section 99K(1) of the Act, as the form of infringement notice.</w:t>
      </w:r>
    </w:p>
    <w:p>
      <w:pPr>
        <w:pStyle w:val="Footnotesection"/>
      </w:pPr>
      <w:r>
        <w:tab/>
        <w:t>[Regulation 42 inserted in Gazette 11 Dec 1998 p. 6604.]</w:t>
      </w:r>
    </w:p>
    <w:p>
      <w:pPr>
        <w:pStyle w:val="Heading5"/>
      </w:pPr>
      <w:bookmarkStart w:id="1063" w:name="_Toc448822613"/>
      <w:bookmarkStart w:id="1064" w:name="_Toc448822739"/>
      <w:bookmarkStart w:id="1065" w:name="_Toc503260627"/>
      <w:bookmarkStart w:id="1066" w:name="_Toc12076730"/>
      <w:bookmarkStart w:id="1067" w:name="_Toc12952246"/>
      <w:bookmarkStart w:id="1068" w:name="_Toc122232973"/>
      <w:bookmarkStart w:id="1069" w:name="_Toc324153617"/>
      <w:bookmarkStart w:id="1070" w:name="_Toc318383501"/>
      <w:r>
        <w:rPr>
          <w:rStyle w:val="CharSectno"/>
        </w:rPr>
        <w:t>43</w:t>
      </w:r>
      <w:r>
        <w:t>.</w:t>
      </w:r>
      <w:r>
        <w:tab/>
        <w:t>Withdrawal of infringement notice</w:t>
      </w:r>
      <w:bookmarkEnd w:id="1063"/>
      <w:bookmarkEnd w:id="1064"/>
      <w:bookmarkEnd w:id="1065"/>
      <w:bookmarkEnd w:id="1066"/>
      <w:bookmarkEnd w:id="1067"/>
      <w:bookmarkEnd w:id="1068"/>
      <w:bookmarkEnd w:id="1069"/>
      <w:bookmarkEnd w:id="1070"/>
    </w:p>
    <w:p>
      <w:pPr>
        <w:pStyle w:val="Subsection"/>
      </w:pPr>
      <w:r>
        <w:tab/>
      </w:r>
      <w:r>
        <w:tab/>
        <w:t>Form 4 in Schedule 7 is prescribed, under section 99N(1) of the Act, as the form of withdrawal of infringement notice.</w:t>
      </w:r>
    </w:p>
    <w:p>
      <w:pPr>
        <w:pStyle w:val="Footnotesection"/>
      </w:pPr>
      <w:r>
        <w:tab/>
        <w:t>[Regulation 43 inserted in Gazette 11 Dec 1998 p. 6604.]</w:t>
      </w:r>
    </w:p>
    <w:p>
      <w:pPr>
        <w:pStyle w:val="Heading2"/>
      </w:pPr>
      <w:bookmarkStart w:id="1071" w:name="_Toc75588440"/>
      <w:bookmarkStart w:id="1072" w:name="_Toc76894987"/>
      <w:bookmarkStart w:id="1073" w:name="_Toc85279872"/>
      <w:bookmarkStart w:id="1074" w:name="_Toc88903734"/>
      <w:bookmarkStart w:id="1075" w:name="_Toc88962323"/>
      <w:bookmarkStart w:id="1076" w:name="_Toc94320246"/>
      <w:bookmarkStart w:id="1077" w:name="_Toc94331082"/>
      <w:bookmarkStart w:id="1078" w:name="_Toc94331194"/>
      <w:bookmarkStart w:id="1079" w:name="_Toc94428678"/>
      <w:bookmarkStart w:id="1080" w:name="_Toc97455657"/>
      <w:bookmarkStart w:id="1081" w:name="_Toc97457448"/>
      <w:bookmarkStart w:id="1082" w:name="_Toc97630245"/>
      <w:bookmarkStart w:id="1083" w:name="_Toc98053390"/>
      <w:bookmarkStart w:id="1084" w:name="_Toc99962376"/>
      <w:bookmarkStart w:id="1085" w:name="_Toc122159474"/>
      <w:bookmarkStart w:id="1086" w:name="_Toc122232798"/>
      <w:bookmarkStart w:id="1087" w:name="_Toc122232974"/>
      <w:bookmarkStart w:id="1088" w:name="_Toc147220611"/>
      <w:bookmarkStart w:id="1089" w:name="_Toc147223962"/>
      <w:bookmarkStart w:id="1090" w:name="_Toc165444997"/>
      <w:bookmarkStart w:id="1091" w:name="_Toc170557777"/>
      <w:bookmarkStart w:id="1092" w:name="_Toc170795168"/>
      <w:bookmarkStart w:id="1093" w:name="_Toc172709268"/>
      <w:bookmarkStart w:id="1094" w:name="_Toc172964752"/>
      <w:bookmarkStart w:id="1095" w:name="_Toc174158469"/>
      <w:bookmarkStart w:id="1096" w:name="_Toc174359022"/>
      <w:bookmarkStart w:id="1097" w:name="_Toc174518613"/>
      <w:bookmarkStart w:id="1098" w:name="_Toc176170558"/>
      <w:bookmarkStart w:id="1099" w:name="_Toc181431117"/>
      <w:bookmarkStart w:id="1100" w:name="_Toc181497573"/>
      <w:bookmarkStart w:id="1101" w:name="_Toc202254240"/>
      <w:bookmarkStart w:id="1102" w:name="_Toc267572155"/>
      <w:bookmarkStart w:id="1103" w:name="_Toc281461064"/>
      <w:bookmarkStart w:id="1104" w:name="_Toc318383382"/>
      <w:bookmarkStart w:id="1105" w:name="_Toc318383502"/>
      <w:bookmarkStart w:id="1106" w:name="_Toc324153618"/>
      <w:r>
        <w:rPr>
          <w:rStyle w:val="CharPartNo"/>
        </w:rPr>
        <w:t>Part 13</w:t>
      </w:r>
      <w:r>
        <w:t xml:space="preserve"> — </w:t>
      </w:r>
      <w:r>
        <w:rPr>
          <w:rStyle w:val="CharPartText"/>
        </w:rPr>
        <w:t>Miscellaneous</w:t>
      </w:r>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p>
    <w:p>
      <w:pPr>
        <w:pStyle w:val="Footnoteheading"/>
      </w:pPr>
      <w:r>
        <w:tab/>
        <w:t>[Heading inserted in Gazette 11 Dec 1998 p. 6604.]</w:t>
      </w:r>
    </w:p>
    <w:p>
      <w:pPr>
        <w:pStyle w:val="Heading5"/>
      </w:pPr>
      <w:bookmarkStart w:id="1107" w:name="_Toc448822614"/>
      <w:bookmarkStart w:id="1108" w:name="_Toc448822740"/>
      <w:bookmarkStart w:id="1109" w:name="_Toc503260628"/>
      <w:bookmarkStart w:id="1110" w:name="_Toc12076731"/>
      <w:bookmarkStart w:id="1111" w:name="_Toc12952247"/>
      <w:bookmarkStart w:id="1112" w:name="_Toc122232975"/>
      <w:bookmarkStart w:id="1113" w:name="_Toc324153619"/>
      <w:bookmarkStart w:id="1114" w:name="_Toc318383503"/>
      <w:r>
        <w:rPr>
          <w:rStyle w:val="CharSectno"/>
        </w:rPr>
        <w:t>44</w:t>
      </w:r>
      <w:r>
        <w:t>.</w:t>
      </w:r>
      <w:r>
        <w:tab/>
        <w:t>Amount prescribed for costs and expenses and compensation — section 99Y(1)</w:t>
      </w:r>
      <w:bookmarkEnd w:id="1107"/>
      <w:bookmarkEnd w:id="1108"/>
      <w:bookmarkEnd w:id="1109"/>
      <w:bookmarkEnd w:id="1110"/>
      <w:bookmarkEnd w:id="1111"/>
      <w:bookmarkEnd w:id="1112"/>
      <w:bookmarkEnd w:id="1113"/>
      <w:bookmarkEnd w:id="1114"/>
    </w:p>
    <w:p>
      <w:pPr>
        <w:pStyle w:val="Subsection"/>
      </w:pPr>
      <w:r>
        <w:tab/>
        <w:t>(1)</w:t>
      </w:r>
      <w:r>
        <w:tab/>
        <w:t>For the purposes of section 99Y(1)(a) of the Act —</w:t>
      </w:r>
    </w:p>
    <w:p>
      <w:pPr>
        <w:pStyle w:val="Indenta"/>
      </w:pPr>
      <w:r>
        <w:tab/>
        <w:t>(a)</w:t>
      </w:r>
      <w:r>
        <w:tab/>
        <w:t>$2 million is prescribed as the maximum amount that the offender may be ordered to pay to the Chief Executive Officer for reasonable costs and expenses incurred; and</w:t>
      </w:r>
    </w:p>
    <w:p>
      <w:pPr>
        <w:pStyle w:val="Indenta"/>
      </w:pPr>
      <w:r>
        <w:tab/>
        <w:t>(b)</w:t>
      </w:r>
      <w:r>
        <w:tab/>
        <w:t>$2 million is prescribed as the maximum amount that the offender may be ordered to pay to a public authority for reasonable costs and expenses incurred.</w:t>
      </w:r>
    </w:p>
    <w:p>
      <w:pPr>
        <w:pStyle w:val="Subsection"/>
      </w:pPr>
      <w:r>
        <w:tab/>
        <w:t>(2)</w:t>
      </w:r>
      <w:r>
        <w:tab/>
        <w:t>For the purposes of section 99Y(1)(b) of the Act —</w:t>
      </w:r>
    </w:p>
    <w:p>
      <w:pPr>
        <w:pStyle w:val="Indenta"/>
      </w:pPr>
      <w:r>
        <w:tab/>
        <w:t>(a)</w:t>
      </w:r>
      <w:r>
        <w:tab/>
        <w:t>$100 000 is prescribed as the maximum amount that the offender may be ordered to pay a person (other than the Chief Executive Officer or a public authority) for reasonably incurred costs and expenses;</w:t>
      </w:r>
    </w:p>
    <w:p>
      <w:pPr>
        <w:pStyle w:val="Indenta"/>
      </w:pPr>
      <w:r>
        <w:tab/>
        <w:t>(b)</w:t>
      </w:r>
      <w:r>
        <w:tab/>
        <w:t>$500 000 is prescribed as the maximum amount that an offender may be ordered to pay to the Chief Executive Officer or a public authority as compensation for loss or damage suffered to property; and</w:t>
      </w:r>
    </w:p>
    <w:p>
      <w:pPr>
        <w:pStyle w:val="Indenta"/>
      </w:pPr>
      <w:r>
        <w:tab/>
        <w:t>(c)</w:t>
      </w:r>
      <w:r>
        <w:tab/>
        <w:t>$50 000 is prescribed as the maximum amount that an offender may be ordered to pay to a person (other than the Chief Executive Officer or a public authority) as compensation for loss or damage suffered to property.</w:t>
      </w:r>
    </w:p>
    <w:p>
      <w:pPr>
        <w:pStyle w:val="Footnotesection"/>
      </w:pPr>
      <w:r>
        <w:tab/>
        <w:t>[Regulation 44 inserted in Gazette 11 Dec 1998 p. 6604</w:t>
      </w:r>
      <w:r>
        <w:noBreakHyphen/>
        <w:t>5.]</w:t>
      </w:r>
    </w:p>
    <w:p>
      <w:pPr>
        <w:pStyle w:val="Defpara"/>
        <w:sectPr>
          <w:headerReference w:type="even" r:id="rId10"/>
          <w:headerReference w:type="default" r:id="rId11"/>
          <w:footerReference w:type="even" r:id="rId12"/>
          <w:footerReference w:type="default" r:id="rId13"/>
          <w:headerReference w:type="first" r:id="rId14"/>
          <w:footerReference w:type="first" r:id="rId15"/>
          <w:pgSz w:w="11906" w:h="16838" w:code="9"/>
          <w:pgMar w:top="2376" w:right="2405" w:bottom="3542" w:left="2405" w:header="706" w:footer="3380" w:gutter="0"/>
          <w:pgNumType w:start="1"/>
          <w:cols w:space="720"/>
          <w:noEndnote/>
          <w:titlePg/>
          <w:docGrid w:linePitch="326"/>
        </w:sectPr>
      </w:pPr>
      <w:bookmarkStart w:id="1115" w:name="_Toc12952248"/>
      <w:bookmarkStart w:id="1116" w:name="_Toc94331084"/>
    </w:p>
    <w:p>
      <w:pPr>
        <w:pStyle w:val="yScheduleHeading"/>
      </w:pPr>
      <w:bookmarkStart w:id="1117" w:name="_Toc122159476"/>
      <w:bookmarkStart w:id="1118" w:name="_Toc122232976"/>
      <w:bookmarkStart w:id="1119" w:name="_Toc147220613"/>
      <w:bookmarkStart w:id="1120" w:name="_Toc147223964"/>
      <w:bookmarkStart w:id="1121" w:name="_Toc165444999"/>
      <w:bookmarkStart w:id="1122" w:name="_Toc170557779"/>
      <w:bookmarkStart w:id="1123" w:name="_Toc170795170"/>
      <w:bookmarkStart w:id="1124" w:name="_Toc172709270"/>
      <w:bookmarkStart w:id="1125" w:name="_Toc172964754"/>
      <w:bookmarkStart w:id="1126" w:name="_Toc174158471"/>
      <w:bookmarkStart w:id="1127" w:name="_Toc174359024"/>
      <w:bookmarkStart w:id="1128" w:name="_Toc174518615"/>
      <w:bookmarkStart w:id="1129" w:name="_Toc176170560"/>
      <w:bookmarkStart w:id="1130" w:name="_Toc181431119"/>
      <w:bookmarkStart w:id="1131" w:name="_Toc181497575"/>
      <w:bookmarkStart w:id="1132" w:name="_Toc202254242"/>
      <w:bookmarkStart w:id="1133" w:name="_Toc267572157"/>
      <w:bookmarkStart w:id="1134" w:name="_Toc281461066"/>
      <w:bookmarkStart w:id="1135" w:name="_Toc318383384"/>
      <w:bookmarkStart w:id="1136" w:name="_Toc318383504"/>
      <w:bookmarkStart w:id="1137" w:name="_Toc324153620"/>
      <w:r>
        <w:rPr>
          <w:rStyle w:val="CharSchNo"/>
        </w:rPr>
        <w:t>Schedule 1</w:t>
      </w:r>
      <w:r>
        <w:t> — </w:t>
      </w:r>
      <w:r>
        <w:rPr>
          <w:rStyle w:val="CharSchText"/>
        </w:rPr>
        <w:t>Prescribed premises</w:t>
      </w:r>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p>
    <w:p>
      <w:pPr>
        <w:pStyle w:val="yShoulderClause"/>
        <w:rPr>
          <w:snapToGrid w:val="0"/>
        </w:rPr>
      </w:pPr>
      <w:r>
        <w:rPr>
          <w:snapToGrid w:val="0"/>
        </w:rPr>
        <w:t>[r. 5]</w:t>
      </w:r>
    </w:p>
    <w:p>
      <w:pPr>
        <w:pStyle w:val="yFootnoteheading"/>
      </w:pPr>
      <w:r>
        <w:tab/>
        <w:t>[Heading inserted in Gazette 13 Sep 1996 p. 4549.]</w:t>
      </w:r>
    </w:p>
    <w:p>
      <w:pPr>
        <w:pStyle w:val="yHeading2"/>
      </w:pPr>
      <w:bookmarkStart w:id="1138" w:name="_Toc172709271"/>
      <w:bookmarkStart w:id="1139" w:name="_Toc172964755"/>
      <w:bookmarkStart w:id="1140" w:name="_Toc174158472"/>
      <w:bookmarkStart w:id="1141" w:name="_Toc174359025"/>
      <w:bookmarkStart w:id="1142" w:name="_Toc174518616"/>
      <w:bookmarkStart w:id="1143" w:name="_Toc176170561"/>
      <w:bookmarkStart w:id="1144" w:name="_Toc181431120"/>
      <w:bookmarkStart w:id="1145" w:name="_Toc181497576"/>
      <w:bookmarkStart w:id="1146" w:name="_Toc202254243"/>
      <w:bookmarkStart w:id="1147" w:name="_Toc267572158"/>
      <w:bookmarkStart w:id="1148" w:name="_Toc281461067"/>
      <w:bookmarkStart w:id="1149" w:name="_Toc318383385"/>
      <w:bookmarkStart w:id="1150" w:name="_Toc318383505"/>
      <w:bookmarkStart w:id="1151" w:name="_Toc324153621"/>
      <w:r>
        <w:rPr>
          <w:rStyle w:val="CharSDivNo"/>
          <w:sz w:val="28"/>
        </w:rPr>
        <w:t>Part 1</w:t>
      </w:r>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r>
        <w:rPr>
          <w:rStyle w:val="CharSDivText"/>
        </w:rPr>
        <w:t xml:space="preserve"> </w:t>
      </w:r>
    </w:p>
    <w:tbl>
      <w:tblPr>
        <w:tblW w:w="0" w:type="auto"/>
        <w:tblInd w:w="57" w:type="dxa"/>
        <w:tblLayout w:type="fixed"/>
        <w:tblCellMar>
          <w:left w:w="57" w:type="dxa"/>
          <w:right w:w="141" w:type="dxa"/>
        </w:tblCellMar>
        <w:tblLook w:val="0000" w:firstRow="0" w:lastRow="0" w:firstColumn="0" w:lastColumn="0" w:noHBand="0" w:noVBand="0"/>
      </w:tblPr>
      <w:tblGrid>
        <w:gridCol w:w="1080"/>
        <w:gridCol w:w="4449"/>
        <w:gridCol w:w="1701"/>
      </w:tblGrid>
      <w:tr>
        <w:trPr>
          <w:tblHeader/>
        </w:trPr>
        <w:tc>
          <w:tcPr>
            <w:tcW w:w="1080" w:type="dxa"/>
          </w:tcPr>
          <w:p>
            <w:pPr>
              <w:pStyle w:val="yTable"/>
              <w:spacing w:before="0" w:after="120"/>
              <w:jc w:val="center"/>
              <w:rPr>
                <w:b/>
              </w:rPr>
            </w:pPr>
            <w:r>
              <w:rPr>
                <w:b/>
              </w:rPr>
              <w:t>Category number</w:t>
            </w:r>
          </w:p>
        </w:tc>
        <w:tc>
          <w:tcPr>
            <w:tcW w:w="4449" w:type="dxa"/>
          </w:tcPr>
          <w:p>
            <w:pPr>
              <w:pStyle w:val="yTable"/>
              <w:spacing w:before="0"/>
              <w:ind w:left="-142" w:firstLine="142"/>
              <w:jc w:val="center"/>
              <w:rPr>
                <w:b/>
              </w:rPr>
            </w:pPr>
            <w:r>
              <w:rPr>
                <w:b/>
              </w:rPr>
              <w:t>Description of</w:t>
            </w:r>
          </w:p>
          <w:p>
            <w:pPr>
              <w:pStyle w:val="yTable"/>
              <w:spacing w:before="0" w:after="120"/>
              <w:ind w:left="-141" w:firstLine="141"/>
              <w:jc w:val="center"/>
              <w:rPr>
                <w:b/>
              </w:rPr>
            </w:pPr>
            <w:r>
              <w:rPr>
                <w:b/>
              </w:rPr>
              <w:t>category</w:t>
            </w:r>
          </w:p>
        </w:tc>
        <w:tc>
          <w:tcPr>
            <w:tcW w:w="1701" w:type="dxa"/>
          </w:tcPr>
          <w:p>
            <w:pPr>
              <w:pStyle w:val="yTable"/>
              <w:spacing w:before="0" w:after="120"/>
              <w:jc w:val="center"/>
              <w:rPr>
                <w:b/>
              </w:rPr>
            </w:pPr>
            <w:r>
              <w:rPr>
                <w:b/>
              </w:rPr>
              <w:t>Production or design capacity</w:t>
            </w:r>
          </w:p>
        </w:tc>
      </w:tr>
      <w:tr>
        <w:trPr>
          <w:cantSplit/>
        </w:trPr>
        <w:tc>
          <w:tcPr>
            <w:tcW w:w="1080" w:type="dxa"/>
          </w:tcPr>
          <w:p>
            <w:pPr>
              <w:pStyle w:val="yTable"/>
              <w:jc w:val="center"/>
            </w:pPr>
            <w:r>
              <w:t>1</w:t>
            </w:r>
          </w:p>
        </w:tc>
        <w:tc>
          <w:tcPr>
            <w:tcW w:w="4449" w:type="dxa"/>
          </w:tcPr>
          <w:p>
            <w:pPr>
              <w:pStyle w:val="yTable"/>
            </w:pPr>
            <w:r>
              <w:t>Cattle feedlot:  premises on which the watering and feeding of cattle occurs, being premises — </w:t>
            </w:r>
          </w:p>
          <w:p>
            <w:pPr>
              <w:pStyle w:val="yTable"/>
              <w:ind w:left="568" w:hanging="568"/>
            </w:pPr>
            <w:r>
              <w:t>(a)</w:t>
            </w:r>
            <w:r>
              <w:tab/>
              <w:t>situated less than 100 metres from a watercourse; and</w:t>
            </w:r>
          </w:p>
          <w:p>
            <w:pPr>
              <w:pStyle w:val="yTable"/>
              <w:ind w:left="568" w:hanging="568"/>
            </w:pPr>
            <w:r>
              <w:t>(b)</w:t>
            </w:r>
            <w:r>
              <w:tab/>
              <w:t>on which the number of cattle per hectare exceeds 50.</w:t>
            </w:r>
          </w:p>
        </w:tc>
        <w:tc>
          <w:tcPr>
            <w:tcW w:w="1701" w:type="dxa"/>
          </w:tcPr>
          <w:p>
            <w:pPr>
              <w:pStyle w:val="yTable"/>
            </w:pPr>
            <w:r>
              <w:t>500 animals or more</w:t>
            </w:r>
          </w:p>
        </w:tc>
      </w:tr>
      <w:tr>
        <w:trPr>
          <w:cantSplit/>
        </w:trPr>
        <w:tc>
          <w:tcPr>
            <w:tcW w:w="1080" w:type="dxa"/>
          </w:tcPr>
          <w:p>
            <w:pPr>
              <w:pStyle w:val="yTable"/>
              <w:jc w:val="center"/>
            </w:pPr>
            <w:r>
              <w:t>2</w:t>
            </w:r>
          </w:p>
        </w:tc>
        <w:tc>
          <w:tcPr>
            <w:tcW w:w="4449" w:type="dxa"/>
          </w:tcPr>
          <w:p>
            <w:pPr>
              <w:pStyle w:val="yTable"/>
            </w:pPr>
            <w:r>
              <w:t>Intensive piggery:  premises on which pigs are fed, watered and housed in pens.</w:t>
            </w:r>
          </w:p>
        </w:tc>
        <w:tc>
          <w:tcPr>
            <w:tcW w:w="1701" w:type="dxa"/>
          </w:tcPr>
          <w:p>
            <w:pPr>
              <w:pStyle w:val="yTable"/>
            </w:pPr>
            <w:r>
              <w:t>1 000 animals or more</w:t>
            </w:r>
          </w:p>
        </w:tc>
      </w:tr>
      <w:tr>
        <w:trPr>
          <w:cantSplit/>
        </w:trPr>
        <w:tc>
          <w:tcPr>
            <w:tcW w:w="1080" w:type="dxa"/>
          </w:tcPr>
          <w:p>
            <w:pPr>
              <w:pStyle w:val="yTable"/>
              <w:jc w:val="center"/>
            </w:pPr>
            <w:r>
              <w:rPr>
                <w:i/>
                <w:iCs/>
              </w:rPr>
              <w:t>[3, 4</w:t>
            </w:r>
          </w:p>
        </w:tc>
        <w:tc>
          <w:tcPr>
            <w:tcW w:w="4449" w:type="dxa"/>
          </w:tcPr>
          <w:p>
            <w:pPr>
              <w:pStyle w:val="yTable"/>
            </w:pPr>
            <w:r>
              <w:rPr>
                <w:i/>
                <w:iCs/>
              </w:rPr>
              <w:t>deleted]</w:t>
            </w:r>
          </w:p>
        </w:tc>
        <w:tc>
          <w:tcPr>
            <w:tcW w:w="1701" w:type="dxa"/>
          </w:tcPr>
          <w:p>
            <w:pPr>
              <w:pStyle w:val="yTable"/>
            </w:pPr>
          </w:p>
        </w:tc>
      </w:tr>
      <w:tr>
        <w:trPr>
          <w:cantSplit/>
        </w:trPr>
        <w:tc>
          <w:tcPr>
            <w:tcW w:w="1080" w:type="dxa"/>
          </w:tcPr>
          <w:p>
            <w:pPr>
              <w:pStyle w:val="yTable"/>
              <w:jc w:val="center"/>
            </w:pPr>
            <w:r>
              <w:t>5</w:t>
            </w:r>
          </w:p>
        </w:tc>
        <w:tc>
          <w:tcPr>
            <w:tcW w:w="4449" w:type="dxa"/>
          </w:tcPr>
          <w:p>
            <w:pPr>
              <w:pStyle w:val="yTable"/>
            </w:pPr>
            <w:r>
              <w:t>Processing or beneficiation of metallic or non</w:t>
            </w:r>
            <w:r>
              <w:noBreakHyphen/>
              <w:t>metallic ore: premises on which — </w:t>
            </w:r>
          </w:p>
        </w:tc>
        <w:tc>
          <w:tcPr>
            <w:tcW w:w="1701" w:type="dxa"/>
          </w:tcPr>
          <w:p>
            <w:pPr>
              <w:pStyle w:val="yTable"/>
              <w:rPr>
                <w:spacing w:val="-4"/>
              </w:rPr>
            </w:pPr>
            <w:r>
              <w:rPr>
                <w:spacing w:val="-4"/>
              </w:rPr>
              <w:t>50 000 tonnes or more per year</w:t>
            </w:r>
          </w:p>
        </w:tc>
      </w:tr>
      <w:tr>
        <w:trPr>
          <w:cantSplit/>
        </w:trPr>
        <w:tc>
          <w:tcPr>
            <w:tcW w:w="1080" w:type="dxa"/>
          </w:tcPr>
          <w:p>
            <w:pPr>
              <w:pStyle w:val="yTable"/>
              <w:jc w:val="center"/>
            </w:pPr>
          </w:p>
        </w:tc>
        <w:tc>
          <w:tcPr>
            <w:tcW w:w="4449" w:type="dxa"/>
          </w:tcPr>
          <w:p>
            <w:pPr>
              <w:pStyle w:val="yTable"/>
              <w:ind w:left="568" w:hanging="568"/>
            </w:pPr>
            <w:r>
              <w:t>(a)</w:t>
            </w:r>
            <w:r>
              <w:tab/>
              <w:t>metallic or non</w:t>
            </w:r>
            <w:r>
              <w:noBreakHyphen/>
              <w:t>metallic ore is crushed, ground, milled or otherwise processed;</w:t>
            </w:r>
          </w:p>
        </w:tc>
        <w:tc>
          <w:tcPr>
            <w:tcW w:w="1701" w:type="dxa"/>
          </w:tcPr>
          <w:p>
            <w:pPr>
              <w:pStyle w:val="yTable"/>
            </w:pPr>
          </w:p>
        </w:tc>
      </w:tr>
      <w:tr>
        <w:trPr>
          <w:cantSplit/>
        </w:trPr>
        <w:tc>
          <w:tcPr>
            <w:tcW w:w="1080" w:type="dxa"/>
          </w:tcPr>
          <w:p>
            <w:pPr>
              <w:pStyle w:val="yTable"/>
              <w:jc w:val="center"/>
            </w:pPr>
          </w:p>
        </w:tc>
        <w:tc>
          <w:tcPr>
            <w:tcW w:w="4449" w:type="dxa"/>
          </w:tcPr>
          <w:p>
            <w:pPr>
              <w:pStyle w:val="yTable"/>
              <w:ind w:left="567" w:hanging="567"/>
            </w:pPr>
            <w:r>
              <w:t>(b)</w:t>
            </w:r>
            <w:r>
              <w:tab/>
              <w:t>tailings from metallic or non</w:t>
            </w:r>
            <w:r>
              <w:noBreakHyphen/>
              <w:t>metallic ore are reprocessed; or</w:t>
            </w:r>
          </w:p>
        </w:tc>
        <w:tc>
          <w:tcPr>
            <w:tcW w:w="1701" w:type="dxa"/>
          </w:tcPr>
          <w:p>
            <w:pPr>
              <w:pStyle w:val="yTable"/>
            </w:pPr>
          </w:p>
        </w:tc>
      </w:tr>
      <w:tr>
        <w:trPr>
          <w:cantSplit/>
        </w:trPr>
        <w:tc>
          <w:tcPr>
            <w:tcW w:w="1080" w:type="dxa"/>
          </w:tcPr>
          <w:p>
            <w:pPr>
              <w:pStyle w:val="yTable"/>
              <w:jc w:val="center"/>
            </w:pPr>
          </w:p>
        </w:tc>
        <w:tc>
          <w:tcPr>
            <w:tcW w:w="4449" w:type="dxa"/>
          </w:tcPr>
          <w:p>
            <w:pPr>
              <w:pStyle w:val="yTable"/>
              <w:ind w:left="568" w:hanging="568"/>
            </w:pPr>
            <w:r>
              <w:t>(c)</w:t>
            </w:r>
            <w:r>
              <w:tab/>
              <w:t>tailings or residue from metallic or non</w:t>
            </w:r>
            <w:r>
              <w:noBreakHyphen/>
              <w:t>metallic ore are discharged into a containment cell or dam.</w:t>
            </w:r>
          </w:p>
        </w:tc>
        <w:tc>
          <w:tcPr>
            <w:tcW w:w="1701" w:type="dxa"/>
          </w:tcPr>
          <w:p>
            <w:pPr>
              <w:pStyle w:val="yTable"/>
            </w:pPr>
          </w:p>
        </w:tc>
      </w:tr>
      <w:tr>
        <w:trPr>
          <w:cantSplit/>
        </w:trPr>
        <w:tc>
          <w:tcPr>
            <w:tcW w:w="1080" w:type="dxa"/>
          </w:tcPr>
          <w:p>
            <w:pPr>
              <w:pStyle w:val="yTable"/>
              <w:jc w:val="center"/>
            </w:pPr>
            <w:r>
              <w:t>6</w:t>
            </w:r>
          </w:p>
        </w:tc>
        <w:tc>
          <w:tcPr>
            <w:tcW w:w="4449" w:type="dxa"/>
          </w:tcPr>
          <w:p>
            <w:pPr>
              <w:pStyle w:val="yTable"/>
            </w:pPr>
            <w:r>
              <w:t>Mine dewatering: premises on which water is extracted and discharged into the environment to allow mining of ore.</w:t>
            </w:r>
          </w:p>
        </w:tc>
        <w:tc>
          <w:tcPr>
            <w:tcW w:w="1701" w:type="dxa"/>
          </w:tcPr>
          <w:p>
            <w:pPr>
              <w:pStyle w:val="yTable"/>
            </w:pPr>
            <w:r>
              <w:t>50 000 tonnes or more per year</w:t>
            </w:r>
          </w:p>
        </w:tc>
      </w:tr>
      <w:tr>
        <w:trPr>
          <w:cantSplit/>
        </w:trPr>
        <w:tc>
          <w:tcPr>
            <w:tcW w:w="1080" w:type="dxa"/>
          </w:tcPr>
          <w:p>
            <w:pPr>
              <w:pStyle w:val="yTable"/>
              <w:jc w:val="center"/>
            </w:pPr>
            <w:r>
              <w:t>7</w:t>
            </w:r>
          </w:p>
        </w:tc>
        <w:tc>
          <w:tcPr>
            <w:tcW w:w="4449" w:type="dxa"/>
          </w:tcPr>
          <w:p>
            <w:pPr>
              <w:pStyle w:val="yTable"/>
            </w:pPr>
            <w:r>
              <w:t>Vat or in situ leaching of metal:  premises on which metal is extracted from ore with a chemical solution.</w:t>
            </w:r>
          </w:p>
        </w:tc>
        <w:tc>
          <w:tcPr>
            <w:tcW w:w="1701" w:type="dxa"/>
          </w:tcPr>
          <w:p>
            <w:pPr>
              <w:pStyle w:val="yTable"/>
            </w:pPr>
            <w:r>
              <w:t>5 000 tonnes or more per year</w:t>
            </w:r>
          </w:p>
        </w:tc>
      </w:tr>
      <w:tr>
        <w:trPr>
          <w:cantSplit/>
        </w:trPr>
        <w:tc>
          <w:tcPr>
            <w:tcW w:w="1080" w:type="dxa"/>
          </w:tcPr>
          <w:p>
            <w:pPr>
              <w:pStyle w:val="yTable"/>
              <w:jc w:val="center"/>
            </w:pPr>
            <w:r>
              <w:t>8</w:t>
            </w:r>
          </w:p>
        </w:tc>
        <w:tc>
          <w:tcPr>
            <w:tcW w:w="4449" w:type="dxa"/>
          </w:tcPr>
          <w:p>
            <w:pPr>
              <w:pStyle w:val="yTable"/>
            </w:pPr>
            <w:r>
              <w:t>Mineral sands mining or processing:  premises on which mineral sands ore is mined, screened, separated or otherwise processed.</w:t>
            </w:r>
          </w:p>
        </w:tc>
        <w:tc>
          <w:tcPr>
            <w:tcW w:w="1701" w:type="dxa"/>
          </w:tcPr>
          <w:p>
            <w:pPr>
              <w:pStyle w:val="yTable"/>
            </w:pPr>
            <w:r>
              <w:t>5 000 tonnes or more per year</w:t>
            </w:r>
          </w:p>
        </w:tc>
      </w:tr>
      <w:tr>
        <w:trPr>
          <w:cantSplit/>
        </w:trPr>
        <w:tc>
          <w:tcPr>
            <w:tcW w:w="1080" w:type="dxa"/>
          </w:tcPr>
          <w:p>
            <w:pPr>
              <w:pStyle w:val="yTable"/>
              <w:jc w:val="center"/>
            </w:pPr>
            <w:r>
              <w:t>9</w:t>
            </w:r>
          </w:p>
        </w:tc>
        <w:tc>
          <w:tcPr>
            <w:tcW w:w="4449" w:type="dxa"/>
          </w:tcPr>
          <w:p>
            <w:pPr>
              <w:pStyle w:val="yTable"/>
            </w:pPr>
            <w:r>
              <w:t>Coal mining: premises on which — </w:t>
            </w:r>
          </w:p>
          <w:p>
            <w:pPr>
              <w:pStyle w:val="yTable"/>
              <w:ind w:left="568" w:hanging="568"/>
            </w:pPr>
            <w:r>
              <w:t>(a)</w:t>
            </w:r>
            <w:r>
              <w:tab/>
              <w:t>water is extracted and discharged into the environment to allow coal mining; or</w:t>
            </w:r>
          </w:p>
        </w:tc>
        <w:tc>
          <w:tcPr>
            <w:tcW w:w="1701" w:type="dxa"/>
          </w:tcPr>
          <w:p>
            <w:pPr>
              <w:pStyle w:val="yTable"/>
            </w:pPr>
            <w:r>
              <w:t>5 000 tonnes or more per year</w:t>
            </w:r>
          </w:p>
        </w:tc>
      </w:tr>
      <w:tr>
        <w:trPr>
          <w:cantSplit/>
        </w:trPr>
        <w:tc>
          <w:tcPr>
            <w:tcW w:w="1080" w:type="dxa"/>
          </w:tcPr>
          <w:p>
            <w:pPr>
              <w:pStyle w:val="yTable"/>
              <w:jc w:val="center"/>
            </w:pPr>
          </w:p>
        </w:tc>
        <w:tc>
          <w:tcPr>
            <w:tcW w:w="4449" w:type="dxa"/>
          </w:tcPr>
          <w:p>
            <w:pPr>
              <w:pStyle w:val="yTable"/>
              <w:ind w:left="568" w:hanging="568"/>
            </w:pPr>
            <w:r>
              <w:t>(b)</w:t>
            </w:r>
            <w:r>
              <w:tab/>
              <w:t>coal mining or processing occurs and tailings are discharged.</w:t>
            </w:r>
          </w:p>
        </w:tc>
        <w:tc>
          <w:tcPr>
            <w:tcW w:w="1701" w:type="dxa"/>
          </w:tcPr>
          <w:p>
            <w:pPr>
              <w:pStyle w:val="yTable"/>
            </w:pPr>
          </w:p>
        </w:tc>
      </w:tr>
      <w:tr>
        <w:trPr>
          <w:cantSplit/>
        </w:trPr>
        <w:tc>
          <w:tcPr>
            <w:tcW w:w="1080" w:type="dxa"/>
          </w:tcPr>
          <w:p>
            <w:pPr>
              <w:pStyle w:val="yTable"/>
              <w:jc w:val="center"/>
            </w:pPr>
            <w:r>
              <w:t>10</w:t>
            </w:r>
          </w:p>
        </w:tc>
        <w:tc>
          <w:tcPr>
            <w:tcW w:w="4449" w:type="dxa"/>
          </w:tcPr>
          <w:p>
            <w:pPr>
              <w:pStyle w:val="yTable"/>
            </w:pPr>
            <w:r>
              <w:t>Oil or gas production from wells:  premises, whether on land or offshore, on which crude oil, natural gas or condensate is extracted from below the surface of the land or the seabed, as the case requires, and is treated or separated to produce stabilized crude oil, purified natural gas or liquefied hydrocarbon gases.</w:t>
            </w:r>
          </w:p>
        </w:tc>
        <w:tc>
          <w:tcPr>
            <w:tcW w:w="1701" w:type="dxa"/>
          </w:tcPr>
          <w:p>
            <w:pPr>
              <w:pStyle w:val="yTable"/>
            </w:pPr>
            <w:r>
              <w:t>5 000 tonnes or more per year</w:t>
            </w:r>
          </w:p>
        </w:tc>
      </w:tr>
      <w:tr>
        <w:trPr>
          <w:cantSplit/>
        </w:trPr>
        <w:tc>
          <w:tcPr>
            <w:tcW w:w="1080" w:type="dxa"/>
          </w:tcPr>
          <w:p>
            <w:pPr>
              <w:pStyle w:val="yTable"/>
              <w:jc w:val="center"/>
            </w:pPr>
            <w:r>
              <w:t>11</w:t>
            </w:r>
          </w:p>
        </w:tc>
        <w:tc>
          <w:tcPr>
            <w:tcW w:w="4449" w:type="dxa"/>
          </w:tcPr>
          <w:p>
            <w:pPr>
              <w:pStyle w:val="yTable"/>
            </w:pPr>
            <w:r>
              <w:t>Oil or gas production (other):  premises (other than premises within category 10) on which the commercial production of oil or gas occurs (including the reforming of hydrocarbon gas).</w:t>
            </w:r>
          </w:p>
        </w:tc>
        <w:tc>
          <w:tcPr>
            <w:tcW w:w="1701" w:type="dxa"/>
          </w:tcPr>
          <w:p>
            <w:pPr>
              <w:pStyle w:val="yTable"/>
            </w:pPr>
            <w:r>
              <w:t>5 000 tonnes or more per year</w:t>
            </w:r>
          </w:p>
        </w:tc>
      </w:tr>
      <w:tr>
        <w:trPr>
          <w:cantSplit/>
        </w:trPr>
        <w:tc>
          <w:tcPr>
            <w:tcW w:w="1080" w:type="dxa"/>
          </w:tcPr>
          <w:p>
            <w:pPr>
              <w:pStyle w:val="yTable"/>
              <w:jc w:val="center"/>
            </w:pPr>
            <w:r>
              <w:t>12</w:t>
            </w:r>
          </w:p>
        </w:tc>
        <w:tc>
          <w:tcPr>
            <w:tcW w:w="4449" w:type="dxa"/>
          </w:tcPr>
          <w:p>
            <w:pPr>
              <w:pStyle w:val="yTable"/>
            </w:pPr>
            <w:r>
              <w:t>Screening, etc. of material:  premises (other than premises within category 5 or 8) on which material extracted from the ground is screened, washed, crushed, ground, milled, sized or separated.</w:t>
            </w:r>
          </w:p>
        </w:tc>
        <w:tc>
          <w:tcPr>
            <w:tcW w:w="1701" w:type="dxa"/>
          </w:tcPr>
          <w:p>
            <w:pPr>
              <w:pStyle w:val="yTable"/>
            </w:pPr>
            <w:r>
              <w:t>50 000 tonnes or more per year</w:t>
            </w:r>
          </w:p>
        </w:tc>
      </w:tr>
      <w:tr>
        <w:trPr>
          <w:cantSplit/>
        </w:trPr>
        <w:tc>
          <w:tcPr>
            <w:tcW w:w="1080" w:type="dxa"/>
          </w:tcPr>
          <w:p>
            <w:pPr>
              <w:pStyle w:val="yTable"/>
              <w:keepLines/>
              <w:jc w:val="center"/>
            </w:pPr>
            <w:r>
              <w:t>13</w:t>
            </w:r>
          </w:p>
        </w:tc>
        <w:tc>
          <w:tcPr>
            <w:tcW w:w="4449" w:type="dxa"/>
          </w:tcPr>
          <w:p>
            <w:pPr>
              <w:pStyle w:val="yTable"/>
              <w:keepLines/>
            </w:pPr>
            <w:r>
              <w:t>Crushing of building material: premises on which waste building or demolition material (for example, bricks, stones or concrete) is crushed or cleaned.</w:t>
            </w:r>
          </w:p>
        </w:tc>
        <w:tc>
          <w:tcPr>
            <w:tcW w:w="1701" w:type="dxa"/>
          </w:tcPr>
          <w:p>
            <w:pPr>
              <w:pStyle w:val="yTable"/>
              <w:keepLines/>
            </w:pPr>
            <w:r>
              <w:t>1 000 tonnes or more per year</w:t>
            </w:r>
          </w:p>
        </w:tc>
      </w:tr>
      <w:tr>
        <w:trPr>
          <w:cantSplit/>
        </w:trPr>
        <w:tc>
          <w:tcPr>
            <w:tcW w:w="1080" w:type="dxa"/>
          </w:tcPr>
          <w:p>
            <w:pPr>
              <w:pStyle w:val="yTable"/>
              <w:jc w:val="center"/>
            </w:pPr>
            <w:r>
              <w:t>14</w:t>
            </w:r>
          </w:p>
        </w:tc>
        <w:tc>
          <w:tcPr>
            <w:tcW w:w="4449" w:type="dxa"/>
          </w:tcPr>
          <w:p>
            <w:pPr>
              <w:pStyle w:val="yTable"/>
            </w:pPr>
            <w:r>
              <w:t>Solar salt manufacturing:  premises on which salt is produced by solar evaporation.</w:t>
            </w:r>
          </w:p>
        </w:tc>
        <w:tc>
          <w:tcPr>
            <w:tcW w:w="1701" w:type="dxa"/>
          </w:tcPr>
          <w:p>
            <w:pPr>
              <w:pStyle w:val="yTable"/>
            </w:pPr>
            <w:r>
              <w:t>Not applicable</w:t>
            </w:r>
          </w:p>
        </w:tc>
      </w:tr>
      <w:tr>
        <w:trPr>
          <w:cantSplit/>
        </w:trPr>
        <w:tc>
          <w:tcPr>
            <w:tcW w:w="1080" w:type="dxa"/>
          </w:tcPr>
          <w:p>
            <w:pPr>
              <w:pStyle w:val="yTable"/>
              <w:jc w:val="center"/>
            </w:pPr>
            <w:r>
              <w:t>15</w:t>
            </w:r>
          </w:p>
        </w:tc>
        <w:tc>
          <w:tcPr>
            <w:tcW w:w="4449" w:type="dxa"/>
          </w:tcPr>
          <w:p>
            <w:pPr>
              <w:pStyle w:val="yTable"/>
            </w:pPr>
            <w:r>
              <w:t>Abattoir:  premises on which animals are slaughtered.</w:t>
            </w:r>
          </w:p>
        </w:tc>
        <w:tc>
          <w:tcPr>
            <w:tcW w:w="1701" w:type="dxa"/>
          </w:tcPr>
          <w:p>
            <w:pPr>
              <w:pStyle w:val="yTable"/>
            </w:pPr>
            <w:r>
              <w:t>1 000 tonnes or more per year</w:t>
            </w:r>
          </w:p>
        </w:tc>
      </w:tr>
      <w:tr>
        <w:trPr>
          <w:cantSplit/>
        </w:trPr>
        <w:tc>
          <w:tcPr>
            <w:tcW w:w="1080" w:type="dxa"/>
          </w:tcPr>
          <w:p>
            <w:pPr>
              <w:pStyle w:val="yTable"/>
              <w:jc w:val="center"/>
            </w:pPr>
            <w:r>
              <w:t>16</w:t>
            </w:r>
          </w:p>
        </w:tc>
        <w:tc>
          <w:tcPr>
            <w:tcW w:w="4449" w:type="dxa"/>
          </w:tcPr>
          <w:p>
            <w:pPr>
              <w:pStyle w:val="yTable"/>
            </w:pPr>
            <w:r>
              <w:t>Rendering operations:  premises on which substances from animal material are processed or extracted.</w:t>
            </w:r>
          </w:p>
        </w:tc>
        <w:tc>
          <w:tcPr>
            <w:tcW w:w="1701" w:type="dxa"/>
          </w:tcPr>
          <w:p>
            <w:pPr>
              <w:pStyle w:val="yTable"/>
            </w:pPr>
            <w:r>
              <w:t>100 tonnes or more per year</w:t>
            </w:r>
          </w:p>
        </w:tc>
      </w:tr>
      <w:tr>
        <w:trPr>
          <w:cantSplit/>
        </w:trPr>
        <w:tc>
          <w:tcPr>
            <w:tcW w:w="1080" w:type="dxa"/>
          </w:tcPr>
          <w:p>
            <w:pPr>
              <w:pStyle w:val="yTable"/>
              <w:jc w:val="center"/>
            </w:pPr>
            <w:r>
              <w:t>17</w:t>
            </w:r>
          </w:p>
        </w:tc>
        <w:tc>
          <w:tcPr>
            <w:tcW w:w="4449" w:type="dxa"/>
          </w:tcPr>
          <w:p>
            <w:pPr>
              <w:pStyle w:val="yTable"/>
            </w:pPr>
            <w:r>
              <w:t>Milk processing:  premises on which — </w:t>
            </w:r>
          </w:p>
          <w:p>
            <w:pPr>
              <w:pStyle w:val="yTable"/>
              <w:ind w:left="568" w:hanging="568"/>
            </w:pPr>
            <w:r>
              <w:t>(a)</w:t>
            </w:r>
            <w:r>
              <w:tab/>
              <w:t>milk is separated or evaporated (other than a farm); or</w:t>
            </w:r>
          </w:p>
        </w:tc>
        <w:tc>
          <w:tcPr>
            <w:tcW w:w="1701" w:type="dxa"/>
          </w:tcPr>
          <w:p>
            <w:pPr>
              <w:pStyle w:val="yTable"/>
            </w:pPr>
            <w:r>
              <w:t>100 tonnes or more per year</w:t>
            </w:r>
          </w:p>
        </w:tc>
      </w:tr>
      <w:tr>
        <w:trPr>
          <w:cantSplit/>
        </w:trPr>
        <w:tc>
          <w:tcPr>
            <w:tcW w:w="1080" w:type="dxa"/>
          </w:tcPr>
          <w:p>
            <w:pPr>
              <w:pStyle w:val="yTable"/>
              <w:jc w:val="center"/>
            </w:pPr>
          </w:p>
        </w:tc>
        <w:tc>
          <w:tcPr>
            <w:tcW w:w="4449" w:type="dxa"/>
          </w:tcPr>
          <w:p>
            <w:pPr>
              <w:pStyle w:val="yTable"/>
              <w:ind w:left="568" w:hanging="568"/>
            </w:pPr>
            <w:r>
              <w:t>(b)</w:t>
            </w:r>
            <w:r>
              <w:tab/>
              <w:t>evaporated or condensed milk, butter, ice cream, cheese or any other dairy product is manufactured,</w:t>
            </w:r>
          </w:p>
          <w:p>
            <w:pPr>
              <w:pStyle w:val="yTable"/>
            </w:pPr>
            <w:r>
              <w:t>and from which liquid waste is or is to be discharged onto land or into waters.</w:t>
            </w:r>
          </w:p>
        </w:tc>
        <w:tc>
          <w:tcPr>
            <w:tcW w:w="1701" w:type="dxa"/>
          </w:tcPr>
          <w:p>
            <w:pPr>
              <w:pStyle w:val="yTable"/>
            </w:pPr>
          </w:p>
        </w:tc>
      </w:tr>
      <w:tr>
        <w:trPr>
          <w:cantSplit/>
        </w:trPr>
        <w:tc>
          <w:tcPr>
            <w:tcW w:w="1080" w:type="dxa"/>
          </w:tcPr>
          <w:p>
            <w:pPr>
              <w:pStyle w:val="yTable"/>
              <w:jc w:val="center"/>
            </w:pPr>
            <w:r>
              <w:t>18</w:t>
            </w:r>
          </w:p>
        </w:tc>
        <w:tc>
          <w:tcPr>
            <w:tcW w:w="4449" w:type="dxa"/>
          </w:tcPr>
          <w:p>
            <w:pPr>
              <w:pStyle w:val="yTable"/>
            </w:pPr>
            <w:r>
              <w:t>Food processing:  premises (other than premises within category 24) — </w:t>
            </w:r>
          </w:p>
          <w:p>
            <w:pPr>
              <w:pStyle w:val="yTable"/>
              <w:ind w:left="568" w:hanging="568"/>
            </w:pPr>
            <w:r>
              <w:t>(a)</w:t>
            </w:r>
            <w:r>
              <w:tab/>
              <w:t>on which vegetables are, or fruit or meat is, preserved, cooked, dried, canned, bottled or processed; and</w:t>
            </w:r>
          </w:p>
          <w:p>
            <w:pPr>
              <w:pStyle w:val="yTable"/>
              <w:ind w:left="568" w:hanging="568"/>
            </w:pPr>
            <w:r>
              <w:t>(b)</w:t>
            </w:r>
            <w:r>
              <w:tab/>
              <w:t>from which liquid waste is or is to be discharged onto land or into waters.</w:t>
            </w:r>
          </w:p>
        </w:tc>
        <w:tc>
          <w:tcPr>
            <w:tcW w:w="1701" w:type="dxa"/>
          </w:tcPr>
          <w:p>
            <w:pPr>
              <w:pStyle w:val="yTable"/>
            </w:pPr>
            <w:r>
              <w:t>200 tonnes or more per year</w:t>
            </w:r>
          </w:p>
        </w:tc>
      </w:tr>
      <w:tr>
        <w:trPr>
          <w:cantSplit/>
        </w:trPr>
        <w:tc>
          <w:tcPr>
            <w:tcW w:w="1080" w:type="dxa"/>
          </w:tcPr>
          <w:p>
            <w:pPr>
              <w:pStyle w:val="yTable"/>
              <w:keepNext/>
              <w:spacing w:before="44"/>
              <w:jc w:val="center"/>
            </w:pPr>
            <w:r>
              <w:t>19</w:t>
            </w:r>
          </w:p>
        </w:tc>
        <w:tc>
          <w:tcPr>
            <w:tcW w:w="4449" w:type="dxa"/>
          </w:tcPr>
          <w:p>
            <w:pPr>
              <w:pStyle w:val="yTable"/>
              <w:keepNext/>
              <w:spacing w:before="44"/>
            </w:pPr>
            <w:r>
              <w:t>Edible oil or fat processing:  premises on which vegetable oil or oil seed or animal fat is processed and from which liquid waste is or is to be discharged onto land or into waters.</w:t>
            </w:r>
          </w:p>
        </w:tc>
        <w:tc>
          <w:tcPr>
            <w:tcW w:w="1701" w:type="dxa"/>
          </w:tcPr>
          <w:p>
            <w:pPr>
              <w:pStyle w:val="yTable"/>
              <w:keepNext/>
              <w:spacing w:before="50"/>
            </w:pPr>
            <w:r>
              <w:t>200 tonnes or more per year</w:t>
            </w:r>
          </w:p>
        </w:tc>
      </w:tr>
      <w:tr>
        <w:trPr>
          <w:cantSplit/>
        </w:trPr>
        <w:tc>
          <w:tcPr>
            <w:tcW w:w="1080" w:type="dxa"/>
          </w:tcPr>
          <w:p>
            <w:pPr>
              <w:pStyle w:val="yTable"/>
              <w:spacing w:before="44"/>
              <w:jc w:val="center"/>
            </w:pPr>
            <w:r>
              <w:t>20</w:t>
            </w:r>
          </w:p>
        </w:tc>
        <w:tc>
          <w:tcPr>
            <w:tcW w:w="4449" w:type="dxa"/>
          </w:tcPr>
          <w:p>
            <w:pPr>
              <w:pStyle w:val="yTable"/>
              <w:spacing w:before="44"/>
            </w:pPr>
            <w:r>
              <w:t>Starch manufacturing:  premises on which starch or gluten is manufactured and from which liquid waste is or is to be discharged onto land or into waters.</w:t>
            </w:r>
          </w:p>
        </w:tc>
        <w:tc>
          <w:tcPr>
            <w:tcW w:w="1701" w:type="dxa"/>
          </w:tcPr>
          <w:p>
            <w:pPr>
              <w:pStyle w:val="yTable"/>
              <w:spacing w:before="50"/>
            </w:pPr>
            <w:r>
              <w:t>200 tonnes or more per year</w:t>
            </w:r>
          </w:p>
        </w:tc>
      </w:tr>
      <w:tr>
        <w:trPr>
          <w:cantSplit/>
        </w:trPr>
        <w:tc>
          <w:tcPr>
            <w:tcW w:w="1080" w:type="dxa"/>
          </w:tcPr>
          <w:p>
            <w:pPr>
              <w:pStyle w:val="yTable"/>
              <w:spacing w:before="44"/>
              <w:jc w:val="center"/>
            </w:pPr>
            <w:r>
              <w:t>21</w:t>
            </w:r>
          </w:p>
        </w:tc>
        <w:tc>
          <w:tcPr>
            <w:tcW w:w="4449" w:type="dxa"/>
          </w:tcPr>
          <w:p>
            <w:pPr>
              <w:pStyle w:val="yTable"/>
              <w:spacing w:before="44"/>
            </w:pPr>
            <w:r>
              <w:t>Sugar milling or refining:  premises on which sugar cane is crushed or sugar is refined.</w:t>
            </w:r>
          </w:p>
        </w:tc>
        <w:tc>
          <w:tcPr>
            <w:tcW w:w="1701" w:type="dxa"/>
          </w:tcPr>
          <w:p>
            <w:pPr>
              <w:pStyle w:val="yTable"/>
              <w:spacing w:before="50"/>
            </w:pPr>
            <w:r>
              <w:t>1 000 tonnes or more per year</w:t>
            </w:r>
          </w:p>
        </w:tc>
      </w:tr>
      <w:tr>
        <w:trPr>
          <w:cantSplit/>
        </w:trPr>
        <w:tc>
          <w:tcPr>
            <w:tcW w:w="1080" w:type="dxa"/>
          </w:tcPr>
          <w:p>
            <w:pPr>
              <w:pStyle w:val="yTable"/>
              <w:spacing w:before="44"/>
              <w:jc w:val="center"/>
            </w:pPr>
            <w:r>
              <w:t>22</w:t>
            </w:r>
          </w:p>
        </w:tc>
        <w:tc>
          <w:tcPr>
            <w:tcW w:w="4449" w:type="dxa"/>
          </w:tcPr>
          <w:p>
            <w:pPr>
              <w:pStyle w:val="yTable"/>
              <w:spacing w:before="44"/>
            </w:pPr>
            <w:r>
              <w:t>Seafood processing:  premises (other than a fish wholesaler) on which fish or other seafood is processed and from which liquid waste is or is to be discharged onto land or into waters.</w:t>
            </w:r>
          </w:p>
        </w:tc>
        <w:tc>
          <w:tcPr>
            <w:tcW w:w="1701" w:type="dxa"/>
          </w:tcPr>
          <w:p>
            <w:pPr>
              <w:pStyle w:val="yTable"/>
              <w:spacing w:before="50"/>
            </w:pPr>
            <w:r>
              <w:t>200 tonnes or more per year</w:t>
            </w:r>
          </w:p>
        </w:tc>
      </w:tr>
      <w:tr>
        <w:trPr>
          <w:cantSplit/>
        </w:trPr>
        <w:tc>
          <w:tcPr>
            <w:tcW w:w="1080" w:type="dxa"/>
          </w:tcPr>
          <w:p>
            <w:pPr>
              <w:pStyle w:val="yTable"/>
              <w:spacing w:before="44"/>
              <w:jc w:val="center"/>
            </w:pPr>
            <w:r>
              <w:t>23</w:t>
            </w:r>
          </w:p>
        </w:tc>
        <w:tc>
          <w:tcPr>
            <w:tcW w:w="4449" w:type="dxa"/>
          </w:tcPr>
          <w:p>
            <w:pPr>
              <w:pStyle w:val="yTable"/>
              <w:spacing w:before="44"/>
            </w:pPr>
            <w:r>
              <w:t>Animal feed manufacturing:  premises (other than premises within category 15 or 16) on which animal food is manufactured or processed.</w:t>
            </w:r>
          </w:p>
        </w:tc>
        <w:tc>
          <w:tcPr>
            <w:tcW w:w="1701" w:type="dxa"/>
          </w:tcPr>
          <w:p>
            <w:pPr>
              <w:pStyle w:val="yTable"/>
              <w:spacing w:before="50"/>
            </w:pPr>
            <w:r>
              <w:t>1 000 tonnes or more per year</w:t>
            </w:r>
          </w:p>
        </w:tc>
      </w:tr>
      <w:tr>
        <w:trPr>
          <w:cantSplit/>
        </w:trPr>
        <w:tc>
          <w:tcPr>
            <w:tcW w:w="1080" w:type="dxa"/>
          </w:tcPr>
          <w:p>
            <w:pPr>
              <w:pStyle w:val="yTable"/>
              <w:spacing w:before="44"/>
              <w:jc w:val="center"/>
            </w:pPr>
            <w:r>
              <w:t>24</w:t>
            </w:r>
          </w:p>
        </w:tc>
        <w:tc>
          <w:tcPr>
            <w:tcW w:w="4449" w:type="dxa"/>
          </w:tcPr>
          <w:p>
            <w:pPr>
              <w:pStyle w:val="yTable"/>
              <w:spacing w:before="44"/>
            </w:pPr>
            <w:r>
              <w:t>Non</w:t>
            </w:r>
            <w:r>
              <w:noBreakHyphen/>
              <w:t>alcoholic beverage manufacturing:  premises on which a non</w:t>
            </w:r>
            <w:r>
              <w:noBreakHyphen/>
              <w:t>alcoholic beverage is manufactured and from which liquid waste is or is to be discharged onto land or into waters.</w:t>
            </w:r>
          </w:p>
        </w:tc>
        <w:tc>
          <w:tcPr>
            <w:tcW w:w="1701" w:type="dxa"/>
          </w:tcPr>
          <w:p>
            <w:pPr>
              <w:pStyle w:val="yTable"/>
              <w:spacing w:before="50"/>
            </w:pPr>
            <w:r>
              <w:t>200 kilolitres or more per year</w:t>
            </w:r>
          </w:p>
        </w:tc>
      </w:tr>
      <w:tr>
        <w:trPr>
          <w:cantSplit/>
        </w:trPr>
        <w:tc>
          <w:tcPr>
            <w:tcW w:w="1080" w:type="dxa"/>
          </w:tcPr>
          <w:p>
            <w:pPr>
              <w:pStyle w:val="yTable"/>
              <w:spacing w:before="44"/>
              <w:jc w:val="center"/>
            </w:pPr>
            <w:r>
              <w:t>25</w:t>
            </w:r>
          </w:p>
        </w:tc>
        <w:tc>
          <w:tcPr>
            <w:tcW w:w="4449" w:type="dxa"/>
          </w:tcPr>
          <w:p>
            <w:pPr>
              <w:pStyle w:val="yTable"/>
              <w:spacing w:before="44"/>
            </w:pPr>
            <w:r>
              <w:t>Alcoholic beverage manufacturing:  premises on which an alcoholic beverage is manufactured and from which liquid waste is or is to be discharged onto land or into waters.</w:t>
            </w:r>
          </w:p>
        </w:tc>
        <w:tc>
          <w:tcPr>
            <w:tcW w:w="1701" w:type="dxa"/>
          </w:tcPr>
          <w:p>
            <w:pPr>
              <w:pStyle w:val="yTable"/>
              <w:spacing w:before="50"/>
            </w:pPr>
            <w:r>
              <w:t>350 kilolitres or more per year</w:t>
            </w:r>
          </w:p>
        </w:tc>
      </w:tr>
      <w:tr>
        <w:trPr>
          <w:cantSplit/>
        </w:trPr>
        <w:tc>
          <w:tcPr>
            <w:tcW w:w="1080" w:type="dxa"/>
          </w:tcPr>
          <w:p>
            <w:pPr>
              <w:pStyle w:val="yTable"/>
              <w:spacing w:before="44"/>
              <w:jc w:val="center"/>
            </w:pPr>
            <w:r>
              <w:t>26</w:t>
            </w:r>
          </w:p>
        </w:tc>
        <w:tc>
          <w:tcPr>
            <w:tcW w:w="4449" w:type="dxa"/>
          </w:tcPr>
          <w:p>
            <w:pPr>
              <w:pStyle w:val="yTable"/>
              <w:spacing w:before="44"/>
            </w:pPr>
            <w:r>
              <w:t>Textile operations:  premises on which — </w:t>
            </w:r>
          </w:p>
          <w:p>
            <w:pPr>
              <w:pStyle w:val="yTable"/>
              <w:spacing w:before="44"/>
              <w:ind w:left="567" w:hanging="567"/>
            </w:pPr>
            <w:r>
              <w:t>(a)</w:t>
            </w:r>
            <w:r>
              <w:tab/>
              <w:t>carpet or yarn is manufactured;</w:t>
            </w:r>
          </w:p>
          <w:p>
            <w:pPr>
              <w:pStyle w:val="yTable"/>
              <w:spacing w:before="44"/>
              <w:ind w:left="567" w:hanging="567"/>
            </w:pPr>
            <w:r>
              <w:t>(b)</w:t>
            </w:r>
            <w:r>
              <w:tab/>
              <w:t>cotton ginning or milling occurs; or</w:t>
            </w:r>
          </w:p>
          <w:p>
            <w:pPr>
              <w:pStyle w:val="yTable"/>
              <w:spacing w:before="44"/>
              <w:ind w:left="567" w:hanging="567"/>
            </w:pPr>
            <w:r>
              <w:t>(c)</w:t>
            </w:r>
            <w:r>
              <w:tab/>
              <w:t>textiles are bleached, dyed or finished.</w:t>
            </w:r>
          </w:p>
        </w:tc>
        <w:tc>
          <w:tcPr>
            <w:tcW w:w="1701" w:type="dxa"/>
          </w:tcPr>
          <w:p>
            <w:pPr>
              <w:pStyle w:val="yTable"/>
              <w:spacing w:before="50"/>
            </w:pPr>
            <w:r>
              <w:t>1 000 tonnes or more per year</w:t>
            </w:r>
          </w:p>
        </w:tc>
      </w:tr>
      <w:tr>
        <w:trPr>
          <w:cantSplit/>
        </w:trPr>
        <w:tc>
          <w:tcPr>
            <w:tcW w:w="1080" w:type="dxa"/>
          </w:tcPr>
          <w:p>
            <w:pPr>
              <w:pStyle w:val="yTable"/>
              <w:keepNext/>
              <w:jc w:val="center"/>
            </w:pPr>
            <w:r>
              <w:t>27</w:t>
            </w:r>
          </w:p>
        </w:tc>
        <w:tc>
          <w:tcPr>
            <w:tcW w:w="4449" w:type="dxa"/>
          </w:tcPr>
          <w:p>
            <w:pPr>
              <w:pStyle w:val="yTable"/>
              <w:keepNext/>
            </w:pPr>
            <w:r>
              <w:t>Woolscouring:  premises on which wool is scoured or cleaned.</w:t>
            </w:r>
          </w:p>
        </w:tc>
        <w:tc>
          <w:tcPr>
            <w:tcW w:w="1701" w:type="dxa"/>
          </w:tcPr>
          <w:p>
            <w:pPr>
              <w:pStyle w:val="yTable"/>
              <w:keepNext/>
            </w:pPr>
            <w:r>
              <w:t>1 000 tonnes or more per year</w:t>
            </w:r>
          </w:p>
        </w:tc>
      </w:tr>
      <w:tr>
        <w:trPr>
          <w:cantSplit/>
        </w:trPr>
        <w:tc>
          <w:tcPr>
            <w:tcW w:w="1080" w:type="dxa"/>
          </w:tcPr>
          <w:p>
            <w:pPr>
              <w:pStyle w:val="yTable"/>
              <w:jc w:val="center"/>
            </w:pPr>
            <w:r>
              <w:t>28</w:t>
            </w:r>
          </w:p>
        </w:tc>
        <w:tc>
          <w:tcPr>
            <w:tcW w:w="4449" w:type="dxa"/>
          </w:tcPr>
          <w:p>
            <w:pPr>
              <w:pStyle w:val="yTable"/>
            </w:pPr>
            <w:r>
              <w:t>Wood board manufacturing:  premises on which particleboard or chipboard is fabricated or manufactured.</w:t>
            </w:r>
          </w:p>
        </w:tc>
        <w:tc>
          <w:tcPr>
            <w:tcW w:w="1701" w:type="dxa"/>
          </w:tcPr>
          <w:p>
            <w:pPr>
              <w:pStyle w:val="yTable"/>
            </w:pPr>
            <w:r>
              <w:t>500 tonnes or more per year</w:t>
            </w:r>
          </w:p>
        </w:tc>
      </w:tr>
      <w:tr>
        <w:trPr>
          <w:cantSplit/>
        </w:trPr>
        <w:tc>
          <w:tcPr>
            <w:tcW w:w="1080" w:type="dxa"/>
          </w:tcPr>
          <w:p>
            <w:pPr>
              <w:pStyle w:val="yTable"/>
              <w:jc w:val="center"/>
            </w:pPr>
            <w:r>
              <w:t>29</w:t>
            </w:r>
          </w:p>
        </w:tc>
        <w:tc>
          <w:tcPr>
            <w:tcW w:w="4449" w:type="dxa"/>
          </w:tcPr>
          <w:p>
            <w:pPr>
              <w:pStyle w:val="yTable"/>
            </w:pPr>
            <w:r>
              <w:t>Timber preserving:  premises on which timber is preserved for commercial purposes by the use of chemicals.</w:t>
            </w:r>
          </w:p>
        </w:tc>
        <w:tc>
          <w:tcPr>
            <w:tcW w:w="1701" w:type="dxa"/>
          </w:tcPr>
          <w:p>
            <w:pPr>
              <w:pStyle w:val="yTable"/>
            </w:pPr>
            <w:r>
              <w:t>Not applicable</w:t>
            </w:r>
          </w:p>
        </w:tc>
      </w:tr>
      <w:tr>
        <w:trPr>
          <w:cantSplit/>
        </w:trPr>
        <w:tc>
          <w:tcPr>
            <w:tcW w:w="1080" w:type="dxa"/>
          </w:tcPr>
          <w:p>
            <w:pPr>
              <w:pStyle w:val="yTable"/>
              <w:jc w:val="center"/>
            </w:pPr>
            <w:r>
              <w:t>30</w:t>
            </w:r>
          </w:p>
        </w:tc>
        <w:tc>
          <w:tcPr>
            <w:tcW w:w="4449" w:type="dxa"/>
          </w:tcPr>
          <w:p>
            <w:pPr>
              <w:pStyle w:val="yTable"/>
            </w:pPr>
            <w:r>
              <w:t>Pulp, paper or paperboard manufacturing:  premises on which paper pulp, wood pulp, kraft paper, kraft paperboard, cardboard, paper or paperboard is manufactured.</w:t>
            </w:r>
          </w:p>
        </w:tc>
        <w:tc>
          <w:tcPr>
            <w:tcW w:w="1701" w:type="dxa"/>
          </w:tcPr>
          <w:p>
            <w:pPr>
              <w:pStyle w:val="yTable"/>
            </w:pPr>
            <w:r>
              <w:t>5 000 tonnes or more per year</w:t>
            </w:r>
          </w:p>
        </w:tc>
      </w:tr>
      <w:tr>
        <w:trPr>
          <w:cantSplit/>
        </w:trPr>
        <w:tc>
          <w:tcPr>
            <w:tcW w:w="1080" w:type="dxa"/>
          </w:tcPr>
          <w:p>
            <w:pPr>
              <w:pStyle w:val="yTable"/>
              <w:keepNext/>
              <w:keepLines/>
              <w:jc w:val="center"/>
            </w:pPr>
            <w:r>
              <w:t>31</w:t>
            </w:r>
          </w:p>
        </w:tc>
        <w:tc>
          <w:tcPr>
            <w:tcW w:w="4449" w:type="dxa"/>
          </w:tcPr>
          <w:p>
            <w:pPr>
              <w:pStyle w:val="yTable"/>
              <w:keepNext/>
              <w:keepLines/>
            </w:pPr>
            <w:r>
              <w:t>Chemical manufacturing:  premises (other than premises within category 32) on which chemical products are manufactured by a chemical process.</w:t>
            </w:r>
          </w:p>
        </w:tc>
        <w:tc>
          <w:tcPr>
            <w:tcW w:w="1701" w:type="dxa"/>
          </w:tcPr>
          <w:p>
            <w:pPr>
              <w:pStyle w:val="yTable"/>
              <w:keepNext/>
              <w:keepLines/>
            </w:pPr>
            <w:r>
              <w:t>100 tonnes or more per year</w:t>
            </w:r>
          </w:p>
        </w:tc>
      </w:tr>
      <w:tr>
        <w:trPr>
          <w:cantSplit/>
        </w:trPr>
        <w:tc>
          <w:tcPr>
            <w:tcW w:w="1080" w:type="dxa"/>
          </w:tcPr>
          <w:p>
            <w:pPr>
              <w:pStyle w:val="yTable"/>
              <w:jc w:val="center"/>
            </w:pPr>
            <w:r>
              <w:t>32</w:t>
            </w:r>
          </w:p>
        </w:tc>
        <w:tc>
          <w:tcPr>
            <w:tcW w:w="4449" w:type="dxa"/>
          </w:tcPr>
          <w:p>
            <w:pPr>
              <w:pStyle w:val="yTable"/>
            </w:pPr>
            <w:r>
              <w:t>Pesticides manufacturing:  premises on which herbicides, insecticides or pesticides are manufactured by a chemical process.</w:t>
            </w:r>
          </w:p>
        </w:tc>
        <w:tc>
          <w:tcPr>
            <w:tcW w:w="1701" w:type="dxa"/>
          </w:tcPr>
          <w:p>
            <w:pPr>
              <w:pStyle w:val="yTable"/>
            </w:pPr>
            <w:r>
              <w:t>Not applicable</w:t>
            </w:r>
          </w:p>
        </w:tc>
      </w:tr>
      <w:tr>
        <w:trPr>
          <w:cantSplit/>
        </w:trPr>
        <w:tc>
          <w:tcPr>
            <w:tcW w:w="1080" w:type="dxa"/>
          </w:tcPr>
          <w:p>
            <w:pPr>
              <w:pStyle w:val="yTable"/>
              <w:jc w:val="center"/>
            </w:pPr>
            <w:r>
              <w:t>33</w:t>
            </w:r>
          </w:p>
        </w:tc>
        <w:tc>
          <w:tcPr>
            <w:tcW w:w="4449" w:type="dxa"/>
          </w:tcPr>
          <w:p>
            <w:pPr>
              <w:pStyle w:val="yTable"/>
            </w:pPr>
            <w:r>
              <w:t>Chemical blending or mixing:  premises on which chemicals or chemical products are mixed, blended or packaged in a manner that causes or is likely to cause a discharge of waste into the environment.</w:t>
            </w:r>
          </w:p>
        </w:tc>
        <w:tc>
          <w:tcPr>
            <w:tcW w:w="1701" w:type="dxa"/>
          </w:tcPr>
          <w:p>
            <w:pPr>
              <w:pStyle w:val="yTable"/>
            </w:pPr>
            <w:r>
              <w:t>500 tonnes or more per year</w:t>
            </w:r>
          </w:p>
        </w:tc>
      </w:tr>
      <w:tr>
        <w:trPr>
          <w:cantSplit/>
        </w:trPr>
        <w:tc>
          <w:tcPr>
            <w:tcW w:w="1080" w:type="dxa"/>
          </w:tcPr>
          <w:p>
            <w:pPr>
              <w:pStyle w:val="yTable"/>
              <w:jc w:val="center"/>
            </w:pPr>
            <w:r>
              <w:t>34</w:t>
            </w:r>
          </w:p>
        </w:tc>
        <w:tc>
          <w:tcPr>
            <w:tcW w:w="4449" w:type="dxa"/>
          </w:tcPr>
          <w:p>
            <w:pPr>
              <w:pStyle w:val="yTable"/>
            </w:pPr>
            <w:r>
              <w:t>Oil or gas refining:  premises on which crude oil, condensate or gas is refined or processed.</w:t>
            </w:r>
          </w:p>
        </w:tc>
        <w:tc>
          <w:tcPr>
            <w:tcW w:w="1701" w:type="dxa"/>
          </w:tcPr>
          <w:p>
            <w:pPr>
              <w:pStyle w:val="yTable"/>
            </w:pPr>
            <w:r>
              <w:t>Not applicable</w:t>
            </w:r>
          </w:p>
        </w:tc>
      </w:tr>
      <w:tr>
        <w:trPr>
          <w:cantSplit/>
        </w:trPr>
        <w:tc>
          <w:tcPr>
            <w:tcW w:w="1080" w:type="dxa"/>
          </w:tcPr>
          <w:p>
            <w:pPr>
              <w:pStyle w:val="yTable"/>
              <w:jc w:val="center"/>
            </w:pPr>
            <w:r>
              <w:t>35</w:t>
            </w:r>
          </w:p>
        </w:tc>
        <w:tc>
          <w:tcPr>
            <w:tcW w:w="4449" w:type="dxa"/>
          </w:tcPr>
          <w:p>
            <w:pPr>
              <w:pStyle w:val="yTable"/>
            </w:pPr>
            <w:r>
              <w:t>Asphalt manufacturing:  premises on which hot or cold mix asphalt is produced using crushed or ground rock aggregates mixed with bituminous or asphaltic materials for use at places or premises other than those premises.</w:t>
            </w:r>
          </w:p>
        </w:tc>
        <w:tc>
          <w:tcPr>
            <w:tcW w:w="1701" w:type="dxa"/>
          </w:tcPr>
          <w:p>
            <w:pPr>
              <w:pStyle w:val="yTable"/>
            </w:pPr>
            <w:r>
              <w:t>Not applicable</w:t>
            </w:r>
          </w:p>
        </w:tc>
      </w:tr>
      <w:tr>
        <w:trPr>
          <w:cantSplit/>
        </w:trPr>
        <w:tc>
          <w:tcPr>
            <w:tcW w:w="1080" w:type="dxa"/>
          </w:tcPr>
          <w:p>
            <w:pPr>
              <w:pStyle w:val="yTable"/>
              <w:keepNext/>
              <w:jc w:val="center"/>
            </w:pPr>
            <w:r>
              <w:t>36</w:t>
            </w:r>
          </w:p>
        </w:tc>
        <w:tc>
          <w:tcPr>
            <w:tcW w:w="4449" w:type="dxa"/>
          </w:tcPr>
          <w:p>
            <w:pPr>
              <w:pStyle w:val="yTable"/>
              <w:keepNext/>
            </w:pPr>
            <w:r>
              <w:t>Bitumen manufacturing:  premises on which bitumen is mixed or prepared for use at places or premises other than those premises.</w:t>
            </w:r>
          </w:p>
        </w:tc>
        <w:tc>
          <w:tcPr>
            <w:tcW w:w="1701" w:type="dxa"/>
          </w:tcPr>
          <w:p>
            <w:pPr>
              <w:pStyle w:val="yTable"/>
              <w:keepNext/>
            </w:pPr>
            <w:r>
              <w:t>Not applicable</w:t>
            </w:r>
          </w:p>
        </w:tc>
      </w:tr>
      <w:tr>
        <w:trPr>
          <w:cantSplit/>
        </w:trPr>
        <w:tc>
          <w:tcPr>
            <w:tcW w:w="1080" w:type="dxa"/>
          </w:tcPr>
          <w:p>
            <w:pPr>
              <w:pStyle w:val="yTable"/>
              <w:jc w:val="center"/>
            </w:pPr>
            <w:r>
              <w:t>37</w:t>
            </w:r>
          </w:p>
        </w:tc>
        <w:tc>
          <w:tcPr>
            <w:tcW w:w="4449" w:type="dxa"/>
          </w:tcPr>
          <w:p>
            <w:pPr>
              <w:pStyle w:val="yTable"/>
            </w:pPr>
            <w:r>
              <w:t>Char manufacturing:  premises on which wood, carbon material or coal is charred to produce a fuel or material of a carbonaceous nature or of enriched carbon content.</w:t>
            </w:r>
          </w:p>
        </w:tc>
        <w:tc>
          <w:tcPr>
            <w:tcW w:w="1701" w:type="dxa"/>
          </w:tcPr>
          <w:p>
            <w:pPr>
              <w:pStyle w:val="yTable"/>
            </w:pPr>
            <w:r>
              <w:t>10 tonnes or more per year</w:t>
            </w:r>
          </w:p>
        </w:tc>
      </w:tr>
      <w:tr>
        <w:trPr>
          <w:cantSplit/>
        </w:trPr>
        <w:tc>
          <w:tcPr>
            <w:tcW w:w="1080" w:type="dxa"/>
          </w:tcPr>
          <w:p>
            <w:pPr>
              <w:pStyle w:val="yTable"/>
              <w:jc w:val="center"/>
            </w:pPr>
            <w:r>
              <w:t>38</w:t>
            </w:r>
          </w:p>
        </w:tc>
        <w:tc>
          <w:tcPr>
            <w:tcW w:w="4449" w:type="dxa"/>
          </w:tcPr>
          <w:p>
            <w:pPr>
              <w:pStyle w:val="yTable"/>
            </w:pPr>
            <w:r>
              <w:t>Coke production:  premises on which coke is produced, quenched, cut, crushed or graded from coal or petroleum.</w:t>
            </w:r>
          </w:p>
        </w:tc>
        <w:tc>
          <w:tcPr>
            <w:tcW w:w="1701" w:type="dxa"/>
          </w:tcPr>
          <w:p>
            <w:pPr>
              <w:pStyle w:val="yTable"/>
            </w:pPr>
            <w:r>
              <w:t>100 tonnes or more per year</w:t>
            </w:r>
          </w:p>
        </w:tc>
      </w:tr>
      <w:tr>
        <w:trPr>
          <w:cantSplit/>
        </w:trPr>
        <w:tc>
          <w:tcPr>
            <w:tcW w:w="1080" w:type="dxa"/>
          </w:tcPr>
          <w:p>
            <w:pPr>
              <w:pStyle w:val="yTable"/>
              <w:keepNext/>
              <w:keepLines/>
              <w:jc w:val="center"/>
            </w:pPr>
            <w:r>
              <w:t>39</w:t>
            </w:r>
          </w:p>
        </w:tc>
        <w:tc>
          <w:tcPr>
            <w:tcW w:w="4449" w:type="dxa"/>
          </w:tcPr>
          <w:p>
            <w:pPr>
              <w:pStyle w:val="yTable"/>
              <w:keepNext/>
              <w:keepLines/>
            </w:pPr>
            <w:r>
              <w:t>Chemical or oil recycling:  premises on which waste liquid hydrocarbons or chemicals are refined, purified, reformed, separated or processed.</w:t>
            </w:r>
          </w:p>
        </w:tc>
        <w:tc>
          <w:tcPr>
            <w:tcW w:w="1701" w:type="dxa"/>
          </w:tcPr>
          <w:p>
            <w:pPr>
              <w:pStyle w:val="yTable"/>
              <w:keepNext/>
              <w:keepLines/>
            </w:pPr>
            <w:r>
              <w:t>Not applicable</w:t>
            </w:r>
          </w:p>
        </w:tc>
      </w:tr>
      <w:tr>
        <w:trPr>
          <w:cantSplit/>
        </w:trPr>
        <w:tc>
          <w:tcPr>
            <w:tcW w:w="1080" w:type="dxa"/>
          </w:tcPr>
          <w:p>
            <w:pPr>
              <w:pStyle w:val="yTable"/>
              <w:jc w:val="center"/>
            </w:pPr>
            <w:r>
              <w:t>40</w:t>
            </w:r>
          </w:p>
        </w:tc>
        <w:tc>
          <w:tcPr>
            <w:tcW w:w="4449" w:type="dxa"/>
          </w:tcPr>
          <w:p>
            <w:pPr>
              <w:pStyle w:val="yTable"/>
            </w:pPr>
            <w:r>
              <w:t>Glass or glass fibre manufacturing:  premises on which glass or glass fibre is manufactured.</w:t>
            </w:r>
          </w:p>
        </w:tc>
        <w:tc>
          <w:tcPr>
            <w:tcW w:w="1701" w:type="dxa"/>
          </w:tcPr>
          <w:p>
            <w:pPr>
              <w:pStyle w:val="yTable"/>
            </w:pPr>
            <w:r>
              <w:t>200 tonnes or more per year</w:t>
            </w:r>
          </w:p>
        </w:tc>
      </w:tr>
      <w:tr>
        <w:trPr>
          <w:cantSplit/>
        </w:trPr>
        <w:tc>
          <w:tcPr>
            <w:tcW w:w="1080" w:type="dxa"/>
          </w:tcPr>
          <w:p>
            <w:pPr>
              <w:pStyle w:val="yTable"/>
              <w:jc w:val="center"/>
            </w:pPr>
            <w:r>
              <w:t>41</w:t>
            </w:r>
          </w:p>
        </w:tc>
        <w:tc>
          <w:tcPr>
            <w:tcW w:w="4449" w:type="dxa"/>
          </w:tcPr>
          <w:p>
            <w:pPr>
              <w:pStyle w:val="yTable"/>
              <w:keepNext/>
              <w:keepLines/>
            </w:pPr>
            <w:r>
              <w:t>Clay bricks or ceramic products manufacturing:  premises on which refractory products, tiles, pipes or pottery are manufactured.</w:t>
            </w:r>
          </w:p>
        </w:tc>
        <w:tc>
          <w:tcPr>
            <w:tcW w:w="1701" w:type="dxa"/>
          </w:tcPr>
          <w:p>
            <w:pPr>
              <w:pStyle w:val="yTable"/>
              <w:keepNext/>
              <w:keepLines/>
            </w:pPr>
            <w:r>
              <w:t>1 000 tonnes or more per year</w:t>
            </w:r>
          </w:p>
        </w:tc>
      </w:tr>
      <w:tr>
        <w:trPr>
          <w:cantSplit/>
        </w:trPr>
        <w:tc>
          <w:tcPr>
            <w:tcW w:w="1080" w:type="dxa"/>
          </w:tcPr>
          <w:p>
            <w:pPr>
              <w:pStyle w:val="yTable"/>
              <w:jc w:val="center"/>
            </w:pPr>
            <w:r>
              <w:t>42</w:t>
            </w:r>
          </w:p>
        </w:tc>
        <w:tc>
          <w:tcPr>
            <w:tcW w:w="4449" w:type="dxa"/>
          </w:tcPr>
          <w:p>
            <w:pPr>
              <w:pStyle w:val="yTable"/>
            </w:pPr>
            <w:r>
              <w:t>Mineral wool or ceramic fibre manufacturing:  premises on which mineral wool or ceramic fibre is manufactured.</w:t>
            </w:r>
          </w:p>
        </w:tc>
        <w:tc>
          <w:tcPr>
            <w:tcW w:w="1701" w:type="dxa"/>
          </w:tcPr>
          <w:p>
            <w:pPr>
              <w:pStyle w:val="yTable"/>
            </w:pPr>
            <w:r>
              <w:t>Not applicable</w:t>
            </w:r>
          </w:p>
        </w:tc>
      </w:tr>
      <w:tr>
        <w:trPr>
          <w:cantSplit/>
        </w:trPr>
        <w:tc>
          <w:tcPr>
            <w:tcW w:w="1080" w:type="dxa"/>
          </w:tcPr>
          <w:p>
            <w:pPr>
              <w:pStyle w:val="yTable"/>
              <w:jc w:val="center"/>
            </w:pPr>
            <w:r>
              <w:t>43</w:t>
            </w:r>
          </w:p>
        </w:tc>
        <w:tc>
          <w:tcPr>
            <w:tcW w:w="4449" w:type="dxa"/>
          </w:tcPr>
          <w:p>
            <w:pPr>
              <w:pStyle w:val="yTable"/>
            </w:pPr>
            <w:r>
              <w:t>Cement or lime manufacturing:  premises on which — </w:t>
            </w:r>
          </w:p>
        </w:tc>
        <w:tc>
          <w:tcPr>
            <w:tcW w:w="1701" w:type="dxa"/>
          </w:tcPr>
          <w:p>
            <w:pPr>
              <w:pStyle w:val="yTable"/>
            </w:pPr>
            <w:r>
              <w:t>Not applicable</w:t>
            </w:r>
          </w:p>
        </w:tc>
      </w:tr>
      <w:tr>
        <w:trPr>
          <w:cantSplit/>
        </w:trPr>
        <w:tc>
          <w:tcPr>
            <w:tcW w:w="1080" w:type="dxa"/>
          </w:tcPr>
          <w:p>
            <w:pPr>
              <w:pStyle w:val="yTable"/>
              <w:jc w:val="center"/>
            </w:pPr>
          </w:p>
        </w:tc>
        <w:tc>
          <w:tcPr>
            <w:tcW w:w="4449" w:type="dxa"/>
          </w:tcPr>
          <w:p>
            <w:pPr>
              <w:pStyle w:val="yTable"/>
              <w:ind w:left="568" w:hanging="568"/>
            </w:pPr>
            <w:r>
              <w:t>(a)</w:t>
            </w:r>
            <w:r>
              <w:tab/>
              <w:t>clay, limesand or limestone material is used in a furnace or kiln in the production of cement clinker or lime; or</w:t>
            </w:r>
          </w:p>
          <w:p>
            <w:pPr>
              <w:pStyle w:val="yTable"/>
              <w:ind w:left="568" w:hanging="568"/>
            </w:pPr>
            <w:r>
              <w:t>(b)</w:t>
            </w:r>
            <w:r>
              <w:tab/>
              <w:t>cement clinker, clay, limestone or similar material is ground.</w:t>
            </w:r>
          </w:p>
        </w:tc>
        <w:tc>
          <w:tcPr>
            <w:tcW w:w="1701" w:type="dxa"/>
          </w:tcPr>
          <w:p>
            <w:pPr>
              <w:pStyle w:val="yTable"/>
            </w:pPr>
          </w:p>
        </w:tc>
      </w:tr>
      <w:tr>
        <w:trPr>
          <w:cantSplit/>
        </w:trPr>
        <w:tc>
          <w:tcPr>
            <w:tcW w:w="1080" w:type="dxa"/>
          </w:tcPr>
          <w:p>
            <w:pPr>
              <w:pStyle w:val="yTable"/>
              <w:keepNext/>
              <w:jc w:val="center"/>
            </w:pPr>
            <w:r>
              <w:t>44</w:t>
            </w:r>
          </w:p>
        </w:tc>
        <w:tc>
          <w:tcPr>
            <w:tcW w:w="4449" w:type="dxa"/>
          </w:tcPr>
          <w:p>
            <w:pPr>
              <w:pStyle w:val="yTable"/>
              <w:keepNext/>
            </w:pPr>
            <w:r>
              <w:t>Metal smelting or refining:  premises on which metal ore, metal ore concentrate or metal waste is smelted, fused, roasted, refined or processed.</w:t>
            </w:r>
          </w:p>
        </w:tc>
        <w:tc>
          <w:tcPr>
            <w:tcW w:w="1701" w:type="dxa"/>
          </w:tcPr>
          <w:p>
            <w:pPr>
              <w:pStyle w:val="yTable"/>
              <w:keepNext/>
            </w:pPr>
            <w:r>
              <w:t>1 000 tonnes or more per year</w:t>
            </w:r>
          </w:p>
        </w:tc>
      </w:tr>
      <w:tr>
        <w:trPr>
          <w:cantSplit/>
        </w:trPr>
        <w:tc>
          <w:tcPr>
            <w:tcW w:w="1080" w:type="dxa"/>
          </w:tcPr>
          <w:p>
            <w:pPr>
              <w:pStyle w:val="yTable"/>
              <w:jc w:val="center"/>
            </w:pPr>
            <w:r>
              <w:t>45</w:t>
            </w:r>
          </w:p>
        </w:tc>
        <w:tc>
          <w:tcPr>
            <w:tcW w:w="4449" w:type="dxa"/>
          </w:tcPr>
          <w:p>
            <w:pPr>
              <w:pStyle w:val="yTable"/>
            </w:pPr>
            <w:r>
              <w:t>Metal melting or casting:  premises on which metal or scrap metal is melted in furnaces or cast.</w:t>
            </w:r>
          </w:p>
        </w:tc>
        <w:tc>
          <w:tcPr>
            <w:tcW w:w="1701" w:type="dxa"/>
          </w:tcPr>
          <w:p>
            <w:pPr>
              <w:pStyle w:val="yTable"/>
            </w:pPr>
            <w:r>
              <w:t>100 tonnes or more per year</w:t>
            </w:r>
          </w:p>
        </w:tc>
      </w:tr>
      <w:tr>
        <w:trPr>
          <w:cantSplit/>
        </w:trPr>
        <w:tc>
          <w:tcPr>
            <w:tcW w:w="1080" w:type="dxa"/>
          </w:tcPr>
          <w:p>
            <w:pPr>
              <w:pStyle w:val="yTable"/>
              <w:jc w:val="center"/>
            </w:pPr>
            <w:r>
              <w:t>46</w:t>
            </w:r>
          </w:p>
        </w:tc>
        <w:tc>
          <w:tcPr>
            <w:tcW w:w="4449" w:type="dxa"/>
          </w:tcPr>
          <w:p>
            <w:pPr>
              <w:pStyle w:val="yTable"/>
            </w:pPr>
            <w:r>
              <w:t>Bauxite refining:  premises (other than premises within paragraph (b) of category 5) on which alumina is produced from bauxite refining.</w:t>
            </w:r>
          </w:p>
        </w:tc>
        <w:tc>
          <w:tcPr>
            <w:tcW w:w="1701" w:type="dxa"/>
          </w:tcPr>
          <w:p>
            <w:pPr>
              <w:pStyle w:val="yTable"/>
            </w:pPr>
            <w:r>
              <w:t>Not applicable</w:t>
            </w:r>
          </w:p>
        </w:tc>
      </w:tr>
      <w:tr>
        <w:trPr>
          <w:cantSplit/>
        </w:trPr>
        <w:tc>
          <w:tcPr>
            <w:tcW w:w="1080" w:type="dxa"/>
          </w:tcPr>
          <w:p>
            <w:pPr>
              <w:pStyle w:val="yTable"/>
              <w:jc w:val="center"/>
            </w:pPr>
            <w:r>
              <w:t>47</w:t>
            </w:r>
          </w:p>
        </w:tc>
        <w:tc>
          <w:tcPr>
            <w:tcW w:w="4449" w:type="dxa"/>
          </w:tcPr>
          <w:p>
            <w:pPr>
              <w:pStyle w:val="yTable"/>
            </w:pPr>
            <w:r>
              <w:t>Scrap metal recovery:  premises (other than premises within category 45) on which metal scrap is fragmented or melted, including premises on which lead acid batteries are reprocessed.</w:t>
            </w:r>
          </w:p>
        </w:tc>
        <w:tc>
          <w:tcPr>
            <w:tcW w:w="1701" w:type="dxa"/>
          </w:tcPr>
          <w:p>
            <w:pPr>
              <w:pStyle w:val="yTable"/>
            </w:pPr>
            <w:r>
              <w:t>100 tonnes or more per year</w:t>
            </w:r>
          </w:p>
        </w:tc>
      </w:tr>
      <w:tr>
        <w:trPr>
          <w:cantSplit/>
        </w:trPr>
        <w:tc>
          <w:tcPr>
            <w:tcW w:w="1080" w:type="dxa"/>
          </w:tcPr>
          <w:p>
            <w:pPr>
              <w:pStyle w:val="yTable"/>
              <w:jc w:val="center"/>
            </w:pPr>
            <w:r>
              <w:t>48</w:t>
            </w:r>
          </w:p>
        </w:tc>
        <w:tc>
          <w:tcPr>
            <w:tcW w:w="4449" w:type="dxa"/>
          </w:tcPr>
          <w:p>
            <w:pPr>
              <w:pStyle w:val="yTable"/>
            </w:pPr>
            <w:r>
              <w:t>Metal finishing: premises on which metals are chemically cleaned or metals, plastics or metal or plastic products are plated, electroplated, anodized, coloured or otherwise coated or finished.</w:t>
            </w:r>
          </w:p>
        </w:tc>
        <w:tc>
          <w:tcPr>
            <w:tcW w:w="1701" w:type="dxa"/>
          </w:tcPr>
          <w:p>
            <w:pPr>
              <w:pStyle w:val="yTable"/>
            </w:pPr>
            <w:r>
              <w:t>Not applicable</w:t>
            </w:r>
          </w:p>
        </w:tc>
      </w:tr>
      <w:tr>
        <w:trPr>
          <w:cantSplit/>
        </w:trPr>
        <w:tc>
          <w:tcPr>
            <w:tcW w:w="1080" w:type="dxa"/>
          </w:tcPr>
          <w:p>
            <w:pPr>
              <w:pStyle w:val="yTable"/>
              <w:jc w:val="center"/>
            </w:pPr>
            <w:r>
              <w:t>48A</w:t>
            </w:r>
          </w:p>
        </w:tc>
        <w:tc>
          <w:tcPr>
            <w:tcW w:w="4449" w:type="dxa"/>
          </w:tcPr>
          <w:p>
            <w:pPr>
              <w:pStyle w:val="yTable"/>
            </w:pPr>
            <w:r>
              <w:t>Metal finishing: premises on which iron or steel is galvanized.</w:t>
            </w:r>
          </w:p>
        </w:tc>
        <w:tc>
          <w:tcPr>
            <w:tcW w:w="1701" w:type="dxa"/>
          </w:tcPr>
          <w:p>
            <w:pPr>
              <w:pStyle w:val="yTable"/>
            </w:pPr>
            <w:r>
              <w:t>Not applicable</w:t>
            </w:r>
          </w:p>
        </w:tc>
      </w:tr>
      <w:tr>
        <w:trPr>
          <w:cantSplit/>
        </w:trPr>
        <w:tc>
          <w:tcPr>
            <w:tcW w:w="1080" w:type="dxa"/>
          </w:tcPr>
          <w:p>
            <w:pPr>
              <w:pStyle w:val="yTable"/>
              <w:jc w:val="center"/>
            </w:pPr>
            <w:r>
              <w:t>49</w:t>
            </w:r>
          </w:p>
        </w:tc>
        <w:tc>
          <w:tcPr>
            <w:tcW w:w="4449" w:type="dxa"/>
          </w:tcPr>
          <w:p>
            <w:pPr>
              <w:pStyle w:val="yTable"/>
            </w:pPr>
            <w:r>
              <w:t>Boat building and maintenance:  premises on which — </w:t>
            </w:r>
          </w:p>
          <w:p>
            <w:pPr>
              <w:pStyle w:val="yTable"/>
              <w:ind w:left="568" w:hanging="568"/>
            </w:pPr>
            <w:r>
              <w:t>(a)</w:t>
            </w:r>
            <w:r>
              <w:tab/>
              <w:t>vessels are commercially built or maintained; and</w:t>
            </w:r>
          </w:p>
          <w:p>
            <w:pPr>
              <w:pStyle w:val="yTable"/>
              <w:ind w:left="568" w:hanging="568"/>
            </w:pPr>
            <w:r>
              <w:t>(b)</w:t>
            </w:r>
            <w:r>
              <w:tab/>
              <w:t>organotin compounds are used or removed from vessels.</w:t>
            </w:r>
          </w:p>
        </w:tc>
        <w:tc>
          <w:tcPr>
            <w:tcW w:w="1701" w:type="dxa"/>
          </w:tcPr>
          <w:p>
            <w:pPr>
              <w:pStyle w:val="yTable"/>
            </w:pPr>
            <w:r>
              <w:t>Not applicable</w:t>
            </w:r>
          </w:p>
        </w:tc>
      </w:tr>
      <w:tr>
        <w:trPr>
          <w:cantSplit/>
        </w:trPr>
        <w:tc>
          <w:tcPr>
            <w:tcW w:w="1080" w:type="dxa"/>
          </w:tcPr>
          <w:p>
            <w:pPr>
              <w:pStyle w:val="yTable"/>
              <w:jc w:val="center"/>
            </w:pPr>
            <w:r>
              <w:t>50</w:t>
            </w:r>
          </w:p>
        </w:tc>
        <w:tc>
          <w:tcPr>
            <w:tcW w:w="4449" w:type="dxa"/>
          </w:tcPr>
          <w:p>
            <w:pPr>
              <w:pStyle w:val="yTable"/>
            </w:pPr>
            <w:r>
              <w:t>Tannery: premises on which animal skins or hides are tanned, dressed, finished or dyed and from which liquid waste is or is to be discharged onto land or into waters.</w:t>
            </w:r>
          </w:p>
        </w:tc>
        <w:tc>
          <w:tcPr>
            <w:tcW w:w="1701" w:type="dxa"/>
          </w:tcPr>
          <w:p>
            <w:pPr>
              <w:pStyle w:val="yTable"/>
            </w:pPr>
            <w:r>
              <w:t>1 000 skins or hides or more per year</w:t>
            </w:r>
          </w:p>
        </w:tc>
      </w:tr>
      <w:tr>
        <w:trPr>
          <w:cantSplit/>
        </w:trPr>
        <w:tc>
          <w:tcPr>
            <w:tcW w:w="1080" w:type="dxa"/>
          </w:tcPr>
          <w:p>
            <w:pPr>
              <w:pStyle w:val="yTable"/>
              <w:keepNext/>
              <w:jc w:val="center"/>
            </w:pPr>
            <w:r>
              <w:t>51</w:t>
            </w:r>
          </w:p>
        </w:tc>
        <w:tc>
          <w:tcPr>
            <w:tcW w:w="4449" w:type="dxa"/>
          </w:tcPr>
          <w:p>
            <w:pPr>
              <w:pStyle w:val="yTable"/>
              <w:keepNext/>
            </w:pPr>
            <w:r>
              <w:t>Foam products manufacturing:  premises on which resin is used to prepare or manufacture plastic foam or plastic foam products using MDI (diphenylmethane di</w:t>
            </w:r>
            <w:r>
              <w:noBreakHyphen/>
              <w:t>iso</w:t>
            </w:r>
            <w:r>
              <w:noBreakHyphen/>
              <w:t>cyanate) or TDI (toluene</w:t>
            </w:r>
            <w:r>
              <w:noBreakHyphen/>
              <w:t>2, 4</w:t>
            </w:r>
            <w:r>
              <w:noBreakHyphen/>
              <w:t>di</w:t>
            </w:r>
            <w:r>
              <w:noBreakHyphen/>
              <w:t>iso</w:t>
            </w:r>
            <w:r>
              <w:noBreakHyphen/>
              <w:t>cyanate).</w:t>
            </w:r>
          </w:p>
        </w:tc>
        <w:tc>
          <w:tcPr>
            <w:tcW w:w="1701" w:type="dxa"/>
          </w:tcPr>
          <w:p>
            <w:pPr>
              <w:pStyle w:val="yTable"/>
              <w:keepNext/>
            </w:pPr>
            <w:r>
              <w:t>1 tonne or more per year</w:t>
            </w:r>
          </w:p>
        </w:tc>
      </w:tr>
      <w:tr>
        <w:trPr>
          <w:cantSplit/>
        </w:trPr>
        <w:tc>
          <w:tcPr>
            <w:tcW w:w="1080" w:type="dxa"/>
          </w:tcPr>
          <w:p>
            <w:pPr>
              <w:pStyle w:val="yTable"/>
              <w:jc w:val="center"/>
            </w:pPr>
            <w:r>
              <w:t>52</w:t>
            </w:r>
          </w:p>
        </w:tc>
        <w:tc>
          <w:tcPr>
            <w:tcW w:w="4449" w:type="dxa"/>
          </w:tcPr>
          <w:p>
            <w:pPr>
              <w:pStyle w:val="yTable"/>
            </w:pPr>
            <w:r>
              <w:t>Electric power generation:  premises (other than premises within category 53 or an emergency or standby power generating plant) on which electrical power is generated using a fuel.</w:t>
            </w:r>
          </w:p>
        </w:tc>
        <w:tc>
          <w:tcPr>
            <w:tcW w:w="1701" w:type="dxa"/>
          </w:tcPr>
          <w:p>
            <w:pPr>
              <w:pStyle w:val="yTable"/>
            </w:pPr>
            <w:r>
              <w:t>20 megawatts or more in aggregate (using natural gas)</w:t>
            </w:r>
          </w:p>
          <w:p>
            <w:pPr>
              <w:pStyle w:val="yTable"/>
            </w:pPr>
            <w:r>
              <w:t>10 megawatts or more in aggregate (using a fuel other than natural gas)</w:t>
            </w:r>
          </w:p>
        </w:tc>
      </w:tr>
      <w:tr>
        <w:trPr>
          <w:cantSplit/>
        </w:trPr>
        <w:tc>
          <w:tcPr>
            <w:tcW w:w="1080" w:type="dxa"/>
          </w:tcPr>
          <w:p>
            <w:pPr>
              <w:pStyle w:val="yTable"/>
              <w:jc w:val="center"/>
            </w:pPr>
            <w:r>
              <w:t>53</w:t>
            </w:r>
          </w:p>
        </w:tc>
        <w:tc>
          <w:tcPr>
            <w:tcW w:w="4449" w:type="dxa"/>
          </w:tcPr>
          <w:p>
            <w:pPr>
              <w:pStyle w:val="yTable"/>
            </w:pPr>
            <w:r>
              <w:t>Flyash disposal: premises on which flyash is disposed of.</w:t>
            </w:r>
          </w:p>
        </w:tc>
        <w:tc>
          <w:tcPr>
            <w:tcW w:w="1701" w:type="dxa"/>
          </w:tcPr>
          <w:p>
            <w:pPr>
              <w:pStyle w:val="yTable"/>
            </w:pPr>
            <w:r>
              <w:t>1 000 tonnes or more per year</w:t>
            </w:r>
          </w:p>
        </w:tc>
      </w:tr>
      <w:tr>
        <w:trPr>
          <w:cantSplit/>
        </w:trPr>
        <w:tc>
          <w:tcPr>
            <w:tcW w:w="1080" w:type="dxa"/>
          </w:tcPr>
          <w:p>
            <w:pPr>
              <w:pStyle w:val="yTable"/>
              <w:jc w:val="center"/>
            </w:pPr>
            <w:r>
              <w:t>54</w:t>
            </w:r>
          </w:p>
        </w:tc>
        <w:tc>
          <w:tcPr>
            <w:tcW w:w="4449" w:type="dxa"/>
          </w:tcPr>
          <w:p>
            <w:pPr>
              <w:pStyle w:val="yTable"/>
            </w:pPr>
            <w:r>
              <w:t>Sewage facility: premises — </w:t>
            </w:r>
          </w:p>
          <w:p>
            <w:pPr>
              <w:pStyle w:val="yTable"/>
              <w:ind w:left="568" w:hanging="568"/>
            </w:pPr>
            <w:r>
              <w:t>(a)</w:t>
            </w:r>
            <w:r>
              <w:tab/>
              <w:t>on which sewage is treated (excluding septic tanks); or</w:t>
            </w:r>
          </w:p>
          <w:p>
            <w:pPr>
              <w:pStyle w:val="yTable"/>
              <w:ind w:left="568" w:hanging="568"/>
            </w:pPr>
            <w:r>
              <w:t>(b)</w:t>
            </w:r>
            <w:r>
              <w:tab/>
              <w:t>from which treated sewage is discharged onto land or into waters.</w:t>
            </w:r>
          </w:p>
        </w:tc>
        <w:tc>
          <w:tcPr>
            <w:tcW w:w="1701" w:type="dxa"/>
          </w:tcPr>
          <w:p>
            <w:pPr>
              <w:pStyle w:val="yTable"/>
            </w:pPr>
            <w:r>
              <w:t>100 cubic metres or more per day</w:t>
            </w:r>
          </w:p>
        </w:tc>
      </w:tr>
      <w:tr>
        <w:trPr>
          <w:cantSplit/>
        </w:trPr>
        <w:tc>
          <w:tcPr>
            <w:tcW w:w="1080" w:type="dxa"/>
          </w:tcPr>
          <w:p>
            <w:pPr>
              <w:pStyle w:val="yTable"/>
              <w:jc w:val="center"/>
            </w:pPr>
            <w:r>
              <w:t>54A</w:t>
            </w:r>
          </w:p>
        </w:tc>
        <w:tc>
          <w:tcPr>
            <w:tcW w:w="4449" w:type="dxa"/>
          </w:tcPr>
          <w:p>
            <w:pPr>
              <w:pStyle w:val="yTable"/>
              <w:tabs>
                <w:tab w:val="left" w:pos="503"/>
              </w:tabs>
            </w:pPr>
            <w:r>
              <w:t xml:space="preserve">Water desalination plant: premises at which salt is extracted from water if — </w:t>
            </w:r>
          </w:p>
          <w:p>
            <w:pPr>
              <w:pStyle w:val="yTable"/>
              <w:tabs>
                <w:tab w:val="left" w:pos="503"/>
              </w:tabs>
              <w:ind w:left="503" w:hanging="503"/>
            </w:pPr>
            <w:r>
              <w:t>(a)</w:t>
            </w:r>
            <w:r>
              <w:tab/>
              <w:t>waste water is discharged into marine waters; and</w:t>
            </w:r>
          </w:p>
          <w:p>
            <w:pPr>
              <w:pStyle w:val="yTable"/>
              <w:tabs>
                <w:tab w:val="left" w:pos="503"/>
              </w:tabs>
              <w:ind w:left="503" w:hanging="503"/>
            </w:pPr>
            <w:r>
              <w:t>(b)</w:t>
            </w:r>
            <w:r>
              <w:tab/>
              <w:t>the discharged waste water has a density greater than the average ambient density of the marine water at the discharge site.</w:t>
            </w:r>
          </w:p>
        </w:tc>
        <w:tc>
          <w:tcPr>
            <w:tcW w:w="1701" w:type="dxa"/>
          </w:tcPr>
          <w:p>
            <w:pPr>
              <w:pStyle w:val="yTable"/>
            </w:pPr>
            <w:r>
              <w:t>10 gigalitres or more per year</w:t>
            </w:r>
          </w:p>
        </w:tc>
      </w:tr>
      <w:tr>
        <w:trPr>
          <w:cantSplit/>
        </w:trPr>
        <w:tc>
          <w:tcPr>
            <w:tcW w:w="1080" w:type="dxa"/>
          </w:tcPr>
          <w:p>
            <w:pPr>
              <w:pStyle w:val="yTable"/>
              <w:jc w:val="center"/>
            </w:pPr>
            <w:r>
              <w:t>55</w:t>
            </w:r>
          </w:p>
        </w:tc>
        <w:tc>
          <w:tcPr>
            <w:tcW w:w="4449" w:type="dxa"/>
          </w:tcPr>
          <w:p>
            <w:pPr>
              <w:pStyle w:val="yTable"/>
            </w:pPr>
            <w:r>
              <w:t>Livestock saleyard or holding pen:  premises on which live animals are held pending their sale, shipment or slaughter.</w:t>
            </w:r>
          </w:p>
        </w:tc>
        <w:tc>
          <w:tcPr>
            <w:tcW w:w="1701" w:type="dxa"/>
          </w:tcPr>
          <w:p>
            <w:pPr>
              <w:pStyle w:val="yTable"/>
            </w:pPr>
            <w:r>
              <w:t>10 000 animals or more per year</w:t>
            </w:r>
          </w:p>
        </w:tc>
      </w:tr>
      <w:tr>
        <w:trPr>
          <w:cantSplit/>
        </w:trPr>
        <w:tc>
          <w:tcPr>
            <w:tcW w:w="1080" w:type="dxa"/>
          </w:tcPr>
          <w:p>
            <w:pPr>
              <w:pStyle w:val="yTable"/>
              <w:jc w:val="center"/>
            </w:pPr>
            <w:r>
              <w:t>56</w:t>
            </w:r>
          </w:p>
        </w:tc>
        <w:tc>
          <w:tcPr>
            <w:tcW w:w="4449" w:type="dxa"/>
          </w:tcPr>
          <w:p>
            <w:pPr>
              <w:pStyle w:val="yTable"/>
            </w:pPr>
            <w:r>
              <w:t>Used tyre storage (tyre fitting business):  premises on which used tyres are stored in connection with a tyre fitting business.</w:t>
            </w:r>
          </w:p>
        </w:tc>
        <w:tc>
          <w:tcPr>
            <w:tcW w:w="1701" w:type="dxa"/>
          </w:tcPr>
          <w:p>
            <w:pPr>
              <w:pStyle w:val="yTable"/>
            </w:pPr>
            <w:r>
              <w:t>500 tyres or more</w:t>
            </w:r>
          </w:p>
        </w:tc>
      </w:tr>
      <w:tr>
        <w:trPr>
          <w:cantSplit/>
        </w:trPr>
        <w:tc>
          <w:tcPr>
            <w:tcW w:w="1080" w:type="dxa"/>
          </w:tcPr>
          <w:p>
            <w:pPr>
              <w:pStyle w:val="yTable"/>
              <w:jc w:val="center"/>
            </w:pPr>
            <w:r>
              <w:t>57</w:t>
            </w:r>
          </w:p>
        </w:tc>
        <w:tc>
          <w:tcPr>
            <w:tcW w:w="4449" w:type="dxa"/>
          </w:tcPr>
          <w:p>
            <w:pPr>
              <w:pStyle w:val="yTable"/>
            </w:pPr>
            <w:r>
              <w:t>Used tyre storage (general):  premises (other than premises within category 56) on which used tyres are stored.</w:t>
            </w:r>
          </w:p>
        </w:tc>
        <w:tc>
          <w:tcPr>
            <w:tcW w:w="1701" w:type="dxa"/>
          </w:tcPr>
          <w:p>
            <w:pPr>
              <w:pStyle w:val="yTable"/>
            </w:pPr>
            <w:r>
              <w:t>100 tyres or more</w:t>
            </w:r>
          </w:p>
        </w:tc>
      </w:tr>
      <w:tr>
        <w:trPr>
          <w:cantSplit/>
        </w:trPr>
        <w:tc>
          <w:tcPr>
            <w:tcW w:w="1080" w:type="dxa"/>
          </w:tcPr>
          <w:p>
            <w:pPr>
              <w:pStyle w:val="yTable"/>
              <w:keepNext/>
              <w:jc w:val="center"/>
            </w:pPr>
            <w:r>
              <w:t>58</w:t>
            </w:r>
          </w:p>
        </w:tc>
        <w:tc>
          <w:tcPr>
            <w:tcW w:w="4449" w:type="dxa"/>
          </w:tcPr>
          <w:p>
            <w:pPr>
              <w:pStyle w:val="yTable"/>
              <w:keepNext/>
            </w:pPr>
            <w:r>
              <w:t>Bulk material loading or unloading:  premises on which clinker, coal, ore, ore concentrate or any other bulk granular material (other than salt) is loaded onto or unloaded from vessels by an open materials loading system.</w:t>
            </w:r>
          </w:p>
        </w:tc>
        <w:tc>
          <w:tcPr>
            <w:tcW w:w="1701" w:type="dxa"/>
          </w:tcPr>
          <w:p>
            <w:pPr>
              <w:pStyle w:val="yTable"/>
              <w:keepNext/>
            </w:pPr>
            <w:r>
              <w:t>100 tonnes or more per day</w:t>
            </w:r>
          </w:p>
        </w:tc>
      </w:tr>
      <w:tr>
        <w:trPr>
          <w:cantSplit/>
        </w:trPr>
        <w:tc>
          <w:tcPr>
            <w:tcW w:w="1080" w:type="dxa"/>
          </w:tcPr>
          <w:p>
            <w:pPr>
              <w:pStyle w:val="yTable"/>
              <w:keepNext/>
              <w:jc w:val="center"/>
            </w:pPr>
            <w:r>
              <w:t>58A</w:t>
            </w:r>
          </w:p>
        </w:tc>
        <w:tc>
          <w:tcPr>
            <w:tcW w:w="4449" w:type="dxa"/>
          </w:tcPr>
          <w:p>
            <w:pPr>
              <w:pStyle w:val="yTable"/>
              <w:keepNext/>
            </w:pPr>
            <w:r>
              <w:t>Bulk material loading or unloading:  premises on which salt is loaded onto or unloaded from vessels by an open materials loading system.</w:t>
            </w:r>
          </w:p>
        </w:tc>
        <w:tc>
          <w:tcPr>
            <w:tcW w:w="1701" w:type="dxa"/>
          </w:tcPr>
          <w:p>
            <w:pPr>
              <w:pStyle w:val="yTable"/>
              <w:keepNext/>
            </w:pPr>
            <w:r>
              <w:t>100 tonnes or more per day</w:t>
            </w:r>
          </w:p>
        </w:tc>
      </w:tr>
      <w:tr>
        <w:trPr>
          <w:cantSplit/>
        </w:trPr>
        <w:tc>
          <w:tcPr>
            <w:tcW w:w="1080" w:type="dxa"/>
          </w:tcPr>
          <w:p>
            <w:pPr>
              <w:pStyle w:val="yTable"/>
              <w:jc w:val="center"/>
            </w:pPr>
            <w:r>
              <w:t>59</w:t>
            </w:r>
          </w:p>
        </w:tc>
        <w:tc>
          <w:tcPr>
            <w:tcW w:w="4449" w:type="dxa"/>
          </w:tcPr>
          <w:p>
            <w:pPr>
              <w:pStyle w:val="yTable"/>
            </w:pPr>
            <w:r>
              <w:t>Biomedical waste incineration:  premises on which — </w:t>
            </w:r>
          </w:p>
        </w:tc>
        <w:tc>
          <w:tcPr>
            <w:tcW w:w="1701" w:type="dxa"/>
          </w:tcPr>
          <w:p>
            <w:pPr>
              <w:pStyle w:val="yTable"/>
            </w:pPr>
            <w:r>
              <w:t>Not applicable</w:t>
            </w:r>
          </w:p>
        </w:tc>
      </w:tr>
      <w:tr>
        <w:trPr>
          <w:cantSplit/>
        </w:trPr>
        <w:tc>
          <w:tcPr>
            <w:tcW w:w="1080" w:type="dxa"/>
          </w:tcPr>
          <w:p>
            <w:pPr>
              <w:pStyle w:val="yTable"/>
              <w:jc w:val="center"/>
            </w:pPr>
          </w:p>
        </w:tc>
        <w:tc>
          <w:tcPr>
            <w:tcW w:w="4449" w:type="dxa"/>
          </w:tcPr>
          <w:p>
            <w:pPr>
              <w:pStyle w:val="yTable"/>
              <w:ind w:left="568" w:hanging="568"/>
            </w:pPr>
            <w:r>
              <w:t>(a)</w:t>
            </w:r>
            <w:r>
              <w:tab/>
              <w:t>infectious or potentially infectious waste produced by health care establishments, or by pathology, dental, or veterinary practices, or by laboratories, is incinerated;</w:t>
            </w:r>
          </w:p>
        </w:tc>
        <w:tc>
          <w:tcPr>
            <w:tcW w:w="1701" w:type="dxa"/>
          </w:tcPr>
          <w:p>
            <w:pPr>
              <w:pStyle w:val="yTable"/>
            </w:pPr>
          </w:p>
        </w:tc>
      </w:tr>
      <w:tr>
        <w:trPr>
          <w:cantSplit/>
        </w:trPr>
        <w:tc>
          <w:tcPr>
            <w:tcW w:w="1080" w:type="dxa"/>
          </w:tcPr>
          <w:p>
            <w:pPr>
              <w:pStyle w:val="yTable"/>
              <w:jc w:val="center"/>
            </w:pPr>
          </w:p>
        </w:tc>
        <w:tc>
          <w:tcPr>
            <w:tcW w:w="4449" w:type="dxa"/>
          </w:tcPr>
          <w:p>
            <w:pPr>
              <w:pStyle w:val="yTable"/>
              <w:ind w:left="568" w:hanging="568"/>
            </w:pPr>
            <w:r>
              <w:t>(b)</w:t>
            </w:r>
            <w:r>
              <w:tab/>
              <w:t>quarantine waste is incinerated; or</w:t>
            </w:r>
          </w:p>
          <w:p>
            <w:pPr>
              <w:pStyle w:val="yTable"/>
              <w:ind w:left="568" w:hanging="568"/>
            </w:pPr>
            <w:r>
              <w:t>(c)</w:t>
            </w:r>
            <w:r>
              <w:tab/>
              <w:t>cytotoxic waste is destroyed,</w:t>
            </w:r>
          </w:p>
          <w:p>
            <w:pPr>
              <w:pStyle w:val="yTable"/>
            </w:pPr>
            <w:r>
              <w:t>but not including premises on which there are only facilities used exclusively for human or animal cremation.</w:t>
            </w:r>
          </w:p>
        </w:tc>
        <w:tc>
          <w:tcPr>
            <w:tcW w:w="1701" w:type="dxa"/>
          </w:tcPr>
          <w:p>
            <w:pPr>
              <w:pStyle w:val="yTable"/>
            </w:pPr>
          </w:p>
        </w:tc>
      </w:tr>
      <w:tr>
        <w:trPr>
          <w:cantSplit/>
        </w:trPr>
        <w:tc>
          <w:tcPr>
            <w:tcW w:w="1080" w:type="dxa"/>
          </w:tcPr>
          <w:p>
            <w:pPr>
              <w:pStyle w:val="yTable"/>
              <w:jc w:val="center"/>
            </w:pPr>
            <w:r>
              <w:t>60</w:t>
            </w:r>
          </w:p>
        </w:tc>
        <w:tc>
          <w:tcPr>
            <w:tcW w:w="4449" w:type="dxa"/>
          </w:tcPr>
          <w:p>
            <w:pPr>
              <w:pStyle w:val="yTable"/>
              <w:rPr>
                <w:spacing w:val="-4"/>
              </w:rPr>
            </w:pPr>
            <w:r>
              <w:rPr>
                <w:spacing w:val="-4"/>
              </w:rPr>
              <w:t>Incineration:  premises (other than premises within category 59) on which waste, excluding clean paper and cardboard, is incinerated.</w:t>
            </w:r>
          </w:p>
        </w:tc>
        <w:tc>
          <w:tcPr>
            <w:tcW w:w="1701" w:type="dxa"/>
          </w:tcPr>
          <w:p>
            <w:pPr>
              <w:pStyle w:val="yTable"/>
            </w:pPr>
            <w:r>
              <w:t>100 kilograms or more per hour</w:t>
            </w:r>
          </w:p>
        </w:tc>
      </w:tr>
      <w:tr>
        <w:trPr>
          <w:cantSplit/>
        </w:trPr>
        <w:tc>
          <w:tcPr>
            <w:tcW w:w="1080" w:type="dxa"/>
          </w:tcPr>
          <w:p>
            <w:pPr>
              <w:pStyle w:val="yTable"/>
              <w:jc w:val="center"/>
            </w:pPr>
            <w:r>
              <w:t>61</w:t>
            </w:r>
          </w:p>
        </w:tc>
        <w:tc>
          <w:tcPr>
            <w:tcW w:w="4449" w:type="dxa"/>
          </w:tcPr>
          <w:p>
            <w:pPr>
              <w:pStyle w:val="yTable"/>
              <w:ind w:left="1" w:hanging="1"/>
            </w:pPr>
            <w:r>
              <w:t>Liquid waste facility: premises on which liquid waste produced on other premises (other than sewerage waste) is stored, reprocessed, treated or irrigated.</w:t>
            </w:r>
          </w:p>
        </w:tc>
        <w:tc>
          <w:tcPr>
            <w:tcW w:w="1701" w:type="dxa"/>
          </w:tcPr>
          <w:p>
            <w:pPr>
              <w:pStyle w:val="yTable"/>
            </w:pPr>
            <w:r>
              <w:t>100 tonnes or more per year</w:t>
            </w:r>
          </w:p>
        </w:tc>
      </w:tr>
      <w:tr>
        <w:trPr>
          <w:cantSplit/>
        </w:trPr>
        <w:tc>
          <w:tcPr>
            <w:tcW w:w="1080" w:type="dxa"/>
          </w:tcPr>
          <w:p>
            <w:pPr>
              <w:pStyle w:val="yTable"/>
              <w:jc w:val="center"/>
            </w:pPr>
            <w:r>
              <w:t>61A</w:t>
            </w:r>
          </w:p>
        </w:tc>
        <w:tc>
          <w:tcPr>
            <w:tcW w:w="4449" w:type="dxa"/>
          </w:tcPr>
          <w:p>
            <w:pPr>
              <w:pStyle w:val="yTable"/>
              <w:ind w:left="1" w:hanging="1"/>
            </w:pPr>
            <w:r>
              <w:t>Solid waste facility: premises (other than premises within category 67A) on which solid waste produced on other premises is stored, reprocessed, treated, or discharged onto land.</w:t>
            </w:r>
          </w:p>
        </w:tc>
        <w:tc>
          <w:tcPr>
            <w:tcW w:w="1701" w:type="dxa"/>
          </w:tcPr>
          <w:p>
            <w:pPr>
              <w:pStyle w:val="yTable"/>
            </w:pPr>
            <w:r>
              <w:t>1 000 tonnes or more per year</w:t>
            </w:r>
          </w:p>
        </w:tc>
      </w:tr>
      <w:tr>
        <w:trPr>
          <w:cantSplit/>
        </w:trPr>
        <w:tc>
          <w:tcPr>
            <w:tcW w:w="1080" w:type="dxa"/>
          </w:tcPr>
          <w:p>
            <w:pPr>
              <w:pStyle w:val="yTable"/>
              <w:jc w:val="center"/>
            </w:pPr>
            <w:r>
              <w:t>62</w:t>
            </w:r>
          </w:p>
        </w:tc>
        <w:tc>
          <w:tcPr>
            <w:tcW w:w="4449" w:type="dxa"/>
          </w:tcPr>
          <w:p>
            <w:pPr>
              <w:pStyle w:val="yTable"/>
            </w:pPr>
            <w:r>
              <w:t>Solid waste depot:  premises on which waste is stored, or sorted, pending final disposal or re</w:t>
            </w:r>
            <w:r>
              <w:noBreakHyphen/>
              <w:t>use.</w:t>
            </w:r>
          </w:p>
        </w:tc>
        <w:tc>
          <w:tcPr>
            <w:tcW w:w="1701" w:type="dxa"/>
          </w:tcPr>
          <w:p>
            <w:pPr>
              <w:pStyle w:val="yTable"/>
            </w:pPr>
            <w:r>
              <w:t>500 tonnes or more per year</w:t>
            </w:r>
          </w:p>
        </w:tc>
      </w:tr>
      <w:tr>
        <w:trPr>
          <w:cantSplit/>
        </w:trPr>
        <w:tc>
          <w:tcPr>
            <w:tcW w:w="1080" w:type="dxa"/>
          </w:tcPr>
          <w:p>
            <w:pPr>
              <w:pStyle w:val="yTable"/>
              <w:keepNext/>
              <w:jc w:val="center"/>
            </w:pPr>
            <w:r>
              <w:t>63</w:t>
            </w:r>
          </w:p>
        </w:tc>
        <w:tc>
          <w:tcPr>
            <w:tcW w:w="4449" w:type="dxa"/>
          </w:tcPr>
          <w:p>
            <w:pPr>
              <w:pStyle w:val="yTable"/>
              <w:keepNext/>
            </w:pPr>
            <w:r>
              <w:t>Class I inert landfill site: premises on which waste (as determined by reference to the waste type set out in the document entitled “Landfill Waste Classification and Waste Definitions 1996” published by the Chief Executive Officer and as amended from time to time) is accepted for burial.</w:t>
            </w:r>
          </w:p>
        </w:tc>
        <w:tc>
          <w:tcPr>
            <w:tcW w:w="1701" w:type="dxa"/>
          </w:tcPr>
          <w:p>
            <w:pPr>
              <w:pStyle w:val="yTable"/>
              <w:keepNext/>
            </w:pPr>
            <w:r>
              <w:t>500 tonnes or more per year</w:t>
            </w:r>
          </w:p>
        </w:tc>
      </w:tr>
      <w:tr>
        <w:trPr>
          <w:cantSplit/>
        </w:trPr>
        <w:tc>
          <w:tcPr>
            <w:tcW w:w="1080" w:type="dxa"/>
          </w:tcPr>
          <w:p>
            <w:pPr>
              <w:pStyle w:val="yTable"/>
              <w:jc w:val="center"/>
            </w:pPr>
            <w:r>
              <w:t>64</w:t>
            </w:r>
          </w:p>
        </w:tc>
        <w:tc>
          <w:tcPr>
            <w:tcW w:w="4449" w:type="dxa"/>
          </w:tcPr>
          <w:p>
            <w:pPr>
              <w:pStyle w:val="yTable"/>
              <w:rPr>
                <w:spacing w:val="-4"/>
              </w:rPr>
            </w:pPr>
            <w:r>
              <w:rPr>
                <w:spacing w:val="-4"/>
              </w:rPr>
              <w:t>Class II or III putrescible landfill site: premises on which waste (as determined by reference to the waste type set out in the document entitled “Landfill Waste Classification and Waste Definitions 1996” published by the Chief Executive Officer and as amended from time to time) is accepted for burial.</w:t>
            </w:r>
          </w:p>
        </w:tc>
        <w:tc>
          <w:tcPr>
            <w:tcW w:w="1701" w:type="dxa"/>
          </w:tcPr>
          <w:p>
            <w:pPr>
              <w:pStyle w:val="yTable"/>
            </w:pPr>
            <w:r>
              <w:t>20 tonnes or more per year</w:t>
            </w:r>
          </w:p>
        </w:tc>
      </w:tr>
      <w:tr>
        <w:trPr>
          <w:cantSplit/>
        </w:trPr>
        <w:tc>
          <w:tcPr>
            <w:tcW w:w="1080" w:type="dxa"/>
          </w:tcPr>
          <w:p>
            <w:pPr>
              <w:pStyle w:val="yTable"/>
              <w:jc w:val="center"/>
            </w:pPr>
            <w:r>
              <w:t>65</w:t>
            </w:r>
          </w:p>
        </w:tc>
        <w:tc>
          <w:tcPr>
            <w:tcW w:w="4449" w:type="dxa"/>
          </w:tcPr>
          <w:p>
            <w:pPr>
              <w:pStyle w:val="yTable"/>
            </w:pPr>
            <w:r>
              <w:t>Class IV secure landfill site: premises on which waste (as determined by reference to the waste type set out in the document entitled “Landfill Waste Classification and Waste Definitions 1996” published by the Chief Executive Officer and as amended from time to time) is accepted for burial.</w:t>
            </w:r>
          </w:p>
        </w:tc>
        <w:tc>
          <w:tcPr>
            <w:tcW w:w="1701" w:type="dxa"/>
          </w:tcPr>
          <w:p>
            <w:pPr>
              <w:pStyle w:val="yTable"/>
            </w:pPr>
            <w:r>
              <w:t>Not applicable</w:t>
            </w:r>
          </w:p>
        </w:tc>
      </w:tr>
      <w:tr>
        <w:trPr>
          <w:cantSplit/>
        </w:trPr>
        <w:tc>
          <w:tcPr>
            <w:tcW w:w="1080" w:type="dxa"/>
          </w:tcPr>
          <w:p>
            <w:pPr>
              <w:pStyle w:val="yTable"/>
              <w:jc w:val="center"/>
            </w:pPr>
            <w:r>
              <w:t>66</w:t>
            </w:r>
          </w:p>
        </w:tc>
        <w:tc>
          <w:tcPr>
            <w:tcW w:w="4449" w:type="dxa"/>
          </w:tcPr>
          <w:p>
            <w:pPr>
              <w:pStyle w:val="yTable"/>
            </w:pPr>
            <w:r>
              <w:t>Class V intractable landfill site: premises on which waste (as determined by reference to the waste type set out in the document entitled “Landfill Waste Classification and Waste Definitions 1996” published by the Chief Executive Officer and as amended from time to time) is accepted for burial.</w:t>
            </w:r>
          </w:p>
        </w:tc>
        <w:tc>
          <w:tcPr>
            <w:tcW w:w="1701" w:type="dxa"/>
          </w:tcPr>
          <w:p>
            <w:pPr>
              <w:pStyle w:val="yTable"/>
            </w:pPr>
            <w:r>
              <w:t>Not applicable</w:t>
            </w:r>
          </w:p>
        </w:tc>
      </w:tr>
      <w:tr>
        <w:trPr>
          <w:cantSplit/>
          <w:trHeight w:val="3855"/>
        </w:trPr>
        <w:tc>
          <w:tcPr>
            <w:tcW w:w="1080" w:type="dxa"/>
            <w:tcBorders>
              <w:bottom w:val="nil"/>
            </w:tcBorders>
          </w:tcPr>
          <w:p>
            <w:pPr>
              <w:pStyle w:val="yTable"/>
              <w:keepNext/>
              <w:jc w:val="center"/>
            </w:pPr>
            <w:r>
              <w:t>67</w:t>
            </w:r>
          </w:p>
        </w:tc>
        <w:tc>
          <w:tcPr>
            <w:tcW w:w="4449" w:type="dxa"/>
          </w:tcPr>
          <w:p>
            <w:pPr>
              <w:pStyle w:val="yTable"/>
              <w:keepNext/>
            </w:pPr>
            <w:r>
              <w:t>Fuel burning:  premises on which gaseous, liquid or solid fuel is burnt in a boiler for the supply of steam or in power generation equipment.</w:t>
            </w:r>
          </w:p>
        </w:tc>
        <w:tc>
          <w:tcPr>
            <w:tcW w:w="1701" w:type="dxa"/>
          </w:tcPr>
          <w:p>
            <w:pPr>
              <w:pStyle w:val="yTable"/>
              <w:keepNext/>
              <w:rPr>
                <w:spacing w:val="-4"/>
              </w:rPr>
            </w:pPr>
            <w:r>
              <w:rPr>
                <w:spacing w:val="-4"/>
              </w:rPr>
              <w:t xml:space="preserve">In aggregate 500 kilograms or more per hour (fuel with a sulphur content </w:t>
            </w:r>
          </w:p>
          <w:p>
            <w:pPr>
              <w:pStyle w:val="yTable"/>
              <w:keepNext/>
              <w:spacing w:before="0"/>
              <w:rPr>
                <w:spacing w:val="-4"/>
              </w:rPr>
            </w:pPr>
            <w:r>
              <w:rPr>
                <w:spacing w:val="-4"/>
              </w:rPr>
              <w:t>of 0.25% or more)</w:t>
            </w:r>
          </w:p>
          <w:p>
            <w:pPr>
              <w:pStyle w:val="yTable"/>
              <w:keepNext/>
              <w:spacing w:before="0"/>
              <w:rPr>
                <w:spacing w:val="-4"/>
                <w:sz w:val="20"/>
              </w:rPr>
            </w:pPr>
            <w:r>
              <w:rPr>
                <w:spacing w:val="-4"/>
              </w:rPr>
              <w:t>or</w:t>
            </w:r>
          </w:p>
          <w:p>
            <w:pPr>
              <w:pStyle w:val="yTable"/>
              <w:keepNext/>
              <w:spacing w:before="0"/>
              <w:rPr>
                <w:spacing w:val="-4"/>
              </w:rPr>
            </w:pPr>
            <w:r>
              <w:rPr>
                <w:spacing w:val="-4"/>
              </w:rPr>
              <w:t>In aggregate 2 000 kilograms or more per hour (fuel with a sulphur content of less than 0.25%)</w:t>
            </w:r>
          </w:p>
        </w:tc>
      </w:tr>
      <w:tr>
        <w:trPr>
          <w:cantSplit/>
        </w:trPr>
        <w:tc>
          <w:tcPr>
            <w:tcW w:w="1080" w:type="dxa"/>
          </w:tcPr>
          <w:p>
            <w:pPr>
              <w:pStyle w:val="yTable"/>
              <w:jc w:val="center"/>
            </w:pPr>
            <w:r>
              <w:t>67A</w:t>
            </w:r>
          </w:p>
        </w:tc>
        <w:tc>
          <w:tcPr>
            <w:tcW w:w="4449" w:type="dxa"/>
          </w:tcPr>
          <w:p>
            <w:pPr>
              <w:pStyle w:val="yTable"/>
            </w:pPr>
            <w:r>
              <w:t>Compost manufacturing and soil blending: premises on which organic material (excluding silage) or waste is stored pending processing, mixing, drying or composting to produce commercial quantities of compost or blended soils.</w:t>
            </w:r>
          </w:p>
        </w:tc>
        <w:tc>
          <w:tcPr>
            <w:tcW w:w="1701" w:type="dxa"/>
          </w:tcPr>
          <w:p>
            <w:pPr>
              <w:pStyle w:val="yTable"/>
            </w:pPr>
            <w:r>
              <w:t>1 000 tonnes or more per year</w:t>
            </w:r>
          </w:p>
        </w:tc>
      </w:tr>
    </w:tbl>
    <w:p>
      <w:pPr>
        <w:pStyle w:val="yFootnotesection"/>
      </w:pPr>
      <w:r>
        <w:tab/>
        <w:t>[Part 1 amended in Gazette 22 Jun 2007 p. 2843, 30 Oct 2007 p. 5877; 23 Jul 2010 p. 3401.]</w:t>
      </w:r>
    </w:p>
    <w:p>
      <w:pPr>
        <w:pStyle w:val="yHeading2"/>
      </w:pPr>
      <w:bookmarkStart w:id="1152" w:name="_Toc172709272"/>
      <w:bookmarkStart w:id="1153" w:name="_Toc172964756"/>
      <w:bookmarkStart w:id="1154" w:name="_Toc174158473"/>
      <w:bookmarkStart w:id="1155" w:name="_Toc174359026"/>
      <w:bookmarkStart w:id="1156" w:name="_Toc174518617"/>
      <w:bookmarkStart w:id="1157" w:name="_Toc176170562"/>
      <w:bookmarkStart w:id="1158" w:name="_Toc181431121"/>
      <w:bookmarkStart w:id="1159" w:name="_Toc181497577"/>
      <w:bookmarkStart w:id="1160" w:name="_Toc202254244"/>
      <w:bookmarkStart w:id="1161" w:name="_Toc267572159"/>
      <w:bookmarkStart w:id="1162" w:name="_Toc281461068"/>
      <w:bookmarkStart w:id="1163" w:name="_Toc318383386"/>
      <w:bookmarkStart w:id="1164" w:name="_Toc318383506"/>
      <w:bookmarkStart w:id="1165" w:name="_Toc324153622"/>
      <w:r>
        <w:rPr>
          <w:rStyle w:val="CharSDivNo"/>
          <w:sz w:val="28"/>
        </w:rPr>
        <w:t>Part 2</w:t>
      </w:r>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r>
        <w:rPr>
          <w:rStyle w:val="CharSDivText"/>
        </w:rPr>
        <w:t xml:space="preserve"> </w:t>
      </w:r>
    </w:p>
    <w:tbl>
      <w:tblPr>
        <w:tblW w:w="7200" w:type="dxa"/>
        <w:tblInd w:w="57" w:type="dxa"/>
        <w:tblLayout w:type="fixed"/>
        <w:tblCellMar>
          <w:left w:w="57" w:type="dxa"/>
          <w:right w:w="141" w:type="dxa"/>
        </w:tblCellMar>
        <w:tblLook w:val="0000" w:firstRow="0" w:lastRow="0" w:firstColumn="0" w:lastColumn="0" w:noHBand="0" w:noVBand="0"/>
      </w:tblPr>
      <w:tblGrid>
        <w:gridCol w:w="1080"/>
        <w:gridCol w:w="4440"/>
        <w:gridCol w:w="1680"/>
      </w:tblGrid>
      <w:tr>
        <w:trPr>
          <w:cantSplit/>
          <w:tblHeader/>
        </w:trPr>
        <w:tc>
          <w:tcPr>
            <w:tcW w:w="1080" w:type="dxa"/>
          </w:tcPr>
          <w:p>
            <w:pPr>
              <w:pStyle w:val="yTable"/>
              <w:keepNext/>
              <w:keepLines/>
              <w:spacing w:before="0" w:after="80"/>
              <w:jc w:val="center"/>
              <w:rPr>
                <w:b/>
              </w:rPr>
            </w:pPr>
            <w:r>
              <w:rPr>
                <w:b/>
              </w:rPr>
              <w:t>Category</w:t>
            </w:r>
            <w:r>
              <w:rPr>
                <w:b/>
              </w:rPr>
              <w:br/>
              <w:t>number</w:t>
            </w:r>
          </w:p>
        </w:tc>
        <w:tc>
          <w:tcPr>
            <w:tcW w:w="4440" w:type="dxa"/>
          </w:tcPr>
          <w:p>
            <w:pPr>
              <w:pStyle w:val="yTable"/>
              <w:keepNext/>
              <w:keepLines/>
              <w:spacing w:after="80"/>
              <w:jc w:val="center"/>
              <w:rPr>
                <w:b/>
              </w:rPr>
            </w:pPr>
            <w:r>
              <w:rPr>
                <w:b/>
              </w:rPr>
              <w:t xml:space="preserve">Description of </w:t>
            </w:r>
            <w:r>
              <w:rPr>
                <w:b/>
              </w:rPr>
              <w:br/>
              <w:t>category</w:t>
            </w:r>
          </w:p>
        </w:tc>
        <w:tc>
          <w:tcPr>
            <w:tcW w:w="1680" w:type="dxa"/>
          </w:tcPr>
          <w:p>
            <w:pPr>
              <w:pStyle w:val="yTable"/>
              <w:keepNext/>
              <w:keepLines/>
              <w:spacing w:after="80"/>
              <w:jc w:val="center"/>
              <w:rPr>
                <w:b/>
              </w:rPr>
            </w:pPr>
            <w:r>
              <w:rPr>
                <w:b/>
              </w:rPr>
              <w:t>Production or design capacity</w:t>
            </w:r>
          </w:p>
        </w:tc>
      </w:tr>
      <w:tr>
        <w:trPr>
          <w:cantSplit/>
        </w:trPr>
        <w:tc>
          <w:tcPr>
            <w:tcW w:w="1080" w:type="dxa"/>
          </w:tcPr>
          <w:p>
            <w:pPr>
              <w:pStyle w:val="yTable"/>
              <w:jc w:val="center"/>
            </w:pPr>
            <w:r>
              <w:t>68</w:t>
            </w:r>
          </w:p>
        </w:tc>
        <w:tc>
          <w:tcPr>
            <w:tcW w:w="4440" w:type="dxa"/>
          </w:tcPr>
          <w:p>
            <w:pPr>
              <w:pStyle w:val="yTable"/>
            </w:pPr>
            <w:r>
              <w:t>Cattle feedlot:  premises on which the watering and feeding of cattle occurs, being premises — </w:t>
            </w:r>
          </w:p>
          <w:p>
            <w:pPr>
              <w:pStyle w:val="yTable"/>
              <w:ind w:left="568" w:hanging="568"/>
            </w:pPr>
            <w:r>
              <w:t>(a)</w:t>
            </w:r>
            <w:r>
              <w:tab/>
              <w:t>situated 100 metres or more from a watercourse; and</w:t>
            </w:r>
          </w:p>
          <w:p>
            <w:pPr>
              <w:pStyle w:val="yTable"/>
              <w:ind w:left="568" w:hanging="568"/>
            </w:pPr>
            <w:r>
              <w:t>(b)</w:t>
            </w:r>
            <w:r>
              <w:tab/>
              <w:t>on which the number of cattle per hectare exceeds 50.</w:t>
            </w:r>
          </w:p>
        </w:tc>
        <w:tc>
          <w:tcPr>
            <w:tcW w:w="1680" w:type="dxa"/>
          </w:tcPr>
          <w:p>
            <w:pPr>
              <w:pStyle w:val="yTable"/>
            </w:pPr>
            <w:r>
              <w:t>500 animals or more</w:t>
            </w:r>
          </w:p>
        </w:tc>
      </w:tr>
      <w:tr>
        <w:trPr>
          <w:cantSplit/>
        </w:trPr>
        <w:tc>
          <w:tcPr>
            <w:tcW w:w="1080" w:type="dxa"/>
          </w:tcPr>
          <w:p>
            <w:pPr>
              <w:pStyle w:val="yTable"/>
              <w:keepNext/>
              <w:jc w:val="center"/>
            </w:pPr>
            <w:r>
              <w:t>69</w:t>
            </w:r>
          </w:p>
        </w:tc>
        <w:tc>
          <w:tcPr>
            <w:tcW w:w="4440" w:type="dxa"/>
          </w:tcPr>
          <w:p>
            <w:pPr>
              <w:pStyle w:val="yTable"/>
              <w:keepNext/>
            </w:pPr>
            <w:r>
              <w:t>Intensive piggery:  premises on which pigs are fed, watered and housed in pens.</w:t>
            </w:r>
          </w:p>
        </w:tc>
        <w:tc>
          <w:tcPr>
            <w:tcW w:w="1680" w:type="dxa"/>
          </w:tcPr>
          <w:p>
            <w:pPr>
              <w:pStyle w:val="yTable"/>
              <w:keepNext/>
            </w:pPr>
            <w:r>
              <w:t>More than 500 but less than 1 000 animals</w:t>
            </w:r>
          </w:p>
        </w:tc>
      </w:tr>
      <w:tr>
        <w:trPr>
          <w:cantSplit/>
        </w:trPr>
        <w:tc>
          <w:tcPr>
            <w:tcW w:w="1080" w:type="dxa"/>
          </w:tcPr>
          <w:p>
            <w:pPr>
              <w:pStyle w:val="yTable"/>
              <w:jc w:val="center"/>
            </w:pPr>
            <w:r>
              <w:t>70</w:t>
            </w:r>
          </w:p>
        </w:tc>
        <w:tc>
          <w:tcPr>
            <w:tcW w:w="4440" w:type="dxa"/>
          </w:tcPr>
          <w:p>
            <w:pPr>
              <w:pStyle w:val="yTable"/>
            </w:pPr>
            <w:r>
              <w:t>Screening, etc. of material:  premises on which material extracted from the ground is screened, washed, crushed, ground, milled, sized or separated.</w:t>
            </w:r>
          </w:p>
        </w:tc>
        <w:tc>
          <w:tcPr>
            <w:tcW w:w="1680" w:type="dxa"/>
          </w:tcPr>
          <w:p>
            <w:pPr>
              <w:pStyle w:val="yTable"/>
            </w:pPr>
            <w:r>
              <w:t>More than 5 000 but less than 50 000 tonnes per year</w:t>
            </w:r>
          </w:p>
        </w:tc>
      </w:tr>
      <w:tr>
        <w:trPr>
          <w:cantSplit/>
        </w:trPr>
        <w:tc>
          <w:tcPr>
            <w:tcW w:w="1080" w:type="dxa"/>
          </w:tcPr>
          <w:p>
            <w:pPr>
              <w:pStyle w:val="yTable"/>
              <w:jc w:val="center"/>
              <w:rPr>
                <w:i/>
              </w:rPr>
            </w:pPr>
            <w:r>
              <w:rPr>
                <w:i/>
              </w:rPr>
              <w:t>[71</w:t>
            </w:r>
          </w:p>
        </w:tc>
        <w:tc>
          <w:tcPr>
            <w:tcW w:w="4440" w:type="dxa"/>
          </w:tcPr>
          <w:p>
            <w:pPr>
              <w:pStyle w:val="yTable"/>
              <w:rPr>
                <w:i/>
              </w:rPr>
            </w:pPr>
            <w:r>
              <w:rPr>
                <w:i/>
              </w:rPr>
              <w:t>deleted]</w:t>
            </w:r>
          </w:p>
        </w:tc>
        <w:tc>
          <w:tcPr>
            <w:tcW w:w="1680" w:type="dxa"/>
          </w:tcPr>
          <w:p>
            <w:pPr>
              <w:pStyle w:val="yTable"/>
            </w:pPr>
          </w:p>
        </w:tc>
      </w:tr>
      <w:tr>
        <w:trPr>
          <w:cantSplit/>
        </w:trPr>
        <w:tc>
          <w:tcPr>
            <w:tcW w:w="1080" w:type="dxa"/>
          </w:tcPr>
          <w:p>
            <w:pPr>
              <w:pStyle w:val="yTable"/>
              <w:jc w:val="center"/>
            </w:pPr>
            <w:r>
              <w:t>72</w:t>
            </w:r>
          </w:p>
        </w:tc>
        <w:tc>
          <w:tcPr>
            <w:tcW w:w="4440" w:type="dxa"/>
          </w:tcPr>
          <w:p>
            <w:pPr>
              <w:pStyle w:val="yTable"/>
            </w:pPr>
            <w:r>
              <w:t>Chemical manufacturing:  premises on which chemical products are manufactured by a chemical process.</w:t>
            </w:r>
          </w:p>
        </w:tc>
        <w:tc>
          <w:tcPr>
            <w:tcW w:w="1680" w:type="dxa"/>
          </w:tcPr>
          <w:p>
            <w:pPr>
              <w:pStyle w:val="yTable"/>
            </w:pPr>
            <w:r>
              <w:t>Not more than 100 tonnes per year</w:t>
            </w:r>
          </w:p>
        </w:tc>
      </w:tr>
      <w:tr>
        <w:trPr>
          <w:cantSplit/>
        </w:trPr>
        <w:tc>
          <w:tcPr>
            <w:tcW w:w="1080" w:type="dxa"/>
          </w:tcPr>
          <w:p>
            <w:pPr>
              <w:pStyle w:val="yTable"/>
              <w:jc w:val="center"/>
            </w:pPr>
            <w:r>
              <w:t>73</w:t>
            </w:r>
          </w:p>
        </w:tc>
        <w:tc>
          <w:tcPr>
            <w:tcW w:w="4440" w:type="dxa"/>
          </w:tcPr>
          <w:p>
            <w:pPr>
              <w:pStyle w:val="yTable"/>
            </w:pPr>
            <w:r>
              <w:t>Bulk storage of chemicals, etc:  premises on which acids, alkalis or chemicals that — </w:t>
            </w:r>
          </w:p>
          <w:p>
            <w:pPr>
              <w:pStyle w:val="yTable"/>
              <w:ind w:left="568" w:hanging="568"/>
            </w:pPr>
            <w:r>
              <w:t>(a)</w:t>
            </w:r>
            <w:r>
              <w:tab/>
              <w:t>contain at least one carbon to carbon bond; and</w:t>
            </w:r>
          </w:p>
          <w:p>
            <w:pPr>
              <w:pStyle w:val="yTable"/>
              <w:ind w:left="568" w:hanging="568"/>
            </w:pPr>
            <w:r>
              <w:t>(b)</w:t>
            </w:r>
            <w:r>
              <w:tab/>
              <w:t>are liquid at STP (standard temperature and pressure),</w:t>
            </w:r>
          </w:p>
          <w:p>
            <w:pPr>
              <w:pStyle w:val="yTable"/>
            </w:pPr>
            <w:r>
              <w:t>are stored.</w:t>
            </w:r>
          </w:p>
        </w:tc>
        <w:tc>
          <w:tcPr>
            <w:tcW w:w="1680" w:type="dxa"/>
          </w:tcPr>
          <w:p>
            <w:pPr>
              <w:pStyle w:val="yTable"/>
            </w:pPr>
            <w:r>
              <w:t>1 000 cubic metres in aggregate</w:t>
            </w:r>
          </w:p>
        </w:tc>
      </w:tr>
      <w:tr>
        <w:trPr>
          <w:cantSplit/>
        </w:trPr>
        <w:tc>
          <w:tcPr>
            <w:tcW w:w="1080" w:type="dxa"/>
          </w:tcPr>
          <w:p>
            <w:pPr>
              <w:pStyle w:val="yTable"/>
              <w:jc w:val="center"/>
            </w:pPr>
            <w:r>
              <w:t>74</w:t>
            </w:r>
          </w:p>
        </w:tc>
        <w:tc>
          <w:tcPr>
            <w:tcW w:w="4440" w:type="dxa"/>
          </w:tcPr>
          <w:p>
            <w:pPr>
              <w:pStyle w:val="yTable"/>
            </w:pPr>
            <w:r>
              <w:t>Chemical blending or mixing causing discharge:  premises on which chemicals or chemical products are mixed, blended or packaged in a manner that causes or is likely to cause a discharge of waste into the environment.</w:t>
            </w:r>
          </w:p>
        </w:tc>
        <w:tc>
          <w:tcPr>
            <w:tcW w:w="1680" w:type="dxa"/>
          </w:tcPr>
          <w:p>
            <w:pPr>
              <w:pStyle w:val="yTable"/>
            </w:pPr>
            <w:r>
              <w:t>More than 50 but less than 500 tonnes per year</w:t>
            </w:r>
          </w:p>
        </w:tc>
      </w:tr>
      <w:tr>
        <w:trPr>
          <w:cantSplit/>
        </w:trPr>
        <w:tc>
          <w:tcPr>
            <w:tcW w:w="1080" w:type="dxa"/>
          </w:tcPr>
          <w:p>
            <w:pPr>
              <w:pStyle w:val="yTable"/>
              <w:keepNext/>
              <w:keepLines/>
              <w:jc w:val="center"/>
            </w:pPr>
            <w:r>
              <w:t>75</w:t>
            </w:r>
          </w:p>
        </w:tc>
        <w:tc>
          <w:tcPr>
            <w:tcW w:w="4440" w:type="dxa"/>
          </w:tcPr>
          <w:p>
            <w:pPr>
              <w:pStyle w:val="yTable"/>
              <w:keepNext/>
              <w:keepLines/>
            </w:pPr>
            <w:r>
              <w:t>Chemical blending or mixing not causing discharge:  premises on which chemicals or chemical products are mixed, blended or packaged in a manner that does not cause or is not likely to cause a discharge of waste into the environment.</w:t>
            </w:r>
          </w:p>
        </w:tc>
        <w:tc>
          <w:tcPr>
            <w:tcW w:w="1680" w:type="dxa"/>
          </w:tcPr>
          <w:p>
            <w:pPr>
              <w:pStyle w:val="yTable"/>
              <w:keepNext/>
              <w:keepLines/>
            </w:pPr>
            <w:r>
              <w:t>5 000 tonnes or more per year</w:t>
            </w:r>
          </w:p>
        </w:tc>
      </w:tr>
      <w:tr>
        <w:trPr>
          <w:cantSplit/>
        </w:trPr>
        <w:tc>
          <w:tcPr>
            <w:tcW w:w="1080" w:type="dxa"/>
          </w:tcPr>
          <w:p>
            <w:pPr>
              <w:pStyle w:val="yTable"/>
              <w:jc w:val="center"/>
            </w:pPr>
            <w:r>
              <w:t>76</w:t>
            </w:r>
          </w:p>
        </w:tc>
        <w:tc>
          <w:tcPr>
            <w:tcW w:w="4440" w:type="dxa"/>
          </w:tcPr>
          <w:p>
            <w:pPr>
              <w:pStyle w:val="yTable"/>
            </w:pPr>
            <w:r>
              <w:t>Ceramic goods manufacturing:  premises on which ceramic kitchen or table ware or other non</w:t>
            </w:r>
            <w:r>
              <w:noBreakHyphen/>
              <w:t>refractory ceramic products are manufactured.</w:t>
            </w:r>
          </w:p>
        </w:tc>
        <w:tc>
          <w:tcPr>
            <w:tcW w:w="1680" w:type="dxa"/>
          </w:tcPr>
          <w:p>
            <w:pPr>
              <w:pStyle w:val="yTable"/>
            </w:pPr>
            <w:r>
              <w:t>200 tonnes or more per year</w:t>
            </w:r>
          </w:p>
        </w:tc>
      </w:tr>
      <w:tr>
        <w:trPr>
          <w:cantSplit/>
        </w:trPr>
        <w:tc>
          <w:tcPr>
            <w:tcW w:w="1080" w:type="dxa"/>
          </w:tcPr>
          <w:p>
            <w:pPr>
              <w:pStyle w:val="yTable"/>
              <w:spacing w:before="46"/>
              <w:jc w:val="center"/>
            </w:pPr>
            <w:r>
              <w:t>77</w:t>
            </w:r>
          </w:p>
        </w:tc>
        <w:tc>
          <w:tcPr>
            <w:tcW w:w="4440" w:type="dxa"/>
          </w:tcPr>
          <w:p>
            <w:pPr>
              <w:pStyle w:val="yTable"/>
              <w:spacing w:before="46"/>
              <w:rPr>
                <w:spacing w:val="-2"/>
              </w:rPr>
            </w:pPr>
            <w:r>
              <w:rPr>
                <w:spacing w:val="-2"/>
              </w:rPr>
              <w:t>Concrete batching or cement products manufacturing:  premises on which cement products or concrete are manufactured for use at places or premises other than those premises.</w:t>
            </w:r>
          </w:p>
        </w:tc>
        <w:tc>
          <w:tcPr>
            <w:tcW w:w="1680" w:type="dxa"/>
          </w:tcPr>
          <w:p>
            <w:pPr>
              <w:pStyle w:val="yTable"/>
              <w:spacing w:before="46"/>
            </w:pPr>
            <w:r>
              <w:t>100 tonnes or more per year</w:t>
            </w:r>
          </w:p>
        </w:tc>
      </w:tr>
      <w:tr>
        <w:trPr>
          <w:cantSplit/>
        </w:trPr>
        <w:tc>
          <w:tcPr>
            <w:tcW w:w="1080" w:type="dxa"/>
          </w:tcPr>
          <w:p>
            <w:pPr>
              <w:pStyle w:val="yTable"/>
              <w:spacing w:before="46"/>
              <w:jc w:val="center"/>
            </w:pPr>
            <w:r>
              <w:t>78</w:t>
            </w:r>
          </w:p>
        </w:tc>
        <w:tc>
          <w:tcPr>
            <w:tcW w:w="4440" w:type="dxa"/>
          </w:tcPr>
          <w:p>
            <w:pPr>
              <w:pStyle w:val="yTable"/>
              <w:spacing w:before="46"/>
            </w:pPr>
            <w:r>
              <w:t>Plaster manufacturing:  premises on which plaster, plaster board, gyprock or other products comprised wholly or primarily of gypsum are manufactured.</w:t>
            </w:r>
          </w:p>
        </w:tc>
        <w:tc>
          <w:tcPr>
            <w:tcW w:w="1680" w:type="dxa"/>
          </w:tcPr>
          <w:p>
            <w:pPr>
              <w:pStyle w:val="yTable"/>
              <w:spacing w:before="46"/>
            </w:pPr>
            <w:r>
              <w:t>500 tonnes or more per year</w:t>
            </w:r>
          </w:p>
        </w:tc>
      </w:tr>
      <w:tr>
        <w:trPr>
          <w:cantSplit/>
        </w:trPr>
        <w:tc>
          <w:tcPr>
            <w:tcW w:w="1080" w:type="dxa"/>
          </w:tcPr>
          <w:p>
            <w:pPr>
              <w:pStyle w:val="yTable"/>
              <w:spacing w:before="46"/>
              <w:jc w:val="center"/>
            </w:pPr>
            <w:r>
              <w:t>79</w:t>
            </w:r>
          </w:p>
        </w:tc>
        <w:tc>
          <w:tcPr>
            <w:tcW w:w="4440" w:type="dxa"/>
          </w:tcPr>
          <w:p>
            <w:pPr>
              <w:pStyle w:val="yTable"/>
              <w:spacing w:before="46"/>
            </w:pPr>
            <w:r>
              <w:t>Carbon stripping:  premises on which carbon granules from a gold extraction process located at another place or on other premises are reprocessed.</w:t>
            </w:r>
          </w:p>
        </w:tc>
        <w:tc>
          <w:tcPr>
            <w:tcW w:w="1680" w:type="dxa"/>
          </w:tcPr>
          <w:p>
            <w:pPr>
              <w:pStyle w:val="yTable"/>
              <w:spacing w:before="46"/>
            </w:pPr>
            <w:r>
              <w:t>100 tonnes or more per year</w:t>
            </w:r>
          </w:p>
        </w:tc>
      </w:tr>
      <w:tr>
        <w:trPr>
          <w:cantSplit/>
        </w:trPr>
        <w:tc>
          <w:tcPr>
            <w:tcW w:w="1080" w:type="dxa"/>
          </w:tcPr>
          <w:p>
            <w:pPr>
              <w:pStyle w:val="yTable"/>
              <w:spacing w:before="46"/>
              <w:jc w:val="center"/>
            </w:pPr>
            <w:r>
              <w:t>80</w:t>
            </w:r>
          </w:p>
        </w:tc>
        <w:tc>
          <w:tcPr>
            <w:tcW w:w="4440" w:type="dxa"/>
          </w:tcPr>
          <w:p>
            <w:pPr>
              <w:pStyle w:val="yTable"/>
              <w:spacing w:before="46"/>
            </w:pPr>
            <w:r>
              <w:t>Non</w:t>
            </w:r>
            <w:r>
              <w:noBreakHyphen/>
              <w:t>metallic mineral processing:  premises on which non</w:t>
            </w:r>
            <w:r>
              <w:noBreakHyphen/>
              <w:t>metallic minerals are crushed, ground, milled or separated.</w:t>
            </w:r>
          </w:p>
        </w:tc>
        <w:tc>
          <w:tcPr>
            <w:tcW w:w="1680" w:type="dxa"/>
          </w:tcPr>
          <w:p>
            <w:pPr>
              <w:pStyle w:val="yTable"/>
              <w:spacing w:before="46"/>
            </w:pPr>
            <w:r>
              <w:t>100 tonnes or more per year</w:t>
            </w:r>
          </w:p>
        </w:tc>
      </w:tr>
      <w:tr>
        <w:trPr>
          <w:cantSplit/>
        </w:trPr>
        <w:tc>
          <w:tcPr>
            <w:tcW w:w="1080" w:type="dxa"/>
          </w:tcPr>
          <w:p>
            <w:pPr>
              <w:pStyle w:val="yTable"/>
              <w:spacing w:before="46"/>
              <w:jc w:val="center"/>
            </w:pPr>
            <w:r>
              <w:t>81</w:t>
            </w:r>
          </w:p>
        </w:tc>
        <w:tc>
          <w:tcPr>
            <w:tcW w:w="4440" w:type="dxa"/>
          </w:tcPr>
          <w:p>
            <w:pPr>
              <w:pStyle w:val="yTable"/>
              <w:spacing w:before="46"/>
            </w:pPr>
            <w:r>
              <w:t>Metal coating:  premises on which metal products (excluding vehicles) are spray painted, powder coated or enamelled.</w:t>
            </w:r>
          </w:p>
        </w:tc>
        <w:tc>
          <w:tcPr>
            <w:tcW w:w="1680" w:type="dxa"/>
          </w:tcPr>
          <w:p>
            <w:pPr>
              <w:pStyle w:val="yTable"/>
              <w:spacing w:before="46"/>
            </w:pPr>
            <w:r>
              <w:t>1 000 litres or more per year (paint or powder)</w:t>
            </w:r>
          </w:p>
        </w:tc>
      </w:tr>
      <w:tr>
        <w:trPr>
          <w:cantSplit/>
        </w:trPr>
        <w:tc>
          <w:tcPr>
            <w:tcW w:w="1080" w:type="dxa"/>
          </w:tcPr>
          <w:p>
            <w:pPr>
              <w:pStyle w:val="yTable"/>
              <w:spacing w:before="46"/>
              <w:jc w:val="center"/>
            </w:pPr>
            <w:r>
              <w:t>82</w:t>
            </w:r>
          </w:p>
        </w:tc>
        <w:tc>
          <w:tcPr>
            <w:tcW w:w="4440" w:type="dxa"/>
          </w:tcPr>
          <w:p>
            <w:pPr>
              <w:pStyle w:val="yTable"/>
              <w:spacing w:before="46"/>
            </w:pPr>
            <w:r>
              <w:t>Boat building and maintenance:  premises on which — </w:t>
            </w:r>
          </w:p>
          <w:p>
            <w:pPr>
              <w:pStyle w:val="yTable"/>
              <w:spacing w:before="46"/>
              <w:ind w:left="567" w:hanging="567"/>
            </w:pPr>
            <w:r>
              <w:t>(a)</w:t>
            </w:r>
            <w:r>
              <w:tab/>
              <w:t>vessels are commercially built or maintained; and</w:t>
            </w:r>
          </w:p>
          <w:p>
            <w:pPr>
              <w:pStyle w:val="yTable"/>
              <w:spacing w:before="46"/>
              <w:ind w:left="567" w:hanging="567"/>
            </w:pPr>
            <w:r>
              <w:t>(b)</w:t>
            </w:r>
            <w:r>
              <w:tab/>
              <w:t>organotin compounds are not used or removed from vessels.</w:t>
            </w:r>
          </w:p>
        </w:tc>
        <w:tc>
          <w:tcPr>
            <w:tcW w:w="1680" w:type="dxa"/>
          </w:tcPr>
          <w:p>
            <w:pPr>
              <w:pStyle w:val="yTable"/>
              <w:spacing w:before="46"/>
            </w:pPr>
            <w:r>
              <w:t>Not applicable</w:t>
            </w:r>
          </w:p>
        </w:tc>
      </w:tr>
      <w:tr>
        <w:trPr>
          <w:cantSplit/>
        </w:trPr>
        <w:tc>
          <w:tcPr>
            <w:tcW w:w="1080" w:type="dxa"/>
          </w:tcPr>
          <w:p>
            <w:pPr>
              <w:pStyle w:val="yTable"/>
              <w:spacing w:before="46"/>
              <w:jc w:val="center"/>
            </w:pPr>
            <w:r>
              <w:t>83</w:t>
            </w:r>
          </w:p>
        </w:tc>
        <w:tc>
          <w:tcPr>
            <w:tcW w:w="4440" w:type="dxa"/>
          </w:tcPr>
          <w:p>
            <w:pPr>
              <w:pStyle w:val="yTable"/>
              <w:spacing w:before="46"/>
            </w:pPr>
            <w:r>
              <w:t>Fellmongering:  premises on which animal skins or hides are dried, cured or stored.</w:t>
            </w:r>
          </w:p>
        </w:tc>
        <w:tc>
          <w:tcPr>
            <w:tcW w:w="1680" w:type="dxa"/>
          </w:tcPr>
          <w:p>
            <w:pPr>
              <w:pStyle w:val="yTable"/>
              <w:spacing w:before="46"/>
            </w:pPr>
            <w:r>
              <w:t>1 000 skins or hides or more per year</w:t>
            </w:r>
          </w:p>
        </w:tc>
      </w:tr>
      <w:tr>
        <w:trPr>
          <w:cantSplit/>
        </w:trPr>
        <w:tc>
          <w:tcPr>
            <w:tcW w:w="1080" w:type="dxa"/>
          </w:tcPr>
          <w:p>
            <w:pPr>
              <w:pStyle w:val="yTable"/>
              <w:spacing w:before="46"/>
              <w:jc w:val="center"/>
            </w:pPr>
            <w:r>
              <w:t>84</w:t>
            </w:r>
          </w:p>
        </w:tc>
        <w:tc>
          <w:tcPr>
            <w:tcW w:w="4440" w:type="dxa"/>
          </w:tcPr>
          <w:p>
            <w:pPr>
              <w:pStyle w:val="yTable"/>
              <w:spacing w:before="46"/>
            </w:pPr>
            <w:r>
              <w:t>Electric power generation:  premises (other than premises within category 53 or an emergency or standby power generating plant) on which electrical power is commercially generated using natural gas as a fuel.</w:t>
            </w:r>
          </w:p>
        </w:tc>
        <w:tc>
          <w:tcPr>
            <w:tcW w:w="1680" w:type="dxa"/>
          </w:tcPr>
          <w:p>
            <w:pPr>
              <w:pStyle w:val="yTable"/>
              <w:spacing w:before="46"/>
            </w:pPr>
            <w:r>
              <w:t>More than 10 but less than 20 megawatts in aggregate</w:t>
            </w:r>
          </w:p>
        </w:tc>
      </w:tr>
      <w:tr>
        <w:trPr>
          <w:cantSplit/>
        </w:trPr>
        <w:tc>
          <w:tcPr>
            <w:tcW w:w="1080" w:type="dxa"/>
          </w:tcPr>
          <w:p>
            <w:pPr>
              <w:pStyle w:val="yTable"/>
              <w:jc w:val="center"/>
            </w:pPr>
            <w:r>
              <w:t>85</w:t>
            </w:r>
          </w:p>
        </w:tc>
        <w:tc>
          <w:tcPr>
            <w:tcW w:w="4440" w:type="dxa"/>
          </w:tcPr>
          <w:p>
            <w:pPr>
              <w:pStyle w:val="yTable"/>
            </w:pPr>
            <w:r>
              <w:t>Sewage facility: premises — </w:t>
            </w:r>
          </w:p>
          <w:p>
            <w:pPr>
              <w:pStyle w:val="yTable"/>
              <w:ind w:left="568" w:hanging="568"/>
            </w:pPr>
            <w:r>
              <w:t>(a)</w:t>
            </w:r>
            <w:r>
              <w:tab/>
              <w:t>on which sewage is treated (excluding septic tanks); or</w:t>
            </w:r>
          </w:p>
          <w:p>
            <w:pPr>
              <w:pStyle w:val="yTable"/>
              <w:ind w:left="568" w:hanging="568"/>
            </w:pPr>
            <w:r>
              <w:t>(b)</w:t>
            </w:r>
            <w:r>
              <w:tab/>
              <w:t>from which treated sewage is discharged onto land or into waters.</w:t>
            </w:r>
          </w:p>
        </w:tc>
        <w:tc>
          <w:tcPr>
            <w:tcW w:w="1680" w:type="dxa"/>
          </w:tcPr>
          <w:p>
            <w:pPr>
              <w:pStyle w:val="yTable"/>
            </w:pPr>
            <w:r>
              <w:t>More than 20 but less than 100 cubic metres per day</w:t>
            </w:r>
          </w:p>
        </w:tc>
      </w:tr>
      <w:tr>
        <w:trPr>
          <w:cantSplit/>
        </w:trPr>
        <w:tc>
          <w:tcPr>
            <w:tcW w:w="1080" w:type="dxa"/>
          </w:tcPr>
          <w:p>
            <w:pPr>
              <w:pStyle w:val="yTable"/>
              <w:jc w:val="center"/>
            </w:pPr>
            <w:r>
              <w:t>85A</w:t>
            </w:r>
          </w:p>
        </w:tc>
        <w:tc>
          <w:tcPr>
            <w:tcW w:w="4440" w:type="dxa"/>
          </w:tcPr>
          <w:p>
            <w:pPr>
              <w:pStyle w:val="yTable"/>
              <w:ind w:left="1" w:hanging="1"/>
            </w:pPr>
            <w:r>
              <w:t xml:space="preserve">Sewage pumping station: premises on which sewage is pumped (other than to or from septic tanks) and where a discharge of waste from the station may enter the </w:t>
            </w:r>
            <w:smartTag w:uri="urn:schemas-microsoft-com:office:smarttags" w:element="PlaceName">
              <w:r>
                <w:t>Swan</w:t>
              </w:r>
            </w:smartTag>
            <w:r>
              <w:t xml:space="preserve"> </w:t>
            </w:r>
            <w:smartTag w:uri="urn:schemas-microsoft-com:office:smarttags" w:element="PlaceType">
              <w:r>
                <w:t>River</w:t>
              </w:r>
            </w:smartTag>
            <w:r>
              <w:t xml:space="preserve"> or the </w:t>
            </w:r>
            <w:smartTag w:uri="urn:schemas-microsoft-com:office:smarttags" w:element="place">
              <w:smartTag w:uri="urn:schemas-microsoft-com:office:smarttags" w:element="PlaceName">
                <w:r>
                  <w:t>Canning</w:t>
                </w:r>
              </w:smartTag>
              <w:r>
                <w:t xml:space="preserve"> </w:t>
              </w:r>
              <w:smartTag w:uri="urn:schemas-microsoft-com:office:smarttags" w:element="PlaceType">
                <w:r>
                  <w:t>River</w:t>
                </w:r>
              </w:smartTag>
            </w:smartTag>
            <w:r>
              <w:t>.</w:t>
            </w:r>
          </w:p>
        </w:tc>
        <w:tc>
          <w:tcPr>
            <w:tcW w:w="1680" w:type="dxa"/>
          </w:tcPr>
          <w:p>
            <w:pPr>
              <w:pStyle w:val="yTable"/>
            </w:pPr>
            <w:r>
              <w:t>Not applicable</w:t>
            </w:r>
          </w:p>
        </w:tc>
      </w:tr>
      <w:tr>
        <w:trPr>
          <w:cantSplit/>
        </w:trPr>
        <w:tc>
          <w:tcPr>
            <w:tcW w:w="1080" w:type="dxa"/>
          </w:tcPr>
          <w:p>
            <w:pPr>
              <w:pStyle w:val="yTable"/>
              <w:jc w:val="center"/>
            </w:pPr>
            <w:r>
              <w:t>85B</w:t>
            </w:r>
          </w:p>
        </w:tc>
        <w:tc>
          <w:tcPr>
            <w:tcW w:w="4440" w:type="dxa"/>
          </w:tcPr>
          <w:p>
            <w:pPr>
              <w:pStyle w:val="yTable"/>
              <w:ind w:left="1" w:hanging="1"/>
            </w:pPr>
            <w:r>
              <w:t>Water desalination plant: premises at which salt is extracted from water if waste water is discharged onto land or into waters (other than marine waters).</w:t>
            </w:r>
          </w:p>
        </w:tc>
        <w:tc>
          <w:tcPr>
            <w:tcW w:w="1680" w:type="dxa"/>
          </w:tcPr>
          <w:p>
            <w:pPr>
              <w:pStyle w:val="yTable"/>
            </w:pPr>
            <w:r>
              <w:t>0.50 gigalitres or more per year</w:t>
            </w:r>
          </w:p>
        </w:tc>
      </w:tr>
      <w:tr>
        <w:trPr>
          <w:cantSplit/>
        </w:trPr>
        <w:tc>
          <w:tcPr>
            <w:tcW w:w="1080" w:type="dxa"/>
          </w:tcPr>
          <w:p>
            <w:pPr>
              <w:pStyle w:val="yTable"/>
              <w:jc w:val="center"/>
            </w:pPr>
            <w:r>
              <w:t>86</w:t>
            </w:r>
          </w:p>
        </w:tc>
        <w:tc>
          <w:tcPr>
            <w:tcW w:w="4440" w:type="dxa"/>
          </w:tcPr>
          <w:p>
            <w:pPr>
              <w:pStyle w:val="yTable"/>
            </w:pPr>
            <w:r>
              <w:t>Bulk material loading or unloading:  premises on which clinker, coal, ore, ore concentrate or any other bulk granular material is loaded onto or unloaded from vessels by a closed materials loading system.</w:t>
            </w:r>
          </w:p>
        </w:tc>
        <w:tc>
          <w:tcPr>
            <w:tcW w:w="1680" w:type="dxa"/>
          </w:tcPr>
          <w:p>
            <w:pPr>
              <w:pStyle w:val="yTable"/>
            </w:pPr>
            <w:r>
              <w:t>100 tonnes or more per day</w:t>
            </w:r>
          </w:p>
        </w:tc>
      </w:tr>
      <w:tr>
        <w:trPr>
          <w:cantSplit/>
        </w:trPr>
        <w:tc>
          <w:tcPr>
            <w:tcW w:w="1080" w:type="dxa"/>
          </w:tcPr>
          <w:p>
            <w:pPr>
              <w:pStyle w:val="yTable"/>
              <w:jc w:val="center"/>
            </w:pPr>
            <w:r>
              <w:t>87</w:t>
            </w:r>
          </w:p>
        </w:tc>
        <w:tc>
          <w:tcPr>
            <w:tcW w:w="4440" w:type="dxa"/>
          </w:tcPr>
          <w:p>
            <w:pPr>
              <w:pStyle w:val="yTable"/>
            </w:pPr>
            <w:r>
              <w:t>Fuel burning:  premises on which gaseous, liquid or solid fuel with a sulphur content of less than 0.25% is burnt in a boiler for the supply of steam or in power generation equipment.</w:t>
            </w:r>
          </w:p>
        </w:tc>
        <w:tc>
          <w:tcPr>
            <w:tcW w:w="1680" w:type="dxa"/>
          </w:tcPr>
          <w:p>
            <w:pPr>
              <w:pStyle w:val="yTable"/>
            </w:pPr>
            <w:r>
              <w:t>More than 500 but less than 2 000 kilograms per hour in aggregate</w:t>
            </w:r>
          </w:p>
        </w:tc>
      </w:tr>
      <w:tr>
        <w:trPr>
          <w:cantSplit/>
        </w:trPr>
        <w:tc>
          <w:tcPr>
            <w:tcW w:w="1080" w:type="dxa"/>
          </w:tcPr>
          <w:p>
            <w:pPr>
              <w:pStyle w:val="yTable"/>
              <w:jc w:val="center"/>
            </w:pPr>
            <w:r>
              <w:t>88</w:t>
            </w:r>
          </w:p>
        </w:tc>
        <w:tc>
          <w:tcPr>
            <w:tcW w:w="4440" w:type="dxa"/>
          </w:tcPr>
          <w:p>
            <w:pPr>
              <w:pStyle w:val="yTable"/>
            </w:pPr>
            <w:r>
              <w:t>Metal finishing: premises on which —</w:t>
            </w:r>
          </w:p>
          <w:p>
            <w:pPr>
              <w:pStyle w:val="yTable"/>
              <w:ind w:left="567" w:hanging="567"/>
            </w:pPr>
            <w:r>
              <w:t>(a)</w:t>
            </w:r>
            <w:r>
              <w:tab/>
              <w:t>metals are chemically cleaned or metals, plastics or metal or plastic products are plated, electroplated, anodised, coloured or otherwise coated or finished; and</w:t>
            </w:r>
          </w:p>
          <w:p>
            <w:pPr>
              <w:pStyle w:val="yTable"/>
              <w:tabs>
                <w:tab w:val="left" w:pos="601"/>
              </w:tabs>
              <w:ind w:left="601" w:hanging="601"/>
            </w:pPr>
            <w:r>
              <w:t>(b)</w:t>
            </w:r>
            <w:r>
              <w:tab/>
              <w:t>from which liquid waste is discharged into a sewer.</w:t>
            </w:r>
          </w:p>
        </w:tc>
        <w:tc>
          <w:tcPr>
            <w:tcW w:w="1680" w:type="dxa"/>
          </w:tcPr>
          <w:p>
            <w:pPr>
              <w:pStyle w:val="yTable"/>
            </w:pPr>
            <w:r>
              <w:t>Not applicable</w:t>
            </w:r>
          </w:p>
        </w:tc>
      </w:tr>
      <w:tr>
        <w:trPr>
          <w:cantSplit/>
        </w:trPr>
        <w:tc>
          <w:tcPr>
            <w:tcW w:w="1080" w:type="dxa"/>
          </w:tcPr>
          <w:p>
            <w:pPr>
              <w:pStyle w:val="yTable"/>
              <w:keepNext/>
              <w:jc w:val="center"/>
            </w:pPr>
            <w:r>
              <w:t>89</w:t>
            </w:r>
          </w:p>
        </w:tc>
        <w:tc>
          <w:tcPr>
            <w:tcW w:w="4440" w:type="dxa"/>
          </w:tcPr>
          <w:p>
            <w:pPr>
              <w:pStyle w:val="yTable"/>
              <w:keepNext/>
            </w:pPr>
            <w:r>
              <w:t>Putrescible landfill site: premises on which waste (as determined by reference to the waste type set out in the document entitled “Landfill Waste Classification and Waste Definitions 1996” published by the Chief Executive Officer, as amended from time to time) is accepted for burial.</w:t>
            </w:r>
          </w:p>
        </w:tc>
        <w:tc>
          <w:tcPr>
            <w:tcW w:w="1680" w:type="dxa"/>
          </w:tcPr>
          <w:p>
            <w:pPr>
              <w:pStyle w:val="yTable"/>
              <w:keepNext/>
            </w:pPr>
            <w:r>
              <w:t>More than 20 but less than 5 000 tonnes per year</w:t>
            </w:r>
          </w:p>
        </w:tc>
      </w:tr>
    </w:tbl>
    <w:p>
      <w:pPr>
        <w:pStyle w:val="yFootnotesection"/>
      </w:pPr>
      <w:r>
        <w:tab/>
        <w:t>[Schedule 1 inserted in Gazette 13 Sep 1996 p. 4549</w:t>
      </w:r>
      <w:r>
        <w:noBreakHyphen/>
        <w:t>59; amended in Gazette 10 Dec 1996 p. 6877; 12 Sep 1997 p. 5151; 15 Aug 2000 p. 4715</w:t>
      </w:r>
      <w:r>
        <w:noBreakHyphen/>
        <w:t>17; 14 Jun 2002 p. 2793</w:t>
      </w:r>
      <w:r>
        <w:noBreakHyphen/>
        <w:t xml:space="preserve">4; 13 Dec 2005 p. 5983; 22 Jun 2007 p. 2843; 23 Jul 2010 p. 3401.] </w:t>
      </w:r>
    </w:p>
    <w:p>
      <w:pPr>
        <w:pStyle w:val="yScheduleHeading"/>
        <w:rPr>
          <w:del w:id="1166" w:author="Master Repository Process" w:date="2021-08-01T12:45:00Z"/>
        </w:rPr>
      </w:pPr>
      <w:bookmarkStart w:id="1167" w:name="_Toc12952249"/>
      <w:bookmarkStart w:id="1168" w:name="_Toc94331085"/>
      <w:bookmarkStart w:id="1169" w:name="_Toc122159477"/>
      <w:bookmarkStart w:id="1170" w:name="_Toc122232977"/>
      <w:bookmarkStart w:id="1171" w:name="_Toc147220614"/>
      <w:bookmarkStart w:id="1172" w:name="_Toc147223965"/>
      <w:bookmarkStart w:id="1173" w:name="_Toc165445000"/>
      <w:bookmarkStart w:id="1174" w:name="_Toc170557780"/>
      <w:bookmarkStart w:id="1175" w:name="_Toc170795171"/>
      <w:bookmarkStart w:id="1176" w:name="_Toc172709273"/>
      <w:bookmarkStart w:id="1177" w:name="_Toc172964757"/>
      <w:bookmarkStart w:id="1178" w:name="_Toc174158474"/>
      <w:bookmarkStart w:id="1179" w:name="_Toc174359027"/>
      <w:bookmarkStart w:id="1180" w:name="_Toc174518618"/>
      <w:bookmarkStart w:id="1181" w:name="_Toc176170563"/>
      <w:bookmarkStart w:id="1182" w:name="_Toc181431122"/>
      <w:bookmarkStart w:id="1183" w:name="_Toc181497578"/>
      <w:bookmarkStart w:id="1184" w:name="_Toc202254245"/>
      <w:bookmarkStart w:id="1185" w:name="_Toc267572160"/>
      <w:bookmarkStart w:id="1186" w:name="_Toc281461069"/>
      <w:bookmarkStart w:id="1187" w:name="_Toc318383387"/>
      <w:bookmarkStart w:id="1188" w:name="_Toc318383507"/>
      <w:ins w:id="1189" w:author="Master Repository Process" w:date="2021-08-01T12:45:00Z">
        <w:r>
          <w:t>[</w:t>
        </w:r>
      </w:ins>
      <w:r>
        <w:t>Schedule</w:t>
      </w:r>
      <w:del w:id="1190" w:author="Master Repository Process" w:date="2021-08-01T12:45:00Z">
        <w:r>
          <w:rPr>
            <w:rStyle w:val="CharSchNo"/>
          </w:rPr>
          <w:delText> </w:delText>
        </w:r>
      </w:del>
      <w:ins w:id="1191" w:author="Master Repository Process" w:date="2021-08-01T12:45:00Z">
        <w:r>
          <w:t xml:space="preserve"> </w:t>
        </w:r>
      </w:ins>
      <w:r>
        <w:t>2</w:t>
      </w:r>
      <w:del w:id="1192" w:author="Master Repository Process" w:date="2021-08-01T12:45:00Z">
        <w:r>
          <w:rPr>
            <w:rStyle w:val="CharSDivNo"/>
          </w:rPr>
          <w:delText> </w:delText>
        </w:r>
        <w:r>
          <w:delText>—</w:delText>
        </w:r>
        <w:r>
          <w:rPr>
            <w:rStyle w:val="CharSDivText"/>
          </w:rPr>
          <w:delText> </w:delText>
        </w:r>
        <w:r>
          <w:rPr>
            <w:rStyle w:val="CharSchText"/>
          </w:rPr>
          <w:delText>Premises subject to registration</w:delText>
        </w:r>
      </w:del>
    </w:p>
    <w:p>
      <w:pPr>
        <w:pStyle w:val="yShoulderClause"/>
        <w:rPr>
          <w:del w:id="1193" w:author="Master Repository Process" w:date="2021-08-01T12:45:00Z"/>
          <w:snapToGrid w:val="0"/>
        </w:rPr>
      </w:pPr>
      <w:del w:id="1194" w:author="Master Repository Process" w:date="2021-08-01T12:45:00Z">
        <w:r>
          <w:rPr>
            <w:snapToGrid w:val="0"/>
          </w:rPr>
          <w:delText>[r. 5B]</w:delText>
        </w:r>
      </w:del>
    </w:p>
    <w:p>
      <w:pPr>
        <w:pStyle w:val="yTable"/>
        <w:jc w:val="right"/>
        <w:rPr>
          <w:del w:id="1195" w:author="Master Repository Process" w:date="2021-08-01T12:45:00Z"/>
          <w:snapToGrid w:val="0"/>
        </w:rPr>
      </w:pPr>
    </w:p>
    <w:tbl>
      <w:tblPr>
        <w:tblW w:w="6960" w:type="dxa"/>
        <w:tblInd w:w="177" w:type="dxa"/>
        <w:tblLayout w:type="fixed"/>
        <w:tblCellMar>
          <w:left w:w="57" w:type="dxa"/>
          <w:right w:w="360" w:type="dxa"/>
        </w:tblCellMar>
        <w:tblLook w:val="0000" w:firstRow="0" w:lastRow="0" w:firstColumn="0" w:lastColumn="0" w:noHBand="0" w:noVBand="0"/>
      </w:tblPr>
      <w:tblGrid>
        <w:gridCol w:w="3840"/>
        <w:gridCol w:w="3120"/>
      </w:tblGrid>
      <w:tr>
        <w:trPr>
          <w:del w:id="1196" w:author="Master Repository Process" w:date="2021-08-01T12:45:00Z"/>
        </w:trPr>
        <w:tc>
          <w:tcPr>
            <w:tcW w:w="3840" w:type="dxa"/>
          </w:tcPr>
          <w:p>
            <w:pPr>
              <w:pStyle w:val="yTable"/>
              <w:spacing w:after="120"/>
              <w:jc w:val="center"/>
              <w:rPr>
                <w:del w:id="1197" w:author="Master Repository Process" w:date="2021-08-01T12:45:00Z"/>
                <w:b/>
              </w:rPr>
            </w:pPr>
            <w:del w:id="1198" w:author="Master Repository Process" w:date="2021-08-01T12:45:00Z">
              <w:r>
                <w:rPr>
                  <w:b/>
                </w:rPr>
                <w:delText>Description of premises</w:delText>
              </w:r>
            </w:del>
          </w:p>
        </w:tc>
        <w:tc>
          <w:tcPr>
            <w:tcW w:w="3120" w:type="dxa"/>
          </w:tcPr>
          <w:p>
            <w:pPr>
              <w:pStyle w:val="yTable"/>
              <w:spacing w:after="120"/>
              <w:jc w:val="center"/>
              <w:rPr>
                <w:del w:id="1199" w:author="Master Repository Process" w:date="2021-08-01T12:45:00Z"/>
                <w:b/>
              </w:rPr>
            </w:pPr>
            <w:del w:id="1200" w:author="Master Repository Process" w:date="2021-08-01T12:45:00Z">
              <w:r>
                <w:rPr>
                  <w:b/>
                </w:rPr>
                <w:delText>Production or design capacity</w:delText>
              </w:r>
            </w:del>
          </w:p>
        </w:tc>
      </w:tr>
      <w:tr>
        <w:trPr>
          <w:del w:id="1201" w:author="Master Repository Process" w:date="2021-08-01T12:45:00Z"/>
        </w:trPr>
        <w:tc>
          <w:tcPr>
            <w:tcW w:w="3840" w:type="dxa"/>
          </w:tcPr>
          <w:p>
            <w:pPr>
              <w:pStyle w:val="yTable"/>
              <w:ind w:left="491" w:hanging="491"/>
              <w:rPr>
                <w:del w:id="1202" w:author="Master Repository Process" w:date="2021-08-01T12:45:00Z"/>
              </w:rPr>
            </w:pPr>
            <w:del w:id="1203" w:author="Master Repository Process" w:date="2021-08-01T12:45:00Z">
              <w:r>
                <w:delText>1.</w:delText>
              </w:r>
              <w:r>
                <w:tab/>
                <w:delText>Abattoir:  premises on which animals are slaughtered.</w:delText>
              </w:r>
            </w:del>
          </w:p>
        </w:tc>
        <w:tc>
          <w:tcPr>
            <w:tcW w:w="3120" w:type="dxa"/>
          </w:tcPr>
          <w:p>
            <w:pPr>
              <w:pStyle w:val="yTable"/>
              <w:rPr>
                <w:del w:id="1204" w:author="Master Repository Process" w:date="2021-08-01T12:45:00Z"/>
              </w:rPr>
            </w:pPr>
            <w:del w:id="1205" w:author="Master Repository Process" w:date="2021-08-01T12:45:00Z">
              <w:r>
                <w:delText>More than 100 but less than 1 000 tonnes per year</w:delText>
              </w:r>
            </w:del>
          </w:p>
        </w:tc>
      </w:tr>
      <w:tr>
        <w:trPr>
          <w:del w:id="1206" w:author="Master Repository Process" w:date="2021-08-01T12:45:00Z"/>
        </w:trPr>
        <w:tc>
          <w:tcPr>
            <w:tcW w:w="3840" w:type="dxa"/>
          </w:tcPr>
          <w:p>
            <w:pPr>
              <w:pStyle w:val="yTable"/>
              <w:ind w:left="491" w:hanging="491"/>
              <w:rPr>
                <w:del w:id="1207" w:author="Master Repository Process" w:date="2021-08-01T12:45:00Z"/>
              </w:rPr>
            </w:pPr>
            <w:del w:id="1208" w:author="Master Repository Process" w:date="2021-08-01T12:45:00Z">
              <w:r>
                <w:delText>2.</w:delText>
              </w:r>
              <w:r>
                <w:tab/>
                <w:delText>Smoking, drying or curing operations: premises (other than a retail butcher shop or chicken outlet) on which meat or other edible products are smoked, dried or cured.</w:delText>
              </w:r>
            </w:del>
          </w:p>
        </w:tc>
        <w:tc>
          <w:tcPr>
            <w:tcW w:w="3120" w:type="dxa"/>
          </w:tcPr>
          <w:p>
            <w:pPr>
              <w:pStyle w:val="yTable"/>
              <w:rPr>
                <w:del w:id="1209" w:author="Master Repository Process" w:date="2021-08-01T12:45:00Z"/>
              </w:rPr>
            </w:pPr>
            <w:del w:id="1210" w:author="Master Repository Process" w:date="2021-08-01T12:45:00Z">
              <w:r>
                <w:delText>More than 200 tonnes per year</w:delText>
              </w:r>
            </w:del>
          </w:p>
        </w:tc>
      </w:tr>
      <w:tr>
        <w:trPr>
          <w:del w:id="1211" w:author="Master Repository Process" w:date="2021-08-01T12:45:00Z"/>
        </w:trPr>
        <w:tc>
          <w:tcPr>
            <w:tcW w:w="3840" w:type="dxa"/>
          </w:tcPr>
          <w:p>
            <w:pPr>
              <w:pStyle w:val="yTable"/>
              <w:ind w:left="491" w:hanging="491"/>
              <w:rPr>
                <w:del w:id="1212" w:author="Master Repository Process" w:date="2021-08-01T12:45:00Z"/>
              </w:rPr>
            </w:pPr>
            <w:del w:id="1213" w:author="Master Repository Process" w:date="2021-08-01T12:45:00Z">
              <w:r>
                <w:delText>3.</w:delText>
              </w:r>
              <w:r>
                <w:tab/>
                <w:delText>Fibreglass reinforced plastic manufacturing:  premises on which resin is used to prepare or manufacture reinforced plastics or reinforced plastic products.</w:delText>
              </w:r>
            </w:del>
          </w:p>
        </w:tc>
        <w:tc>
          <w:tcPr>
            <w:tcW w:w="3120" w:type="dxa"/>
          </w:tcPr>
          <w:p>
            <w:pPr>
              <w:pStyle w:val="yTable"/>
              <w:rPr>
                <w:del w:id="1214" w:author="Master Repository Process" w:date="2021-08-01T12:45:00Z"/>
              </w:rPr>
            </w:pPr>
            <w:del w:id="1215" w:author="Master Repository Process" w:date="2021-08-01T12:45:00Z">
              <w:r>
                <w:delText>More than 1 tonne per year</w:delText>
              </w:r>
            </w:del>
          </w:p>
        </w:tc>
      </w:tr>
      <w:tr>
        <w:trPr>
          <w:del w:id="1216" w:author="Master Repository Process" w:date="2021-08-01T12:45:00Z"/>
        </w:trPr>
        <w:tc>
          <w:tcPr>
            <w:tcW w:w="3840" w:type="dxa"/>
          </w:tcPr>
          <w:p>
            <w:pPr>
              <w:pStyle w:val="yTable"/>
              <w:ind w:left="491" w:hanging="491"/>
              <w:rPr>
                <w:del w:id="1217" w:author="Master Repository Process" w:date="2021-08-01T12:45:00Z"/>
              </w:rPr>
            </w:pPr>
            <w:del w:id="1218" w:author="Master Repository Process" w:date="2021-08-01T12:45:00Z">
              <w:r>
                <w:delText>4.</w:delText>
              </w:r>
              <w:r>
                <w:tab/>
                <w:delText>Water treatment facility:  premises on which water is treated for domestic use.</w:delText>
              </w:r>
            </w:del>
          </w:p>
        </w:tc>
        <w:tc>
          <w:tcPr>
            <w:tcW w:w="3120" w:type="dxa"/>
          </w:tcPr>
          <w:p>
            <w:pPr>
              <w:pStyle w:val="yTable"/>
              <w:rPr>
                <w:del w:id="1219" w:author="Master Repository Process" w:date="2021-08-01T12:45:00Z"/>
              </w:rPr>
            </w:pPr>
            <w:del w:id="1220" w:author="Master Repository Process" w:date="2021-08-01T12:45:00Z">
              <w:r>
                <w:delText>More than 1 megalitre per day</w:delText>
              </w:r>
            </w:del>
          </w:p>
        </w:tc>
      </w:tr>
      <w:tr>
        <w:trPr>
          <w:del w:id="1221" w:author="Master Repository Process" w:date="2021-08-01T12:45:00Z"/>
        </w:trPr>
        <w:tc>
          <w:tcPr>
            <w:tcW w:w="3840" w:type="dxa"/>
          </w:tcPr>
          <w:p>
            <w:pPr>
              <w:pStyle w:val="yTable"/>
              <w:ind w:left="491" w:hanging="491"/>
              <w:rPr>
                <w:del w:id="1222" w:author="Master Repository Process" w:date="2021-08-01T12:45:00Z"/>
              </w:rPr>
            </w:pPr>
            <w:del w:id="1223" w:author="Master Repository Process" w:date="2021-08-01T12:45:00Z">
              <w:r>
                <w:delText>5.</w:delText>
              </w:r>
              <w:r>
                <w:tab/>
                <w:delText>Abrasive blasting operations:  premises on which metal or other material is cleaned or abraded by blasting with any abrasive blasting material or abrasive blasting equipment.</w:delText>
              </w:r>
            </w:del>
          </w:p>
        </w:tc>
        <w:tc>
          <w:tcPr>
            <w:tcW w:w="3120" w:type="dxa"/>
          </w:tcPr>
          <w:p>
            <w:pPr>
              <w:pStyle w:val="yTable"/>
              <w:rPr>
                <w:del w:id="1224" w:author="Master Repository Process" w:date="2021-08-01T12:45:00Z"/>
              </w:rPr>
            </w:pPr>
            <w:del w:id="1225" w:author="Master Repository Process" w:date="2021-08-01T12:45:00Z">
              <w:r>
                <w:delText>Not applicable</w:delText>
              </w:r>
            </w:del>
          </w:p>
        </w:tc>
      </w:tr>
    </w:tbl>
    <w:p>
      <w:pPr>
        <w:pStyle w:val="yEdnoteschedule"/>
      </w:pPr>
      <w:del w:id="1226" w:author="Master Repository Process" w:date="2021-08-01T12:45:00Z">
        <w:r>
          <w:tab/>
          <w:delText>[Schedule 2 inserted</w:delText>
        </w:r>
      </w:del>
      <w:ins w:id="1227" w:author="Master Repository Process" w:date="2021-08-01T12:45:00Z">
        <w:r>
          <w:t xml:space="preserve"> deleted</w:t>
        </w:r>
      </w:ins>
      <w:r>
        <w:t xml:space="preserve"> in Gazette </w:t>
      </w:r>
      <w:del w:id="1228" w:author="Master Repository Process" w:date="2021-08-01T12:45:00Z">
        <w:r>
          <w:delText>13 Sep 1996</w:delText>
        </w:r>
      </w:del>
      <w:ins w:id="1229" w:author="Master Repository Process" w:date="2021-08-01T12:45:00Z">
        <w:r>
          <w:t>8 May 2012</w:t>
        </w:r>
      </w:ins>
      <w:r>
        <w:t xml:space="preserve"> p. </w:t>
      </w:r>
      <w:del w:id="1230" w:author="Master Repository Process" w:date="2021-08-01T12:45:00Z">
        <w:r>
          <w:delText xml:space="preserve">4559.] </w:delText>
        </w:r>
      </w:del>
      <w:ins w:id="1231" w:author="Master Repository Process" w:date="2021-08-01T12:45:00Z">
        <w:r>
          <w:t>1893.]</w:t>
        </w:r>
      </w:ins>
    </w:p>
    <w:p>
      <w:pPr>
        <w:pStyle w:val="yScheduleHeading"/>
      </w:pPr>
      <w:bookmarkStart w:id="1232" w:name="_Toc12952250"/>
      <w:bookmarkStart w:id="1233" w:name="_Toc94331086"/>
      <w:bookmarkStart w:id="1234" w:name="_Toc122159478"/>
      <w:bookmarkStart w:id="1235" w:name="_Toc122232978"/>
      <w:bookmarkStart w:id="1236" w:name="_Toc147220615"/>
      <w:bookmarkStart w:id="1237" w:name="_Toc147223966"/>
      <w:bookmarkStart w:id="1238" w:name="_Toc165445001"/>
      <w:bookmarkStart w:id="1239" w:name="_Toc170557781"/>
      <w:bookmarkStart w:id="1240" w:name="_Toc170795172"/>
      <w:bookmarkStart w:id="1241" w:name="_Toc172709274"/>
      <w:bookmarkStart w:id="1242" w:name="_Toc172964758"/>
      <w:bookmarkStart w:id="1243" w:name="_Toc174158475"/>
      <w:bookmarkStart w:id="1244" w:name="_Toc174359028"/>
      <w:bookmarkStart w:id="1245" w:name="_Toc174518619"/>
      <w:bookmarkStart w:id="1246" w:name="_Toc176170564"/>
      <w:bookmarkStart w:id="1247" w:name="_Toc181431123"/>
      <w:bookmarkStart w:id="1248" w:name="_Toc181497579"/>
      <w:bookmarkStart w:id="1249" w:name="_Toc202254246"/>
      <w:bookmarkStart w:id="1250" w:name="_Toc267572161"/>
      <w:bookmarkStart w:id="1251" w:name="_Toc281461070"/>
      <w:bookmarkStart w:id="1252" w:name="_Toc318383388"/>
      <w:bookmarkStart w:id="1253" w:name="_Toc318383508"/>
      <w:bookmarkStart w:id="1254" w:name="_Toc324153623"/>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r>
        <w:rPr>
          <w:rStyle w:val="CharSchNo"/>
        </w:rPr>
        <w:t>Schedule 3</w:t>
      </w:r>
      <w:r>
        <w:t> — </w:t>
      </w:r>
      <w:r>
        <w:rPr>
          <w:rStyle w:val="CharSchText"/>
        </w:rPr>
        <w:t>Works approval fee</w:t>
      </w:r>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p>
    <w:p>
      <w:pPr>
        <w:pStyle w:val="yShoulderClause"/>
        <w:rPr>
          <w:snapToGrid w:val="0"/>
        </w:rPr>
      </w:pPr>
      <w:r>
        <w:rPr>
          <w:snapToGrid w:val="0"/>
        </w:rPr>
        <w:t>[r. 5C]</w:t>
      </w:r>
    </w:p>
    <w:p>
      <w:pPr>
        <w:pStyle w:val="yTable"/>
        <w:jc w:val="right"/>
        <w:rPr>
          <w:snapToGrid w:val="0"/>
        </w:rPr>
      </w:pPr>
    </w:p>
    <w:tbl>
      <w:tblPr>
        <w:tblW w:w="0" w:type="auto"/>
        <w:tblInd w:w="85" w:type="dxa"/>
        <w:tblLayout w:type="fixed"/>
        <w:tblCellMar>
          <w:left w:w="85" w:type="dxa"/>
          <w:right w:w="85" w:type="dxa"/>
        </w:tblCellMar>
        <w:tblLook w:val="0000" w:firstRow="0" w:lastRow="0" w:firstColumn="0" w:lastColumn="0" w:noHBand="0" w:noVBand="0"/>
      </w:tblPr>
      <w:tblGrid>
        <w:gridCol w:w="3828"/>
        <w:gridCol w:w="3402"/>
      </w:tblGrid>
      <w:tr>
        <w:tc>
          <w:tcPr>
            <w:tcW w:w="3828" w:type="dxa"/>
          </w:tcPr>
          <w:p>
            <w:pPr>
              <w:pStyle w:val="yTable"/>
              <w:spacing w:after="120"/>
              <w:jc w:val="center"/>
              <w:rPr>
                <w:b/>
              </w:rPr>
            </w:pPr>
            <w:r>
              <w:rPr>
                <w:b/>
              </w:rPr>
              <w:t>Cost of works</w:t>
            </w:r>
          </w:p>
        </w:tc>
        <w:tc>
          <w:tcPr>
            <w:tcW w:w="3402" w:type="dxa"/>
          </w:tcPr>
          <w:p>
            <w:pPr>
              <w:pStyle w:val="yTable"/>
              <w:spacing w:after="120"/>
              <w:jc w:val="center"/>
              <w:rPr>
                <w:b/>
              </w:rPr>
            </w:pPr>
            <w:r>
              <w:rPr>
                <w:b/>
              </w:rPr>
              <w:t>Fee units</w:t>
            </w:r>
          </w:p>
        </w:tc>
      </w:tr>
      <w:tr>
        <w:tc>
          <w:tcPr>
            <w:tcW w:w="3828" w:type="dxa"/>
          </w:tcPr>
          <w:p>
            <w:pPr>
              <w:pStyle w:val="yTable"/>
            </w:pPr>
            <w:r>
              <w:t>Not more than $10 000</w:t>
            </w:r>
          </w:p>
        </w:tc>
        <w:tc>
          <w:tcPr>
            <w:tcW w:w="3402" w:type="dxa"/>
          </w:tcPr>
          <w:p>
            <w:pPr>
              <w:pStyle w:val="yTable"/>
            </w:pPr>
            <w:r>
              <w:t>15</w:t>
            </w:r>
          </w:p>
        </w:tc>
      </w:tr>
      <w:tr>
        <w:tc>
          <w:tcPr>
            <w:tcW w:w="3828" w:type="dxa"/>
          </w:tcPr>
          <w:p>
            <w:pPr>
              <w:pStyle w:val="yTable"/>
            </w:pPr>
            <w:r>
              <w:t>More than $10 000 but not more than $50 000</w:t>
            </w:r>
          </w:p>
        </w:tc>
        <w:tc>
          <w:tcPr>
            <w:tcW w:w="3402" w:type="dxa"/>
          </w:tcPr>
          <w:p>
            <w:pPr>
              <w:pStyle w:val="yTable"/>
            </w:pPr>
            <w:r>
              <w:t>15 plus 5 for every $10 000 above $10 000</w:t>
            </w:r>
          </w:p>
        </w:tc>
      </w:tr>
      <w:tr>
        <w:tc>
          <w:tcPr>
            <w:tcW w:w="3828" w:type="dxa"/>
          </w:tcPr>
          <w:p>
            <w:pPr>
              <w:pStyle w:val="yTable"/>
            </w:pPr>
            <w:r>
              <w:t>More than $50 000 but not more than $500 000</w:t>
            </w:r>
          </w:p>
        </w:tc>
        <w:tc>
          <w:tcPr>
            <w:tcW w:w="3402" w:type="dxa"/>
          </w:tcPr>
          <w:p>
            <w:pPr>
              <w:pStyle w:val="yTable"/>
            </w:pPr>
            <w:r>
              <w:t>35 plus 10 for every $50 000 above $50 000</w:t>
            </w:r>
          </w:p>
        </w:tc>
      </w:tr>
      <w:tr>
        <w:tc>
          <w:tcPr>
            <w:tcW w:w="3828" w:type="dxa"/>
          </w:tcPr>
          <w:p>
            <w:pPr>
              <w:pStyle w:val="yTable"/>
            </w:pPr>
            <w:r>
              <w:t>More than $500 000 but not more than $5 000 000</w:t>
            </w:r>
          </w:p>
        </w:tc>
        <w:tc>
          <w:tcPr>
            <w:tcW w:w="3402" w:type="dxa"/>
          </w:tcPr>
          <w:p>
            <w:pPr>
              <w:pStyle w:val="yTable"/>
            </w:pPr>
            <w:r>
              <w:t>125 plus 20 for every $500 000 above $500 000</w:t>
            </w:r>
          </w:p>
        </w:tc>
      </w:tr>
      <w:tr>
        <w:tc>
          <w:tcPr>
            <w:tcW w:w="3828" w:type="dxa"/>
          </w:tcPr>
          <w:p>
            <w:pPr>
              <w:pStyle w:val="yTable"/>
            </w:pPr>
            <w:r>
              <w:t>More than $5 000 000 but not more than $25 000 000</w:t>
            </w:r>
          </w:p>
        </w:tc>
        <w:tc>
          <w:tcPr>
            <w:tcW w:w="3402" w:type="dxa"/>
          </w:tcPr>
          <w:p>
            <w:pPr>
              <w:pStyle w:val="yTable"/>
            </w:pPr>
            <w:r>
              <w:t>305 plus 100 for every $5 000 000 above $5 000 000</w:t>
            </w:r>
          </w:p>
        </w:tc>
      </w:tr>
      <w:tr>
        <w:tc>
          <w:tcPr>
            <w:tcW w:w="3828" w:type="dxa"/>
          </w:tcPr>
          <w:p>
            <w:pPr>
              <w:pStyle w:val="yTable"/>
            </w:pPr>
            <w:r>
              <w:t>More than $25 000 000 but not more than $100 000 000</w:t>
            </w:r>
          </w:p>
        </w:tc>
        <w:tc>
          <w:tcPr>
            <w:tcW w:w="3402" w:type="dxa"/>
          </w:tcPr>
          <w:p>
            <w:pPr>
              <w:pStyle w:val="yTable"/>
            </w:pPr>
            <w:r>
              <w:t>705 plus 50 for every $5 000 000 above $25 000 000</w:t>
            </w:r>
          </w:p>
        </w:tc>
      </w:tr>
      <w:tr>
        <w:tc>
          <w:tcPr>
            <w:tcW w:w="3828" w:type="dxa"/>
          </w:tcPr>
          <w:p>
            <w:pPr>
              <w:pStyle w:val="yTable"/>
            </w:pPr>
            <w:r>
              <w:t>More than $100 000 000</w:t>
            </w:r>
          </w:p>
        </w:tc>
        <w:tc>
          <w:tcPr>
            <w:tcW w:w="3402" w:type="dxa"/>
          </w:tcPr>
          <w:p>
            <w:pPr>
              <w:pStyle w:val="yTable"/>
            </w:pPr>
            <w:r>
              <w:t>1405</w:t>
            </w:r>
          </w:p>
        </w:tc>
      </w:tr>
    </w:tbl>
    <w:p>
      <w:pPr>
        <w:pStyle w:val="yFootnotesection"/>
      </w:pPr>
      <w:r>
        <w:tab/>
        <w:t>[Schedule 3 inserted in Gazette 13 Sep 1996 p. 4559</w:t>
      </w:r>
      <w:r>
        <w:noBreakHyphen/>
        <w:t xml:space="preserve">60.] </w:t>
      </w:r>
    </w:p>
    <w:p>
      <w:pPr>
        <w:pStyle w:val="yScheduleHeading"/>
      </w:pPr>
      <w:bookmarkStart w:id="1255" w:name="_Toc12952251"/>
      <w:bookmarkStart w:id="1256" w:name="_Toc94331087"/>
      <w:bookmarkStart w:id="1257" w:name="_Toc122159479"/>
      <w:bookmarkStart w:id="1258" w:name="_Toc122232979"/>
      <w:bookmarkStart w:id="1259" w:name="_Toc147220616"/>
      <w:bookmarkStart w:id="1260" w:name="_Toc147223967"/>
      <w:bookmarkStart w:id="1261" w:name="_Toc165445002"/>
      <w:bookmarkStart w:id="1262" w:name="_Toc170557782"/>
      <w:bookmarkStart w:id="1263" w:name="_Toc170795173"/>
      <w:bookmarkStart w:id="1264" w:name="_Toc172709275"/>
      <w:bookmarkStart w:id="1265" w:name="_Toc172964759"/>
      <w:bookmarkStart w:id="1266" w:name="_Toc174158476"/>
      <w:bookmarkStart w:id="1267" w:name="_Toc174359029"/>
      <w:bookmarkStart w:id="1268" w:name="_Toc174518620"/>
      <w:bookmarkStart w:id="1269" w:name="_Toc176170565"/>
      <w:bookmarkStart w:id="1270" w:name="_Toc181431124"/>
      <w:bookmarkStart w:id="1271" w:name="_Toc181497580"/>
      <w:bookmarkStart w:id="1272" w:name="_Toc202254247"/>
      <w:bookmarkStart w:id="1273" w:name="_Toc267572162"/>
      <w:bookmarkStart w:id="1274" w:name="_Toc281461071"/>
      <w:bookmarkStart w:id="1275" w:name="_Toc318383389"/>
      <w:bookmarkStart w:id="1276" w:name="_Toc318383509"/>
      <w:bookmarkStart w:id="1277" w:name="_Toc324153624"/>
      <w:r>
        <w:rPr>
          <w:rStyle w:val="CharSchNo"/>
        </w:rPr>
        <w:t>Schedule 4</w:t>
      </w:r>
      <w:r>
        <w:t> — </w:t>
      </w:r>
      <w:r>
        <w:rPr>
          <w:rStyle w:val="CharSchText"/>
        </w:rPr>
        <w:t>Licence fee</w:t>
      </w:r>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p>
    <w:p>
      <w:pPr>
        <w:pStyle w:val="yShoulderClause"/>
        <w:rPr>
          <w:snapToGrid w:val="0"/>
        </w:rPr>
      </w:pPr>
      <w:r>
        <w:rPr>
          <w:snapToGrid w:val="0"/>
        </w:rPr>
        <w:t>[r. 5D]</w:t>
      </w:r>
    </w:p>
    <w:p>
      <w:pPr>
        <w:pStyle w:val="yFootnoteheading"/>
      </w:pPr>
      <w:bookmarkStart w:id="1278" w:name="_Toc172709276"/>
      <w:r>
        <w:tab/>
        <w:t>[Heading inserted in Gazette 13 Sep 1996 p. 4560.]</w:t>
      </w:r>
    </w:p>
    <w:p>
      <w:pPr>
        <w:pStyle w:val="yHeading2"/>
      </w:pPr>
      <w:bookmarkStart w:id="1279" w:name="_Toc172964760"/>
      <w:bookmarkStart w:id="1280" w:name="_Toc174158477"/>
      <w:bookmarkStart w:id="1281" w:name="_Toc174359030"/>
      <w:bookmarkStart w:id="1282" w:name="_Toc174518621"/>
      <w:bookmarkStart w:id="1283" w:name="_Toc176170566"/>
      <w:bookmarkStart w:id="1284" w:name="_Toc181431125"/>
      <w:bookmarkStart w:id="1285" w:name="_Toc181497581"/>
      <w:bookmarkStart w:id="1286" w:name="_Toc202254248"/>
      <w:bookmarkStart w:id="1287" w:name="_Toc267572163"/>
      <w:bookmarkStart w:id="1288" w:name="_Toc281461072"/>
      <w:bookmarkStart w:id="1289" w:name="_Toc318383390"/>
      <w:bookmarkStart w:id="1290" w:name="_Toc318383510"/>
      <w:bookmarkStart w:id="1291" w:name="_Toc324153625"/>
      <w:r>
        <w:rPr>
          <w:rStyle w:val="CharSDivNo"/>
          <w:sz w:val="28"/>
        </w:rPr>
        <w:t>Part 1</w:t>
      </w:r>
      <w:r>
        <w:t> — </w:t>
      </w:r>
      <w:r>
        <w:rPr>
          <w:rStyle w:val="CharSDivText"/>
          <w:sz w:val="28"/>
        </w:rPr>
        <w:t>Premises component</w:t>
      </w:r>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p>
    <w:p>
      <w:pPr>
        <w:pStyle w:val="yFootnoteheading"/>
      </w:pPr>
      <w:r>
        <w:tab/>
        <w:t>[Heading inserted in Gazette 13 Sep 1996 p. 4560.]</w:t>
      </w:r>
    </w:p>
    <w:tbl>
      <w:tblPr>
        <w:tblW w:w="0" w:type="auto"/>
        <w:tblInd w:w="360" w:type="dxa"/>
        <w:tblLayout w:type="fixed"/>
        <w:tblCellMar>
          <w:left w:w="360" w:type="dxa"/>
          <w:right w:w="360" w:type="dxa"/>
        </w:tblCellMar>
        <w:tblLook w:val="0000" w:firstRow="0" w:lastRow="0" w:firstColumn="0" w:lastColumn="0" w:noHBand="0" w:noVBand="0"/>
      </w:tblPr>
      <w:tblGrid>
        <w:gridCol w:w="2760"/>
        <w:gridCol w:w="3480"/>
        <w:gridCol w:w="990"/>
      </w:tblGrid>
      <w:tr>
        <w:trPr>
          <w:tblHeader/>
        </w:trPr>
        <w:tc>
          <w:tcPr>
            <w:tcW w:w="2760" w:type="dxa"/>
          </w:tcPr>
          <w:p>
            <w:pPr>
              <w:pStyle w:val="yTable"/>
              <w:spacing w:after="120"/>
              <w:jc w:val="center"/>
              <w:rPr>
                <w:b/>
              </w:rPr>
            </w:pPr>
            <w:r>
              <w:rPr>
                <w:b/>
              </w:rPr>
              <w:t>Category</w:t>
            </w:r>
          </w:p>
        </w:tc>
        <w:tc>
          <w:tcPr>
            <w:tcW w:w="3480" w:type="dxa"/>
          </w:tcPr>
          <w:p>
            <w:pPr>
              <w:pStyle w:val="yTable"/>
              <w:spacing w:after="120"/>
              <w:jc w:val="center"/>
              <w:rPr>
                <w:b/>
              </w:rPr>
            </w:pPr>
            <w:r>
              <w:rPr>
                <w:b/>
              </w:rPr>
              <w:t>Production or</w:t>
            </w:r>
            <w:r>
              <w:rPr>
                <w:b/>
              </w:rPr>
              <w:br/>
              <w:t>design capacity</w:t>
            </w:r>
          </w:p>
        </w:tc>
        <w:tc>
          <w:tcPr>
            <w:tcW w:w="990" w:type="dxa"/>
          </w:tcPr>
          <w:p>
            <w:pPr>
              <w:pStyle w:val="yTable"/>
              <w:spacing w:after="120"/>
              <w:ind w:left="-240" w:right="-210"/>
              <w:jc w:val="center"/>
              <w:rPr>
                <w:b/>
              </w:rPr>
            </w:pPr>
            <w:r>
              <w:rPr>
                <w:b/>
              </w:rPr>
              <w:t>Fee units</w:t>
            </w:r>
          </w:p>
        </w:tc>
      </w:tr>
      <w:tr>
        <w:tblPrEx>
          <w:tblCellMar>
            <w:left w:w="141" w:type="dxa"/>
            <w:right w:w="141" w:type="dxa"/>
          </w:tblCellMar>
        </w:tblPrEx>
        <w:trPr>
          <w:cantSplit/>
        </w:trPr>
        <w:tc>
          <w:tcPr>
            <w:tcW w:w="2760" w:type="dxa"/>
          </w:tcPr>
          <w:p>
            <w:pPr>
              <w:pStyle w:val="yTable"/>
            </w:pPr>
            <w:r>
              <w:t>Categories 1 and 2</w:t>
            </w:r>
          </w:p>
        </w:tc>
        <w:tc>
          <w:tcPr>
            <w:tcW w:w="3480" w:type="dxa"/>
          </w:tcPr>
          <w:p>
            <w:pPr>
              <w:pStyle w:val="yTable"/>
            </w:pPr>
            <w:r>
              <w:t>Not more than 2 000 animals</w:t>
            </w:r>
          </w:p>
        </w:tc>
        <w:tc>
          <w:tcPr>
            <w:tcW w:w="990" w:type="dxa"/>
          </w:tcPr>
          <w:p>
            <w:pPr>
              <w:pStyle w:val="yTable"/>
              <w:tabs>
                <w:tab w:val="right" w:pos="568"/>
              </w:tabs>
            </w:pPr>
            <w:r>
              <w:tab/>
              <w:t>25</w:t>
            </w:r>
          </w:p>
        </w:tc>
      </w:tr>
      <w:tr>
        <w:tblPrEx>
          <w:tblCellMar>
            <w:left w:w="141" w:type="dxa"/>
            <w:right w:w="141" w:type="dxa"/>
          </w:tblCellMar>
        </w:tblPrEx>
        <w:trPr>
          <w:cantSplit/>
        </w:trPr>
        <w:tc>
          <w:tcPr>
            <w:tcW w:w="2760" w:type="dxa"/>
          </w:tcPr>
          <w:p>
            <w:pPr>
              <w:pStyle w:val="yTable"/>
            </w:pPr>
          </w:p>
        </w:tc>
        <w:tc>
          <w:tcPr>
            <w:tcW w:w="3480" w:type="dxa"/>
          </w:tcPr>
          <w:p>
            <w:pPr>
              <w:pStyle w:val="yTable"/>
            </w:pPr>
            <w:r>
              <w:t>More than 2 000 animals but not more than 5 000 animals</w:t>
            </w:r>
          </w:p>
        </w:tc>
        <w:tc>
          <w:tcPr>
            <w:tcW w:w="990" w:type="dxa"/>
          </w:tcPr>
          <w:p>
            <w:pPr>
              <w:pStyle w:val="yTable"/>
              <w:tabs>
                <w:tab w:val="right" w:pos="568"/>
              </w:tabs>
            </w:pPr>
            <w:r>
              <w:tab/>
              <w:t>50</w:t>
            </w:r>
          </w:p>
        </w:tc>
      </w:tr>
      <w:tr>
        <w:tblPrEx>
          <w:tblCellMar>
            <w:left w:w="141" w:type="dxa"/>
            <w:right w:w="141" w:type="dxa"/>
          </w:tblCellMar>
        </w:tblPrEx>
        <w:trPr>
          <w:cantSplit/>
        </w:trPr>
        <w:tc>
          <w:tcPr>
            <w:tcW w:w="2760" w:type="dxa"/>
          </w:tcPr>
          <w:p>
            <w:pPr>
              <w:pStyle w:val="zyDefsubpara"/>
              <w:keepLines w:val="0"/>
            </w:pPr>
          </w:p>
        </w:tc>
        <w:tc>
          <w:tcPr>
            <w:tcW w:w="3480" w:type="dxa"/>
          </w:tcPr>
          <w:p>
            <w:pPr>
              <w:pStyle w:val="yTable"/>
            </w:pPr>
            <w:r>
              <w:t>More than 5 000 animals</w:t>
            </w:r>
          </w:p>
        </w:tc>
        <w:tc>
          <w:tcPr>
            <w:tcW w:w="990" w:type="dxa"/>
          </w:tcPr>
          <w:p>
            <w:pPr>
              <w:pStyle w:val="yTable"/>
              <w:tabs>
                <w:tab w:val="right" w:pos="568"/>
              </w:tabs>
            </w:pPr>
            <w:r>
              <w:tab/>
              <w:t>100</w:t>
            </w:r>
          </w:p>
        </w:tc>
      </w:tr>
      <w:tr>
        <w:tblPrEx>
          <w:tblCellMar>
            <w:left w:w="141" w:type="dxa"/>
            <w:right w:w="141" w:type="dxa"/>
          </w:tblCellMar>
        </w:tblPrEx>
        <w:trPr>
          <w:cantSplit/>
        </w:trPr>
        <w:tc>
          <w:tcPr>
            <w:tcW w:w="7230" w:type="dxa"/>
            <w:gridSpan w:val="3"/>
          </w:tcPr>
          <w:p>
            <w:pPr>
              <w:pStyle w:val="yTable"/>
              <w:tabs>
                <w:tab w:val="right" w:pos="568"/>
              </w:tabs>
            </w:pPr>
            <w:r>
              <w:rPr>
                <w:i/>
                <w:iCs/>
              </w:rPr>
              <w:t>[Categories 3 and 4 deleted]</w:t>
            </w:r>
          </w:p>
        </w:tc>
      </w:tr>
      <w:tr>
        <w:tblPrEx>
          <w:tblCellMar>
            <w:left w:w="141" w:type="dxa"/>
            <w:right w:w="141" w:type="dxa"/>
          </w:tblCellMar>
        </w:tblPrEx>
        <w:trPr>
          <w:cantSplit/>
        </w:trPr>
        <w:tc>
          <w:tcPr>
            <w:tcW w:w="2760" w:type="dxa"/>
          </w:tcPr>
          <w:p>
            <w:pPr>
              <w:pStyle w:val="yTable"/>
            </w:pPr>
            <w:r>
              <w:t>Categories 5, 7, 8, 9, 12, 13, and 14</w:t>
            </w:r>
          </w:p>
        </w:tc>
        <w:tc>
          <w:tcPr>
            <w:tcW w:w="3480" w:type="dxa"/>
          </w:tcPr>
          <w:p>
            <w:pPr>
              <w:pStyle w:val="yTable"/>
            </w:pPr>
            <w:r>
              <w:t>Not more than 50 000 tonnes per year</w:t>
            </w:r>
          </w:p>
        </w:tc>
        <w:tc>
          <w:tcPr>
            <w:tcW w:w="990" w:type="dxa"/>
          </w:tcPr>
          <w:p>
            <w:pPr>
              <w:pStyle w:val="yTable"/>
              <w:tabs>
                <w:tab w:val="right" w:pos="568"/>
              </w:tabs>
            </w:pPr>
            <w:r>
              <w:tab/>
              <w:t>50</w:t>
            </w:r>
          </w:p>
        </w:tc>
      </w:tr>
      <w:tr>
        <w:tblPrEx>
          <w:tblCellMar>
            <w:left w:w="141" w:type="dxa"/>
            <w:right w:w="141" w:type="dxa"/>
          </w:tblCellMar>
        </w:tblPrEx>
        <w:trPr>
          <w:cantSplit/>
        </w:trPr>
        <w:tc>
          <w:tcPr>
            <w:tcW w:w="2760" w:type="dxa"/>
          </w:tcPr>
          <w:p>
            <w:pPr>
              <w:pStyle w:val="yTable"/>
            </w:pPr>
          </w:p>
        </w:tc>
        <w:tc>
          <w:tcPr>
            <w:tcW w:w="3480" w:type="dxa"/>
          </w:tcPr>
          <w:p>
            <w:pPr>
              <w:pStyle w:val="yTable"/>
            </w:pPr>
            <w:r>
              <w:t>More than 50 000 but not more than 100 000 tonnes per year</w:t>
            </w:r>
          </w:p>
        </w:tc>
        <w:tc>
          <w:tcPr>
            <w:tcW w:w="990" w:type="dxa"/>
          </w:tcPr>
          <w:p>
            <w:pPr>
              <w:pStyle w:val="yTable"/>
              <w:tabs>
                <w:tab w:val="right" w:pos="568"/>
              </w:tabs>
            </w:pPr>
            <w:r>
              <w:tab/>
              <w:t>100</w:t>
            </w:r>
          </w:p>
        </w:tc>
      </w:tr>
      <w:tr>
        <w:tblPrEx>
          <w:tblCellMar>
            <w:left w:w="141" w:type="dxa"/>
            <w:right w:w="141" w:type="dxa"/>
          </w:tblCellMar>
        </w:tblPrEx>
        <w:trPr>
          <w:cantSplit/>
        </w:trPr>
        <w:tc>
          <w:tcPr>
            <w:tcW w:w="2760" w:type="dxa"/>
          </w:tcPr>
          <w:p>
            <w:pPr>
              <w:pStyle w:val="yTable"/>
            </w:pPr>
          </w:p>
        </w:tc>
        <w:tc>
          <w:tcPr>
            <w:tcW w:w="3480" w:type="dxa"/>
          </w:tcPr>
          <w:p>
            <w:pPr>
              <w:pStyle w:val="yTable"/>
            </w:pPr>
            <w:r>
              <w:t>More than 100 000 but not more than 500 000 tonnes per year</w:t>
            </w:r>
          </w:p>
        </w:tc>
        <w:tc>
          <w:tcPr>
            <w:tcW w:w="990" w:type="dxa"/>
          </w:tcPr>
          <w:p>
            <w:pPr>
              <w:pStyle w:val="yTable"/>
              <w:tabs>
                <w:tab w:val="right" w:pos="568"/>
              </w:tabs>
            </w:pPr>
            <w:r>
              <w:tab/>
              <w:t>200</w:t>
            </w:r>
          </w:p>
        </w:tc>
      </w:tr>
      <w:tr>
        <w:tblPrEx>
          <w:tblCellMar>
            <w:left w:w="141" w:type="dxa"/>
            <w:right w:w="141" w:type="dxa"/>
          </w:tblCellMar>
        </w:tblPrEx>
        <w:trPr>
          <w:cantSplit/>
        </w:trPr>
        <w:tc>
          <w:tcPr>
            <w:tcW w:w="2760" w:type="dxa"/>
          </w:tcPr>
          <w:p>
            <w:pPr>
              <w:pStyle w:val="yTable"/>
            </w:pPr>
          </w:p>
        </w:tc>
        <w:tc>
          <w:tcPr>
            <w:tcW w:w="3480" w:type="dxa"/>
          </w:tcPr>
          <w:p>
            <w:pPr>
              <w:pStyle w:val="yTable"/>
            </w:pPr>
            <w:r>
              <w:t>More than 500 000 but not more than 5 000 000 tonnes per year</w:t>
            </w:r>
          </w:p>
        </w:tc>
        <w:tc>
          <w:tcPr>
            <w:tcW w:w="990" w:type="dxa"/>
          </w:tcPr>
          <w:p>
            <w:pPr>
              <w:pStyle w:val="yTable"/>
              <w:tabs>
                <w:tab w:val="right" w:pos="568"/>
              </w:tabs>
            </w:pPr>
            <w:r>
              <w:tab/>
              <w:t>300</w:t>
            </w:r>
          </w:p>
        </w:tc>
      </w:tr>
      <w:tr>
        <w:tblPrEx>
          <w:tblCellMar>
            <w:left w:w="141" w:type="dxa"/>
            <w:right w:w="141" w:type="dxa"/>
          </w:tblCellMar>
        </w:tblPrEx>
        <w:trPr>
          <w:cantSplit/>
        </w:trPr>
        <w:tc>
          <w:tcPr>
            <w:tcW w:w="2760" w:type="dxa"/>
          </w:tcPr>
          <w:p>
            <w:pPr>
              <w:pStyle w:val="yTable"/>
            </w:pPr>
          </w:p>
        </w:tc>
        <w:tc>
          <w:tcPr>
            <w:tcW w:w="3480" w:type="dxa"/>
          </w:tcPr>
          <w:p>
            <w:pPr>
              <w:pStyle w:val="yTable"/>
            </w:pPr>
            <w:r>
              <w:t>More than 5 000 000 tonnes per year</w:t>
            </w:r>
          </w:p>
        </w:tc>
        <w:tc>
          <w:tcPr>
            <w:tcW w:w="990" w:type="dxa"/>
          </w:tcPr>
          <w:p>
            <w:pPr>
              <w:pStyle w:val="yTable"/>
              <w:tabs>
                <w:tab w:val="right" w:pos="568"/>
              </w:tabs>
            </w:pPr>
            <w:r>
              <w:tab/>
              <w:t>450</w:t>
            </w:r>
          </w:p>
        </w:tc>
      </w:tr>
      <w:tr>
        <w:tblPrEx>
          <w:tblCellMar>
            <w:left w:w="141" w:type="dxa"/>
            <w:right w:w="141" w:type="dxa"/>
          </w:tblCellMar>
        </w:tblPrEx>
        <w:trPr>
          <w:cantSplit/>
        </w:trPr>
        <w:tc>
          <w:tcPr>
            <w:tcW w:w="2760" w:type="dxa"/>
          </w:tcPr>
          <w:p>
            <w:pPr>
              <w:pStyle w:val="yTable"/>
            </w:pPr>
            <w:r>
              <w:t>Categories 6 and 53</w:t>
            </w:r>
          </w:p>
        </w:tc>
        <w:tc>
          <w:tcPr>
            <w:tcW w:w="3480" w:type="dxa"/>
          </w:tcPr>
          <w:p>
            <w:pPr>
              <w:pStyle w:val="yTable"/>
            </w:pPr>
            <w:r>
              <w:t>Not more than 100 000 tonnes per year</w:t>
            </w:r>
          </w:p>
        </w:tc>
        <w:tc>
          <w:tcPr>
            <w:tcW w:w="990" w:type="dxa"/>
          </w:tcPr>
          <w:p>
            <w:pPr>
              <w:pStyle w:val="yTable"/>
              <w:tabs>
                <w:tab w:val="right" w:pos="568"/>
              </w:tabs>
            </w:pPr>
            <w:r>
              <w:tab/>
              <w:t>30</w:t>
            </w:r>
          </w:p>
        </w:tc>
      </w:tr>
      <w:tr>
        <w:tblPrEx>
          <w:tblCellMar>
            <w:left w:w="141" w:type="dxa"/>
            <w:right w:w="141" w:type="dxa"/>
          </w:tblCellMar>
        </w:tblPrEx>
        <w:trPr>
          <w:cantSplit/>
        </w:trPr>
        <w:tc>
          <w:tcPr>
            <w:tcW w:w="2760" w:type="dxa"/>
          </w:tcPr>
          <w:p>
            <w:pPr>
              <w:pStyle w:val="yTable"/>
            </w:pPr>
          </w:p>
        </w:tc>
        <w:tc>
          <w:tcPr>
            <w:tcW w:w="3480" w:type="dxa"/>
          </w:tcPr>
          <w:p>
            <w:pPr>
              <w:pStyle w:val="yTable"/>
            </w:pPr>
            <w:r>
              <w:t>More than 100 000 but not more than 500 000 tonnes per year</w:t>
            </w:r>
          </w:p>
        </w:tc>
        <w:tc>
          <w:tcPr>
            <w:tcW w:w="990" w:type="dxa"/>
          </w:tcPr>
          <w:p>
            <w:pPr>
              <w:pStyle w:val="yTable"/>
              <w:tabs>
                <w:tab w:val="right" w:pos="568"/>
              </w:tabs>
            </w:pPr>
            <w:r>
              <w:tab/>
              <w:t>50</w:t>
            </w:r>
          </w:p>
        </w:tc>
      </w:tr>
      <w:tr>
        <w:tblPrEx>
          <w:tblCellMar>
            <w:left w:w="141" w:type="dxa"/>
            <w:right w:w="141" w:type="dxa"/>
          </w:tblCellMar>
        </w:tblPrEx>
        <w:trPr>
          <w:cantSplit/>
        </w:trPr>
        <w:tc>
          <w:tcPr>
            <w:tcW w:w="2760" w:type="dxa"/>
          </w:tcPr>
          <w:p>
            <w:pPr>
              <w:pStyle w:val="yTable"/>
            </w:pPr>
          </w:p>
        </w:tc>
        <w:tc>
          <w:tcPr>
            <w:tcW w:w="3480" w:type="dxa"/>
          </w:tcPr>
          <w:p>
            <w:pPr>
              <w:pStyle w:val="yTable"/>
            </w:pPr>
            <w:r>
              <w:t>More than 500 000 tonnes per year</w:t>
            </w:r>
          </w:p>
        </w:tc>
        <w:tc>
          <w:tcPr>
            <w:tcW w:w="990" w:type="dxa"/>
          </w:tcPr>
          <w:p>
            <w:pPr>
              <w:pStyle w:val="yTable"/>
              <w:tabs>
                <w:tab w:val="right" w:pos="568"/>
              </w:tabs>
            </w:pPr>
            <w:r>
              <w:tab/>
              <w:t>100</w:t>
            </w:r>
          </w:p>
        </w:tc>
      </w:tr>
      <w:tr>
        <w:tblPrEx>
          <w:tblCellMar>
            <w:left w:w="141" w:type="dxa"/>
            <w:right w:w="141" w:type="dxa"/>
          </w:tblCellMar>
        </w:tblPrEx>
        <w:trPr>
          <w:cantSplit/>
        </w:trPr>
        <w:tc>
          <w:tcPr>
            <w:tcW w:w="2760" w:type="dxa"/>
          </w:tcPr>
          <w:p>
            <w:pPr>
              <w:pStyle w:val="yTable"/>
            </w:pPr>
            <w:r>
              <w:t>Categories 10, 11 and 34</w:t>
            </w:r>
          </w:p>
        </w:tc>
        <w:tc>
          <w:tcPr>
            <w:tcW w:w="3480" w:type="dxa"/>
          </w:tcPr>
          <w:p>
            <w:pPr>
              <w:pStyle w:val="yTable"/>
            </w:pPr>
            <w:r>
              <w:t>Not more than 50 000 tonnes per year</w:t>
            </w:r>
          </w:p>
        </w:tc>
        <w:tc>
          <w:tcPr>
            <w:tcW w:w="990" w:type="dxa"/>
          </w:tcPr>
          <w:p>
            <w:pPr>
              <w:pStyle w:val="yTable"/>
              <w:tabs>
                <w:tab w:val="right" w:pos="568"/>
              </w:tabs>
            </w:pPr>
            <w:r>
              <w:tab/>
              <w:t>75</w:t>
            </w:r>
          </w:p>
        </w:tc>
      </w:tr>
      <w:tr>
        <w:tblPrEx>
          <w:tblCellMar>
            <w:left w:w="141" w:type="dxa"/>
            <w:right w:w="141" w:type="dxa"/>
          </w:tblCellMar>
        </w:tblPrEx>
        <w:trPr>
          <w:cantSplit/>
        </w:trPr>
        <w:tc>
          <w:tcPr>
            <w:tcW w:w="2760" w:type="dxa"/>
          </w:tcPr>
          <w:p>
            <w:pPr>
              <w:pStyle w:val="yTable"/>
            </w:pPr>
          </w:p>
        </w:tc>
        <w:tc>
          <w:tcPr>
            <w:tcW w:w="3480" w:type="dxa"/>
          </w:tcPr>
          <w:p>
            <w:pPr>
              <w:pStyle w:val="yTable"/>
            </w:pPr>
            <w:r>
              <w:t>More than 50 000 but not more than 100 000 tonnes per year</w:t>
            </w:r>
          </w:p>
        </w:tc>
        <w:tc>
          <w:tcPr>
            <w:tcW w:w="990" w:type="dxa"/>
          </w:tcPr>
          <w:p>
            <w:pPr>
              <w:pStyle w:val="yTable"/>
              <w:tabs>
                <w:tab w:val="right" w:pos="568"/>
              </w:tabs>
            </w:pPr>
            <w:r>
              <w:tab/>
              <w:t>150</w:t>
            </w:r>
          </w:p>
        </w:tc>
      </w:tr>
      <w:tr>
        <w:tblPrEx>
          <w:tblCellMar>
            <w:left w:w="141" w:type="dxa"/>
            <w:right w:w="141" w:type="dxa"/>
          </w:tblCellMar>
        </w:tblPrEx>
        <w:trPr>
          <w:cantSplit/>
        </w:trPr>
        <w:tc>
          <w:tcPr>
            <w:tcW w:w="2760" w:type="dxa"/>
          </w:tcPr>
          <w:p>
            <w:pPr>
              <w:pStyle w:val="yTable"/>
              <w:keepNext/>
            </w:pPr>
          </w:p>
        </w:tc>
        <w:tc>
          <w:tcPr>
            <w:tcW w:w="3480" w:type="dxa"/>
          </w:tcPr>
          <w:p>
            <w:pPr>
              <w:pStyle w:val="yTable"/>
              <w:keepNext/>
            </w:pPr>
            <w:r>
              <w:t>More than 100 000 but not more than 500 000 tonnes per year</w:t>
            </w:r>
          </w:p>
        </w:tc>
        <w:tc>
          <w:tcPr>
            <w:tcW w:w="990" w:type="dxa"/>
          </w:tcPr>
          <w:p>
            <w:pPr>
              <w:pStyle w:val="yTable"/>
              <w:keepNext/>
              <w:tabs>
                <w:tab w:val="right" w:pos="568"/>
              </w:tabs>
            </w:pPr>
            <w:r>
              <w:tab/>
              <w:t>250</w:t>
            </w:r>
          </w:p>
        </w:tc>
      </w:tr>
      <w:tr>
        <w:tblPrEx>
          <w:tblCellMar>
            <w:left w:w="141" w:type="dxa"/>
            <w:right w:w="141" w:type="dxa"/>
          </w:tblCellMar>
        </w:tblPrEx>
        <w:trPr>
          <w:cantSplit/>
        </w:trPr>
        <w:tc>
          <w:tcPr>
            <w:tcW w:w="2760" w:type="dxa"/>
          </w:tcPr>
          <w:p>
            <w:pPr>
              <w:pStyle w:val="yTable"/>
            </w:pPr>
          </w:p>
        </w:tc>
        <w:tc>
          <w:tcPr>
            <w:tcW w:w="3480" w:type="dxa"/>
          </w:tcPr>
          <w:p>
            <w:pPr>
              <w:pStyle w:val="yTable"/>
            </w:pPr>
            <w:r>
              <w:t>More than 500 000 but not more than 2 000 000 tonnes per year</w:t>
            </w:r>
          </w:p>
        </w:tc>
        <w:tc>
          <w:tcPr>
            <w:tcW w:w="990" w:type="dxa"/>
          </w:tcPr>
          <w:p>
            <w:pPr>
              <w:pStyle w:val="yTable"/>
              <w:tabs>
                <w:tab w:val="right" w:pos="568"/>
              </w:tabs>
            </w:pPr>
            <w:r>
              <w:tab/>
              <w:t>400</w:t>
            </w:r>
          </w:p>
        </w:tc>
      </w:tr>
      <w:tr>
        <w:tblPrEx>
          <w:tblCellMar>
            <w:left w:w="141" w:type="dxa"/>
            <w:right w:w="141" w:type="dxa"/>
          </w:tblCellMar>
        </w:tblPrEx>
        <w:trPr>
          <w:cantSplit/>
        </w:trPr>
        <w:tc>
          <w:tcPr>
            <w:tcW w:w="2760" w:type="dxa"/>
          </w:tcPr>
          <w:p>
            <w:pPr>
              <w:pStyle w:val="yTable"/>
            </w:pPr>
          </w:p>
        </w:tc>
        <w:tc>
          <w:tcPr>
            <w:tcW w:w="3480" w:type="dxa"/>
          </w:tcPr>
          <w:p>
            <w:pPr>
              <w:pStyle w:val="yTable"/>
            </w:pPr>
            <w:r>
              <w:t>More than 2 000 000 tonnes per year</w:t>
            </w:r>
          </w:p>
        </w:tc>
        <w:tc>
          <w:tcPr>
            <w:tcW w:w="990" w:type="dxa"/>
          </w:tcPr>
          <w:p>
            <w:pPr>
              <w:pStyle w:val="yTable"/>
              <w:tabs>
                <w:tab w:val="right" w:pos="568"/>
              </w:tabs>
            </w:pPr>
            <w:r>
              <w:tab/>
              <w:t>600</w:t>
            </w:r>
          </w:p>
        </w:tc>
      </w:tr>
      <w:tr>
        <w:tblPrEx>
          <w:tblCellMar>
            <w:left w:w="141" w:type="dxa"/>
            <w:right w:w="141" w:type="dxa"/>
          </w:tblCellMar>
        </w:tblPrEx>
        <w:trPr>
          <w:cantSplit/>
        </w:trPr>
        <w:tc>
          <w:tcPr>
            <w:tcW w:w="2760" w:type="dxa"/>
          </w:tcPr>
          <w:p>
            <w:pPr>
              <w:pStyle w:val="yTable"/>
            </w:pPr>
            <w:r>
              <w:t>Category 15</w:t>
            </w:r>
          </w:p>
        </w:tc>
        <w:tc>
          <w:tcPr>
            <w:tcW w:w="3480" w:type="dxa"/>
          </w:tcPr>
          <w:p>
            <w:pPr>
              <w:pStyle w:val="yTable"/>
            </w:pPr>
            <w:r>
              <w:t>Not more than 5 000 tonnes per year</w:t>
            </w:r>
          </w:p>
          <w:p>
            <w:pPr>
              <w:pStyle w:val="yTable"/>
            </w:pPr>
            <w:r>
              <w:t>More than 5 000 but not more than 50 000 tonnes per year</w:t>
            </w:r>
          </w:p>
          <w:p>
            <w:pPr>
              <w:pStyle w:val="yTable"/>
            </w:pPr>
            <w:r>
              <w:t>50 000 tonnes or more per year</w:t>
            </w:r>
          </w:p>
        </w:tc>
        <w:tc>
          <w:tcPr>
            <w:tcW w:w="990" w:type="dxa"/>
          </w:tcPr>
          <w:p>
            <w:pPr>
              <w:pStyle w:val="yTable"/>
              <w:tabs>
                <w:tab w:val="right" w:pos="568"/>
              </w:tabs>
            </w:pPr>
            <w:r>
              <w:tab/>
              <w:t>75</w:t>
            </w:r>
          </w:p>
          <w:p>
            <w:pPr>
              <w:pStyle w:val="yTable"/>
              <w:tabs>
                <w:tab w:val="right" w:pos="568"/>
              </w:tabs>
              <w:spacing w:before="0"/>
            </w:pPr>
          </w:p>
          <w:p>
            <w:pPr>
              <w:pStyle w:val="yTable"/>
              <w:tabs>
                <w:tab w:val="right" w:pos="568"/>
              </w:tabs>
              <w:ind w:left="1"/>
            </w:pPr>
            <w:r>
              <w:tab/>
              <w:t>150</w:t>
            </w:r>
          </w:p>
          <w:p>
            <w:pPr>
              <w:pStyle w:val="yTable"/>
              <w:tabs>
                <w:tab w:val="right" w:pos="568"/>
              </w:tabs>
              <w:spacing w:before="0"/>
            </w:pPr>
          </w:p>
          <w:p>
            <w:pPr>
              <w:pStyle w:val="yTable"/>
              <w:tabs>
                <w:tab w:val="right" w:pos="568"/>
              </w:tabs>
            </w:pPr>
            <w:r>
              <w:tab/>
              <w:t>200</w:t>
            </w:r>
          </w:p>
        </w:tc>
      </w:tr>
      <w:tr>
        <w:tblPrEx>
          <w:tblCellMar>
            <w:left w:w="141" w:type="dxa"/>
            <w:right w:w="141" w:type="dxa"/>
          </w:tblCellMar>
        </w:tblPrEx>
        <w:trPr>
          <w:cantSplit/>
        </w:trPr>
        <w:tc>
          <w:tcPr>
            <w:tcW w:w="2760" w:type="dxa"/>
          </w:tcPr>
          <w:p>
            <w:pPr>
              <w:pStyle w:val="yTable"/>
            </w:pPr>
            <w:r>
              <w:t>Category 16</w:t>
            </w:r>
          </w:p>
        </w:tc>
        <w:tc>
          <w:tcPr>
            <w:tcW w:w="3480" w:type="dxa"/>
          </w:tcPr>
          <w:p>
            <w:pPr>
              <w:pStyle w:val="yTable"/>
            </w:pPr>
            <w:r>
              <w:t>Not more than 2 000 tonnes per year</w:t>
            </w:r>
          </w:p>
          <w:p>
            <w:pPr>
              <w:pStyle w:val="yTable"/>
            </w:pPr>
            <w:r>
              <w:t>More than 2 000 but not more than 10 000 tonnes per year</w:t>
            </w:r>
          </w:p>
          <w:p>
            <w:pPr>
              <w:pStyle w:val="yTable"/>
            </w:pPr>
            <w:r>
              <w:t>More than 10 000 tonnes per year</w:t>
            </w:r>
          </w:p>
        </w:tc>
        <w:tc>
          <w:tcPr>
            <w:tcW w:w="990" w:type="dxa"/>
          </w:tcPr>
          <w:p>
            <w:pPr>
              <w:pStyle w:val="yTable"/>
              <w:tabs>
                <w:tab w:val="right" w:pos="568"/>
              </w:tabs>
            </w:pPr>
            <w:r>
              <w:tab/>
              <w:t>100</w:t>
            </w:r>
          </w:p>
          <w:p>
            <w:pPr>
              <w:pStyle w:val="yTable"/>
              <w:tabs>
                <w:tab w:val="right" w:pos="568"/>
              </w:tabs>
              <w:spacing w:before="0"/>
            </w:pPr>
          </w:p>
          <w:p>
            <w:pPr>
              <w:pStyle w:val="yTable"/>
              <w:tabs>
                <w:tab w:val="right" w:pos="568"/>
              </w:tabs>
            </w:pPr>
            <w:r>
              <w:tab/>
              <w:t>200</w:t>
            </w:r>
          </w:p>
          <w:p>
            <w:pPr>
              <w:pStyle w:val="yTable"/>
              <w:tabs>
                <w:tab w:val="right" w:pos="568"/>
              </w:tabs>
              <w:spacing w:before="0"/>
            </w:pPr>
          </w:p>
          <w:p>
            <w:pPr>
              <w:pStyle w:val="yTable"/>
              <w:tabs>
                <w:tab w:val="right" w:pos="568"/>
              </w:tabs>
            </w:pPr>
            <w:r>
              <w:tab/>
              <w:t>300</w:t>
            </w:r>
          </w:p>
        </w:tc>
      </w:tr>
      <w:tr>
        <w:tblPrEx>
          <w:tblCellMar>
            <w:left w:w="141" w:type="dxa"/>
            <w:right w:w="141" w:type="dxa"/>
          </w:tblCellMar>
        </w:tblPrEx>
        <w:trPr>
          <w:cantSplit/>
        </w:trPr>
        <w:tc>
          <w:tcPr>
            <w:tcW w:w="2760" w:type="dxa"/>
          </w:tcPr>
          <w:p>
            <w:pPr>
              <w:pStyle w:val="yTable"/>
            </w:pPr>
            <w:r>
              <w:t>Categories 17, 18, 19, 20, 22, 23, 24, 25 and 27</w:t>
            </w:r>
          </w:p>
        </w:tc>
        <w:tc>
          <w:tcPr>
            <w:tcW w:w="3480" w:type="dxa"/>
          </w:tcPr>
          <w:p>
            <w:pPr>
              <w:pStyle w:val="yTable"/>
            </w:pPr>
            <w:r>
              <w:t>Not more than 2 000 tonnes per year</w:t>
            </w:r>
          </w:p>
        </w:tc>
        <w:tc>
          <w:tcPr>
            <w:tcW w:w="990" w:type="dxa"/>
          </w:tcPr>
          <w:p>
            <w:pPr>
              <w:pStyle w:val="yTable"/>
              <w:tabs>
                <w:tab w:val="right" w:pos="568"/>
              </w:tabs>
            </w:pPr>
            <w:r>
              <w:tab/>
              <w:t>50</w:t>
            </w:r>
          </w:p>
        </w:tc>
      </w:tr>
      <w:tr>
        <w:tblPrEx>
          <w:tblCellMar>
            <w:left w:w="141" w:type="dxa"/>
            <w:right w:w="141" w:type="dxa"/>
          </w:tblCellMar>
        </w:tblPrEx>
        <w:trPr>
          <w:cantSplit/>
        </w:trPr>
        <w:tc>
          <w:tcPr>
            <w:tcW w:w="2760" w:type="dxa"/>
          </w:tcPr>
          <w:p>
            <w:pPr>
              <w:pStyle w:val="yTable"/>
            </w:pPr>
          </w:p>
        </w:tc>
        <w:tc>
          <w:tcPr>
            <w:tcW w:w="3480" w:type="dxa"/>
          </w:tcPr>
          <w:p>
            <w:pPr>
              <w:pStyle w:val="yTable"/>
            </w:pPr>
            <w:r>
              <w:t>More than 2 000 but not more than 10 000 tonnes per year</w:t>
            </w:r>
          </w:p>
        </w:tc>
        <w:tc>
          <w:tcPr>
            <w:tcW w:w="990" w:type="dxa"/>
          </w:tcPr>
          <w:p>
            <w:pPr>
              <w:pStyle w:val="yTable"/>
              <w:tabs>
                <w:tab w:val="right" w:pos="568"/>
              </w:tabs>
            </w:pPr>
            <w:r>
              <w:tab/>
              <w:t>75</w:t>
            </w:r>
          </w:p>
        </w:tc>
      </w:tr>
      <w:tr>
        <w:tblPrEx>
          <w:tblCellMar>
            <w:left w:w="141" w:type="dxa"/>
            <w:right w:w="141" w:type="dxa"/>
          </w:tblCellMar>
        </w:tblPrEx>
        <w:trPr>
          <w:cantSplit/>
        </w:trPr>
        <w:tc>
          <w:tcPr>
            <w:tcW w:w="2760" w:type="dxa"/>
          </w:tcPr>
          <w:p>
            <w:pPr>
              <w:pStyle w:val="yTable"/>
            </w:pPr>
          </w:p>
        </w:tc>
        <w:tc>
          <w:tcPr>
            <w:tcW w:w="3480" w:type="dxa"/>
          </w:tcPr>
          <w:p>
            <w:pPr>
              <w:pStyle w:val="yTable"/>
            </w:pPr>
            <w:r>
              <w:t>More than 10 000 but not more than 100 000 tonnes per year</w:t>
            </w:r>
          </w:p>
        </w:tc>
        <w:tc>
          <w:tcPr>
            <w:tcW w:w="990" w:type="dxa"/>
          </w:tcPr>
          <w:p>
            <w:pPr>
              <w:pStyle w:val="yTable"/>
              <w:tabs>
                <w:tab w:val="right" w:pos="568"/>
              </w:tabs>
            </w:pPr>
            <w:r>
              <w:tab/>
              <w:t>150</w:t>
            </w:r>
          </w:p>
        </w:tc>
      </w:tr>
      <w:tr>
        <w:tblPrEx>
          <w:tblCellMar>
            <w:left w:w="141" w:type="dxa"/>
            <w:right w:w="141" w:type="dxa"/>
          </w:tblCellMar>
        </w:tblPrEx>
        <w:trPr>
          <w:cantSplit/>
        </w:trPr>
        <w:tc>
          <w:tcPr>
            <w:tcW w:w="2760" w:type="dxa"/>
          </w:tcPr>
          <w:p>
            <w:pPr>
              <w:pStyle w:val="yTable"/>
            </w:pPr>
          </w:p>
        </w:tc>
        <w:tc>
          <w:tcPr>
            <w:tcW w:w="3480" w:type="dxa"/>
          </w:tcPr>
          <w:p>
            <w:pPr>
              <w:pStyle w:val="yTable"/>
            </w:pPr>
            <w:r>
              <w:t>More than 100 000 tonnes per year</w:t>
            </w:r>
          </w:p>
        </w:tc>
        <w:tc>
          <w:tcPr>
            <w:tcW w:w="990" w:type="dxa"/>
          </w:tcPr>
          <w:p>
            <w:pPr>
              <w:pStyle w:val="yTable"/>
              <w:tabs>
                <w:tab w:val="right" w:pos="568"/>
              </w:tabs>
            </w:pPr>
            <w:r>
              <w:tab/>
              <w:t>200</w:t>
            </w:r>
          </w:p>
        </w:tc>
      </w:tr>
      <w:tr>
        <w:tblPrEx>
          <w:tblCellMar>
            <w:left w:w="141" w:type="dxa"/>
            <w:right w:w="141" w:type="dxa"/>
          </w:tblCellMar>
        </w:tblPrEx>
        <w:trPr>
          <w:cantSplit/>
        </w:trPr>
        <w:tc>
          <w:tcPr>
            <w:tcW w:w="2760" w:type="dxa"/>
          </w:tcPr>
          <w:p>
            <w:pPr>
              <w:pStyle w:val="yTable"/>
            </w:pPr>
            <w:r>
              <w:t>Category 21</w:t>
            </w:r>
          </w:p>
        </w:tc>
        <w:tc>
          <w:tcPr>
            <w:tcW w:w="3480" w:type="dxa"/>
          </w:tcPr>
          <w:p>
            <w:pPr>
              <w:pStyle w:val="yTable"/>
            </w:pPr>
            <w:r>
              <w:t>Not more than 10 000 tonnes per year</w:t>
            </w:r>
          </w:p>
        </w:tc>
        <w:tc>
          <w:tcPr>
            <w:tcW w:w="990" w:type="dxa"/>
          </w:tcPr>
          <w:p>
            <w:pPr>
              <w:pStyle w:val="yTable"/>
              <w:tabs>
                <w:tab w:val="right" w:pos="568"/>
              </w:tabs>
            </w:pPr>
            <w:r>
              <w:tab/>
              <w:t>75</w:t>
            </w:r>
          </w:p>
        </w:tc>
      </w:tr>
      <w:tr>
        <w:tblPrEx>
          <w:tblCellMar>
            <w:left w:w="141" w:type="dxa"/>
            <w:right w:w="141" w:type="dxa"/>
          </w:tblCellMar>
        </w:tblPrEx>
        <w:trPr>
          <w:cantSplit/>
        </w:trPr>
        <w:tc>
          <w:tcPr>
            <w:tcW w:w="2760" w:type="dxa"/>
          </w:tcPr>
          <w:p>
            <w:pPr>
              <w:pStyle w:val="yTable"/>
            </w:pPr>
          </w:p>
        </w:tc>
        <w:tc>
          <w:tcPr>
            <w:tcW w:w="3480" w:type="dxa"/>
          </w:tcPr>
          <w:p>
            <w:pPr>
              <w:pStyle w:val="yTable"/>
            </w:pPr>
            <w:r>
              <w:t>More than 10 000 but not more than 100 000 tonnes per year</w:t>
            </w:r>
          </w:p>
        </w:tc>
        <w:tc>
          <w:tcPr>
            <w:tcW w:w="990" w:type="dxa"/>
          </w:tcPr>
          <w:p>
            <w:pPr>
              <w:pStyle w:val="yTable"/>
              <w:tabs>
                <w:tab w:val="right" w:pos="568"/>
              </w:tabs>
            </w:pPr>
            <w:r>
              <w:tab/>
              <w:t>150</w:t>
            </w:r>
          </w:p>
        </w:tc>
      </w:tr>
      <w:tr>
        <w:tblPrEx>
          <w:tblCellMar>
            <w:left w:w="141" w:type="dxa"/>
            <w:right w:w="141" w:type="dxa"/>
          </w:tblCellMar>
        </w:tblPrEx>
        <w:trPr>
          <w:cantSplit/>
        </w:trPr>
        <w:tc>
          <w:tcPr>
            <w:tcW w:w="2760" w:type="dxa"/>
          </w:tcPr>
          <w:p>
            <w:pPr>
              <w:pStyle w:val="yTable"/>
            </w:pPr>
          </w:p>
        </w:tc>
        <w:tc>
          <w:tcPr>
            <w:tcW w:w="3480" w:type="dxa"/>
          </w:tcPr>
          <w:p>
            <w:pPr>
              <w:pStyle w:val="yTable"/>
            </w:pPr>
            <w:r>
              <w:t>More than 100 000 tonnes per year</w:t>
            </w:r>
          </w:p>
        </w:tc>
        <w:tc>
          <w:tcPr>
            <w:tcW w:w="990" w:type="dxa"/>
          </w:tcPr>
          <w:p>
            <w:pPr>
              <w:pStyle w:val="yTable"/>
              <w:tabs>
                <w:tab w:val="right" w:pos="568"/>
              </w:tabs>
            </w:pPr>
            <w:r>
              <w:tab/>
              <w:t>250</w:t>
            </w:r>
          </w:p>
        </w:tc>
      </w:tr>
      <w:tr>
        <w:tblPrEx>
          <w:tblCellMar>
            <w:left w:w="141" w:type="dxa"/>
            <w:right w:w="141" w:type="dxa"/>
          </w:tblCellMar>
        </w:tblPrEx>
        <w:trPr>
          <w:cantSplit/>
        </w:trPr>
        <w:tc>
          <w:tcPr>
            <w:tcW w:w="2760" w:type="dxa"/>
          </w:tcPr>
          <w:p>
            <w:pPr>
              <w:pStyle w:val="yTable"/>
              <w:keepNext/>
              <w:keepLines/>
            </w:pPr>
            <w:r>
              <w:t>Category 26</w:t>
            </w:r>
          </w:p>
        </w:tc>
        <w:tc>
          <w:tcPr>
            <w:tcW w:w="3480" w:type="dxa"/>
          </w:tcPr>
          <w:p>
            <w:pPr>
              <w:pStyle w:val="yTable"/>
              <w:keepNext/>
              <w:keepLines/>
            </w:pPr>
            <w:r>
              <w:t>Not more than 10 000 tonnes per year</w:t>
            </w:r>
          </w:p>
        </w:tc>
        <w:tc>
          <w:tcPr>
            <w:tcW w:w="990" w:type="dxa"/>
          </w:tcPr>
          <w:p>
            <w:pPr>
              <w:pStyle w:val="yTable"/>
              <w:keepNext/>
              <w:keepLines/>
              <w:tabs>
                <w:tab w:val="right" w:pos="568"/>
              </w:tabs>
            </w:pPr>
            <w:r>
              <w:tab/>
              <w:t>50</w:t>
            </w:r>
          </w:p>
        </w:tc>
      </w:tr>
      <w:tr>
        <w:tblPrEx>
          <w:tblCellMar>
            <w:left w:w="141" w:type="dxa"/>
            <w:right w:w="141" w:type="dxa"/>
          </w:tblCellMar>
        </w:tblPrEx>
        <w:trPr>
          <w:cantSplit/>
        </w:trPr>
        <w:tc>
          <w:tcPr>
            <w:tcW w:w="2760" w:type="dxa"/>
          </w:tcPr>
          <w:p>
            <w:pPr>
              <w:pStyle w:val="yTable"/>
              <w:keepNext/>
              <w:keepLines/>
            </w:pPr>
          </w:p>
        </w:tc>
        <w:tc>
          <w:tcPr>
            <w:tcW w:w="3480" w:type="dxa"/>
          </w:tcPr>
          <w:p>
            <w:pPr>
              <w:pStyle w:val="yTable"/>
              <w:keepNext/>
              <w:keepLines/>
            </w:pPr>
            <w:r>
              <w:t>More than 10 000 but not more than 100 000 tonnes per year</w:t>
            </w:r>
          </w:p>
        </w:tc>
        <w:tc>
          <w:tcPr>
            <w:tcW w:w="990" w:type="dxa"/>
          </w:tcPr>
          <w:p>
            <w:pPr>
              <w:pStyle w:val="yTable"/>
              <w:keepNext/>
              <w:keepLines/>
              <w:tabs>
                <w:tab w:val="right" w:pos="568"/>
              </w:tabs>
            </w:pPr>
            <w:r>
              <w:tab/>
              <w:t>100</w:t>
            </w:r>
          </w:p>
        </w:tc>
      </w:tr>
      <w:tr>
        <w:tblPrEx>
          <w:tblCellMar>
            <w:left w:w="141" w:type="dxa"/>
            <w:right w:w="141" w:type="dxa"/>
          </w:tblCellMar>
        </w:tblPrEx>
        <w:trPr>
          <w:cantSplit/>
        </w:trPr>
        <w:tc>
          <w:tcPr>
            <w:tcW w:w="2760" w:type="dxa"/>
          </w:tcPr>
          <w:p>
            <w:pPr>
              <w:pStyle w:val="yTable"/>
            </w:pPr>
          </w:p>
        </w:tc>
        <w:tc>
          <w:tcPr>
            <w:tcW w:w="3480" w:type="dxa"/>
          </w:tcPr>
          <w:p>
            <w:pPr>
              <w:pStyle w:val="yTable"/>
            </w:pPr>
            <w:r>
              <w:t>More than 100 000 tonnes per year</w:t>
            </w:r>
          </w:p>
        </w:tc>
        <w:tc>
          <w:tcPr>
            <w:tcW w:w="990" w:type="dxa"/>
          </w:tcPr>
          <w:p>
            <w:pPr>
              <w:pStyle w:val="yTable"/>
              <w:tabs>
                <w:tab w:val="right" w:pos="568"/>
              </w:tabs>
            </w:pPr>
            <w:r>
              <w:tab/>
              <w:t>150</w:t>
            </w:r>
          </w:p>
        </w:tc>
      </w:tr>
      <w:tr>
        <w:tblPrEx>
          <w:tblCellMar>
            <w:left w:w="141" w:type="dxa"/>
            <w:right w:w="141" w:type="dxa"/>
          </w:tblCellMar>
        </w:tblPrEx>
        <w:trPr>
          <w:cantSplit/>
        </w:trPr>
        <w:tc>
          <w:tcPr>
            <w:tcW w:w="2760" w:type="dxa"/>
          </w:tcPr>
          <w:p>
            <w:pPr>
              <w:pStyle w:val="yTable"/>
            </w:pPr>
            <w:r>
              <w:t>Categories 28 and 29</w:t>
            </w:r>
          </w:p>
        </w:tc>
        <w:tc>
          <w:tcPr>
            <w:tcW w:w="3480" w:type="dxa"/>
          </w:tcPr>
          <w:p>
            <w:pPr>
              <w:pStyle w:val="yTable"/>
            </w:pPr>
            <w:r>
              <w:t>Not more than 5 000 tonnes per year</w:t>
            </w:r>
          </w:p>
        </w:tc>
        <w:tc>
          <w:tcPr>
            <w:tcW w:w="990" w:type="dxa"/>
          </w:tcPr>
          <w:p>
            <w:pPr>
              <w:pStyle w:val="yTable"/>
              <w:tabs>
                <w:tab w:val="right" w:pos="568"/>
              </w:tabs>
            </w:pPr>
            <w:r>
              <w:tab/>
              <w:t>50</w:t>
            </w:r>
          </w:p>
        </w:tc>
      </w:tr>
      <w:tr>
        <w:tblPrEx>
          <w:tblCellMar>
            <w:left w:w="141" w:type="dxa"/>
            <w:right w:w="141" w:type="dxa"/>
          </w:tblCellMar>
        </w:tblPrEx>
        <w:trPr>
          <w:cantSplit/>
        </w:trPr>
        <w:tc>
          <w:tcPr>
            <w:tcW w:w="2760" w:type="dxa"/>
          </w:tcPr>
          <w:p>
            <w:pPr>
              <w:pStyle w:val="yTable"/>
            </w:pPr>
          </w:p>
        </w:tc>
        <w:tc>
          <w:tcPr>
            <w:tcW w:w="3480" w:type="dxa"/>
          </w:tcPr>
          <w:p>
            <w:pPr>
              <w:pStyle w:val="yTable"/>
            </w:pPr>
            <w:r>
              <w:t>More than 5 000 but not more than 50 000 tonnes per year</w:t>
            </w:r>
          </w:p>
        </w:tc>
        <w:tc>
          <w:tcPr>
            <w:tcW w:w="990" w:type="dxa"/>
          </w:tcPr>
          <w:p>
            <w:pPr>
              <w:pStyle w:val="yTable"/>
              <w:tabs>
                <w:tab w:val="right" w:pos="568"/>
              </w:tabs>
            </w:pPr>
            <w:r>
              <w:tab/>
              <w:t>150</w:t>
            </w:r>
          </w:p>
        </w:tc>
      </w:tr>
      <w:tr>
        <w:tblPrEx>
          <w:tblCellMar>
            <w:left w:w="141" w:type="dxa"/>
            <w:right w:w="141" w:type="dxa"/>
          </w:tblCellMar>
        </w:tblPrEx>
        <w:trPr>
          <w:cantSplit/>
        </w:trPr>
        <w:tc>
          <w:tcPr>
            <w:tcW w:w="2760" w:type="dxa"/>
          </w:tcPr>
          <w:p>
            <w:pPr>
              <w:pStyle w:val="yTable"/>
            </w:pPr>
          </w:p>
        </w:tc>
        <w:tc>
          <w:tcPr>
            <w:tcW w:w="3480" w:type="dxa"/>
          </w:tcPr>
          <w:p>
            <w:pPr>
              <w:pStyle w:val="yTable"/>
            </w:pPr>
            <w:r>
              <w:t>More than 50 000 tonnes per year</w:t>
            </w:r>
          </w:p>
        </w:tc>
        <w:tc>
          <w:tcPr>
            <w:tcW w:w="990" w:type="dxa"/>
          </w:tcPr>
          <w:p>
            <w:pPr>
              <w:pStyle w:val="yTable"/>
              <w:tabs>
                <w:tab w:val="right" w:pos="568"/>
              </w:tabs>
            </w:pPr>
            <w:r>
              <w:tab/>
              <w:t>200</w:t>
            </w:r>
          </w:p>
        </w:tc>
      </w:tr>
      <w:tr>
        <w:tblPrEx>
          <w:tblCellMar>
            <w:left w:w="141" w:type="dxa"/>
            <w:right w:w="141" w:type="dxa"/>
          </w:tblCellMar>
        </w:tblPrEx>
        <w:trPr>
          <w:cantSplit/>
        </w:trPr>
        <w:tc>
          <w:tcPr>
            <w:tcW w:w="2760" w:type="dxa"/>
          </w:tcPr>
          <w:p>
            <w:pPr>
              <w:pStyle w:val="yTable"/>
            </w:pPr>
            <w:r>
              <w:t>Category 30</w:t>
            </w:r>
          </w:p>
        </w:tc>
        <w:tc>
          <w:tcPr>
            <w:tcW w:w="3480" w:type="dxa"/>
          </w:tcPr>
          <w:p>
            <w:pPr>
              <w:pStyle w:val="yTable"/>
            </w:pPr>
            <w:r>
              <w:t>Not more than 50 000 tonnes per year</w:t>
            </w:r>
          </w:p>
        </w:tc>
        <w:tc>
          <w:tcPr>
            <w:tcW w:w="990" w:type="dxa"/>
          </w:tcPr>
          <w:p>
            <w:pPr>
              <w:pStyle w:val="yTable"/>
              <w:tabs>
                <w:tab w:val="right" w:pos="568"/>
              </w:tabs>
            </w:pPr>
            <w:r>
              <w:tab/>
              <w:t>100</w:t>
            </w:r>
          </w:p>
        </w:tc>
      </w:tr>
      <w:tr>
        <w:tblPrEx>
          <w:tblCellMar>
            <w:left w:w="141" w:type="dxa"/>
            <w:right w:w="141" w:type="dxa"/>
          </w:tblCellMar>
        </w:tblPrEx>
        <w:trPr>
          <w:cantSplit/>
        </w:trPr>
        <w:tc>
          <w:tcPr>
            <w:tcW w:w="2760" w:type="dxa"/>
          </w:tcPr>
          <w:p>
            <w:pPr>
              <w:pStyle w:val="yTable"/>
            </w:pPr>
          </w:p>
        </w:tc>
        <w:tc>
          <w:tcPr>
            <w:tcW w:w="3480" w:type="dxa"/>
          </w:tcPr>
          <w:p>
            <w:pPr>
              <w:pStyle w:val="yTable"/>
            </w:pPr>
            <w:r>
              <w:t>More than 50 000 but not more than 250 000 tonnes per year</w:t>
            </w:r>
          </w:p>
        </w:tc>
        <w:tc>
          <w:tcPr>
            <w:tcW w:w="990" w:type="dxa"/>
          </w:tcPr>
          <w:p>
            <w:pPr>
              <w:pStyle w:val="yTable"/>
              <w:tabs>
                <w:tab w:val="right" w:pos="568"/>
              </w:tabs>
            </w:pPr>
            <w:r>
              <w:tab/>
              <w:t>150</w:t>
            </w:r>
          </w:p>
        </w:tc>
      </w:tr>
      <w:tr>
        <w:tblPrEx>
          <w:tblCellMar>
            <w:left w:w="141" w:type="dxa"/>
            <w:right w:w="141" w:type="dxa"/>
          </w:tblCellMar>
        </w:tblPrEx>
        <w:trPr>
          <w:cantSplit/>
        </w:trPr>
        <w:tc>
          <w:tcPr>
            <w:tcW w:w="2760" w:type="dxa"/>
          </w:tcPr>
          <w:p>
            <w:pPr>
              <w:pStyle w:val="yTable"/>
            </w:pPr>
          </w:p>
        </w:tc>
        <w:tc>
          <w:tcPr>
            <w:tcW w:w="3480" w:type="dxa"/>
          </w:tcPr>
          <w:p>
            <w:pPr>
              <w:pStyle w:val="yTable"/>
            </w:pPr>
            <w:r>
              <w:t>More than 250 000 but not more than 1 000 000 tonnes per year</w:t>
            </w:r>
          </w:p>
        </w:tc>
        <w:tc>
          <w:tcPr>
            <w:tcW w:w="990" w:type="dxa"/>
          </w:tcPr>
          <w:p>
            <w:pPr>
              <w:pStyle w:val="yTable"/>
              <w:tabs>
                <w:tab w:val="right" w:pos="568"/>
              </w:tabs>
            </w:pPr>
            <w:r>
              <w:tab/>
              <w:t>200</w:t>
            </w:r>
          </w:p>
        </w:tc>
      </w:tr>
      <w:tr>
        <w:tblPrEx>
          <w:tblCellMar>
            <w:left w:w="141" w:type="dxa"/>
            <w:right w:w="141" w:type="dxa"/>
          </w:tblCellMar>
        </w:tblPrEx>
        <w:trPr>
          <w:cantSplit/>
        </w:trPr>
        <w:tc>
          <w:tcPr>
            <w:tcW w:w="2760" w:type="dxa"/>
          </w:tcPr>
          <w:p>
            <w:pPr>
              <w:pStyle w:val="yTable"/>
            </w:pPr>
          </w:p>
        </w:tc>
        <w:tc>
          <w:tcPr>
            <w:tcW w:w="3480" w:type="dxa"/>
          </w:tcPr>
          <w:p>
            <w:pPr>
              <w:pStyle w:val="yTable"/>
            </w:pPr>
            <w:r>
              <w:t>More than 1 000 000 tonnes per year</w:t>
            </w:r>
          </w:p>
        </w:tc>
        <w:tc>
          <w:tcPr>
            <w:tcW w:w="990" w:type="dxa"/>
          </w:tcPr>
          <w:p>
            <w:pPr>
              <w:pStyle w:val="yTable"/>
              <w:tabs>
                <w:tab w:val="right" w:pos="568"/>
              </w:tabs>
            </w:pPr>
            <w:r>
              <w:tab/>
              <w:t>400</w:t>
            </w:r>
          </w:p>
        </w:tc>
      </w:tr>
      <w:tr>
        <w:tblPrEx>
          <w:tblCellMar>
            <w:left w:w="141" w:type="dxa"/>
            <w:right w:w="141" w:type="dxa"/>
          </w:tblCellMar>
        </w:tblPrEx>
        <w:trPr>
          <w:cantSplit/>
        </w:trPr>
        <w:tc>
          <w:tcPr>
            <w:tcW w:w="2760" w:type="dxa"/>
          </w:tcPr>
          <w:p>
            <w:pPr>
              <w:pStyle w:val="yTable"/>
            </w:pPr>
            <w:r>
              <w:t>Categories 31 and 32</w:t>
            </w:r>
          </w:p>
        </w:tc>
        <w:tc>
          <w:tcPr>
            <w:tcW w:w="3480" w:type="dxa"/>
          </w:tcPr>
          <w:p>
            <w:pPr>
              <w:pStyle w:val="yTable"/>
            </w:pPr>
            <w:r>
              <w:t>Not more than 2 000 tonnes per year</w:t>
            </w:r>
          </w:p>
          <w:p>
            <w:pPr>
              <w:pStyle w:val="yTable"/>
            </w:pPr>
            <w:r>
              <w:t>More than 2 000 but not more than 10 000 tonnes per year</w:t>
            </w:r>
          </w:p>
          <w:p>
            <w:pPr>
              <w:pStyle w:val="yTable"/>
            </w:pPr>
            <w:r>
              <w:t>More than 10 000 but not more than 50 000 tonnes per year</w:t>
            </w:r>
          </w:p>
        </w:tc>
        <w:tc>
          <w:tcPr>
            <w:tcW w:w="990" w:type="dxa"/>
          </w:tcPr>
          <w:p>
            <w:pPr>
              <w:pStyle w:val="yTable"/>
              <w:tabs>
                <w:tab w:val="right" w:pos="568"/>
              </w:tabs>
            </w:pPr>
            <w:r>
              <w:tab/>
              <w:t>50</w:t>
            </w:r>
          </w:p>
          <w:p>
            <w:pPr>
              <w:pStyle w:val="yTable"/>
              <w:tabs>
                <w:tab w:val="right" w:pos="568"/>
              </w:tabs>
              <w:spacing w:before="0"/>
            </w:pPr>
          </w:p>
          <w:p>
            <w:pPr>
              <w:pStyle w:val="yTable"/>
              <w:tabs>
                <w:tab w:val="right" w:pos="568"/>
              </w:tabs>
            </w:pPr>
            <w:r>
              <w:tab/>
              <w:t>150</w:t>
            </w:r>
          </w:p>
          <w:p>
            <w:pPr>
              <w:pStyle w:val="yTable"/>
              <w:tabs>
                <w:tab w:val="right" w:pos="568"/>
              </w:tabs>
              <w:spacing w:before="0"/>
            </w:pPr>
          </w:p>
          <w:p>
            <w:pPr>
              <w:pStyle w:val="yTable"/>
              <w:tabs>
                <w:tab w:val="right" w:pos="568"/>
              </w:tabs>
            </w:pPr>
            <w:r>
              <w:tab/>
              <w:t>250</w:t>
            </w:r>
          </w:p>
        </w:tc>
      </w:tr>
      <w:tr>
        <w:tblPrEx>
          <w:tblCellMar>
            <w:left w:w="141" w:type="dxa"/>
            <w:right w:w="141" w:type="dxa"/>
          </w:tblCellMar>
        </w:tblPrEx>
        <w:trPr>
          <w:cantSplit/>
        </w:trPr>
        <w:tc>
          <w:tcPr>
            <w:tcW w:w="2760" w:type="dxa"/>
          </w:tcPr>
          <w:p>
            <w:pPr>
              <w:pStyle w:val="yTable"/>
            </w:pPr>
          </w:p>
        </w:tc>
        <w:tc>
          <w:tcPr>
            <w:tcW w:w="3480" w:type="dxa"/>
          </w:tcPr>
          <w:p>
            <w:pPr>
              <w:pStyle w:val="yTable"/>
            </w:pPr>
            <w:r>
              <w:t>More than 50 000 but not more than 100 000 tonnes per year</w:t>
            </w:r>
          </w:p>
          <w:p>
            <w:pPr>
              <w:pStyle w:val="yTable"/>
            </w:pPr>
            <w:r>
              <w:t>More than 100 000 tonnes per year</w:t>
            </w:r>
          </w:p>
        </w:tc>
        <w:tc>
          <w:tcPr>
            <w:tcW w:w="990" w:type="dxa"/>
          </w:tcPr>
          <w:p>
            <w:pPr>
              <w:pStyle w:val="yTable"/>
              <w:tabs>
                <w:tab w:val="right" w:pos="568"/>
              </w:tabs>
            </w:pPr>
            <w:r>
              <w:tab/>
              <w:t>400</w:t>
            </w:r>
          </w:p>
          <w:p>
            <w:pPr>
              <w:pStyle w:val="yTable"/>
              <w:tabs>
                <w:tab w:val="right" w:pos="568"/>
              </w:tabs>
              <w:spacing w:before="0"/>
            </w:pPr>
          </w:p>
          <w:p>
            <w:pPr>
              <w:pStyle w:val="yTable"/>
              <w:tabs>
                <w:tab w:val="right" w:pos="568"/>
              </w:tabs>
            </w:pPr>
            <w:r>
              <w:tab/>
              <w:t>600</w:t>
            </w:r>
          </w:p>
        </w:tc>
      </w:tr>
      <w:tr>
        <w:tblPrEx>
          <w:tblCellMar>
            <w:left w:w="141" w:type="dxa"/>
            <w:right w:w="141" w:type="dxa"/>
          </w:tblCellMar>
        </w:tblPrEx>
        <w:trPr>
          <w:cantSplit/>
        </w:trPr>
        <w:tc>
          <w:tcPr>
            <w:tcW w:w="2760" w:type="dxa"/>
          </w:tcPr>
          <w:p>
            <w:pPr>
              <w:pStyle w:val="yTable"/>
            </w:pPr>
            <w:r>
              <w:t>Categories 33, 35, 36, 37 and 38</w:t>
            </w:r>
          </w:p>
        </w:tc>
        <w:tc>
          <w:tcPr>
            <w:tcW w:w="3480" w:type="dxa"/>
          </w:tcPr>
          <w:p>
            <w:pPr>
              <w:pStyle w:val="yTable"/>
            </w:pPr>
            <w:r>
              <w:t>Not more than 2 000 tonnes per year</w:t>
            </w:r>
          </w:p>
        </w:tc>
        <w:tc>
          <w:tcPr>
            <w:tcW w:w="990" w:type="dxa"/>
          </w:tcPr>
          <w:p>
            <w:pPr>
              <w:pStyle w:val="yTable"/>
              <w:tabs>
                <w:tab w:val="right" w:pos="568"/>
              </w:tabs>
            </w:pPr>
            <w:r>
              <w:tab/>
              <w:t>50</w:t>
            </w:r>
          </w:p>
        </w:tc>
      </w:tr>
      <w:tr>
        <w:tblPrEx>
          <w:tblCellMar>
            <w:left w:w="141" w:type="dxa"/>
            <w:right w:w="141" w:type="dxa"/>
          </w:tblCellMar>
        </w:tblPrEx>
        <w:trPr>
          <w:cantSplit/>
        </w:trPr>
        <w:tc>
          <w:tcPr>
            <w:tcW w:w="2760" w:type="dxa"/>
          </w:tcPr>
          <w:p>
            <w:pPr>
              <w:pStyle w:val="yTable"/>
              <w:keepNext/>
            </w:pPr>
          </w:p>
        </w:tc>
        <w:tc>
          <w:tcPr>
            <w:tcW w:w="3480" w:type="dxa"/>
          </w:tcPr>
          <w:p>
            <w:pPr>
              <w:pStyle w:val="yTable"/>
              <w:keepNext/>
            </w:pPr>
            <w:r>
              <w:t>More than 2 000 but not more than 10 000 tonnes per year</w:t>
            </w:r>
          </w:p>
        </w:tc>
        <w:tc>
          <w:tcPr>
            <w:tcW w:w="990" w:type="dxa"/>
          </w:tcPr>
          <w:p>
            <w:pPr>
              <w:pStyle w:val="yTable"/>
              <w:keepNext/>
              <w:tabs>
                <w:tab w:val="right" w:pos="568"/>
              </w:tabs>
            </w:pPr>
            <w:r>
              <w:tab/>
              <w:t>100</w:t>
            </w:r>
          </w:p>
        </w:tc>
      </w:tr>
      <w:tr>
        <w:tblPrEx>
          <w:tblCellMar>
            <w:left w:w="141" w:type="dxa"/>
            <w:right w:w="141" w:type="dxa"/>
          </w:tblCellMar>
        </w:tblPrEx>
        <w:trPr>
          <w:cantSplit/>
        </w:trPr>
        <w:tc>
          <w:tcPr>
            <w:tcW w:w="2760" w:type="dxa"/>
          </w:tcPr>
          <w:p>
            <w:pPr>
              <w:pStyle w:val="yTable"/>
              <w:keepNext/>
              <w:keepLines/>
            </w:pPr>
          </w:p>
        </w:tc>
        <w:tc>
          <w:tcPr>
            <w:tcW w:w="3480" w:type="dxa"/>
          </w:tcPr>
          <w:p>
            <w:pPr>
              <w:pStyle w:val="yTable"/>
              <w:keepNext/>
              <w:keepLines/>
            </w:pPr>
            <w:r>
              <w:t>More than 10 000 but not more than 50 000 tonnes per year</w:t>
            </w:r>
          </w:p>
        </w:tc>
        <w:tc>
          <w:tcPr>
            <w:tcW w:w="990" w:type="dxa"/>
          </w:tcPr>
          <w:p>
            <w:pPr>
              <w:pStyle w:val="yTable"/>
              <w:keepNext/>
              <w:keepLines/>
              <w:tabs>
                <w:tab w:val="right" w:pos="568"/>
              </w:tabs>
            </w:pPr>
            <w:r>
              <w:tab/>
              <w:t>200</w:t>
            </w:r>
          </w:p>
        </w:tc>
      </w:tr>
      <w:tr>
        <w:tblPrEx>
          <w:tblCellMar>
            <w:left w:w="141" w:type="dxa"/>
            <w:right w:w="141" w:type="dxa"/>
          </w:tblCellMar>
        </w:tblPrEx>
        <w:trPr>
          <w:cantSplit/>
        </w:trPr>
        <w:tc>
          <w:tcPr>
            <w:tcW w:w="2760" w:type="dxa"/>
          </w:tcPr>
          <w:p>
            <w:pPr>
              <w:pStyle w:val="yTable"/>
            </w:pPr>
          </w:p>
        </w:tc>
        <w:tc>
          <w:tcPr>
            <w:tcW w:w="3480" w:type="dxa"/>
          </w:tcPr>
          <w:p>
            <w:pPr>
              <w:pStyle w:val="yTable"/>
            </w:pPr>
            <w:r>
              <w:t>More than 50 000 tonnes per year</w:t>
            </w:r>
          </w:p>
        </w:tc>
        <w:tc>
          <w:tcPr>
            <w:tcW w:w="990" w:type="dxa"/>
          </w:tcPr>
          <w:p>
            <w:pPr>
              <w:pStyle w:val="yTable"/>
              <w:tabs>
                <w:tab w:val="right" w:pos="568"/>
              </w:tabs>
            </w:pPr>
            <w:r>
              <w:tab/>
              <w:t>300</w:t>
            </w:r>
          </w:p>
        </w:tc>
      </w:tr>
      <w:tr>
        <w:tblPrEx>
          <w:tblCellMar>
            <w:left w:w="141" w:type="dxa"/>
            <w:right w:w="141" w:type="dxa"/>
          </w:tblCellMar>
        </w:tblPrEx>
        <w:trPr>
          <w:cantSplit/>
        </w:trPr>
        <w:tc>
          <w:tcPr>
            <w:tcW w:w="2760" w:type="dxa"/>
          </w:tcPr>
          <w:p>
            <w:pPr>
              <w:pStyle w:val="yTable"/>
            </w:pPr>
            <w:r>
              <w:t>Category 39</w:t>
            </w:r>
          </w:p>
        </w:tc>
        <w:tc>
          <w:tcPr>
            <w:tcW w:w="3480" w:type="dxa"/>
          </w:tcPr>
          <w:p>
            <w:pPr>
              <w:pStyle w:val="yTable"/>
            </w:pPr>
            <w:r>
              <w:t>Not more than 500 tonnes per year</w:t>
            </w:r>
          </w:p>
        </w:tc>
        <w:tc>
          <w:tcPr>
            <w:tcW w:w="990" w:type="dxa"/>
          </w:tcPr>
          <w:p>
            <w:pPr>
              <w:pStyle w:val="yTable"/>
              <w:tabs>
                <w:tab w:val="right" w:pos="568"/>
              </w:tabs>
            </w:pPr>
            <w:r>
              <w:tab/>
              <w:t>20</w:t>
            </w:r>
          </w:p>
        </w:tc>
      </w:tr>
      <w:tr>
        <w:tblPrEx>
          <w:tblCellMar>
            <w:left w:w="141" w:type="dxa"/>
            <w:right w:w="141" w:type="dxa"/>
          </w:tblCellMar>
        </w:tblPrEx>
        <w:trPr>
          <w:cantSplit/>
        </w:trPr>
        <w:tc>
          <w:tcPr>
            <w:tcW w:w="2760" w:type="dxa"/>
          </w:tcPr>
          <w:p>
            <w:pPr>
              <w:pStyle w:val="zyDefsubpara"/>
            </w:pPr>
          </w:p>
        </w:tc>
        <w:tc>
          <w:tcPr>
            <w:tcW w:w="3480" w:type="dxa"/>
          </w:tcPr>
          <w:p>
            <w:pPr>
              <w:pStyle w:val="yTable"/>
            </w:pPr>
            <w:r>
              <w:t>More than 500 tonnes but not more than 2 000 tonnes per year</w:t>
            </w:r>
          </w:p>
        </w:tc>
        <w:tc>
          <w:tcPr>
            <w:tcW w:w="990" w:type="dxa"/>
          </w:tcPr>
          <w:p>
            <w:pPr>
              <w:pStyle w:val="yTable"/>
              <w:tabs>
                <w:tab w:val="right" w:pos="568"/>
              </w:tabs>
            </w:pPr>
            <w:r>
              <w:tab/>
              <w:t>50</w:t>
            </w:r>
          </w:p>
        </w:tc>
      </w:tr>
      <w:tr>
        <w:tblPrEx>
          <w:tblCellMar>
            <w:left w:w="141" w:type="dxa"/>
            <w:right w:w="141" w:type="dxa"/>
          </w:tblCellMar>
        </w:tblPrEx>
        <w:trPr>
          <w:cantSplit/>
        </w:trPr>
        <w:tc>
          <w:tcPr>
            <w:tcW w:w="2760" w:type="dxa"/>
          </w:tcPr>
          <w:p>
            <w:pPr>
              <w:pStyle w:val="zyDefsubpara"/>
            </w:pPr>
          </w:p>
        </w:tc>
        <w:tc>
          <w:tcPr>
            <w:tcW w:w="3480" w:type="dxa"/>
          </w:tcPr>
          <w:p>
            <w:pPr>
              <w:pStyle w:val="yTable"/>
            </w:pPr>
            <w:r>
              <w:t>More than 2 000 but not more than 10 000 tonnes per year</w:t>
            </w:r>
          </w:p>
        </w:tc>
        <w:tc>
          <w:tcPr>
            <w:tcW w:w="990" w:type="dxa"/>
          </w:tcPr>
          <w:p>
            <w:pPr>
              <w:pStyle w:val="yTable"/>
              <w:tabs>
                <w:tab w:val="right" w:pos="568"/>
              </w:tabs>
            </w:pPr>
            <w:r>
              <w:tab/>
              <w:t>100</w:t>
            </w:r>
          </w:p>
        </w:tc>
      </w:tr>
      <w:tr>
        <w:tblPrEx>
          <w:tblCellMar>
            <w:left w:w="141" w:type="dxa"/>
            <w:right w:w="141" w:type="dxa"/>
          </w:tblCellMar>
        </w:tblPrEx>
        <w:trPr>
          <w:cantSplit/>
        </w:trPr>
        <w:tc>
          <w:tcPr>
            <w:tcW w:w="2760" w:type="dxa"/>
          </w:tcPr>
          <w:p>
            <w:pPr>
              <w:pStyle w:val="zyDefsubpara"/>
            </w:pPr>
          </w:p>
        </w:tc>
        <w:tc>
          <w:tcPr>
            <w:tcW w:w="3480" w:type="dxa"/>
          </w:tcPr>
          <w:p>
            <w:pPr>
              <w:pStyle w:val="yTable"/>
            </w:pPr>
            <w:r>
              <w:t>More than 10 000 but not more than 50 000 tonnes per year</w:t>
            </w:r>
          </w:p>
        </w:tc>
        <w:tc>
          <w:tcPr>
            <w:tcW w:w="990" w:type="dxa"/>
          </w:tcPr>
          <w:p>
            <w:pPr>
              <w:pStyle w:val="yTable"/>
              <w:tabs>
                <w:tab w:val="right" w:pos="568"/>
              </w:tabs>
            </w:pPr>
            <w:r>
              <w:tab/>
              <w:t>200</w:t>
            </w:r>
          </w:p>
        </w:tc>
      </w:tr>
      <w:tr>
        <w:tblPrEx>
          <w:tblCellMar>
            <w:left w:w="141" w:type="dxa"/>
            <w:right w:w="141" w:type="dxa"/>
          </w:tblCellMar>
        </w:tblPrEx>
        <w:trPr>
          <w:cantSplit/>
        </w:trPr>
        <w:tc>
          <w:tcPr>
            <w:tcW w:w="2760" w:type="dxa"/>
          </w:tcPr>
          <w:p>
            <w:pPr>
              <w:pStyle w:val="zyDefsubpara"/>
            </w:pPr>
          </w:p>
        </w:tc>
        <w:tc>
          <w:tcPr>
            <w:tcW w:w="3480" w:type="dxa"/>
          </w:tcPr>
          <w:p>
            <w:pPr>
              <w:pStyle w:val="yTable"/>
            </w:pPr>
            <w:r>
              <w:t>More than 50 000 tonnes per year</w:t>
            </w:r>
          </w:p>
        </w:tc>
        <w:tc>
          <w:tcPr>
            <w:tcW w:w="990" w:type="dxa"/>
          </w:tcPr>
          <w:p>
            <w:pPr>
              <w:pStyle w:val="yTable"/>
              <w:tabs>
                <w:tab w:val="right" w:pos="568"/>
              </w:tabs>
            </w:pPr>
            <w:r>
              <w:tab/>
              <w:t>300</w:t>
            </w:r>
          </w:p>
        </w:tc>
      </w:tr>
      <w:tr>
        <w:tblPrEx>
          <w:tblCellMar>
            <w:left w:w="141" w:type="dxa"/>
            <w:right w:w="141" w:type="dxa"/>
          </w:tblCellMar>
        </w:tblPrEx>
        <w:trPr>
          <w:cantSplit/>
        </w:trPr>
        <w:tc>
          <w:tcPr>
            <w:tcW w:w="2760" w:type="dxa"/>
          </w:tcPr>
          <w:p>
            <w:pPr>
              <w:pStyle w:val="yTable"/>
            </w:pPr>
            <w:r>
              <w:t>Categories 40, 42 and 43</w:t>
            </w:r>
          </w:p>
        </w:tc>
        <w:tc>
          <w:tcPr>
            <w:tcW w:w="3480" w:type="dxa"/>
          </w:tcPr>
          <w:p>
            <w:pPr>
              <w:pStyle w:val="yTable"/>
            </w:pPr>
            <w:r>
              <w:t>Not more than 10 000 tonnes per year</w:t>
            </w:r>
          </w:p>
        </w:tc>
        <w:tc>
          <w:tcPr>
            <w:tcW w:w="990" w:type="dxa"/>
          </w:tcPr>
          <w:p>
            <w:pPr>
              <w:pStyle w:val="yTable"/>
              <w:tabs>
                <w:tab w:val="right" w:pos="568"/>
              </w:tabs>
            </w:pPr>
            <w:r>
              <w:tab/>
              <w:t>100</w:t>
            </w:r>
          </w:p>
        </w:tc>
      </w:tr>
      <w:tr>
        <w:tblPrEx>
          <w:tblCellMar>
            <w:left w:w="141" w:type="dxa"/>
            <w:right w:w="141" w:type="dxa"/>
          </w:tblCellMar>
        </w:tblPrEx>
        <w:trPr>
          <w:cantSplit/>
        </w:trPr>
        <w:tc>
          <w:tcPr>
            <w:tcW w:w="2760" w:type="dxa"/>
          </w:tcPr>
          <w:p>
            <w:pPr>
              <w:pStyle w:val="yTable"/>
            </w:pPr>
          </w:p>
        </w:tc>
        <w:tc>
          <w:tcPr>
            <w:tcW w:w="3480" w:type="dxa"/>
          </w:tcPr>
          <w:p>
            <w:pPr>
              <w:pStyle w:val="yTable"/>
            </w:pPr>
            <w:r>
              <w:t>More than 10 000 but not more than 100 000 tonnes per year</w:t>
            </w:r>
          </w:p>
        </w:tc>
        <w:tc>
          <w:tcPr>
            <w:tcW w:w="990" w:type="dxa"/>
          </w:tcPr>
          <w:p>
            <w:pPr>
              <w:pStyle w:val="yTable"/>
              <w:tabs>
                <w:tab w:val="right" w:pos="568"/>
              </w:tabs>
            </w:pPr>
            <w:r>
              <w:tab/>
              <w:t>200</w:t>
            </w:r>
          </w:p>
        </w:tc>
      </w:tr>
      <w:tr>
        <w:tblPrEx>
          <w:tblCellMar>
            <w:left w:w="141" w:type="dxa"/>
            <w:right w:w="141" w:type="dxa"/>
          </w:tblCellMar>
        </w:tblPrEx>
        <w:trPr>
          <w:cantSplit/>
        </w:trPr>
        <w:tc>
          <w:tcPr>
            <w:tcW w:w="2760" w:type="dxa"/>
          </w:tcPr>
          <w:p>
            <w:pPr>
              <w:pStyle w:val="yTable"/>
            </w:pPr>
          </w:p>
        </w:tc>
        <w:tc>
          <w:tcPr>
            <w:tcW w:w="3480" w:type="dxa"/>
          </w:tcPr>
          <w:p>
            <w:pPr>
              <w:pStyle w:val="yTable"/>
            </w:pPr>
            <w:r>
              <w:t>More than 100 000 tonnes per year</w:t>
            </w:r>
          </w:p>
        </w:tc>
        <w:tc>
          <w:tcPr>
            <w:tcW w:w="990" w:type="dxa"/>
          </w:tcPr>
          <w:p>
            <w:pPr>
              <w:pStyle w:val="yTable"/>
              <w:tabs>
                <w:tab w:val="right" w:pos="568"/>
              </w:tabs>
            </w:pPr>
            <w:r>
              <w:tab/>
              <w:t>400</w:t>
            </w:r>
          </w:p>
        </w:tc>
      </w:tr>
      <w:tr>
        <w:tblPrEx>
          <w:tblCellMar>
            <w:left w:w="141" w:type="dxa"/>
            <w:right w:w="141" w:type="dxa"/>
          </w:tblCellMar>
        </w:tblPrEx>
        <w:trPr>
          <w:cantSplit/>
        </w:trPr>
        <w:tc>
          <w:tcPr>
            <w:tcW w:w="2760" w:type="dxa"/>
          </w:tcPr>
          <w:p>
            <w:pPr>
              <w:pStyle w:val="yTable"/>
            </w:pPr>
            <w:r>
              <w:t>Category 41</w:t>
            </w:r>
          </w:p>
        </w:tc>
        <w:tc>
          <w:tcPr>
            <w:tcW w:w="3480" w:type="dxa"/>
          </w:tcPr>
          <w:p>
            <w:pPr>
              <w:pStyle w:val="yTable"/>
            </w:pPr>
            <w:r>
              <w:t>Not more than 5 000 tonnes per year</w:t>
            </w:r>
          </w:p>
        </w:tc>
        <w:tc>
          <w:tcPr>
            <w:tcW w:w="990" w:type="dxa"/>
          </w:tcPr>
          <w:p>
            <w:pPr>
              <w:pStyle w:val="yTable"/>
              <w:tabs>
                <w:tab w:val="right" w:pos="568"/>
              </w:tabs>
            </w:pPr>
            <w:r>
              <w:tab/>
              <w:t>150</w:t>
            </w:r>
          </w:p>
        </w:tc>
      </w:tr>
      <w:tr>
        <w:tblPrEx>
          <w:tblCellMar>
            <w:left w:w="141" w:type="dxa"/>
            <w:right w:w="141" w:type="dxa"/>
          </w:tblCellMar>
        </w:tblPrEx>
        <w:trPr>
          <w:cantSplit/>
        </w:trPr>
        <w:tc>
          <w:tcPr>
            <w:tcW w:w="2760" w:type="dxa"/>
          </w:tcPr>
          <w:p>
            <w:pPr>
              <w:pStyle w:val="yTable"/>
            </w:pPr>
          </w:p>
        </w:tc>
        <w:tc>
          <w:tcPr>
            <w:tcW w:w="3480" w:type="dxa"/>
          </w:tcPr>
          <w:p>
            <w:pPr>
              <w:pStyle w:val="yTable"/>
            </w:pPr>
            <w:r>
              <w:t>More than 5 000 but not more than 50 000 tonnes per year</w:t>
            </w:r>
          </w:p>
        </w:tc>
        <w:tc>
          <w:tcPr>
            <w:tcW w:w="990" w:type="dxa"/>
          </w:tcPr>
          <w:p>
            <w:pPr>
              <w:pStyle w:val="yTable"/>
              <w:tabs>
                <w:tab w:val="right" w:pos="568"/>
              </w:tabs>
            </w:pPr>
            <w:r>
              <w:tab/>
              <w:t>300</w:t>
            </w:r>
          </w:p>
        </w:tc>
      </w:tr>
      <w:tr>
        <w:tblPrEx>
          <w:tblCellMar>
            <w:left w:w="141" w:type="dxa"/>
            <w:right w:w="141" w:type="dxa"/>
          </w:tblCellMar>
        </w:tblPrEx>
        <w:trPr>
          <w:cantSplit/>
        </w:trPr>
        <w:tc>
          <w:tcPr>
            <w:tcW w:w="2760" w:type="dxa"/>
          </w:tcPr>
          <w:p>
            <w:pPr>
              <w:pStyle w:val="yTable"/>
            </w:pPr>
          </w:p>
        </w:tc>
        <w:tc>
          <w:tcPr>
            <w:tcW w:w="3480" w:type="dxa"/>
          </w:tcPr>
          <w:p>
            <w:pPr>
              <w:pStyle w:val="yTable"/>
            </w:pPr>
            <w:r>
              <w:t>More than 50 000 but not more than 500 000 tonnes per year</w:t>
            </w:r>
          </w:p>
        </w:tc>
        <w:tc>
          <w:tcPr>
            <w:tcW w:w="990" w:type="dxa"/>
          </w:tcPr>
          <w:p>
            <w:pPr>
              <w:pStyle w:val="yTable"/>
              <w:tabs>
                <w:tab w:val="right" w:pos="568"/>
              </w:tabs>
            </w:pPr>
            <w:r>
              <w:tab/>
              <w:t>750</w:t>
            </w:r>
          </w:p>
        </w:tc>
      </w:tr>
      <w:tr>
        <w:tblPrEx>
          <w:tblCellMar>
            <w:left w:w="141" w:type="dxa"/>
            <w:right w:w="141" w:type="dxa"/>
          </w:tblCellMar>
        </w:tblPrEx>
        <w:trPr>
          <w:cantSplit/>
        </w:trPr>
        <w:tc>
          <w:tcPr>
            <w:tcW w:w="2760" w:type="dxa"/>
          </w:tcPr>
          <w:p>
            <w:pPr>
              <w:pStyle w:val="yTable"/>
            </w:pPr>
          </w:p>
        </w:tc>
        <w:tc>
          <w:tcPr>
            <w:tcW w:w="3480" w:type="dxa"/>
          </w:tcPr>
          <w:p>
            <w:pPr>
              <w:pStyle w:val="yTable"/>
            </w:pPr>
            <w:r>
              <w:t>More than 500 000 tonnes per year</w:t>
            </w:r>
          </w:p>
        </w:tc>
        <w:tc>
          <w:tcPr>
            <w:tcW w:w="990" w:type="dxa"/>
          </w:tcPr>
          <w:p>
            <w:pPr>
              <w:pStyle w:val="yTable"/>
              <w:tabs>
                <w:tab w:val="right" w:pos="568"/>
              </w:tabs>
            </w:pPr>
            <w:r>
              <w:tab/>
              <w:t>1 050</w:t>
            </w:r>
          </w:p>
        </w:tc>
      </w:tr>
      <w:tr>
        <w:tblPrEx>
          <w:tblCellMar>
            <w:left w:w="141" w:type="dxa"/>
            <w:right w:w="141" w:type="dxa"/>
          </w:tblCellMar>
        </w:tblPrEx>
        <w:trPr>
          <w:cantSplit/>
        </w:trPr>
        <w:tc>
          <w:tcPr>
            <w:tcW w:w="2760" w:type="dxa"/>
          </w:tcPr>
          <w:p>
            <w:pPr>
              <w:pStyle w:val="yTable"/>
            </w:pPr>
            <w:r>
              <w:t>Category 44</w:t>
            </w:r>
          </w:p>
        </w:tc>
        <w:tc>
          <w:tcPr>
            <w:tcW w:w="3480" w:type="dxa"/>
          </w:tcPr>
          <w:p>
            <w:pPr>
              <w:pStyle w:val="yTable"/>
            </w:pPr>
            <w:r>
              <w:t>Not more than 10 000 tonnes per year</w:t>
            </w:r>
          </w:p>
        </w:tc>
        <w:tc>
          <w:tcPr>
            <w:tcW w:w="990" w:type="dxa"/>
          </w:tcPr>
          <w:p>
            <w:pPr>
              <w:pStyle w:val="yTable"/>
              <w:tabs>
                <w:tab w:val="right" w:pos="568"/>
              </w:tabs>
            </w:pPr>
            <w:r>
              <w:tab/>
              <w:t>75</w:t>
            </w:r>
          </w:p>
        </w:tc>
      </w:tr>
      <w:tr>
        <w:tblPrEx>
          <w:tblCellMar>
            <w:left w:w="141" w:type="dxa"/>
            <w:right w:w="141" w:type="dxa"/>
          </w:tblCellMar>
        </w:tblPrEx>
        <w:trPr>
          <w:cantSplit/>
        </w:trPr>
        <w:tc>
          <w:tcPr>
            <w:tcW w:w="2760" w:type="dxa"/>
          </w:tcPr>
          <w:p>
            <w:pPr>
              <w:pStyle w:val="yTable"/>
              <w:keepNext/>
            </w:pPr>
          </w:p>
        </w:tc>
        <w:tc>
          <w:tcPr>
            <w:tcW w:w="3480" w:type="dxa"/>
          </w:tcPr>
          <w:p>
            <w:pPr>
              <w:pStyle w:val="yTable"/>
              <w:keepNext/>
            </w:pPr>
            <w:r>
              <w:t>More than 10 000 but not more than 50 000 tonnes per year</w:t>
            </w:r>
          </w:p>
        </w:tc>
        <w:tc>
          <w:tcPr>
            <w:tcW w:w="990" w:type="dxa"/>
          </w:tcPr>
          <w:p>
            <w:pPr>
              <w:pStyle w:val="yTable"/>
              <w:keepNext/>
              <w:tabs>
                <w:tab w:val="right" w:pos="568"/>
              </w:tabs>
            </w:pPr>
            <w:r>
              <w:tab/>
              <w:t>150</w:t>
            </w:r>
          </w:p>
        </w:tc>
      </w:tr>
      <w:tr>
        <w:tblPrEx>
          <w:tblCellMar>
            <w:left w:w="141" w:type="dxa"/>
            <w:right w:w="141" w:type="dxa"/>
          </w:tblCellMar>
        </w:tblPrEx>
        <w:trPr>
          <w:cantSplit/>
        </w:trPr>
        <w:tc>
          <w:tcPr>
            <w:tcW w:w="2760" w:type="dxa"/>
          </w:tcPr>
          <w:p>
            <w:pPr>
              <w:pStyle w:val="yTable"/>
            </w:pPr>
          </w:p>
        </w:tc>
        <w:tc>
          <w:tcPr>
            <w:tcW w:w="3480" w:type="dxa"/>
          </w:tcPr>
          <w:p>
            <w:pPr>
              <w:pStyle w:val="yTable"/>
            </w:pPr>
            <w:r>
              <w:t>More than 50 000 but not more than 500 000 tonnes per year</w:t>
            </w:r>
          </w:p>
        </w:tc>
        <w:tc>
          <w:tcPr>
            <w:tcW w:w="990" w:type="dxa"/>
          </w:tcPr>
          <w:p>
            <w:pPr>
              <w:pStyle w:val="yTable"/>
              <w:tabs>
                <w:tab w:val="right" w:pos="568"/>
              </w:tabs>
            </w:pPr>
            <w:r>
              <w:tab/>
              <w:t>300</w:t>
            </w:r>
          </w:p>
        </w:tc>
      </w:tr>
      <w:tr>
        <w:tblPrEx>
          <w:tblCellMar>
            <w:left w:w="141" w:type="dxa"/>
            <w:right w:w="141" w:type="dxa"/>
          </w:tblCellMar>
        </w:tblPrEx>
        <w:trPr>
          <w:cantSplit/>
        </w:trPr>
        <w:tc>
          <w:tcPr>
            <w:tcW w:w="2760" w:type="dxa"/>
          </w:tcPr>
          <w:p>
            <w:pPr>
              <w:pStyle w:val="yTable"/>
            </w:pPr>
          </w:p>
        </w:tc>
        <w:tc>
          <w:tcPr>
            <w:tcW w:w="3480" w:type="dxa"/>
          </w:tcPr>
          <w:p>
            <w:pPr>
              <w:pStyle w:val="yTable"/>
            </w:pPr>
            <w:r>
              <w:t>More than 500 000 tonnes per year</w:t>
            </w:r>
          </w:p>
        </w:tc>
        <w:tc>
          <w:tcPr>
            <w:tcW w:w="990" w:type="dxa"/>
          </w:tcPr>
          <w:p>
            <w:pPr>
              <w:pStyle w:val="yTable"/>
              <w:tabs>
                <w:tab w:val="right" w:pos="568"/>
              </w:tabs>
            </w:pPr>
            <w:r>
              <w:tab/>
              <w:t>600</w:t>
            </w:r>
          </w:p>
        </w:tc>
      </w:tr>
      <w:tr>
        <w:tblPrEx>
          <w:tblCellMar>
            <w:left w:w="141" w:type="dxa"/>
            <w:right w:w="141" w:type="dxa"/>
          </w:tblCellMar>
        </w:tblPrEx>
        <w:trPr>
          <w:cantSplit/>
        </w:trPr>
        <w:tc>
          <w:tcPr>
            <w:tcW w:w="2760" w:type="dxa"/>
          </w:tcPr>
          <w:p>
            <w:pPr>
              <w:pStyle w:val="yTable"/>
            </w:pPr>
            <w:r>
              <w:t>Category 45</w:t>
            </w:r>
          </w:p>
        </w:tc>
        <w:tc>
          <w:tcPr>
            <w:tcW w:w="3480" w:type="dxa"/>
          </w:tcPr>
          <w:p>
            <w:pPr>
              <w:pStyle w:val="yTable"/>
            </w:pPr>
            <w:r>
              <w:t>Not more than 1 000 tonnes per year</w:t>
            </w:r>
          </w:p>
        </w:tc>
        <w:tc>
          <w:tcPr>
            <w:tcW w:w="990" w:type="dxa"/>
          </w:tcPr>
          <w:p>
            <w:pPr>
              <w:pStyle w:val="yTable"/>
              <w:tabs>
                <w:tab w:val="right" w:pos="568"/>
              </w:tabs>
            </w:pPr>
            <w:r>
              <w:tab/>
              <w:t>50</w:t>
            </w:r>
          </w:p>
        </w:tc>
      </w:tr>
      <w:tr>
        <w:tblPrEx>
          <w:tblCellMar>
            <w:left w:w="141" w:type="dxa"/>
            <w:right w:w="141" w:type="dxa"/>
          </w:tblCellMar>
        </w:tblPrEx>
        <w:trPr>
          <w:cantSplit/>
        </w:trPr>
        <w:tc>
          <w:tcPr>
            <w:tcW w:w="2760" w:type="dxa"/>
          </w:tcPr>
          <w:p>
            <w:pPr>
              <w:pStyle w:val="yTable"/>
            </w:pPr>
          </w:p>
        </w:tc>
        <w:tc>
          <w:tcPr>
            <w:tcW w:w="3480" w:type="dxa"/>
          </w:tcPr>
          <w:p>
            <w:pPr>
              <w:pStyle w:val="yTable"/>
            </w:pPr>
            <w:r>
              <w:t>More than 1 000 but not more than 10 000 tonnes per year</w:t>
            </w:r>
          </w:p>
        </w:tc>
        <w:tc>
          <w:tcPr>
            <w:tcW w:w="990" w:type="dxa"/>
          </w:tcPr>
          <w:p>
            <w:pPr>
              <w:pStyle w:val="yTable"/>
              <w:tabs>
                <w:tab w:val="right" w:pos="568"/>
              </w:tabs>
            </w:pPr>
            <w:r>
              <w:tab/>
              <w:t>100</w:t>
            </w:r>
          </w:p>
        </w:tc>
      </w:tr>
      <w:tr>
        <w:tblPrEx>
          <w:tblCellMar>
            <w:left w:w="141" w:type="dxa"/>
            <w:right w:w="141" w:type="dxa"/>
          </w:tblCellMar>
        </w:tblPrEx>
        <w:trPr>
          <w:cantSplit/>
        </w:trPr>
        <w:tc>
          <w:tcPr>
            <w:tcW w:w="2760" w:type="dxa"/>
          </w:tcPr>
          <w:p>
            <w:pPr>
              <w:pStyle w:val="yTable"/>
            </w:pPr>
          </w:p>
        </w:tc>
        <w:tc>
          <w:tcPr>
            <w:tcW w:w="3480" w:type="dxa"/>
          </w:tcPr>
          <w:p>
            <w:pPr>
              <w:pStyle w:val="yTable"/>
            </w:pPr>
            <w:r>
              <w:t>More than 10 000 but not more than 100 000 tonnes per year</w:t>
            </w:r>
          </w:p>
        </w:tc>
        <w:tc>
          <w:tcPr>
            <w:tcW w:w="990" w:type="dxa"/>
          </w:tcPr>
          <w:p>
            <w:pPr>
              <w:pStyle w:val="yTable"/>
              <w:tabs>
                <w:tab w:val="right" w:pos="568"/>
              </w:tabs>
            </w:pPr>
            <w:r>
              <w:tab/>
              <w:t>200</w:t>
            </w:r>
          </w:p>
        </w:tc>
      </w:tr>
      <w:tr>
        <w:tblPrEx>
          <w:tblCellMar>
            <w:left w:w="141" w:type="dxa"/>
            <w:right w:w="141" w:type="dxa"/>
          </w:tblCellMar>
        </w:tblPrEx>
        <w:trPr>
          <w:cantSplit/>
        </w:trPr>
        <w:tc>
          <w:tcPr>
            <w:tcW w:w="2760" w:type="dxa"/>
          </w:tcPr>
          <w:p>
            <w:pPr>
              <w:pStyle w:val="yTable"/>
            </w:pPr>
          </w:p>
        </w:tc>
        <w:tc>
          <w:tcPr>
            <w:tcW w:w="3480" w:type="dxa"/>
          </w:tcPr>
          <w:p>
            <w:pPr>
              <w:pStyle w:val="yTable"/>
            </w:pPr>
            <w:r>
              <w:t>More than 100 000 tonnes per year</w:t>
            </w:r>
          </w:p>
        </w:tc>
        <w:tc>
          <w:tcPr>
            <w:tcW w:w="990" w:type="dxa"/>
          </w:tcPr>
          <w:p>
            <w:pPr>
              <w:pStyle w:val="yTable"/>
              <w:tabs>
                <w:tab w:val="right" w:pos="568"/>
              </w:tabs>
            </w:pPr>
            <w:r>
              <w:tab/>
              <w:t>400</w:t>
            </w:r>
          </w:p>
        </w:tc>
      </w:tr>
      <w:tr>
        <w:tblPrEx>
          <w:tblCellMar>
            <w:left w:w="141" w:type="dxa"/>
            <w:right w:w="141" w:type="dxa"/>
          </w:tblCellMar>
        </w:tblPrEx>
        <w:trPr>
          <w:cantSplit/>
        </w:trPr>
        <w:tc>
          <w:tcPr>
            <w:tcW w:w="2760" w:type="dxa"/>
          </w:tcPr>
          <w:p>
            <w:pPr>
              <w:pStyle w:val="yTable"/>
            </w:pPr>
            <w:r>
              <w:t>Category 46</w:t>
            </w:r>
          </w:p>
        </w:tc>
        <w:tc>
          <w:tcPr>
            <w:tcW w:w="3480" w:type="dxa"/>
          </w:tcPr>
          <w:p>
            <w:pPr>
              <w:pStyle w:val="yTable"/>
            </w:pPr>
            <w:r>
              <w:t>Not more than 1 000 000 tonnes per year</w:t>
            </w:r>
          </w:p>
          <w:p>
            <w:pPr>
              <w:pStyle w:val="yTable"/>
            </w:pPr>
            <w:r>
              <w:t>More than 1 000 000 tonnes per year</w:t>
            </w:r>
          </w:p>
        </w:tc>
        <w:tc>
          <w:tcPr>
            <w:tcW w:w="990" w:type="dxa"/>
          </w:tcPr>
          <w:p>
            <w:pPr>
              <w:pStyle w:val="yTable"/>
              <w:tabs>
                <w:tab w:val="right" w:pos="568"/>
              </w:tabs>
            </w:pPr>
            <w:r>
              <w:tab/>
              <w:t>1 250</w:t>
            </w:r>
          </w:p>
          <w:p>
            <w:pPr>
              <w:pStyle w:val="yTable"/>
              <w:tabs>
                <w:tab w:val="right" w:pos="568"/>
              </w:tabs>
              <w:spacing w:before="0"/>
            </w:pPr>
          </w:p>
          <w:p>
            <w:pPr>
              <w:pStyle w:val="yTable"/>
              <w:tabs>
                <w:tab w:val="right" w:pos="568"/>
              </w:tabs>
            </w:pPr>
            <w:r>
              <w:tab/>
              <w:t>3 000</w:t>
            </w:r>
          </w:p>
        </w:tc>
      </w:tr>
      <w:tr>
        <w:tblPrEx>
          <w:tblCellMar>
            <w:left w:w="141" w:type="dxa"/>
            <w:right w:w="141" w:type="dxa"/>
          </w:tblCellMar>
        </w:tblPrEx>
        <w:trPr>
          <w:cantSplit/>
        </w:trPr>
        <w:tc>
          <w:tcPr>
            <w:tcW w:w="2760" w:type="dxa"/>
          </w:tcPr>
          <w:p>
            <w:pPr>
              <w:pStyle w:val="yTable"/>
            </w:pPr>
            <w:r>
              <w:t>Category 47</w:t>
            </w:r>
          </w:p>
        </w:tc>
        <w:tc>
          <w:tcPr>
            <w:tcW w:w="3480" w:type="dxa"/>
          </w:tcPr>
          <w:p>
            <w:pPr>
              <w:pStyle w:val="yTable"/>
            </w:pPr>
            <w:r>
              <w:t>Not more than 2 000  tonnes per year</w:t>
            </w:r>
          </w:p>
        </w:tc>
        <w:tc>
          <w:tcPr>
            <w:tcW w:w="990" w:type="dxa"/>
          </w:tcPr>
          <w:p>
            <w:pPr>
              <w:pStyle w:val="yTable"/>
              <w:tabs>
                <w:tab w:val="right" w:pos="568"/>
              </w:tabs>
            </w:pPr>
            <w:r>
              <w:tab/>
              <w:t>20</w:t>
            </w:r>
          </w:p>
        </w:tc>
      </w:tr>
      <w:tr>
        <w:tblPrEx>
          <w:tblCellMar>
            <w:left w:w="141" w:type="dxa"/>
            <w:right w:w="141" w:type="dxa"/>
          </w:tblCellMar>
        </w:tblPrEx>
        <w:trPr>
          <w:cantSplit/>
        </w:trPr>
        <w:tc>
          <w:tcPr>
            <w:tcW w:w="2760" w:type="dxa"/>
          </w:tcPr>
          <w:p>
            <w:pPr>
              <w:pStyle w:val="yTable"/>
            </w:pPr>
          </w:p>
        </w:tc>
        <w:tc>
          <w:tcPr>
            <w:tcW w:w="3480" w:type="dxa"/>
          </w:tcPr>
          <w:p>
            <w:pPr>
              <w:pStyle w:val="yTable"/>
            </w:pPr>
            <w:r>
              <w:t>More than 2 000 but not more than 10 000 tonnes per year</w:t>
            </w:r>
          </w:p>
        </w:tc>
        <w:tc>
          <w:tcPr>
            <w:tcW w:w="990" w:type="dxa"/>
          </w:tcPr>
          <w:p>
            <w:pPr>
              <w:pStyle w:val="yTable"/>
              <w:tabs>
                <w:tab w:val="right" w:pos="568"/>
              </w:tabs>
            </w:pPr>
            <w:r>
              <w:tab/>
              <w:t>50</w:t>
            </w:r>
          </w:p>
        </w:tc>
      </w:tr>
      <w:tr>
        <w:tblPrEx>
          <w:tblCellMar>
            <w:left w:w="141" w:type="dxa"/>
            <w:right w:w="141" w:type="dxa"/>
          </w:tblCellMar>
        </w:tblPrEx>
        <w:trPr>
          <w:cantSplit/>
        </w:trPr>
        <w:tc>
          <w:tcPr>
            <w:tcW w:w="2760" w:type="dxa"/>
          </w:tcPr>
          <w:p>
            <w:pPr>
              <w:pStyle w:val="yTable"/>
            </w:pPr>
          </w:p>
        </w:tc>
        <w:tc>
          <w:tcPr>
            <w:tcW w:w="3480" w:type="dxa"/>
          </w:tcPr>
          <w:p>
            <w:pPr>
              <w:pStyle w:val="yTable"/>
            </w:pPr>
            <w:r>
              <w:t>More than 10 000 tonnes per year</w:t>
            </w:r>
          </w:p>
        </w:tc>
        <w:tc>
          <w:tcPr>
            <w:tcW w:w="990" w:type="dxa"/>
          </w:tcPr>
          <w:p>
            <w:pPr>
              <w:pStyle w:val="yTable"/>
              <w:tabs>
                <w:tab w:val="right" w:pos="568"/>
              </w:tabs>
            </w:pPr>
            <w:r>
              <w:tab/>
              <w:t>100</w:t>
            </w:r>
          </w:p>
        </w:tc>
      </w:tr>
      <w:tr>
        <w:tblPrEx>
          <w:tblCellMar>
            <w:left w:w="141" w:type="dxa"/>
            <w:right w:w="141" w:type="dxa"/>
          </w:tblCellMar>
        </w:tblPrEx>
        <w:trPr>
          <w:cantSplit/>
        </w:trPr>
        <w:tc>
          <w:tcPr>
            <w:tcW w:w="2760" w:type="dxa"/>
          </w:tcPr>
          <w:p>
            <w:pPr>
              <w:pStyle w:val="yTable"/>
            </w:pPr>
            <w:r>
              <w:t>Category 48</w:t>
            </w:r>
          </w:p>
        </w:tc>
        <w:tc>
          <w:tcPr>
            <w:tcW w:w="3480" w:type="dxa"/>
          </w:tcPr>
          <w:p>
            <w:pPr>
              <w:pStyle w:val="yTable"/>
            </w:pPr>
            <w:r>
              <w:t>Not more than 100 tonnes per year</w:t>
            </w:r>
          </w:p>
        </w:tc>
        <w:tc>
          <w:tcPr>
            <w:tcW w:w="990" w:type="dxa"/>
          </w:tcPr>
          <w:p>
            <w:pPr>
              <w:pStyle w:val="yTable"/>
              <w:tabs>
                <w:tab w:val="right" w:pos="568"/>
              </w:tabs>
            </w:pPr>
            <w:r>
              <w:tab/>
              <w:t>25</w:t>
            </w:r>
          </w:p>
        </w:tc>
      </w:tr>
      <w:tr>
        <w:tblPrEx>
          <w:tblCellMar>
            <w:left w:w="141" w:type="dxa"/>
            <w:right w:w="141" w:type="dxa"/>
          </w:tblCellMar>
        </w:tblPrEx>
        <w:trPr>
          <w:cantSplit/>
        </w:trPr>
        <w:tc>
          <w:tcPr>
            <w:tcW w:w="2760" w:type="dxa"/>
          </w:tcPr>
          <w:p>
            <w:pPr>
              <w:pStyle w:val="zyDefsubpara"/>
            </w:pPr>
          </w:p>
        </w:tc>
        <w:tc>
          <w:tcPr>
            <w:tcW w:w="3480" w:type="dxa"/>
          </w:tcPr>
          <w:p>
            <w:pPr>
              <w:pStyle w:val="yTable"/>
            </w:pPr>
            <w:r>
              <w:t>More than 100 tonnes but not more than 1 000 tonnes per year</w:t>
            </w:r>
          </w:p>
        </w:tc>
        <w:tc>
          <w:tcPr>
            <w:tcW w:w="990" w:type="dxa"/>
          </w:tcPr>
          <w:p>
            <w:pPr>
              <w:pStyle w:val="yTable"/>
              <w:tabs>
                <w:tab w:val="right" w:pos="568"/>
              </w:tabs>
            </w:pPr>
            <w:r>
              <w:tab/>
              <w:t>50</w:t>
            </w:r>
          </w:p>
        </w:tc>
      </w:tr>
      <w:tr>
        <w:tblPrEx>
          <w:tblCellMar>
            <w:left w:w="141" w:type="dxa"/>
            <w:right w:w="141" w:type="dxa"/>
          </w:tblCellMar>
        </w:tblPrEx>
        <w:trPr>
          <w:cantSplit/>
        </w:trPr>
        <w:tc>
          <w:tcPr>
            <w:tcW w:w="2760" w:type="dxa"/>
          </w:tcPr>
          <w:p>
            <w:pPr>
              <w:pStyle w:val="zyDefsubpara"/>
            </w:pPr>
          </w:p>
        </w:tc>
        <w:tc>
          <w:tcPr>
            <w:tcW w:w="3480" w:type="dxa"/>
          </w:tcPr>
          <w:p>
            <w:pPr>
              <w:pStyle w:val="yTable"/>
            </w:pPr>
            <w:r>
              <w:t>More than 1 000 tonnes but not more than 20 000 tonnes per year</w:t>
            </w:r>
          </w:p>
        </w:tc>
        <w:tc>
          <w:tcPr>
            <w:tcW w:w="990" w:type="dxa"/>
          </w:tcPr>
          <w:p>
            <w:pPr>
              <w:pStyle w:val="yTable"/>
              <w:tabs>
                <w:tab w:val="right" w:pos="568"/>
              </w:tabs>
            </w:pPr>
            <w:r>
              <w:tab/>
              <w:t>100</w:t>
            </w:r>
          </w:p>
        </w:tc>
      </w:tr>
      <w:tr>
        <w:tblPrEx>
          <w:tblCellMar>
            <w:left w:w="141" w:type="dxa"/>
            <w:right w:w="141" w:type="dxa"/>
          </w:tblCellMar>
        </w:tblPrEx>
        <w:trPr>
          <w:cantSplit/>
        </w:trPr>
        <w:tc>
          <w:tcPr>
            <w:tcW w:w="2760" w:type="dxa"/>
          </w:tcPr>
          <w:p>
            <w:pPr>
              <w:pStyle w:val="zyDefsubpara"/>
            </w:pPr>
          </w:p>
        </w:tc>
        <w:tc>
          <w:tcPr>
            <w:tcW w:w="3480" w:type="dxa"/>
          </w:tcPr>
          <w:p>
            <w:pPr>
              <w:pStyle w:val="yTable"/>
            </w:pPr>
            <w:r>
              <w:t>More than 20 000 tonnes per year</w:t>
            </w:r>
          </w:p>
        </w:tc>
        <w:tc>
          <w:tcPr>
            <w:tcW w:w="990" w:type="dxa"/>
          </w:tcPr>
          <w:p>
            <w:pPr>
              <w:pStyle w:val="yTable"/>
              <w:tabs>
                <w:tab w:val="right" w:pos="568"/>
              </w:tabs>
            </w:pPr>
            <w:r>
              <w:tab/>
              <w:t>200</w:t>
            </w:r>
          </w:p>
        </w:tc>
      </w:tr>
      <w:tr>
        <w:tblPrEx>
          <w:tblCellMar>
            <w:left w:w="141" w:type="dxa"/>
            <w:right w:w="141" w:type="dxa"/>
          </w:tblCellMar>
        </w:tblPrEx>
        <w:trPr>
          <w:cantSplit/>
        </w:trPr>
        <w:tc>
          <w:tcPr>
            <w:tcW w:w="2760" w:type="dxa"/>
          </w:tcPr>
          <w:p>
            <w:pPr>
              <w:pStyle w:val="yTable"/>
              <w:keepNext/>
              <w:keepLines/>
            </w:pPr>
            <w:r>
              <w:t>Category 48A</w:t>
            </w:r>
          </w:p>
        </w:tc>
        <w:tc>
          <w:tcPr>
            <w:tcW w:w="3480" w:type="dxa"/>
          </w:tcPr>
          <w:p>
            <w:pPr>
              <w:pStyle w:val="yTable"/>
              <w:keepNext/>
              <w:keepLines/>
            </w:pPr>
            <w:r>
              <w:t>Not more than 1 000 tonnes per year</w:t>
            </w:r>
          </w:p>
        </w:tc>
        <w:tc>
          <w:tcPr>
            <w:tcW w:w="990" w:type="dxa"/>
          </w:tcPr>
          <w:p>
            <w:pPr>
              <w:pStyle w:val="yTable"/>
              <w:keepNext/>
              <w:keepLines/>
              <w:tabs>
                <w:tab w:val="right" w:pos="568"/>
              </w:tabs>
            </w:pPr>
            <w:r>
              <w:tab/>
              <w:t>50</w:t>
            </w:r>
          </w:p>
        </w:tc>
      </w:tr>
      <w:tr>
        <w:tblPrEx>
          <w:tblCellMar>
            <w:left w:w="141" w:type="dxa"/>
            <w:right w:w="141" w:type="dxa"/>
          </w:tblCellMar>
        </w:tblPrEx>
        <w:trPr>
          <w:cantSplit/>
        </w:trPr>
        <w:tc>
          <w:tcPr>
            <w:tcW w:w="2760" w:type="dxa"/>
          </w:tcPr>
          <w:p>
            <w:pPr>
              <w:pStyle w:val="yTable"/>
            </w:pPr>
          </w:p>
        </w:tc>
        <w:tc>
          <w:tcPr>
            <w:tcW w:w="3480" w:type="dxa"/>
          </w:tcPr>
          <w:p>
            <w:pPr>
              <w:pStyle w:val="yTable"/>
            </w:pPr>
            <w:r>
              <w:t>More than 1 000 tonnes but not more than 10 000 tonnes per year</w:t>
            </w:r>
          </w:p>
        </w:tc>
        <w:tc>
          <w:tcPr>
            <w:tcW w:w="990" w:type="dxa"/>
          </w:tcPr>
          <w:p>
            <w:pPr>
              <w:pStyle w:val="yTable"/>
              <w:tabs>
                <w:tab w:val="right" w:pos="568"/>
              </w:tabs>
            </w:pPr>
            <w:r>
              <w:tab/>
              <w:t>100</w:t>
            </w:r>
          </w:p>
        </w:tc>
      </w:tr>
      <w:tr>
        <w:tblPrEx>
          <w:tblCellMar>
            <w:left w:w="141" w:type="dxa"/>
            <w:right w:w="141" w:type="dxa"/>
          </w:tblCellMar>
        </w:tblPrEx>
        <w:trPr>
          <w:cantSplit/>
        </w:trPr>
        <w:tc>
          <w:tcPr>
            <w:tcW w:w="2760" w:type="dxa"/>
          </w:tcPr>
          <w:p>
            <w:pPr>
              <w:pStyle w:val="yTable"/>
            </w:pPr>
          </w:p>
        </w:tc>
        <w:tc>
          <w:tcPr>
            <w:tcW w:w="3480" w:type="dxa"/>
          </w:tcPr>
          <w:p>
            <w:pPr>
              <w:pStyle w:val="yTable"/>
            </w:pPr>
            <w:r>
              <w:t>More than 10 000 tonnes per year</w:t>
            </w:r>
          </w:p>
        </w:tc>
        <w:tc>
          <w:tcPr>
            <w:tcW w:w="990" w:type="dxa"/>
          </w:tcPr>
          <w:p>
            <w:pPr>
              <w:pStyle w:val="yTable"/>
              <w:tabs>
                <w:tab w:val="right" w:pos="568"/>
              </w:tabs>
            </w:pPr>
            <w:r>
              <w:tab/>
              <w:t>200</w:t>
            </w:r>
          </w:p>
        </w:tc>
      </w:tr>
      <w:tr>
        <w:tblPrEx>
          <w:tblCellMar>
            <w:left w:w="141" w:type="dxa"/>
            <w:right w:w="141" w:type="dxa"/>
          </w:tblCellMar>
        </w:tblPrEx>
        <w:trPr>
          <w:cantSplit/>
        </w:trPr>
        <w:tc>
          <w:tcPr>
            <w:tcW w:w="2760" w:type="dxa"/>
          </w:tcPr>
          <w:p>
            <w:pPr>
              <w:pStyle w:val="yTable"/>
            </w:pPr>
            <w:r>
              <w:t>Category 49</w:t>
            </w:r>
          </w:p>
        </w:tc>
        <w:tc>
          <w:tcPr>
            <w:tcW w:w="3480" w:type="dxa"/>
          </w:tcPr>
          <w:p>
            <w:pPr>
              <w:pStyle w:val="yTable"/>
            </w:pPr>
            <w:r>
              <w:t>Not applicable</w:t>
            </w:r>
          </w:p>
        </w:tc>
        <w:tc>
          <w:tcPr>
            <w:tcW w:w="990" w:type="dxa"/>
          </w:tcPr>
          <w:p>
            <w:pPr>
              <w:pStyle w:val="yTable"/>
              <w:tabs>
                <w:tab w:val="right" w:pos="568"/>
              </w:tabs>
            </w:pPr>
            <w:r>
              <w:tab/>
              <w:t>50</w:t>
            </w:r>
          </w:p>
        </w:tc>
      </w:tr>
      <w:tr>
        <w:tblPrEx>
          <w:tblCellMar>
            <w:left w:w="141" w:type="dxa"/>
            <w:right w:w="141" w:type="dxa"/>
          </w:tblCellMar>
        </w:tblPrEx>
        <w:trPr>
          <w:cantSplit/>
        </w:trPr>
        <w:tc>
          <w:tcPr>
            <w:tcW w:w="2760" w:type="dxa"/>
          </w:tcPr>
          <w:p>
            <w:pPr>
              <w:pStyle w:val="yTable"/>
            </w:pPr>
            <w:r>
              <w:t>Categories 50 and 51</w:t>
            </w:r>
          </w:p>
        </w:tc>
        <w:tc>
          <w:tcPr>
            <w:tcW w:w="3480" w:type="dxa"/>
          </w:tcPr>
          <w:p>
            <w:pPr>
              <w:pStyle w:val="yTable"/>
            </w:pPr>
            <w:r>
              <w:t>Not applicable</w:t>
            </w:r>
          </w:p>
        </w:tc>
        <w:tc>
          <w:tcPr>
            <w:tcW w:w="990" w:type="dxa"/>
          </w:tcPr>
          <w:p>
            <w:pPr>
              <w:pStyle w:val="yTable"/>
              <w:tabs>
                <w:tab w:val="right" w:pos="568"/>
              </w:tabs>
            </w:pPr>
            <w:r>
              <w:tab/>
              <w:t>50</w:t>
            </w:r>
          </w:p>
        </w:tc>
      </w:tr>
      <w:tr>
        <w:tblPrEx>
          <w:tblCellMar>
            <w:left w:w="141" w:type="dxa"/>
            <w:right w:w="141" w:type="dxa"/>
          </w:tblCellMar>
        </w:tblPrEx>
        <w:trPr>
          <w:cantSplit/>
        </w:trPr>
        <w:tc>
          <w:tcPr>
            <w:tcW w:w="2760" w:type="dxa"/>
          </w:tcPr>
          <w:p>
            <w:pPr>
              <w:pStyle w:val="yTable"/>
            </w:pPr>
            <w:r>
              <w:t>Category 52</w:t>
            </w:r>
          </w:p>
        </w:tc>
        <w:tc>
          <w:tcPr>
            <w:tcW w:w="3480" w:type="dxa"/>
          </w:tcPr>
          <w:p>
            <w:pPr>
              <w:pStyle w:val="yTable"/>
            </w:pPr>
            <w:r>
              <w:t>Not more than 20 megawatts</w:t>
            </w:r>
          </w:p>
        </w:tc>
        <w:tc>
          <w:tcPr>
            <w:tcW w:w="990" w:type="dxa"/>
          </w:tcPr>
          <w:p>
            <w:pPr>
              <w:pStyle w:val="yTable"/>
              <w:tabs>
                <w:tab w:val="right" w:pos="568"/>
              </w:tabs>
            </w:pPr>
            <w:r>
              <w:tab/>
              <w:t>50</w:t>
            </w:r>
          </w:p>
        </w:tc>
      </w:tr>
      <w:tr>
        <w:tblPrEx>
          <w:tblCellMar>
            <w:left w:w="141" w:type="dxa"/>
            <w:right w:w="141" w:type="dxa"/>
          </w:tblCellMar>
        </w:tblPrEx>
        <w:trPr>
          <w:cantSplit/>
        </w:trPr>
        <w:tc>
          <w:tcPr>
            <w:tcW w:w="2760" w:type="dxa"/>
          </w:tcPr>
          <w:p>
            <w:pPr>
              <w:pStyle w:val="yTable"/>
            </w:pPr>
          </w:p>
        </w:tc>
        <w:tc>
          <w:tcPr>
            <w:tcW w:w="3480" w:type="dxa"/>
          </w:tcPr>
          <w:p>
            <w:pPr>
              <w:pStyle w:val="yTable"/>
            </w:pPr>
            <w:r>
              <w:t>More than 20 but not more than 100 megawatts</w:t>
            </w:r>
          </w:p>
        </w:tc>
        <w:tc>
          <w:tcPr>
            <w:tcW w:w="990" w:type="dxa"/>
          </w:tcPr>
          <w:p>
            <w:pPr>
              <w:pStyle w:val="yTable"/>
              <w:tabs>
                <w:tab w:val="right" w:pos="568"/>
              </w:tabs>
            </w:pPr>
            <w:r>
              <w:tab/>
              <w:t>100</w:t>
            </w:r>
          </w:p>
        </w:tc>
      </w:tr>
      <w:tr>
        <w:tblPrEx>
          <w:tblCellMar>
            <w:left w:w="141" w:type="dxa"/>
            <w:right w:w="141" w:type="dxa"/>
          </w:tblCellMar>
        </w:tblPrEx>
        <w:trPr>
          <w:cantSplit/>
        </w:trPr>
        <w:tc>
          <w:tcPr>
            <w:tcW w:w="2760" w:type="dxa"/>
          </w:tcPr>
          <w:p>
            <w:pPr>
              <w:pStyle w:val="yTable"/>
            </w:pPr>
          </w:p>
        </w:tc>
        <w:tc>
          <w:tcPr>
            <w:tcW w:w="3480" w:type="dxa"/>
          </w:tcPr>
          <w:p>
            <w:pPr>
              <w:pStyle w:val="yTable"/>
            </w:pPr>
            <w:r>
              <w:t>More than 100 but not more than 200 megawatts</w:t>
            </w:r>
          </w:p>
        </w:tc>
        <w:tc>
          <w:tcPr>
            <w:tcW w:w="990" w:type="dxa"/>
          </w:tcPr>
          <w:p>
            <w:pPr>
              <w:pStyle w:val="yTable"/>
              <w:tabs>
                <w:tab w:val="right" w:pos="568"/>
              </w:tabs>
            </w:pPr>
            <w:r>
              <w:tab/>
              <w:t>200</w:t>
            </w:r>
          </w:p>
        </w:tc>
      </w:tr>
      <w:tr>
        <w:tblPrEx>
          <w:tblCellMar>
            <w:left w:w="141" w:type="dxa"/>
            <w:right w:w="141" w:type="dxa"/>
          </w:tblCellMar>
        </w:tblPrEx>
        <w:trPr>
          <w:cantSplit/>
        </w:trPr>
        <w:tc>
          <w:tcPr>
            <w:tcW w:w="2760" w:type="dxa"/>
          </w:tcPr>
          <w:p>
            <w:pPr>
              <w:pStyle w:val="yTable"/>
            </w:pPr>
          </w:p>
        </w:tc>
        <w:tc>
          <w:tcPr>
            <w:tcW w:w="3480" w:type="dxa"/>
          </w:tcPr>
          <w:p>
            <w:pPr>
              <w:pStyle w:val="yTable"/>
            </w:pPr>
            <w:r>
              <w:t>More than 200 megawatts</w:t>
            </w:r>
          </w:p>
        </w:tc>
        <w:tc>
          <w:tcPr>
            <w:tcW w:w="990" w:type="dxa"/>
          </w:tcPr>
          <w:p>
            <w:pPr>
              <w:pStyle w:val="yTable"/>
              <w:tabs>
                <w:tab w:val="right" w:pos="568"/>
              </w:tabs>
            </w:pPr>
            <w:r>
              <w:tab/>
              <w:t>500</w:t>
            </w:r>
          </w:p>
        </w:tc>
      </w:tr>
      <w:tr>
        <w:tblPrEx>
          <w:tblCellMar>
            <w:left w:w="141" w:type="dxa"/>
            <w:right w:w="141" w:type="dxa"/>
          </w:tblCellMar>
        </w:tblPrEx>
        <w:trPr>
          <w:cantSplit/>
        </w:trPr>
        <w:tc>
          <w:tcPr>
            <w:tcW w:w="2760" w:type="dxa"/>
          </w:tcPr>
          <w:p>
            <w:pPr>
              <w:pStyle w:val="yTable"/>
            </w:pPr>
            <w:r>
              <w:t>Category 54</w:t>
            </w:r>
          </w:p>
        </w:tc>
        <w:tc>
          <w:tcPr>
            <w:tcW w:w="3480" w:type="dxa"/>
          </w:tcPr>
          <w:p>
            <w:pPr>
              <w:pStyle w:val="yTable"/>
            </w:pPr>
            <w:r>
              <w:t>Not more than 200 cubic metres per day</w:t>
            </w:r>
          </w:p>
        </w:tc>
        <w:tc>
          <w:tcPr>
            <w:tcW w:w="990" w:type="dxa"/>
          </w:tcPr>
          <w:p>
            <w:pPr>
              <w:pStyle w:val="yTable"/>
              <w:tabs>
                <w:tab w:val="right" w:pos="568"/>
              </w:tabs>
            </w:pPr>
            <w:r>
              <w:tab/>
              <w:t>20</w:t>
            </w:r>
          </w:p>
        </w:tc>
      </w:tr>
      <w:tr>
        <w:tblPrEx>
          <w:tblCellMar>
            <w:left w:w="141" w:type="dxa"/>
            <w:right w:w="141" w:type="dxa"/>
          </w:tblCellMar>
        </w:tblPrEx>
        <w:trPr>
          <w:cantSplit/>
        </w:trPr>
        <w:tc>
          <w:tcPr>
            <w:tcW w:w="2760" w:type="dxa"/>
          </w:tcPr>
          <w:p>
            <w:pPr>
              <w:pStyle w:val="yTable"/>
            </w:pPr>
          </w:p>
        </w:tc>
        <w:tc>
          <w:tcPr>
            <w:tcW w:w="3480" w:type="dxa"/>
          </w:tcPr>
          <w:p>
            <w:pPr>
              <w:pStyle w:val="yTable"/>
            </w:pPr>
            <w:r>
              <w:t>More than 200 but not more than 2 000 cubic metres per day</w:t>
            </w:r>
          </w:p>
        </w:tc>
        <w:tc>
          <w:tcPr>
            <w:tcW w:w="990" w:type="dxa"/>
          </w:tcPr>
          <w:p>
            <w:pPr>
              <w:pStyle w:val="yTable"/>
              <w:tabs>
                <w:tab w:val="right" w:pos="568"/>
              </w:tabs>
            </w:pPr>
            <w:r>
              <w:tab/>
              <w:t>50</w:t>
            </w:r>
          </w:p>
        </w:tc>
      </w:tr>
      <w:tr>
        <w:tblPrEx>
          <w:tblCellMar>
            <w:left w:w="141" w:type="dxa"/>
            <w:right w:w="141" w:type="dxa"/>
          </w:tblCellMar>
        </w:tblPrEx>
        <w:trPr>
          <w:cantSplit/>
        </w:trPr>
        <w:tc>
          <w:tcPr>
            <w:tcW w:w="2760" w:type="dxa"/>
          </w:tcPr>
          <w:p>
            <w:pPr>
              <w:pStyle w:val="yTable"/>
            </w:pPr>
          </w:p>
        </w:tc>
        <w:tc>
          <w:tcPr>
            <w:tcW w:w="3480" w:type="dxa"/>
          </w:tcPr>
          <w:p>
            <w:pPr>
              <w:pStyle w:val="yTable"/>
            </w:pPr>
            <w:r>
              <w:t>More than 2 000 cubic metres per day</w:t>
            </w:r>
          </w:p>
        </w:tc>
        <w:tc>
          <w:tcPr>
            <w:tcW w:w="990" w:type="dxa"/>
          </w:tcPr>
          <w:p>
            <w:pPr>
              <w:pStyle w:val="yTable"/>
              <w:tabs>
                <w:tab w:val="right" w:pos="568"/>
              </w:tabs>
            </w:pPr>
            <w:r>
              <w:tab/>
              <w:t>100</w:t>
            </w:r>
          </w:p>
        </w:tc>
      </w:tr>
      <w:tr>
        <w:tblPrEx>
          <w:tblCellMar>
            <w:left w:w="141" w:type="dxa"/>
            <w:right w:w="141" w:type="dxa"/>
          </w:tblCellMar>
        </w:tblPrEx>
        <w:trPr>
          <w:cantSplit/>
        </w:trPr>
        <w:tc>
          <w:tcPr>
            <w:tcW w:w="2760" w:type="dxa"/>
          </w:tcPr>
          <w:p>
            <w:pPr>
              <w:pStyle w:val="yTable"/>
            </w:pPr>
            <w:r>
              <w:t>Category 54A</w:t>
            </w:r>
          </w:p>
        </w:tc>
        <w:tc>
          <w:tcPr>
            <w:tcW w:w="3480" w:type="dxa"/>
          </w:tcPr>
          <w:p>
            <w:pPr>
              <w:pStyle w:val="yTable"/>
            </w:pPr>
            <w:r>
              <w:t>Not more than 20 gigalitres per year</w:t>
            </w:r>
          </w:p>
        </w:tc>
        <w:tc>
          <w:tcPr>
            <w:tcW w:w="990" w:type="dxa"/>
          </w:tcPr>
          <w:p>
            <w:pPr>
              <w:pStyle w:val="yTable"/>
              <w:tabs>
                <w:tab w:val="right" w:pos="568"/>
              </w:tabs>
            </w:pPr>
            <w:r>
              <w:tab/>
              <w:t>20</w:t>
            </w:r>
          </w:p>
        </w:tc>
      </w:tr>
      <w:tr>
        <w:tblPrEx>
          <w:tblCellMar>
            <w:left w:w="141" w:type="dxa"/>
            <w:right w:w="141" w:type="dxa"/>
          </w:tblCellMar>
        </w:tblPrEx>
        <w:trPr>
          <w:cantSplit/>
        </w:trPr>
        <w:tc>
          <w:tcPr>
            <w:tcW w:w="2760" w:type="dxa"/>
          </w:tcPr>
          <w:p>
            <w:pPr>
              <w:pStyle w:val="yTable"/>
            </w:pPr>
          </w:p>
        </w:tc>
        <w:tc>
          <w:tcPr>
            <w:tcW w:w="3480" w:type="dxa"/>
          </w:tcPr>
          <w:p>
            <w:pPr>
              <w:pStyle w:val="yTable"/>
            </w:pPr>
            <w:r>
              <w:t>More than 20 but not more than 40 gigalitres per year</w:t>
            </w:r>
          </w:p>
        </w:tc>
        <w:tc>
          <w:tcPr>
            <w:tcW w:w="990" w:type="dxa"/>
          </w:tcPr>
          <w:p>
            <w:pPr>
              <w:pStyle w:val="yTable"/>
              <w:tabs>
                <w:tab w:val="right" w:pos="568"/>
              </w:tabs>
            </w:pPr>
            <w:r>
              <w:tab/>
              <w:t>50</w:t>
            </w:r>
          </w:p>
        </w:tc>
      </w:tr>
      <w:tr>
        <w:tblPrEx>
          <w:tblCellMar>
            <w:left w:w="141" w:type="dxa"/>
            <w:right w:w="141" w:type="dxa"/>
          </w:tblCellMar>
        </w:tblPrEx>
        <w:trPr>
          <w:cantSplit/>
        </w:trPr>
        <w:tc>
          <w:tcPr>
            <w:tcW w:w="2760" w:type="dxa"/>
          </w:tcPr>
          <w:p>
            <w:pPr>
              <w:pStyle w:val="yTable"/>
            </w:pPr>
          </w:p>
        </w:tc>
        <w:tc>
          <w:tcPr>
            <w:tcW w:w="3480" w:type="dxa"/>
          </w:tcPr>
          <w:p>
            <w:pPr>
              <w:pStyle w:val="yTable"/>
            </w:pPr>
            <w:r>
              <w:t>More than 40 gigalitres per year</w:t>
            </w:r>
          </w:p>
        </w:tc>
        <w:tc>
          <w:tcPr>
            <w:tcW w:w="990" w:type="dxa"/>
          </w:tcPr>
          <w:p>
            <w:pPr>
              <w:pStyle w:val="yTable"/>
              <w:tabs>
                <w:tab w:val="right" w:pos="568"/>
              </w:tabs>
            </w:pPr>
            <w:r>
              <w:tab/>
              <w:t>100</w:t>
            </w:r>
          </w:p>
        </w:tc>
      </w:tr>
      <w:tr>
        <w:tblPrEx>
          <w:tblCellMar>
            <w:left w:w="141" w:type="dxa"/>
            <w:right w:w="141" w:type="dxa"/>
          </w:tblCellMar>
        </w:tblPrEx>
        <w:trPr>
          <w:cantSplit/>
        </w:trPr>
        <w:tc>
          <w:tcPr>
            <w:tcW w:w="2760" w:type="dxa"/>
          </w:tcPr>
          <w:p>
            <w:pPr>
              <w:pStyle w:val="yTable"/>
            </w:pPr>
            <w:r>
              <w:t>Category 55</w:t>
            </w:r>
          </w:p>
        </w:tc>
        <w:tc>
          <w:tcPr>
            <w:tcW w:w="3480" w:type="dxa"/>
          </w:tcPr>
          <w:p>
            <w:pPr>
              <w:pStyle w:val="yTable"/>
            </w:pPr>
            <w:r>
              <w:t>Not more than 50 000 animals per year</w:t>
            </w:r>
          </w:p>
        </w:tc>
        <w:tc>
          <w:tcPr>
            <w:tcW w:w="990" w:type="dxa"/>
          </w:tcPr>
          <w:p>
            <w:pPr>
              <w:pStyle w:val="yTable"/>
              <w:tabs>
                <w:tab w:val="right" w:pos="568"/>
              </w:tabs>
            </w:pPr>
            <w:r>
              <w:tab/>
              <w:t>20</w:t>
            </w:r>
          </w:p>
        </w:tc>
      </w:tr>
      <w:tr>
        <w:tblPrEx>
          <w:tblCellMar>
            <w:left w:w="141" w:type="dxa"/>
            <w:right w:w="141" w:type="dxa"/>
          </w:tblCellMar>
        </w:tblPrEx>
        <w:trPr>
          <w:cantSplit/>
        </w:trPr>
        <w:tc>
          <w:tcPr>
            <w:tcW w:w="2760" w:type="dxa"/>
          </w:tcPr>
          <w:p>
            <w:pPr>
              <w:pStyle w:val="yTable"/>
            </w:pPr>
          </w:p>
        </w:tc>
        <w:tc>
          <w:tcPr>
            <w:tcW w:w="3480" w:type="dxa"/>
          </w:tcPr>
          <w:p>
            <w:pPr>
              <w:pStyle w:val="yTable"/>
            </w:pPr>
            <w:r>
              <w:t>More than 50 000 animals per year</w:t>
            </w:r>
          </w:p>
        </w:tc>
        <w:tc>
          <w:tcPr>
            <w:tcW w:w="990" w:type="dxa"/>
          </w:tcPr>
          <w:p>
            <w:pPr>
              <w:pStyle w:val="yTable"/>
              <w:tabs>
                <w:tab w:val="right" w:pos="568"/>
              </w:tabs>
            </w:pPr>
            <w:r>
              <w:tab/>
              <w:t>50</w:t>
            </w:r>
          </w:p>
        </w:tc>
      </w:tr>
      <w:tr>
        <w:tblPrEx>
          <w:tblCellMar>
            <w:left w:w="141" w:type="dxa"/>
            <w:right w:w="141" w:type="dxa"/>
          </w:tblCellMar>
        </w:tblPrEx>
        <w:trPr>
          <w:cantSplit/>
        </w:trPr>
        <w:tc>
          <w:tcPr>
            <w:tcW w:w="2760" w:type="dxa"/>
          </w:tcPr>
          <w:p>
            <w:pPr>
              <w:pStyle w:val="yTable"/>
            </w:pPr>
            <w:r>
              <w:t>Categories 56 and 57</w:t>
            </w:r>
          </w:p>
        </w:tc>
        <w:tc>
          <w:tcPr>
            <w:tcW w:w="3480" w:type="dxa"/>
          </w:tcPr>
          <w:p>
            <w:pPr>
              <w:pStyle w:val="yTable"/>
            </w:pPr>
            <w:r>
              <w:t>Not applicable</w:t>
            </w:r>
          </w:p>
        </w:tc>
        <w:tc>
          <w:tcPr>
            <w:tcW w:w="990" w:type="dxa"/>
          </w:tcPr>
          <w:p>
            <w:pPr>
              <w:pStyle w:val="yTable"/>
              <w:tabs>
                <w:tab w:val="right" w:pos="568"/>
              </w:tabs>
            </w:pPr>
            <w:r>
              <w:tab/>
              <w:t>20</w:t>
            </w:r>
          </w:p>
        </w:tc>
      </w:tr>
      <w:tr>
        <w:tblPrEx>
          <w:tblCellMar>
            <w:left w:w="141" w:type="dxa"/>
            <w:right w:w="141" w:type="dxa"/>
          </w:tblCellMar>
        </w:tblPrEx>
        <w:trPr>
          <w:cantSplit/>
        </w:trPr>
        <w:tc>
          <w:tcPr>
            <w:tcW w:w="2760" w:type="dxa"/>
          </w:tcPr>
          <w:p>
            <w:pPr>
              <w:pStyle w:val="yTable"/>
            </w:pPr>
            <w:r>
              <w:t>Category 58</w:t>
            </w:r>
          </w:p>
        </w:tc>
        <w:tc>
          <w:tcPr>
            <w:tcW w:w="3480" w:type="dxa"/>
          </w:tcPr>
          <w:p>
            <w:pPr>
              <w:pStyle w:val="yTable"/>
            </w:pPr>
            <w:r>
              <w:t>Not more than 5 000 tonnes per day</w:t>
            </w:r>
          </w:p>
        </w:tc>
        <w:tc>
          <w:tcPr>
            <w:tcW w:w="990" w:type="dxa"/>
          </w:tcPr>
          <w:p>
            <w:pPr>
              <w:pStyle w:val="yTable"/>
              <w:tabs>
                <w:tab w:val="right" w:pos="568"/>
              </w:tabs>
            </w:pPr>
            <w:r>
              <w:tab/>
              <w:t>500</w:t>
            </w:r>
          </w:p>
        </w:tc>
      </w:tr>
      <w:tr>
        <w:tblPrEx>
          <w:tblCellMar>
            <w:left w:w="141" w:type="dxa"/>
            <w:right w:w="141" w:type="dxa"/>
          </w:tblCellMar>
        </w:tblPrEx>
        <w:trPr>
          <w:cantSplit/>
        </w:trPr>
        <w:tc>
          <w:tcPr>
            <w:tcW w:w="2760" w:type="dxa"/>
          </w:tcPr>
          <w:p>
            <w:pPr>
              <w:pStyle w:val="yTable"/>
            </w:pPr>
          </w:p>
        </w:tc>
        <w:tc>
          <w:tcPr>
            <w:tcW w:w="3480" w:type="dxa"/>
          </w:tcPr>
          <w:p>
            <w:pPr>
              <w:pStyle w:val="yTable"/>
            </w:pPr>
            <w:r>
              <w:t>More than 5 000 but not more than 10 000 tonnes per day</w:t>
            </w:r>
          </w:p>
        </w:tc>
        <w:tc>
          <w:tcPr>
            <w:tcW w:w="990" w:type="dxa"/>
          </w:tcPr>
          <w:p>
            <w:pPr>
              <w:pStyle w:val="yTable"/>
              <w:tabs>
                <w:tab w:val="right" w:pos="568"/>
              </w:tabs>
            </w:pPr>
            <w:r>
              <w:tab/>
              <w:t>625</w:t>
            </w:r>
          </w:p>
        </w:tc>
      </w:tr>
      <w:tr>
        <w:tblPrEx>
          <w:tblCellMar>
            <w:left w:w="141" w:type="dxa"/>
            <w:right w:w="141" w:type="dxa"/>
          </w:tblCellMar>
        </w:tblPrEx>
        <w:trPr>
          <w:cantSplit/>
        </w:trPr>
        <w:tc>
          <w:tcPr>
            <w:tcW w:w="2760" w:type="dxa"/>
          </w:tcPr>
          <w:p>
            <w:pPr>
              <w:pStyle w:val="yTable"/>
            </w:pPr>
          </w:p>
        </w:tc>
        <w:tc>
          <w:tcPr>
            <w:tcW w:w="3480" w:type="dxa"/>
          </w:tcPr>
          <w:p>
            <w:pPr>
              <w:pStyle w:val="yTable"/>
            </w:pPr>
            <w:r>
              <w:t>More than 10 000 but not more than 50 000 tonnes per day</w:t>
            </w:r>
          </w:p>
        </w:tc>
        <w:tc>
          <w:tcPr>
            <w:tcW w:w="990" w:type="dxa"/>
          </w:tcPr>
          <w:p>
            <w:pPr>
              <w:pStyle w:val="yTable"/>
              <w:tabs>
                <w:tab w:val="right" w:pos="568"/>
              </w:tabs>
            </w:pPr>
            <w:r>
              <w:tab/>
              <w:t>750</w:t>
            </w:r>
          </w:p>
        </w:tc>
      </w:tr>
      <w:tr>
        <w:tblPrEx>
          <w:tblCellMar>
            <w:left w:w="141" w:type="dxa"/>
            <w:right w:w="141" w:type="dxa"/>
          </w:tblCellMar>
        </w:tblPrEx>
        <w:trPr>
          <w:cantSplit/>
        </w:trPr>
        <w:tc>
          <w:tcPr>
            <w:tcW w:w="2760" w:type="dxa"/>
          </w:tcPr>
          <w:p>
            <w:pPr>
              <w:pStyle w:val="yTable"/>
            </w:pPr>
          </w:p>
        </w:tc>
        <w:tc>
          <w:tcPr>
            <w:tcW w:w="3480" w:type="dxa"/>
          </w:tcPr>
          <w:p>
            <w:pPr>
              <w:pStyle w:val="yTable"/>
              <w:rPr>
                <w:spacing w:val="-4"/>
              </w:rPr>
            </w:pPr>
            <w:r>
              <w:rPr>
                <w:spacing w:val="-4"/>
              </w:rPr>
              <w:t>More than 50 000 tonnes per day</w:t>
            </w:r>
          </w:p>
        </w:tc>
        <w:tc>
          <w:tcPr>
            <w:tcW w:w="990" w:type="dxa"/>
          </w:tcPr>
          <w:p>
            <w:pPr>
              <w:pStyle w:val="yTable"/>
              <w:tabs>
                <w:tab w:val="right" w:pos="568"/>
              </w:tabs>
            </w:pPr>
            <w:r>
              <w:tab/>
              <w:t>1 400</w:t>
            </w:r>
          </w:p>
        </w:tc>
      </w:tr>
      <w:tr>
        <w:tblPrEx>
          <w:tblCellMar>
            <w:left w:w="141" w:type="dxa"/>
            <w:right w:w="141" w:type="dxa"/>
          </w:tblCellMar>
        </w:tblPrEx>
        <w:trPr>
          <w:cantSplit/>
        </w:trPr>
        <w:tc>
          <w:tcPr>
            <w:tcW w:w="2760" w:type="dxa"/>
          </w:tcPr>
          <w:p>
            <w:pPr>
              <w:pStyle w:val="yTable"/>
            </w:pPr>
            <w:r>
              <w:t>Category 58A</w:t>
            </w:r>
          </w:p>
        </w:tc>
        <w:tc>
          <w:tcPr>
            <w:tcW w:w="3480" w:type="dxa"/>
          </w:tcPr>
          <w:p>
            <w:pPr>
              <w:pStyle w:val="yTable"/>
              <w:rPr>
                <w:spacing w:val="-4"/>
              </w:rPr>
            </w:pPr>
            <w:r>
              <w:rPr>
                <w:spacing w:val="-4"/>
              </w:rPr>
              <w:t>No applicable</w:t>
            </w:r>
          </w:p>
        </w:tc>
        <w:tc>
          <w:tcPr>
            <w:tcW w:w="990" w:type="dxa"/>
          </w:tcPr>
          <w:p>
            <w:pPr>
              <w:pStyle w:val="yTable"/>
              <w:tabs>
                <w:tab w:val="right" w:pos="568"/>
              </w:tabs>
            </w:pPr>
            <w:r>
              <w:tab/>
              <w:t>500</w:t>
            </w:r>
          </w:p>
        </w:tc>
      </w:tr>
      <w:tr>
        <w:tblPrEx>
          <w:tblCellMar>
            <w:left w:w="141" w:type="dxa"/>
            <w:right w:w="141" w:type="dxa"/>
          </w:tblCellMar>
        </w:tblPrEx>
        <w:trPr>
          <w:cantSplit/>
        </w:trPr>
        <w:tc>
          <w:tcPr>
            <w:tcW w:w="2760" w:type="dxa"/>
          </w:tcPr>
          <w:p>
            <w:pPr>
              <w:pStyle w:val="yTable"/>
            </w:pPr>
            <w:r>
              <w:t>Category 59</w:t>
            </w:r>
          </w:p>
        </w:tc>
        <w:tc>
          <w:tcPr>
            <w:tcW w:w="3480" w:type="dxa"/>
          </w:tcPr>
          <w:p>
            <w:pPr>
              <w:pStyle w:val="yTable"/>
            </w:pPr>
            <w:r>
              <w:t>Not more than 100 kilograms per hour</w:t>
            </w:r>
          </w:p>
        </w:tc>
        <w:tc>
          <w:tcPr>
            <w:tcW w:w="990" w:type="dxa"/>
          </w:tcPr>
          <w:p>
            <w:pPr>
              <w:pStyle w:val="yTable"/>
              <w:tabs>
                <w:tab w:val="right" w:pos="568"/>
              </w:tabs>
            </w:pPr>
            <w:r>
              <w:tab/>
              <w:t>50</w:t>
            </w:r>
          </w:p>
        </w:tc>
      </w:tr>
      <w:tr>
        <w:tblPrEx>
          <w:tblCellMar>
            <w:left w:w="141" w:type="dxa"/>
            <w:right w:w="141" w:type="dxa"/>
          </w:tblCellMar>
        </w:tblPrEx>
        <w:trPr>
          <w:cantSplit/>
        </w:trPr>
        <w:tc>
          <w:tcPr>
            <w:tcW w:w="2760" w:type="dxa"/>
          </w:tcPr>
          <w:p>
            <w:pPr>
              <w:pStyle w:val="yTable"/>
              <w:spacing w:before="50"/>
            </w:pPr>
          </w:p>
        </w:tc>
        <w:tc>
          <w:tcPr>
            <w:tcW w:w="3480" w:type="dxa"/>
          </w:tcPr>
          <w:p>
            <w:pPr>
              <w:pStyle w:val="yTable"/>
              <w:spacing w:before="50"/>
            </w:pPr>
            <w:r>
              <w:t>More than 100 kilograms per hour</w:t>
            </w:r>
          </w:p>
        </w:tc>
        <w:tc>
          <w:tcPr>
            <w:tcW w:w="990" w:type="dxa"/>
          </w:tcPr>
          <w:p>
            <w:pPr>
              <w:pStyle w:val="yTable"/>
              <w:tabs>
                <w:tab w:val="right" w:pos="568"/>
              </w:tabs>
              <w:spacing w:before="50"/>
            </w:pPr>
            <w:r>
              <w:tab/>
              <w:t>100</w:t>
            </w:r>
          </w:p>
        </w:tc>
      </w:tr>
      <w:tr>
        <w:tblPrEx>
          <w:tblCellMar>
            <w:left w:w="141" w:type="dxa"/>
            <w:right w:w="141" w:type="dxa"/>
          </w:tblCellMar>
        </w:tblPrEx>
        <w:trPr>
          <w:cantSplit/>
        </w:trPr>
        <w:tc>
          <w:tcPr>
            <w:tcW w:w="2760" w:type="dxa"/>
          </w:tcPr>
          <w:p>
            <w:pPr>
              <w:pStyle w:val="yTable"/>
              <w:keepNext/>
              <w:spacing w:before="50"/>
            </w:pPr>
            <w:r>
              <w:t>Category 60</w:t>
            </w:r>
          </w:p>
        </w:tc>
        <w:tc>
          <w:tcPr>
            <w:tcW w:w="3480" w:type="dxa"/>
          </w:tcPr>
          <w:p>
            <w:pPr>
              <w:pStyle w:val="yTable"/>
              <w:keepNext/>
              <w:spacing w:before="50"/>
            </w:pPr>
            <w:r>
              <w:t>Not more than 500 kilograms per hour</w:t>
            </w:r>
          </w:p>
        </w:tc>
        <w:tc>
          <w:tcPr>
            <w:tcW w:w="990" w:type="dxa"/>
          </w:tcPr>
          <w:p>
            <w:pPr>
              <w:pStyle w:val="yTable"/>
              <w:keepNext/>
              <w:tabs>
                <w:tab w:val="right" w:pos="568"/>
              </w:tabs>
              <w:spacing w:before="50"/>
            </w:pPr>
            <w:r>
              <w:tab/>
              <w:t>50</w:t>
            </w:r>
          </w:p>
        </w:tc>
      </w:tr>
      <w:tr>
        <w:tblPrEx>
          <w:tblCellMar>
            <w:left w:w="141" w:type="dxa"/>
            <w:right w:w="141" w:type="dxa"/>
          </w:tblCellMar>
        </w:tblPrEx>
        <w:trPr>
          <w:cantSplit/>
        </w:trPr>
        <w:tc>
          <w:tcPr>
            <w:tcW w:w="2760" w:type="dxa"/>
          </w:tcPr>
          <w:p>
            <w:pPr>
              <w:pStyle w:val="yTable"/>
              <w:spacing w:before="50"/>
            </w:pPr>
          </w:p>
        </w:tc>
        <w:tc>
          <w:tcPr>
            <w:tcW w:w="3480" w:type="dxa"/>
          </w:tcPr>
          <w:p>
            <w:pPr>
              <w:pStyle w:val="yTable"/>
              <w:spacing w:before="50"/>
            </w:pPr>
            <w:r>
              <w:t>More than 500 kilograms per hour</w:t>
            </w:r>
          </w:p>
        </w:tc>
        <w:tc>
          <w:tcPr>
            <w:tcW w:w="990" w:type="dxa"/>
          </w:tcPr>
          <w:p>
            <w:pPr>
              <w:pStyle w:val="yTable"/>
              <w:tabs>
                <w:tab w:val="right" w:pos="568"/>
              </w:tabs>
              <w:spacing w:before="50"/>
            </w:pPr>
            <w:r>
              <w:tab/>
              <w:t>100</w:t>
            </w:r>
          </w:p>
        </w:tc>
      </w:tr>
      <w:tr>
        <w:tblPrEx>
          <w:tblCellMar>
            <w:left w:w="141" w:type="dxa"/>
            <w:right w:w="141" w:type="dxa"/>
          </w:tblCellMar>
        </w:tblPrEx>
        <w:trPr>
          <w:cantSplit/>
        </w:trPr>
        <w:tc>
          <w:tcPr>
            <w:tcW w:w="2760" w:type="dxa"/>
          </w:tcPr>
          <w:p>
            <w:pPr>
              <w:pStyle w:val="yTable"/>
              <w:spacing w:before="50"/>
            </w:pPr>
            <w:r>
              <w:t xml:space="preserve"> Categories 61 and 61A</w:t>
            </w:r>
          </w:p>
        </w:tc>
        <w:tc>
          <w:tcPr>
            <w:tcW w:w="3480" w:type="dxa"/>
          </w:tcPr>
          <w:p>
            <w:pPr>
              <w:pStyle w:val="yTable"/>
              <w:spacing w:before="50"/>
            </w:pPr>
            <w:r>
              <w:t>Not more than 100 tonnes per year</w:t>
            </w:r>
          </w:p>
        </w:tc>
        <w:tc>
          <w:tcPr>
            <w:tcW w:w="990" w:type="dxa"/>
          </w:tcPr>
          <w:p>
            <w:pPr>
              <w:pStyle w:val="yTable"/>
              <w:tabs>
                <w:tab w:val="right" w:pos="568"/>
              </w:tabs>
              <w:spacing w:before="50"/>
            </w:pPr>
            <w:r>
              <w:tab/>
              <w:t>15</w:t>
            </w:r>
          </w:p>
        </w:tc>
      </w:tr>
      <w:tr>
        <w:tblPrEx>
          <w:tblCellMar>
            <w:left w:w="141" w:type="dxa"/>
            <w:right w:w="141" w:type="dxa"/>
          </w:tblCellMar>
        </w:tblPrEx>
        <w:trPr>
          <w:cantSplit/>
        </w:trPr>
        <w:tc>
          <w:tcPr>
            <w:tcW w:w="2760" w:type="dxa"/>
          </w:tcPr>
          <w:p>
            <w:pPr>
              <w:pStyle w:val="yTable"/>
              <w:spacing w:before="50"/>
            </w:pPr>
          </w:p>
        </w:tc>
        <w:tc>
          <w:tcPr>
            <w:tcW w:w="3480" w:type="dxa"/>
          </w:tcPr>
          <w:p>
            <w:pPr>
              <w:pStyle w:val="yTable"/>
              <w:spacing w:before="50"/>
            </w:pPr>
            <w:r>
              <w:t>More than 100 but not more than 10 000 tonnes per year</w:t>
            </w:r>
          </w:p>
        </w:tc>
        <w:tc>
          <w:tcPr>
            <w:tcW w:w="990" w:type="dxa"/>
          </w:tcPr>
          <w:p>
            <w:pPr>
              <w:pStyle w:val="yTable"/>
              <w:tabs>
                <w:tab w:val="right" w:pos="568"/>
              </w:tabs>
              <w:spacing w:before="50"/>
            </w:pPr>
            <w:r>
              <w:tab/>
              <w:t>30</w:t>
            </w:r>
          </w:p>
        </w:tc>
      </w:tr>
      <w:tr>
        <w:tblPrEx>
          <w:tblCellMar>
            <w:left w:w="141" w:type="dxa"/>
            <w:right w:w="141" w:type="dxa"/>
          </w:tblCellMar>
        </w:tblPrEx>
        <w:trPr>
          <w:cantSplit/>
        </w:trPr>
        <w:tc>
          <w:tcPr>
            <w:tcW w:w="2760" w:type="dxa"/>
          </w:tcPr>
          <w:p>
            <w:pPr>
              <w:pStyle w:val="yTable"/>
              <w:spacing w:before="50"/>
            </w:pPr>
          </w:p>
        </w:tc>
        <w:tc>
          <w:tcPr>
            <w:tcW w:w="3480" w:type="dxa"/>
          </w:tcPr>
          <w:p>
            <w:pPr>
              <w:pStyle w:val="yTable"/>
              <w:spacing w:before="50"/>
            </w:pPr>
            <w:r>
              <w:t>More than 10 000 but not more than 100 000 tonnes per year</w:t>
            </w:r>
          </w:p>
        </w:tc>
        <w:tc>
          <w:tcPr>
            <w:tcW w:w="990" w:type="dxa"/>
          </w:tcPr>
          <w:p>
            <w:pPr>
              <w:pStyle w:val="yTable"/>
              <w:tabs>
                <w:tab w:val="right" w:pos="568"/>
              </w:tabs>
              <w:spacing w:before="50"/>
            </w:pPr>
            <w:r>
              <w:tab/>
              <w:t>45</w:t>
            </w:r>
          </w:p>
        </w:tc>
      </w:tr>
      <w:tr>
        <w:tblPrEx>
          <w:tblCellMar>
            <w:left w:w="141" w:type="dxa"/>
            <w:right w:w="141" w:type="dxa"/>
          </w:tblCellMar>
        </w:tblPrEx>
        <w:trPr>
          <w:cantSplit/>
        </w:trPr>
        <w:tc>
          <w:tcPr>
            <w:tcW w:w="2760" w:type="dxa"/>
          </w:tcPr>
          <w:p>
            <w:pPr>
              <w:pStyle w:val="yTable"/>
              <w:spacing w:before="50"/>
            </w:pPr>
          </w:p>
        </w:tc>
        <w:tc>
          <w:tcPr>
            <w:tcW w:w="3480" w:type="dxa"/>
          </w:tcPr>
          <w:p>
            <w:pPr>
              <w:pStyle w:val="yTable"/>
              <w:spacing w:before="50"/>
            </w:pPr>
            <w:r>
              <w:t>More than 100 000 tonnes per year</w:t>
            </w:r>
          </w:p>
        </w:tc>
        <w:tc>
          <w:tcPr>
            <w:tcW w:w="990" w:type="dxa"/>
          </w:tcPr>
          <w:p>
            <w:pPr>
              <w:pStyle w:val="yTable"/>
              <w:tabs>
                <w:tab w:val="right" w:pos="568"/>
              </w:tabs>
              <w:spacing w:before="50"/>
            </w:pPr>
            <w:r>
              <w:tab/>
              <w:t>60</w:t>
            </w:r>
          </w:p>
        </w:tc>
      </w:tr>
      <w:tr>
        <w:tblPrEx>
          <w:tblCellMar>
            <w:left w:w="141" w:type="dxa"/>
            <w:right w:w="141" w:type="dxa"/>
          </w:tblCellMar>
        </w:tblPrEx>
        <w:trPr>
          <w:cantSplit/>
        </w:trPr>
        <w:tc>
          <w:tcPr>
            <w:tcW w:w="2760" w:type="dxa"/>
          </w:tcPr>
          <w:p>
            <w:pPr>
              <w:pStyle w:val="yTable"/>
              <w:spacing w:before="50"/>
            </w:pPr>
            <w:r>
              <w:t>Category 62</w:t>
            </w:r>
          </w:p>
        </w:tc>
        <w:tc>
          <w:tcPr>
            <w:tcW w:w="3480" w:type="dxa"/>
          </w:tcPr>
          <w:p>
            <w:pPr>
              <w:pStyle w:val="yTable"/>
              <w:spacing w:before="50"/>
            </w:pPr>
            <w:r>
              <w:t>More than 500 but not more than 5 000 tonnes per year</w:t>
            </w:r>
          </w:p>
          <w:p>
            <w:pPr>
              <w:pStyle w:val="yTable"/>
              <w:spacing w:before="50"/>
            </w:pPr>
            <w:r>
              <w:t>More than 5 000 tonnes per year</w:t>
            </w:r>
          </w:p>
        </w:tc>
        <w:tc>
          <w:tcPr>
            <w:tcW w:w="990" w:type="dxa"/>
          </w:tcPr>
          <w:p>
            <w:pPr>
              <w:pStyle w:val="yTable"/>
              <w:tabs>
                <w:tab w:val="right" w:pos="568"/>
              </w:tabs>
              <w:spacing w:before="50"/>
            </w:pPr>
            <w:r>
              <w:tab/>
              <w:t>8</w:t>
            </w:r>
          </w:p>
          <w:p>
            <w:pPr>
              <w:pStyle w:val="yTable"/>
              <w:tabs>
                <w:tab w:val="right" w:pos="568"/>
              </w:tabs>
              <w:spacing w:before="0"/>
            </w:pPr>
          </w:p>
          <w:p>
            <w:pPr>
              <w:pStyle w:val="yTable"/>
              <w:tabs>
                <w:tab w:val="right" w:pos="568"/>
              </w:tabs>
              <w:spacing w:before="50"/>
            </w:pPr>
            <w:r>
              <w:tab/>
              <w:t>40</w:t>
            </w:r>
          </w:p>
        </w:tc>
      </w:tr>
      <w:tr>
        <w:tblPrEx>
          <w:tblCellMar>
            <w:left w:w="141" w:type="dxa"/>
            <w:right w:w="141" w:type="dxa"/>
          </w:tblCellMar>
        </w:tblPrEx>
        <w:trPr>
          <w:cantSplit/>
        </w:trPr>
        <w:tc>
          <w:tcPr>
            <w:tcW w:w="2760" w:type="dxa"/>
          </w:tcPr>
          <w:p>
            <w:pPr>
              <w:pStyle w:val="yTable"/>
              <w:spacing w:before="50"/>
            </w:pPr>
            <w:r>
              <w:t>Category 63</w:t>
            </w:r>
          </w:p>
        </w:tc>
        <w:tc>
          <w:tcPr>
            <w:tcW w:w="3480" w:type="dxa"/>
          </w:tcPr>
          <w:p>
            <w:pPr>
              <w:pStyle w:val="yTable"/>
              <w:spacing w:before="50"/>
            </w:pPr>
            <w:r>
              <w:t>Not more than 500 tonnes per year</w:t>
            </w:r>
          </w:p>
          <w:p>
            <w:pPr>
              <w:pStyle w:val="yTable"/>
              <w:spacing w:before="50"/>
            </w:pPr>
            <w:r>
              <w:t>More than 500 but not more than 5 000 tonnes per year</w:t>
            </w:r>
          </w:p>
        </w:tc>
        <w:tc>
          <w:tcPr>
            <w:tcW w:w="990" w:type="dxa"/>
          </w:tcPr>
          <w:p>
            <w:pPr>
              <w:pStyle w:val="yTable"/>
              <w:tabs>
                <w:tab w:val="right" w:pos="568"/>
              </w:tabs>
              <w:spacing w:before="50"/>
            </w:pPr>
            <w:r>
              <w:tab/>
              <w:t>Nil</w:t>
            </w:r>
          </w:p>
          <w:p>
            <w:pPr>
              <w:pStyle w:val="yTable"/>
              <w:tabs>
                <w:tab w:val="right" w:pos="568"/>
              </w:tabs>
              <w:spacing w:before="50"/>
            </w:pPr>
            <w:r>
              <w:tab/>
              <w:t>8</w:t>
            </w:r>
          </w:p>
        </w:tc>
      </w:tr>
      <w:tr>
        <w:tblPrEx>
          <w:tblCellMar>
            <w:left w:w="141" w:type="dxa"/>
            <w:right w:w="141" w:type="dxa"/>
          </w:tblCellMar>
        </w:tblPrEx>
        <w:trPr>
          <w:cantSplit/>
        </w:trPr>
        <w:tc>
          <w:tcPr>
            <w:tcW w:w="2760" w:type="dxa"/>
          </w:tcPr>
          <w:p>
            <w:pPr>
              <w:pStyle w:val="yTable"/>
              <w:spacing w:before="50"/>
            </w:pPr>
          </w:p>
        </w:tc>
        <w:tc>
          <w:tcPr>
            <w:tcW w:w="3480" w:type="dxa"/>
          </w:tcPr>
          <w:p>
            <w:pPr>
              <w:pStyle w:val="yTable"/>
              <w:spacing w:before="50"/>
            </w:pPr>
            <w:r>
              <w:t>More than 5 000 but not more than 50 000 tonnes per year</w:t>
            </w:r>
          </w:p>
        </w:tc>
        <w:tc>
          <w:tcPr>
            <w:tcW w:w="990" w:type="dxa"/>
          </w:tcPr>
          <w:p>
            <w:pPr>
              <w:pStyle w:val="yTable"/>
              <w:tabs>
                <w:tab w:val="right" w:pos="568"/>
              </w:tabs>
              <w:spacing w:before="50"/>
            </w:pPr>
            <w:r>
              <w:tab/>
              <w:t>40</w:t>
            </w:r>
          </w:p>
        </w:tc>
      </w:tr>
      <w:tr>
        <w:tblPrEx>
          <w:tblCellMar>
            <w:left w:w="141" w:type="dxa"/>
            <w:right w:w="141" w:type="dxa"/>
          </w:tblCellMar>
        </w:tblPrEx>
        <w:trPr>
          <w:cantSplit/>
        </w:trPr>
        <w:tc>
          <w:tcPr>
            <w:tcW w:w="2760" w:type="dxa"/>
          </w:tcPr>
          <w:p>
            <w:pPr>
              <w:pStyle w:val="yTable"/>
              <w:spacing w:before="50"/>
            </w:pPr>
          </w:p>
        </w:tc>
        <w:tc>
          <w:tcPr>
            <w:tcW w:w="3480" w:type="dxa"/>
          </w:tcPr>
          <w:p>
            <w:pPr>
              <w:pStyle w:val="yTable"/>
              <w:spacing w:before="50"/>
            </w:pPr>
            <w:r>
              <w:t>More than 50 000 but not more than 500 000 tonnes per year</w:t>
            </w:r>
          </w:p>
          <w:p>
            <w:pPr>
              <w:pStyle w:val="yTable"/>
              <w:spacing w:before="50"/>
            </w:pPr>
            <w:r>
              <w:t>More than 500 000 tonnes per year</w:t>
            </w:r>
          </w:p>
        </w:tc>
        <w:tc>
          <w:tcPr>
            <w:tcW w:w="990" w:type="dxa"/>
          </w:tcPr>
          <w:p>
            <w:pPr>
              <w:pStyle w:val="yTable"/>
              <w:tabs>
                <w:tab w:val="right" w:pos="568"/>
              </w:tabs>
              <w:spacing w:before="50"/>
            </w:pPr>
            <w:r>
              <w:tab/>
              <w:t>80</w:t>
            </w:r>
          </w:p>
          <w:p>
            <w:pPr>
              <w:pStyle w:val="yTable"/>
              <w:tabs>
                <w:tab w:val="right" w:pos="568"/>
              </w:tabs>
              <w:spacing w:before="0"/>
            </w:pPr>
          </w:p>
          <w:p>
            <w:pPr>
              <w:pStyle w:val="yTable"/>
              <w:tabs>
                <w:tab w:val="right" w:pos="568"/>
              </w:tabs>
              <w:spacing w:before="50"/>
            </w:pPr>
            <w:r>
              <w:tab/>
              <w:t>160</w:t>
            </w:r>
          </w:p>
        </w:tc>
      </w:tr>
      <w:tr>
        <w:tblPrEx>
          <w:tblCellMar>
            <w:left w:w="141" w:type="dxa"/>
            <w:right w:w="141" w:type="dxa"/>
          </w:tblCellMar>
        </w:tblPrEx>
        <w:trPr>
          <w:cantSplit/>
        </w:trPr>
        <w:tc>
          <w:tcPr>
            <w:tcW w:w="2760" w:type="dxa"/>
          </w:tcPr>
          <w:p>
            <w:pPr>
              <w:pStyle w:val="yTable"/>
              <w:spacing w:before="50"/>
            </w:pPr>
            <w:r>
              <w:t>Category 64</w:t>
            </w:r>
          </w:p>
        </w:tc>
        <w:tc>
          <w:tcPr>
            <w:tcW w:w="3480" w:type="dxa"/>
          </w:tcPr>
          <w:p>
            <w:pPr>
              <w:pStyle w:val="yTable"/>
            </w:pPr>
            <w:r>
              <w:t>Not more than 5 000 tonnes per year</w:t>
            </w:r>
          </w:p>
          <w:p>
            <w:pPr>
              <w:pStyle w:val="yTable"/>
            </w:pPr>
            <w:r>
              <w:t xml:space="preserve">More than 5 000 but not more than 50 000 tonnes per year </w:t>
            </w:r>
          </w:p>
        </w:tc>
        <w:tc>
          <w:tcPr>
            <w:tcW w:w="990" w:type="dxa"/>
          </w:tcPr>
          <w:p>
            <w:pPr>
              <w:pStyle w:val="yTable"/>
              <w:tabs>
                <w:tab w:val="right" w:pos="568"/>
              </w:tabs>
            </w:pPr>
            <w:r>
              <w:tab/>
              <w:t>24</w:t>
            </w:r>
          </w:p>
          <w:p>
            <w:pPr>
              <w:pStyle w:val="yTable"/>
              <w:tabs>
                <w:tab w:val="right" w:pos="568"/>
              </w:tabs>
            </w:pPr>
            <w:r>
              <w:br/>
            </w:r>
            <w:r>
              <w:tab/>
              <w:t>160</w:t>
            </w:r>
          </w:p>
        </w:tc>
      </w:tr>
      <w:tr>
        <w:tblPrEx>
          <w:tblCellMar>
            <w:left w:w="141" w:type="dxa"/>
            <w:right w:w="141" w:type="dxa"/>
          </w:tblCellMar>
        </w:tblPrEx>
        <w:trPr>
          <w:cantSplit/>
        </w:trPr>
        <w:tc>
          <w:tcPr>
            <w:tcW w:w="2760" w:type="dxa"/>
          </w:tcPr>
          <w:p>
            <w:pPr>
              <w:pStyle w:val="yTable"/>
              <w:spacing w:before="50"/>
            </w:pPr>
          </w:p>
        </w:tc>
        <w:tc>
          <w:tcPr>
            <w:tcW w:w="3480" w:type="dxa"/>
          </w:tcPr>
          <w:p>
            <w:pPr>
              <w:pStyle w:val="yTable"/>
            </w:pPr>
            <w:r>
              <w:t>More than 50 000 but not more than 100 000 tonnes per year</w:t>
            </w:r>
          </w:p>
          <w:p>
            <w:pPr>
              <w:pStyle w:val="yTable"/>
            </w:pPr>
            <w:r>
              <w:t>More than 100 000 tonnes per year</w:t>
            </w:r>
          </w:p>
        </w:tc>
        <w:tc>
          <w:tcPr>
            <w:tcW w:w="990" w:type="dxa"/>
          </w:tcPr>
          <w:p>
            <w:pPr>
              <w:pStyle w:val="yTable"/>
              <w:tabs>
                <w:tab w:val="right" w:pos="568"/>
              </w:tabs>
            </w:pPr>
            <w:r>
              <w:tab/>
              <w:t>320</w:t>
            </w:r>
            <w:r>
              <w:br/>
            </w:r>
          </w:p>
          <w:p>
            <w:pPr>
              <w:pStyle w:val="yTable"/>
              <w:tabs>
                <w:tab w:val="right" w:pos="568"/>
              </w:tabs>
            </w:pPr>
            <w:r>
              <w:tab/>
              <w:t>640</w:t>
            </w:r>
          </w:p>
        </w:tc>
      </w:tr>
      <w:tr>
        <w:tblPrEx>
          <w:tblCellMar>
            <w:left w:w="141" w:type="dxa"/>
            <w:right w:w="141" w:type="dxa"/>
          </w:tblCellMar>
        </w:tblPrEx>
        <w:trPr>
          <w:cantSplit/>
        </w:trPr>
        <w:tc>
          <w:tcPr>
            <w:tcW w:w="2760" w:type="dxa"/>
          </w:tcPr>
          <w:p>
            <w:pPr>
              <w:pStyle w:val="yTable"/>
            </w:pPr>
            <w:r>
              <w:t>Category 65</w:t>
            </w:r>
          </w:p>
        </w:tc>
        <w:tc>
          <w:tcPr>
            <w:tcW w:w="3480" w:type="dxa"/>
          </w:tcPr>
          <w:p>
            <w:pPr>
              <w:pStyle w:val="yTable"/>
            </w:pPr>
            <w:r>
              <w:t>Not applicable</w:t>
            </w:r>
          </w:p>
        </w:tc>
        <w:tc>
          <w:tcPr>
            <w:tcW w:w="990" w:type="dxa"/>
          </w:tcPr>
          <w:p>
            <w:pPr>
              <w:pStyle w:val="yTable"/>
              <w:tabs>
                <w:tab w:val="right" w:pos="568"/>
              </w:tabs>
            </w:pPr>
            <w:r>
              <w:tab/>
              <w:t>655</w:t>
            </w:r>
          </w:p>
        </w:tc>
      </w:tr>
      <w:tr>
        <w:tblPrEx>
          <w:tblCellMar>
            <w:left w:w="141" w:type="dxa"/>
            <w:right w:w="141" w:type="dxa"/>
          </w:tblCellMar>
        </w:tblPrEx>
        <w:trPr>
          <w:cantSplit/>
        </w:trPr>
        <w:tc>
          <w:tcPr>
            <w:tcW w:w="2760" w:type="dxa"/>
          </w:tcPr>
          <w:p>
            <w:pPr>
              <w:pStyle w:val="yTable"/>
            </w:pPr>
            <w:r>
              <w:t>Category 66</w:t>
            </w:r>
          </w:p>
        </w:tc>
        <w:tc>
          <w:tcPr>
            <w:tcW w:w="3480" w:type="dxa"/>
          </w:tcPr>
          <w:p>
            <w:pPr>
              <w:pStyle w:val="yTable"/>
            </w:pPr>
            <w:r>
              <w:t>Not applicable</w:t>
            </w:r>
          </w:p>
        </w:tc>
        <w:tc>
          <w:tcPr>
            <w:tcW w:w="990" w:type="dxa"/>
          </w:tcPr>
          <w:p>
            <w:pPr>
              <w:pStyle w:val="yTable"/>
              <w:tabs>
                <w:tab w:val="right" w:pos="568"/>
              </w:tabs>
            </w:pPr>
            <w:r>
              <w:tab/>
              <w:t>655</w:t>
            </w:r>
          </w:p>
        </w:tc>
      </w:tr>
      <w:tr>
        <w:tblPrEx>
          <w:tblCellMar>
            <w:left w:w="141" w:type="dxa"/>
            <w:right w:w="141" w:type="dxa"/>
          </w:tblCellMar>
        </w:tblPrEx>
        <w:trPr>
          <w:cantSplit/>
        </w:trPr>
        <w:tc>
          <w:tcPr>
            <w:tcW w:w="2760" w:type="dxa"/>
          </w:tcPr>
          <w:p>
            <w:pPr>
              <w:pStyle w:val="yTable"/>
            </w:pPr>
            <w:r>
              <w:t>Category 67</w:t>
            </w:r>
          </w:p>
        </w:tc>
        <w:tc>
          <w:tcPr>
            <w:tcW w:w="3480" w:type="dxa"/>
          </w:tcPr>
          <w:p>
            <w:pPr>
              <w:pStyle w:val="yTable"/>
            </w:pPr>
            <w:r>
              <w:t>Not applicable</w:t>
            </w:r>
          </w:p>
        </w:tc>
        <w:tc>
          <w:tcPr>
            <w:tcW w:w="990" w:type="dxa"/>
          </w:tcPr>
          <w:p>
            <w:pPr>
              <w:pStyle w:val="yTable"/>
              <w:tabs>
                <w:tab w:val="right" w:pos="568"/>
              </w:tabs>
            </w:pPr>
            <w:r>
              <w:tab/>
              <w:t>15</w:t>
            </w:r>
          </w:p>
        </w:tc>
      </w:tr>
      <w:tr>
        <w:tblPrEx>
          <w:tblCellMar>
            <w:left w:w="141" w:type="dxa"/>
            <w:right w:w="141" w:type="dxa"/>
          </w:tblCellMar>
        </w:tblPrEx>
        <w:trPr>
          <w:cantSplit/>
        </w:trPr>
        <w:tc>
          <w:tcPr>
            <w:tcW w:w="2760" w:type="dxa"/>
          </w:tcPr>
          <w:p>
            <w:pPr>
              <w:pStyle w:val="yTable"/>
            </w:pPr>
            <w:r>
              <w:t>Category 67A</w:t>
            </w:r>
          </w:p>
        </w:tc>
        <w:tc>
          <w:tcPr>
            <w:tcW w:w="3480" w:type="dxa"/>
          </w:tcPr>
          <w:p>
            <w:pPr>
              <w:pStyle w:val="yTable"/>
            </w:pPr>
            <w:r>
              <w:t xml:space="preserve">Not more than 500 tonnes per year </w:t>
            </w:r>
          </w:p>
        </w:tc>
        <w:tc>
          <w:tcPr>
            <w:tcW w:w="990" w:type="dxa"/>
          </w:tcPr>
          <w:p>
            <w:pPr>
              <w:pStyle w:val="yTable"/>
              <w:tabs>
                <w:tab w:val="right" w:pos="568"/>
              </w:tabs>
            </w:pPr>
            <w:r>
              <w:tab/>
              <w:t>Nil</w:t>
            </w:r>
          </w:p>
        </w:tc>
      </w:tr>
      <w:tr>
        <w:tblPrEx>
          <w:tblCellMar>
            <w:left w:w="141" w:type="dxa"/>
            <w:right w:w="141" w:type="dxa"/>
          </w:tblCellMar>
        </w:tblPrEx>
        <w:trPr>
          <w:cantSplit/>
        </w:trPr>
        <w:tc>
          <w:tcPr>
            <w:tcW w:w="2760" w:type="dxa"/>
          </w:tcPr>
          <w:p>
            <w:pPr>
              <w:pStyle w:val="yTable"/>
            </w:pPr>
          </w:p>
        </w:tc>
        <w:tc>
          <w:tcPr>
            <w:tcW w:w="3480" w:type="dxa"/>
          </w:tcPr>
          <w:p>
            <w:pPr>
              <w:pStyle w:val="yTable"/>
            </w:pPr>
            <w:r>
              <w:t>More than 500 but not more than 5 000 tonnes per year</w:t>
            </w:r>
          </w:p>
        </w:tc>
        <w:tc>
          <w:tcPr>
            <w:tcW w:w="990" w:type="dxa"/>
          </w:tcPr>
          <w:p>
            <w:pPr>
              <w:pStyle w:val="yTable"/>
              <w:tabs>
                <w:tab w:val="right" w:pos="568"/>
              </w:tabs>
            </w:pPr>
            <w:r>
              <w:tab/>
              <w:t>40</w:t>
            </w:r>
          </w:p>
        </w:tc>
      </w:tr>
      <w:tr>
        <w:tblPrEx>
          <w:tblCellMar>
            <w:left w:w="141" w:type="dxa"/>
            <w:right w:w="141" w:type="dxa"/>
          </w:tblCellMar>
        </w:tblPrEx>
        <w:trPr>
          <w:cantSplit/>
        </w:trPr>
        <w:tc>
          <w:tcPr>
            <w:tcW w:w="2760" w:type="dxa"/>
          </w:tcPr>
          <w:p>
            <w:pPr>
              <w:pStyle w:val="yTable"/>
            </w:pPr>
          </w:p>
        </w:tc>
        <w:tc>
          <w:tcPr>
            <w:tcW w:w="3480" w:type="dxa"/>
          </w:tcPr>
          <w:p>
            <w:pPr>
              <w:pStyle w:val="yTable"/>
            </w:pPr>
            <w:r>
              <w:t>More than 5 000 but not more than 50 000 tonnes per year</w:t>
            </w:r>
          </w:p>
        </w:tc>
        <w:tc>
          <w:tcPr>
            <w:tcW w:w="990" w:type="dxa"/>
          </w:tcPr>
          <w:p>
            <w:pPr>
              <w:pStyle w:val="yTable"/>
              <w:tabs>
                <w:tab w:val="right" w:pos="568"/>
              </w:tabs>
            </w:pPr>
            <w:r>
              <w:tab/>
              <w:t>160</w:t>
            </w:r>
          </w:p>
        </w:tc>
      </w:tr>
      <w:tr>
        <w:tblPrEx>
          <w:tblCellMar>
            <w:left w:w="141" w:type="dxa"/>
            <w:right w:w="141" w:type="dxa"/>
          </w:tblCellMar>
        </w:tblPrEx>
        <w:trPr>
          <w:cantSplit/>
        </w:trPr>
        <w:tc>
          <w:tcPr>
            <w:tcW w:w="2760" w:type="dxa"/>
          </w:tcPr>
          <w:p>
            <w:pPr>
              <w:pStyle w:val="yTable"/>
            </w:pPr>
          </w:p>
        </w:tc>
        <w:tc>
          <w:tcPr>
            <w:tcW w:w="3480" w:type="dxa"/>
          </w:tcPr>
          <w:p>
            <w:pPr>
              <w:pStyle w:val="yTable"/>
            </w:pPr>
            <w:r>
              <w:t>More than 50 000 but not more than 100 000 tonnes per year</w:t>
            </w:r>
          </w:p>
        </w:tc>
        <w:tc>
          <w:tcPr>
            <w:tcW w:w="990" w:type="dxa"/>
          </w:tcPr>
          <w:p>
            <w:pPr>
              <w:pStyle w:val="yTable"/>
              <w:tabs>
                <w:tab w:val="right" w:pos="568"/>
              </w:tabs>
            </w:pPr>
            <w:r>
              <w:tab/>
              <w:t>320</w:t>
            </w:r>
          </w:p>
        </w:tc>
      </w:tr>
      <w:tr>
        <w:tblPrEx>
          <w:tblCellMar>
            <w:left w:w="141" w:type="dxa"/>
            <w:right w:w="141" w:type="dxa"/>
          </w:tblCellMar>
        </w:tblPrEx>
        <w:trPr>
          <w:cantSplit/>
        </w:trPr>
        <w:tc>
          <w:tcPr>
            <w:tcW w:w="2760" w:type="dxa"/>
          </w:tcPr>
          <w:p>
            <w:pPr>
              <w:pStyle w:val="yTable"/>
            </w:pPr>
          </w:p>
        </w:tc>
        <w:tc>
          <w:tcPr>
            <w:tcW w:w="3480" w:type="dxa"/>
          </w:tcPr>
          <w:p>
            <w:pPr>
              <w:pStyle w:val="yTable"/>
            </w:pPr>
            <w:r>
              <w:t>More than 100 000 tonnes per year</w:t>
            </w:r>
          </w:p>
        </w:tc>
        <w:tc>
          <w:tcPr>
            <w:tcW w:w="990" w:type="dxa"/>
          </w:tcPr>
          <w:p>
            <w:pPr>
              <w:pStyle w:val="yTable"/>
              <w:tabs>
                <w:tab w:val="right" w:pos="568"/>
              </w:tabs>
            </w:pPr>
            <w:r>
              <w:tab/>
              <w:t>640</w:t>
            </w:r>
          </w:p>
        </w:tc>
      </w:tr>
      <w:tr>
        <w:tblPrEx>
          <w:tblCellMar>
            <w:left w:w="141" w:type="dxa"/>
            <w:right w:w="141" w:type="dxa"/>
          </w:tblCellMar>
        </w:tblPrEx>
        <w:trPr>
          <w:cantSplit/>
        </w:trPr>
        <w:tc>
          <w:tcPr>
            <w:tcW w:w="2760" w:type="dxa"/>
          </w:tcPr>
          <w:p>
            <w:pPr>
              <w:pStyle w:val="yTable"/>
            </w:pPr>
            <w:r>
              <w:t>Categories 68 to 85</w:t>
            </w:r>
          </w:p>
        </w:tc>
        <w:tc>
          <w:tcPr>
            <w:tcW w:w="3480" w:type="dxa"/>
          </w:tcPr>
          <w:p>
            <w:pPr>
              <w:pStyle w:val="yTable"/>
            </w:pPr>
            <w:r>
              <w:t>Not applicable</w:t>
            </w:r>
          </w:p>
        </w:tc>
        <w:tc>
          <w:tcPr>
            <w:tcW w:w="990" w:type="dxa"/>
          </w:tcPr>
          <w:p>
            <w:pPr>
              <w:pStyle w:val="yTable"/>
              <w:tabs>
                <w:tab w:val="right" w:pos="568"/>
              </w:tabs>
            </w:pPr>
            <w:r>
              <w:t>24</w:t>
            </w:r>
          </w:p>
        </w:tc>
      </w:tr>
      <w:tr>
        <w:tblPrEx>
          <w:tblCellMar>
            <w:left w:w="141" w:type="dxa"/>
            <w:right w:w="141" w:type="dxa"/>
          </w:tblCellMar>
        </w:tblPrEx>
        <w:trPr>
          <w:cantSplit/>
        </w:trPr>
        <w:tc>
          <w:tcPr>
            <w:tcW w:w="2760" w:type="dxa"/>
          </w:tcPr>
          <w:p>
            <w:pPr>
              <w:pStyle w:val="yTable"/>
            </w:pPr>
            <w:r>
              <w:t>Category 86</w:t>
            </w:r>
          </w:p>
        </w:tc>
        <w:tc>
          <w:tcPr>
            <w:tcW w:w="3480" w:type="dxa"/>
          </w:tcPr>
          <w:p>
            <w:pPr>
              <w:pStyle w:val="yTable"/>
            </w:pPr>
            <w:r>
              <w:t>Not applicable</w:t>
            </w:r>
          </w:p>
        </w:tc>
        <w:tc>
          <w:tcPr>
            <w:tcW w:w="990" w:type="dxa"/>
          </w:tcPr>
          <w:p>
            <w:pPr>
              <w:pStyle w:val="yTable"/>
              <w:tabs>
                <w:tab w:val="right" w:pos="568"/>
              </w:tabs>
            </w:pPr>
            <w:r>
              <w:t>500</w:t>
            </w:r>
          </w:p>
        </w:tc>
      </w:tr>
      <w:tr>
        <w:tblPrEx>
          <w:tblCellMar>
            <w:left w:w="141" w:type="dxa"/>
            <w:right w:w="141" w:type="dxa"/>
          </w:tblCellMar>
        </w:tblPrEx>
        <w:trPr>
          <w:cantSplit/>
        </w:trPr>
        <w:tc>
          <w:tcPr>
            <w:tcW w:w="2760" w:type="dxa"/>
          </w:tcPr>
          <w:p>
            <w:pPr>
              <w:pStyle w:val="yTable"/>
            </w:pPr>
            <w:r>
              <w:t>Categories 87 to 89</w:t>
            </w:r>
          </w:p>
        </w:tc>
        <w:tc>
          <w:tcPr>
            <w:tcW w:w="3480" w:type="dxa"/>
          </w:tcPr>
          <w:p>
            <w:pPr>
              <w:pStyle w:val="yTable"/>
            </w:pPr>
            <w:r>
              <w:t>Not applicable</w:t>
            </w:r>
          </w:p>
        </w:tc>
        <w:tc>
          <w:tcPr>
            <w:tcW w:w="990" w:type="dxa"/>
          </w:tcPr>
          <w:p>
            <w:pPr>
              <w:pStyle w:val="yTable"/>
              <w:tabs>
                <w:tab w:val="right" w:pos="568"/>
              </w:tabs>
            </w:pPr>
            <w:r>
              <w:t>24</w:t>
            </w:r>
          </w:p>
        </w:tc>
      </w:tr>
    </w:tbl>
    <w:p>
      <w:pPr>
        <w:pStyle w:val="yFootnotesection"/>
      </w:pPr>
      <w:r>
        <w:tab/>
        <w:t>[Part 1 inserted in Gazette 13 Sep 1996 p. 4560</w:t>
      </w:r>
      <w:r>
        <w:noBreakHyphen/>
        <w:t>7; amended in Gazette 10 Dec 1996 p. 6878; 15 Aug 2000 p. 4717</w:t>
      </w:r>
      <w:r>
        <w:noBreakHyphen/>
        <w:t>18; 14 Jun 2002 p. 2794; 13 Dec 2005 p. 5983; 22 Jun 2007 p. 2844; 30 Oct 2007 p. 5878; 23 Jul 2010 p. 3401.]</w:t>
      </w:r>
    </w:p>
    <w:p>
      <w:pPr>
        <w:pStyle w:val="yHeading2"/>
      </w:pPr>
      <w:bookmarkStart w:id="1292" w:name="_Toc172709277"/>
      <w:bookmarkStart w:id="1293" w:name="_Toc172964761"/>
      <w:bookmarkStart w:id="1294" w:name="_Toc174158478"/>
      <w:bookmarkStart w:id="1295" w:name="_Toc174359031"/>
      <w:bookmarkStart w:id="1296" w:name="_Toc174518622"/>
      <w:bookmarkStart w:id="1297" w:name="_Toc176170567"/>
      <w:bookmarkStart w:id="1298" w:name="_Toc181431126"/>
      <w:bookmarkStart w:id="1299" w:name="_Toc181497582"/>
      <w:bookmarkStart w:id="1300" w:name="_Toc202254249"/>
      <w:bookmarkStart w:id="1301" w:name="_Toc267572164"/>
      <w:bookmarkStart w:id="1302" w:name="_Toc281461073"/>
      <w:bookmarkStart w:id="1303" w:name="_Toc318383391"/>
      <w:bookmarkStart w:id="1304" w:name="_Toc318383511"/>
      <w:bookmarkStart w:id="1305" w:name="_Toc324153626"/>
      <w:r>
        <w:rPr>
          <w:rStyle w:val="CharSDivNo"/>
          <w:sz w:val="28"/>
        </w:rPr>
        <w:t>Part 2</w:t>
      </w:r>
      <w:r>
        <w:t> — </w:t>
      </w:r>
      <w:r>
        <w:rPr>
          <w:rStyle w:val="CharSDivText"/>
          <w:sz w:val="28"/>
        </w:rPr>
        <w:t>Part 2 waste</w:t>
      </w:r>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p>
    <w:p>
      <w:pPr>
        <w:pStyle w:val="yFootnotesection"/>
        <w:keepNext/>
      </w:pPr>
      <w:r>
        <w:tab/>
        <w:t>[Heading inserted in Gazette 13 Dec 2005 p. 5984.]</w:t>
      </w:r>
    </w:p>
    <w:tbl>
      <w:tblPr>
        <w:tblW w:w="0" w:type="auto"/>
        <w:tblInd w:w="85" w:type="dxa"/>
        <w:tblLayout w:type="fixed"/>
        <w:tblCellMar>
          <w:left w:w="85" w:type="dxa"/>
          <w:right w:w="85" w:type="dxa"/>
        </w:tblCellMar>
        <w:tblLook w:val="0000" w:firstRow="0" w:lastRow="0" w:firstColumn="0" w:lastColumn="0" w:noHBand="0" w:noVBand="0"/>
      </w:tblPr>
      <w:tblGrid>
        <w:gridCol w:w="5812"/>
        <w:gridCol w:w="1276"/>
      </w:tblGrid>
      <w:tr>
        <w:tc>
          <w:tcPr>
            <w:tcW w:w="5812" w:type="dxa"/>
          </w:tcPr>
          <w:p>
            <w:pPr>
              <w:pStyle w:val="yTable"/>
              <w:spacing w:after="120"/>
              <w:jc w:val="center"/>
              <w:rPr>
                <w:b/>
              </w:rPr>
            </w:pPr>
            <w:r>
              <w:rPr>
                <w:b/>
              </w:rPr>
              <w:t>Discharge quantity</w:t>
            </w:r>
          </w:p>
        </w:tc>
        <w:tc>
          <w:tcPr>
            <w:tcW w:w="1276" w:type="dxa"/>
          </w:tcPr>
          <w:p>
            <w:pPr>
              <w:pStyle w:val="yTable"/>
              <w:spacing w:after="120"/>
              <w:jc w:val="center"/>
              <w:rPr>
                <w:b/>
              </w:rPr>
            </w:pPr>
            <w:r>
              <w:rPr>
                <w:b/>
              </w:rPr>
              <w:t>Fee units</w:t>
            </w:r>
          </w:p>
        </w:tc>
      </w:tr>
      <w:tr>
        <w:tc>
          <w:tcPr>
            <w:tcW w:w="5812" w:type="dxa"/>
          </w:tcPr>
          <w:p>
            <w:pPr>
              <w:pStyle w:val="yTable"/>
            </w:pPr>
            <w:r>
              <w:t>Not more than 10 000 tonnes per year</w:t>
            </w:r>
          </w:p>
        </w:tc>
        <w:tc>
          <w:tcPr>
            <w:tcW w:w="1276" w:type="dxa"/>
          </w:tcPr>
          <w:p>
            <w:pPr>
              <w:pStyle w:val="yTable"/>
              <w:tabs>
                <w:tab w:val="right" w:pos="808"/>
              </w:tabs>
            </w:pPr>
            <w:r>
              <w:tab/>
              <w:t>30</w:t>
            </w:r>
          </w:p>
        </w:tc>
      </w:tr>
      <w:tr>
        <w:tc>
          <w:tcPr>
            <w:tcW w:w="5812" w:type="dxa"/>
          </w:tcPr>
          <w:p>
            <w:pPr>
              <w:pStyle w:val="yTable"/>
            </w:pPr>
            <w:r>
              <w:t>More than 10 000 but not more than 100 000 tonnes per year</w:t>
            </w:r>
          </w:p>
        </w:tc>
        <w:tc>
          <w:tcPr>
            <w:tcW w:w="1276" w:type="dxa"/>
          </w:tcPr>
          <w:p>
            <w:pPr>
              <w:pStyle w:val="yTable"/>
              <w:tabs>
                <w:tab w:val="right" w:pos="808"/>
              </w:tabs>
            </w:pPr>
            <w:r>
              <w:tab/>
              <w:t>70</w:t>
            </w:r>
          </w:p>
        </w:tc>
      </w:tr>
      <w:tr>
        <w:tc>
          <w:tcPr>
            <w:tcW w:w="5812" w:type="dxa"/>
          </w:tcPr>
          <w:p>
            <w:pPr>
              <w:pStyle w:val="yTable"/>
            </w:pPr>
            <w:r>
              <w:t>More than 100 000 but not more than 500 000 tonnes per year</w:t>
            </w:r>
          </w:p>
        </w:tc>
        <w:tc>
          <w:tcPr>
            <w:tcW w:w="1276" w:type="dxa"/>
          </w:tcPr>
          <w:p>
            <w:pPr>
              <w:pStyle w:val="yTable"/>
              <w:tabs>
                <w:tab w:val="right" w:pos="808"/>
              </w:tabs>
            </w:pPr>
            <w:r>
              <w:tab/>
              <w:t>150</w:t>
            </w:r>
          </w:p>
        </w:tc>
      </w:tr>
      <w:tr>
        <w:tc>
          <w:tcPr>
            <w:tcW w:w="5812" w:type="dxa"/>
          </w:tcPr>
          <w:p>
            <w:pPr>
              <w:pStyle w:val="yTable"/>
            </w:pPr>
            <w:r>
              <w:t>More than 500 000 but not more than 1 000 000 tonnes per year</w:t>
            </w:r>
          </w:p>
        </w:tc>
        <w:tc>
          <w:tcPr>
            <w:tcW w:w="1276" w:type="dxa"/>
          </w:tcPr>
          <w:p>
            <w:pPr>
              <w:pStyle w:val="yTable"/>
              <w:tabs>
                <w:tab w:val="right" w:pos="808"/>
              </w:tabs>
            </w:pPr>
            <w:r>
              <w:tab/>
              <w:t>200</w:t>
            </w:r>
          </w:p>
        </w:tc>
      </w:tr>
      <w:tr>
        <w:tc>
          <w:tcPr>
            <w:tcW w:w="5812" w:type="dxa"/>
          </w:tcPr>
          <w:p>
            <w:pPr>
              <w:pStyle w:val="yTable"/>
            </w:pPr>
            <w:r>
              <w:t>More than 1 000 000 tonnes per year</w:t>
            </w:r>
          </w:p>
        </w:tc>
        <w:tc>
          <w:tcPr>
            <w:tcW w:w="1276" w:type="dxa"/>
          </w:tcPr>
          <w:p>
            <w:pPr>
              <w:pStyle w:val="yTable"/>
              <w:tabs>
                <w:tab w:val="right" w:pos="808"/>
              </w:tabs>
            </w:pPr>
            <w:r>
              <w:tab/>
              <w:t>400</w:t>
            </w:r>
          </w:p>
        </w:tc>
      </w:tr>
    </w:tbl>
    <w:p>
      <w:pPr>
        <w:pStyle w:val="yFootnotesection"/>
      </w:pPr>
      <w:bookmarkStart w:id="1306" w:name="_Toc172709278"/>
      <w:r>
        <w:tab/>
        <w:t>[Part 2 inserted in Gazette 13 Sep 1996 p. 4565.]</w:t>
      </w:r>
    </w:p>
    <w:p>
      <w:pPr>
        <w:pStyle w:val="yHeading2"/>
      </w:pPr>
      <w:bookmarkStart w:id="1307" w:name="_Toc172964762"/>
      <w:bookmarkStart w:id="1308" w:name="_Toc174158479"/>
      <w:bookmarkStart w:id="1309" w:name="_Toc174359032"/>
      <w:bookmarkStart w:id="1310" w:name="_Toc174518623"/>
      <w:bookmarkStart w:id="1311" w:name="_Toc176170568"/>
      <w:bookmarkStart w:id="1312" w:name="_Toc181431127"/>
      <w:bookmarkStart w:id="1313" w:name="_Toc181497583"/>
      <w:bookmarkStart w:id="1314" w:name="_Toc202254250"/>
      <w:bookmarkStart w:id="1315" w:name="_Toc267572165"/>
      <w:bookmarkStart w:id="1316" w:name="_Toc281461074"/>
      <w:bookmarkStart w:id="1317" w:name="_Toc318383392"/>
      <w:bookmarkStart w:id="1318" w:name="_Toc318383512"/>
      <w:bookmarkStart w:id="1319" w:name="_Toc324153627"/>
      <w:r>
        <w:rPr>
          <w:rStyle w:val="CharSDivNo"/>
          <w:sz w:val="28"/>
        </w:rPr>
        <w:t>Part 3</w:t>
      </w:r>
      <w:r>
        <w:t> — </w:t>
      </w:r>
      <w:r>
        <w:rPr>
          <w:rStyle w:val="CharSDivText"/>
          <w:sz w:val="28"/>
        </w:rPr>
        <w:t>Discharge component</w:t>
      </w:r>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p>
    <w:p>
      <w:pPr>
        <w:pStyle w:val="yFootnoteheading"/>
      </w:pPr>
      <w:r>
        <w:tab/>
        <w:t>[Heading inserted in Gazette 13 Sep 1996 p. 4565.]</w:t>
      </w:r>
    </w:p>
    <w:p>
      <w:pPr>
        <w:pStyle w:val="yTable"/>
        <w:keepNext/>
        <w:spacing w:before="220" w:after="120"/>
        <w:jc w:val="center"/>
        <w:rPr>
          <w:b/>
          <w:snapToGrid w:val="0"/>
        </w:rPr>
      </w:pPr>
      <w:r>
        <w:rPr>
          <w:b/>
          <w:snapToGrid w:val="0"/>
        </w:rPr>
        <w:t>Table 1 — Discharges into air</w:t>
      </w:r>
    </w:p>
    <w:tbl>
      <w:tblPr>
        <w:tblW w:w="0" w:type="auto"/>
        <w:tblInd w:w="141" w:type="dxa"/>
        <w:tblLayout w:type="fixed"/>
        <w:tblCellMar>
          <w:left w:w="141" w:type="dxa"/>
          <w:right w:w="141" w:type="dxa"/>
        </w:tblCellMar>
        <w:tblLook w:val="0000" w:firstRow="0" w:lastRow="0" w:firstColumn="0" w:lastColumn="0" w:noHBand="0" w:noVBand="0"/>
      </w:tblPr>
      <w:tblGrid>
        <w:gridCol w:w="5103"/>
        <w:gridCol w:w="2127"/>
      </w:tblGrid>
      <w:tr>
        <w:trPr>
          <w:tblHeader/>
        </w:trPr>
        <w:tc>
          <w:tcPr>
            <w:tcW w:w="5103" w:type="dxa"/>
          </w:tcPr>
          <w:p>
            <w:pPr>
              <w:pStyle w:val="yTable"/>
              <w:spacing w:after="120"/>
              <w:jc w:val="center"/>
              <w:rPr>
                <w:b/>
              </w:rPr>
            </w:pPr>
            <w:r>
              <w:rPr>
                <w:b/>
              </w:rPr>
              <w:t>Kind of waste</w:t>
            </w:r>
          </w:p>
        </w:tc>
        <w:tc>
          <w:tcPr>
            <w:tcW w:w="2127" w:type="dxa"/>
          </w:tcPr>
          <w:p>
            <w:pPr>
              <w:pStyle w:val="yTable"/>
              <w:spacing w:after="120"/>
              <w:jc w:val="center"/>
              <w:rPr>
                <w:b/>
              </w:rPr>
            </w:pPr>
            <w:r>
              <w:rPr>
                <w:b/>
              </w:rPr>
              <w:t>Fee units</w:t>
            </w:r>
            <w:r>
              <w:rPr>
                <w:b/>
              </w:rPr>
              <w:br/>
              <w:t>(for each gram per minute)</w:t>
            </w:r>
          </w:p>
        </w:tc>
      </w:tr>
      <w:tr>
        <w:tc>
          <w:tcPr>
            <w:tcW w:w="5103" w:type="dxa"/>
          </w:tcPr>
          <w:p>
            <w:pPr>
              <w:pStyle w:val="yTable"/>
              <w:ind w:left="568" w:hanging="568"/>
            </w:pPr>
            <w:r>
              <w:t>1.</w:t>
            </w:r>
            <w:r>
              <w:tab/>
              <w:t>Carbon monoxide</w:t>
            </w:r>
          </w:p>
        </w:tc>
        <w:tc>
          <w:tcPr>
            <w:tcW w:w="2127" w:type="dxa"/>
          </w:tcPr>
          <w:p>
            <w:pPr>
              <w:pStyle w:val="yTable"/>
              <w:tabs>
                <w:tab w:val="decimal" w:pos="993"/>
              </w:tabs>
            </w:pPr>
            <w:r>
              <w:t>0.01</w:t>
            </w:r>
          </w:p>
        </w:tc>
      </w:tr>
      <w:tr>
        <w:tc>
          <w:tcPr>
            <w:tcW w:w="5103" w:type="dxa"/>
          </w:tcPr>
          <w:p>
            <w:pPr>
              <w:pStyle w:val="yTable"/>
              <w:ind w:left="568" w:hanging="568"/>
            </w:pPr>
            <w:r>
              <w:t>2.</w:t>
            </w:r>
            <w:r>
              <w:tab/>
              <w:t>Oxides of nitrogen, sulphur oxides and particulates — </w:t>
            </w:r>
          </w:p>
        </w:tc>
        <w:tc>
          <w:tcPr>
            <w:tcW w:w="2127" w:type="dxa"/>
          </w:tcPr>
          <w:p>
            <w:pPr>
              <w:pStyle w:val="yTable"/>
              <w:tabs>
                <w:tab w:val="decimal" w:pos="993"/>
              </w:tabs>
            </w:pPr>
          </w:p>
        </w:tc>
      </w:tr>
      <w:tr>
        <w:tc>
          <w:tcPr>
            <w:tcW w:w="5103" w:type="dxa"/>
          </w:tcPr>
          <w:p>
            <w:pPr>
              <w:pStyle w:val="yTable"/>
              <w:ind w:left="1135" w:hanging="567"/>
            </w:pPr>
            <w:r>
              <w:t>(a)</w:t>
            </w:r>
            <w:r>
              <w:tab/>
              <w:t xml:space="preserve">discharged from premises in the metropolitan region (as defined in the </w:t>
            </w:r>
            <w:r>
              <w:rPr>
                <w:i/>
                <w:iCs/>
              </w:rPr>
              <w:t>Planning and Development Act 2005</w:t>
            </w:r>
            <w:r>
              <w:t>) or the Swan Coastal Plain</w:t>
            </w:r>
          </w:p>
        </w:tc>
        <w:tc>
          <w:tcPr>
            <w:tcW w:w="2127" w:type="dxa"/>
          </w:tcPr>
          <w:p>
            <w:pPr>
              <w:pStyle w:val="yTable"/>
              <w:tabs>
                <w:tab w:val="decimal" w:pos="993"/>
              </w:tabs>
            </w:pPr>
            <w:r>
              <w:t>1</w:t>
            </w:r>
          </w:p>
        </w:tc>
      </w:tr>
      <w:tr>
        <w:tc>
          <w:tcPr>
            <w:tcW w:w="5103" w:type="dxa"/>
          </w:tcPr>
          <w:p>
            <w:pPr>
              <w:pStyle w:val="yTable"/>
              <w:ind w:left="1135" w:hanging="567"/>
            </w:pPr>
            <w:r>
              <w:t>(b)</w:t>
            </w:r>
            <w:r>
              <w:tab/>
              <w:t>discharged from premises in any other part of the State</w:t>
            </w:r>
          </w:p>
        </w:tc>
        <w:tc>
          <w:tcPr>
            <w:tcW w:w="2127" w:type="dxa"/>
          </w:tcPr>
          <w:p>
            <w:pPr>
              <w:pStyle w:val="yTable"/>
              <w:tabs>
                <w:tab w:val="decimal" w:pos="993"/>
              </w:tabs>
            </w:pPr>
            <w:r>
              <w:t>0.1</w:t>
            </w:r>
          </w:p>
        </w:tc>
      </w:tr>
      <w:tr>
        <w:tc>
          <w:tcPr>
            <w:tcW w:w="5103" w:type="dxa"/>
          </w:tcPr>
          <w:p>
            <w:pPr>
              <w:pStyle w:val="yTable"/>
              <w:ind w:left="568" w:hanging="568"/>
            </w:pPr>
            <w:r>
              <w:t>3.</w:t>
            </w:r>
            <w:r>
              <w:tab/>
              <w:t>Volatile organic compounds (being compounds not specified elsewhere in this Table that participate in atmospheric photochemical reactions) — </w:t>
            </w:r>
          </w:p>
        </w:tc>
        <w:tc>
          <w:tcPr>
            <w:tcW w:w="2127" w:type="dxa"/>
          </w:tcPr>
          <w:p>
            <w:pPr>
              <w:pStyle w:val="yTable"/>
              <w:tabs>
                <w:tab w:val="decimal" w:pos="993"/>
              </w:tabs>
            </w:pPr>
          </w:p>
        </w:tc>
      </w:tr>
      <w:tr>
        <w:tc>
          <w:tcPr>
            <w:tcW w:w="5103" w:type="dxa"/>
          </w:tcPr>
          <w:p>
            <w:pPr>
              <w:pStyle w:val="yTable"/>
              <w:ind w:left="1135" w:hanging="567"/>
            </w:pPr>
            <w:r>
              <w:t>(a)</w:t>
            </w:r>
            <w:r>
              <w:tab/>
              <w:t xml:space="preserve">discharged from premises in the metropolitan region (as defined in the </w:t>
            </w:r>
            <w:r>
              <w:rPr>
                <w:i/>
                <w:iCs/>
              </w:rPr>
              <w:t>Planning and Development Act 2005</w:t>
            </w:r>
            <w:r>
              <w:t>) or the Swan Coastal Plain</w:t>
            </w:r>
          </w:p>
        </w:tc>
        <w:tc>
          <w:tcPr>
            <w:tcW w:w="2127" w:type="dxa"/>
          </w:tcPr>
          <w:p>
            <w:pPr>
              <w:pStyle w:val="yTable"/>
              <w:tabs>
                <w:tab w:val="decimal" w:pos="993"/>
              </w:tabs>
            </w:pPr>
            <w:r>
              <w:t>1</w:t>
            </w:r>
          </w:p>
        </w:tc>
      </w:tr>
      <w:tr>
        <w:tc>
          <w:tcPr>
            <w:tcW w:w="5103" w:type="dxa"/>
          </w:tcPr>
          <w:p>
            <w:pPr>
              <w:pStyle w:val="yTable"/>
              <w:ind w:left="1135" w:hanging="567"/>
            </w:pPr>
            <w:r>
              <w:t>(b)</w:t>
            </w:r>
            <w:r>
              <w:tab/>
              <w:t>discharged from premises in any other part of the State</w:t>
            </w:r>
          </w:p>
        </w:tc>
        <w:tc>
          <w:tcPr>
            <w:tcW w:w="2127" w:type="dxa"/>
          </w:tcPr>
          <w:p>
            <w:pPr>
              <w:pStyle w:val="yTable"/>
              <w:tabs>
                <w:tab w:val="decimal" w:pos="993"/>
              </w:tabs>
            </w:pPr>
            <w:r>
              <w:t>0.1</w:t>
            </w:r>
          </w:p>
        </w:tc>
      </w:tr>
      <w:tr>
        <w:tc>
          <w:tcPr>
            <w:tcW w:w="5103" w:type="dxa"/>
          </w:tcPr>
          <w:p>
            <w:pPr>
              <w:pStyle w:val="yTable"/>
            </w:pPr>
            <w:r>
              <w:t>4.</w:t>
            </w:r>
            <w:r>
              <w:tab/>
              <w:t>Inorganic fluoride</w:t>
            </w:r>
          </w:p>
        </w:tc>
        <w:tc>
          <w:tcPr>
            <w:tcW w:w="2127" w:type="dxa"/>
          </w:tcPr>
          <w:p>
            <w:pPr>
              <w:pStyle w:val="yTable"/>
              <w:tabs>
                <w:tab w:val="decimal" w:pos="993"/>
              </w:tabs>
            </w:pPr>
            <w:r>
              <w:t>2.5</w:t>
            </w:r>
          </w:p>
        </w:tc>
      </w:tr>
      <w:tr>
        <w:tc>
          <w:tcPr>
            <w:tcW w:w="5103" w:type="dxa"/>
          </w:tcPr>
          <w:p>
            <w:pPr>
              <w:pStyle w:val="yTable"/>
            </w:pPr>
            <w:r>
              <w:t>5.</w:t>
            </w:r>
            <w:r>
              <w:tab/>
              <w:t>Pesticides</w:t>
            </w:r>
          </w:p>
        </w:tc>
        <w:tc>
          <w:tcPr>
            <w:tcW w:w="2127" w:type="dxa"/>
          </w:tcPr>
          <w:p>
            <w:pPr>
              <w:pStyle w:val="yTable"/>
              <w:tabs>
                <w:tab w:val="decimal" w:pos="993"/>
              </w:tabs>
            </w:pPr>
            <w:r>
              <w:t>2.5</w:t>
            </w:r>
          </w:p>
        </w:tc>
      </w:tr>
      <w:tr>
        <w:tc>
          <w:tcPr>
            <w:tcW w:w="5103" w:type="dxa"/>
          </w:tcPr>
          <w:p>
            <w:pPr>
              <w:pStyle w:val="yTable"/>
              <w:ind w:left="568" w:hanging="568"/>
            </w:pPr>
            <w:r>
              <w:t>6.</w:t>
            </w:r>
            <w:r>
              <w:tab/>
              <w:t>Aluminium, arsenic, chromium, cobalt, copper, lead, manganese, molybdenum, nickel, vanadium and zinc</w:t>
            </w:r>
          </w:p>
        </w:tc>
        <w:tc>
          <w:tcPr>
            <w:tcW w:w="2127" w:type="dxa"/>
          </w:tcPr>
          <w:p>
            <w:pPr>
              <w:pStyle w:val="yTable"/>
              <w:tabs>
                <w:tab w:val="decimal" w:pos="993"/>
              </w:tabs>
            </w:pPr>
            <w:r>
              <w:t>2.5</w:t>
            </w:r>
          </w:p>
        </w:tc>
      </w:tr>
      <w:tr>
        <w:tc>
          <w:tcPr>
            <w:tcW w:w="5103" w:type="dxa"/>
          </w:tcPr>
          <w:p>
            <w:pPr>
              <w:pStyle w:val="yTable"/>
              <w:ind w:left="568" w:hanging="568"/>
            </w:pPr>
            <w:r>
              <w:t>7.</w:t>
            </w:r>
            <w:r>
              <w:tab/>
              <w:t>Vinyl chloride, hydrogen sulphide, benzene carbon oxysulphide, carbon disulphide and acrylates</w:t>
            </w:r>
          </w:p>
        </w:tc>
        <w:tc>
          <w:tcPr>
            <w:tcW w:w="2127" w:type="dxa"/>
          </w:tcPr>
          <w:p>
            <w:pPr>
              <w:pStyle w:val="yTable"/>
              <w:tabs>
                <w:tab w:val="decimal" w:pos="993"/>
              </w:tabs>
            </w:pPr>
            <w:r>
              <w:t>10</w:t>
            </w:r>
          </w:p>
        </w:tc>
      </w:tr>
      <w:tr>
        <w:tc>
          <w:tcPr>
            <w:tcW w:w="5103" w:type="dxa"/>
          </w:tcPr>
          <w:p>
            <w:pPr>
              <w:pStyle w:val="yTable"/>
              <w:ind w:left="568" w:hanging="568"/>
            </w:pPr>
            <w:r>
              <w:t>8.</w:t>
            </w:r>
            <w:r>
              <w:tab/>
              <w:t>Beryllium, cadmium, mercury, TDI (toluene</w:t>
            </w:r>
            <w:r>
              <w:noBreakHyphen/>
              <w:t>2, 4</w:t>
            </w:r>
            <w:r>
              <w:noBreakHyphen/>
              <w:t>di</w:t>
            </w:r>
            <w:r>
              <w:noBreakHyphen/>
              <w:t>iso</w:t>
            </w:r>
            <w:r>
              <w:noBreakHyphen/>
              <w:t>cyanate), MDI (diphenyl</w:t>
            </w:r>
            <w:r>
              <w:noBreakHyphen/>
              <w:t>methane di</w:t>
            </w:r>
            <w:r>
              <w:noBreakHyphen/>
              <w:t>iso</w:t>
            </w:r>
            <w:r>
              <w:noBreakHyphen/>
              <w:t>cyanate)</w:t>
            </w:r>
          </w:p>
        </w:tc>
        <w:tc>
          <w:tcPr>
            <w:tcW w:w="2127" w:type="dxa"/>
          </w:tcPr>
          <w:p>
            <w:pPr>
              <w:pStyle w:val="yTable"/>
              <w:tabs>
                <w:tab w:val="decimal" w:pos="993"/>
              </w:tabs>
            </w:pPr>
            <w:r>
              <w:t>100</w:t>
            </w:r>
          </w:p>
        </w:tc>
      </w:tr>
      <w:tr>
        <w:tc>
          <w:tcPr>
            <w:tcW w:w="5103" w:type="dxa"/>
          </w:tcPr>
          <w:p>
            <w:pPr>
              <w:pStyle w:val="yTable"/>
              <w:ind w:left="568" w:hanging="568"/>
            </w:pPr>
            <w:r>
              <w:t>9.</w:t>
            </w:r>
            <w:r>
              <w:tab/>
              <w:t>Other waste</w:t>
            </w:r>
          </w:p>
        </w:tc>
        <w:tc>
          <w:tcPr>
            <w:tcW w:w="2127" w:type="dxa"/>
          </w:tcPr>
          <w:p>
            <w:pPr>
              <w:pStyle w:val="yTable"/>
              <w:tabs>
                <w:tab w:val="decimal" w:pos="993"/>
              </w:tabs>
            </w:pPr>
            <w:r>
              <w:t>1</w:t>
            </w:r>
          </w:p>
        </w:tc>
      </w:tr>
    </w:tbl>
    <w:p>
      <w:pPr>
        <w:pStyle w:val="yTable"/>
        <w:keepNext/>
        <w:spacing w:after="120"/>
        <w:jc w:val="center"/>
        <w:rPr>
          <w:b/>
        </w:rPr>
      </w:pPr>
      <w:r>
        <w:rPr>
          <w:b/>
        </w:rPr>
        <w:t>Table 2 — Discharges onto land or into waters</w:t>
      </w:r>
    </w:p>
    <w:tbl>
      <w:tblPr>
        <w:tblW w:w="0" w:type="auto"/>
        <w:tblInd w:w="141" w:type="dxa"/>
        <w:tblLayout w:type="fixed"/>
        <w:tblCellMar>
          <w:left w:w="141" w:type="dxa"/>
          <w:right w:w="141" w:type="dxa"/>
        </w:tblCellMar>
        <w:tblLook w:val="0000" w:firstRow="0" w:lastRow="0" w:firstColumn="0" w:lastColumn="0" w:noHBand="0" w:noVBand="0"/>
      </w:tblPr>
      <w:tblGrid>
        <w:gridCol w:w="5245"/>
        <w:gridCol w:w="1985"/>
      </w:tblGrid>
      <w:tr>
        <w:trPr>
          <w:tblHeader/>
        </w:trPr>
        <w:tc>
          <w:tcPr>
            <w:tcW w:w="5245" w:type="dxa"/>
          </w:tcPr>
          <w:p>
            <w:pPr>
              <w:pStyle w:val="yTable"/>
              <w:keepNext/>
              <w:spacing w:after="80"/>
              <w:jc w:val="center"/>
              <w:rPr>
                <w:b/>
              </w:rPr>
            </w:pPr>
            <w:r>
              <w:rPr>
                <w:b/>
              </w:rPr>
              <w:t>Kind of waste</w:t>
            </w:r>
          </w:p>
        </w:tc>
        <w:tc>
          <w:tcPr>
            <w:tcW w:w="1985" w:type="dxa"/>
          </w:tcPr>
          <w:p>
            <w:pPr>
              <w:pStyle w:val="yTable"/>
              <w:keepNext/>
              <w:spacing w:after="80"/>
              <w:jc w:val="center"/>
              <w:rPr>
                <w:b/>
              </w:rPr>
            </w:pPr>
            <w:r>
              <w:rPr>
                <w:b/>
              </w:rPr>
              <w:t>Fee units</w:t>
            </w:r>
          </w:p>
        </w:tc>
      </w:tr>
      <w:tr>
        <w:tc>
          <w:tcPr>
            <w:tcW w:w="5245" w:type="dxa"/>
          </w:tcPr>
          <w:p>
            <w:pPr>
              <w:pStyle w:val="yTable"/>
              <w:keepNext/>
              <w:ind w:left="567" w:hanging="567"/>
            </w:pPr>
            <w:r>
              <w:t>1.</w:t>
            </w:r>
            <w:r>
              <w:tab/>
              <w:t>Liquid waste that can potentially deprive receiving waters of oxygen (for each kilogram discharged per day) — </w:t>
            </w:r>
          </w:p>
          <w:p>
            <w:pPr>
              <w:pStyle w:val="yTable"/>
              <w:keepNext/>
              <w:ind w:left="1134" w:hanging="567"/>
            </w:pPr>
            <w:r>
              <w:t>(a)</w:t>
            </w:r>
            <w:r>
              <w:tab/>
              <w:t>biochemical oxygen demand (in the absence of chemical oxygen demand limit)</w:t>
            </w:r>
          </w:p>
          <w:p>
            <w:pPr>
              <w:pStyle w:val="yTable"/>
              <w:keepNext/>
              <w:spacing w:before="80"/>
              <w:ind w:left="1134" w:hanging="567"/>
            </w:pPr>
            <w:r>
              <w:t>(b)</w:t>
            </w:r>
            <w:r>
              <w:tab/>
              <w:t>chemical oxygen demand (in the absence of total organic carbon limit)</w:t>
            </w:r>
          </w:p>
          <w:p>
            <w:pPr>
              <w:pStyle w:val="yTable"/>
              <w:keepNext/>
              <w:spacing w:before="44"/>
              <w:ind w:left="1134" w:hanging="567"/>
            </w:pPr>
            <w:r>
              <w:t>(c)</w:t>
            </w:r>
            <w:r>
              <w:tab/>
              <w:t>total organic carbon</w:t>
            </w:r>
          </w:p>
        </w:tc>
        <w:tc>
          <w:tcPr>
            <w:tcW w:w="1985" w:type="dxa"/>
          </w:tcPr>
          <w:p>
            <w:pPr>
              <w:pStyle w:val="yTable"/>
              <w:keepNext/>
              <w:tabs>
                <w:tab w:val="decimal" w:pos="993"/>
              </w:tabs>
            </w:pPr>
          </w:p>
          <w:p>
            <w:pPr>
              <w:pStyle w:val="yTable"/>
              <w:keepNext/>
              <w:tabs>
                <w:tab w:val="decimal" w:pos="993"/>
              </w:tabs>
            </w:pPr>
          </w:p>
          <w:p>
            <w:pPr>
              <w:pStyle w:val="yTable"/>
              <w:keepNext/>
              <w:tabs>
                <w:tab w:val="decimal" w:pos="993"/>
              </w:tabs>
              <w:spacing w:before="0"/>
            </w:pPr>
          </w:p>
          <w:p>
            <w:pPr>
              <w:pStyle w:val="yTable"/>
              <w:keepNext/>
              <w:tabs>
                <w:tab w:val="decimal" w:pos="993"/>
              </w:tabs>
              <w:spacing w:before="0"/>
            </w:pPr>
            <w:r>
              <w:t>0.5</w:t>
            </w:r>
          </w:p>
          <w:p>
            <w:pPr>
              <w:pStyle w:val="yTable"/>
              <w:keepNext/>
              <w:tabs>
                <w:tab w:val="decimal" w:pos="993"/>
              </w:tabs>
              <w:spacing w:before="0"/>
            </w:pPr>
          </w:p>
          <w:p>
            <w:pPr>
              <w:pStyle w:val="yTable"/>
              <w:keepNext/>
              <w:tabs>
                <w:tab w:val="decimal" w:pos="993"/>
              </w:tabs>
              <w:spacing w:before="80"/>
            </w:pPr>
            <w:r>
              <w:t>1</w:t>
            </w:r>
          </w:p>
          <w:p>
            <w:pPr>
              <w:pStyle w:val="yTable"/>
              <w:keepNext/>
              <w:tabs>
                <w:tab w:val="decimal" w:pos="993"/>
              </w:tabs>
              <w:spacing w:before="0"/>
            </w:pPr>
          </w:p>
          <w:p>
            <w:pPr>
              <w:pStyle w:val="yTable"/>
              <w:keepNext/>
              <w:tabs>
                <w:tab w:val="decimal" w:pos="993"/>
              </w:tabs>
              <w:spacing w:before="44"/>
            </w:pPr>
            <w:r>
              <w:t>0.5</w:t>
            </w:r>
          </w:p>
        </w:tc>
      </w:tr>
      <w:tr>
        <w:tc>
          <w:tcPr>
            <w:tcW w:w="5245" w:type="dxa"/>
          </w:tcPr>
          <w:p>
            <w:pPr>
              <w:pStyle w:val="yTable"/>
              <w:spacing w:before="44"/>
              <w:ind w:left="568" w:hanging="568"/>
            </w:pPr>
            <w:r>
              <w:t>2.</w:t>
            </w:r>
            <w:r>
              <w:tab/>
              <w:t>Biostimulants (for each kilogram discharged per day) — </w:t>
            </w:r>
          </w:p>
          <w:p>
            <w:pPr>
              <w:pStyle w:val="yTable"/>
              <w:spacing w:before="44"/>
              <w:ind w:left="1134" w:hanging="567"/>
            </w:pPr>
            <w:r>
              <w:t>(a)</w:t>
            </w:r>
            <w:r>
              <w:tab/>
              <w:t>phosphorus — </w:t>
            </w:r>
          </w:p>
          <w:p>
            <w:pPr>
              <w:pStyle w:val="yTable"/>
              <w:spacing w:before="44"/>
              <w:ind w:left="1701" w:hanging="567"/>
            </w:pPr>
            <w:r>
              <w:t>(i)</w:t>
            </w:r>
            <w:r>
              <w:tab/>
              <w:t>Swan Coastal Plain</w:t>
            </w:r>
          </w:p>
          <w:p>
            <w:pPr>
              <w:pStyle w:val="yTable"/>
              <w:spacing w:before="44"/>
              <w:ind w:left="1701" w:hanging="567"/>
            </w:pPr>
            <w:r>
              <w:t>(ii)</w:t>
            </w:r>
            <w:r>
              <w:tab/>
              <w:t>elsewhere</w:t>
            </w:r>
          </w:p>
          <w:p>
            <w:pPr>
              <w:pStyle w:val="yTable"/>
              <w:spacing w:before="44"/>
              <w:ind w:left="1134" w:hanging="567"/>
            </w:pPr>
            <w:r>
              <w:t>(b)</w:t>
            </w:r>
            <w:r>
              <w:tab/>
              <w:t>total nitrogen — </w:t>
            </w:r>
          </w:p>
          <w:p>
            <w:pPr>
              <w:pStyle w:val="yTable"/>
              <w:spacing w:before="44"/>
              <w:ind w:left="1701" w:hanging="567"/>
            </w:pPr>
            <w:r>
              <w:t>(i)</w:t>
            </w:r>
            <w:r>
              <w:tab/>
              <w:t>Swan Coastal Plain</w:t>
            </w:r>
          </w:p>
          <w:p>
            <w:pPr>
              <w:pStyle w:val="yTable"/>
              <w:spacing w:before="44"/>
              <w:ind w:left="1701" w:hanging="567"/>
            </w:pPr>
            <w:r>
              <w:t>(ii)</w:t>
            </w:r>
            <w:r>
              <w:tab/>
              <w:t>elsewhere</w:t>
            </w:r>
          </w:p>
        </w:tc>
        <w:tc>
          <w:tcPr>
            <w:tcW w:w="1985" w:type="dxa"/>
          </w:tcPr>
          <w:p>
            <w:pPr>
              <w:pStyle w:val="yTable"/>
              <w:tabs>
                <w:tab w:val="decimal" w:pos="993"/>
              </w:tabs>
              <w:spacing w:before="44"/>
            </w:pPr>
          </w:p>
          <w:p>
            <w:pPr>
              <w:pStyle w:val="yTable"/>
              <w:tabs>
                <w:tab w:val="decimal" w:pos="993"/>
              </w:tabs>
              <w:spacing w:before="0"/>
            </w:pPr>
          </w:p>
          <w:p>
            <w:pPr>
              <w:pStyle w:val="yTable"/>
              <w:tabs>
                <w:tab w:val="decimal" w:pos="993"/>
              </w:tabs>
              <w:spacing w:before="44"/>
            </w:pPr>
          </w:p>
          <w:p>
            <w:pPr>
              <w:pStyle w:val="yTable"/>
              <w:tabs>
                <w:tab w:val="decimal" w:pos="993"/>
              </w:tabs>
              <w:spacing w:before="44"/>
            </w:pPr>
            <w:r>
              <w:t>10</w:t>
            </w:r>
          </w:p>
          <w:p>
            <w:pPr>
              <w:pStyle w:val="yTable"/>
              <w:tabs>
                <w:tab w:val="decimal" w:pos="993"/>
              </w:tabs>
              <w:spacing w:before="44"/>
            </w:pPr>
            <w:r>
              <w:t>2</w:t>
            </w:r>
          </w:p>
          <w:p>
            <w:pPr>
              <w:pStyle w:val="yTable"/>
              <w:tabs>
                <w:tab w:val="decimal" w:pos="993"/>
              </w:tabs>
              <w:spacing w:before="44"/>
            </w:pPr>
          </w:p>
          <w:p>
            <w:pPr>
              <w:pStyle w:val="yTable"/>
              <w:tabs>
                <w:tab w:val="decimal" w:pos="993"/>
              </w:tabs>
              <w:spacing w:before="44"/>
            </w:pPr>
            <w:r>
              <w:t>10</w:t>
            </w:r>
          </w:p>
          <w:p>
            <w:pPr>
              <w:pStyle w:val="yTable"/>
              <w:tabs>
                <w:tab w:val="decimal" w:pos="993"/>
              </w:tabs>
              <w:spacing w:before="44"/>
            </w:pPr>
            <w:r>
              <w:t>2</w:t>
            </w:r>
          </w:p>
        </w:tc>
      </w:tr>
      <w:tr>
        <w:tc>
          <w:tcPr>
            <w:tcW w:w="5245" w:type="dxa"/>
          </w:tcPr>
          <w:p>
            <w:pPr>
              <w:pStyle w:val="yTable"/>
              <w:keepNext/>
              <w:spacing w:before="44"/>
              <w:ind w:left="568" w:hanging="568"/>
            </w:pPr>
            <w:r>
              <w:t>3.</w:t>
            </w:r>
            <w:r>
              <w:tab/>
              <w:t>Liquid waste that physically alters the characteristics of naturally occurring waters — </w:t>
            </w:r>
          </w:p>
          <w:p>
            <w:pPr>
              <w:pStyle w:val="yTable"/>
              <w:spacing w:before="44"/>
              <w:ind w:left="1134" w:hanging="567"/>
            </w:pPr>
            <w:r>
              <w:t>(a)</w:t>
            </w:r>
            <w:r>
              <w:tab/>
              <w:t>total suspended solids (for each kilogram discharged per day)</w:t>
            </w:r>
          </w:p>
          <w:p>
            <w:pPr>
              <w:pStyle w:val="yTable"/>
              <w:spacing w:before="44"/>
              <w:ind w:left="1134" w:hanging="567"/>
            </w:pPr>
            <w:r>
              <w:t>(b)</w:t>
            </w:r>
            <w:r>
              <w:tab/>
              <w:t>surfactants (for each kilogram discharged per day)</w:t>
            </w:r>
          </w:p>
        </w:tc>
        <w:tc>
          <w:tcPr>
            <w:tcW w:w="1985" w:type="dxa"/>
          </w:tcPr>
          <w:p>
            <w:pPr>
              <w:pStyle w:val="yTable"/>
              <w:keepNext/>
              <w:tabs>
                <w:tab w:val="decimal" w:pos="993"/>
              </w:tabs>
              <w:spacing w:before="44"/>
            </w:pPr>
          </w:p>
          <w:p>
            <w:pPr>
              <w:pStyle w:val="yTable"/>
              <w:keepNext/>
              <w:tabs>
                <w:tab w:val="decimal" w:pos="993"/>
              </w:tabs>
              <w:spacing w:before="0"/>
            </w:pPr>
          </w:p>
          <w:p>
            <w:pPr>
              <w:pStyle w:val="yTable"/>
              <w:keepNext/>
              <w:tabs>
                <w:tab w:val="decimal" w:pos="993"/>
              </w:tabs>
              <w:spacing w:before="44"/>
            </w:pPr>
            <w:r>
              <w:t>0.5</w:t>
            </w:r>
          </w:p>
          <w:p>
            <w:pPr>
              <w:pStyle w:val="yTable"/>
              <w:keepNext/>
              <w:tabs>
                <w:tab w:val="decimal" w:pos="993"/>
              </w:tabs>
              <w:spacing w:before="0"/>
            </w:pPr>
          </w:p>
          <w:p>
            <w:pPr>
              <w:pStyle w:val="yTable"/>
              <w:keepNext/>
              <w:tabs>
                <w:tab w:val="decimal" w:pos="993"/>
              </w:tabs>
              <w:spacing w:before="44"/>
            </w:pPr>
            <w:r>
              <w:t>10</w:t>
            </w:r>
          </w:p>
        </w:tc>
      </w:tr>
      <w:tr>
        <w:tc>
          <w:tcPr>
            <w:tcW w:w="5245" w:type="dxa"/>
          </w:tcPr>
          <w:p>
            <w:pPr>
              <w:pStyle w:val="yTable"/>
              <w:spacing w:before="44"/>
              <w:ind w:left="1134" w:hanging="567"/>
            </w:pPr>
            <w:r>
              <w:t>(c)</w:t>
            </w:r>
            <w:r>
              <w:tab/>
              <w:t>colour alteration (for each platinum cobalt unit of colour above the ambient colour of the waters in each megalitre discharged per day)</w:t>
            </w:r>
          </w:p>
        </w:tc>
        <w:tc>
          <w:tcPr>
            <w:tcW w:w="1985" w:type="dxa"/>
          </w:tcPr>
          <w:p>
            <w:pPr>
              <w:pStyle w:val="yTable"/>
              <w:tabs>
                <w:tab w:val="decimal" w:pos="993"/>
              </w:tabs>
              <w:spacing w:before="44"/>
            </w:pPr>
            <w:r>
              <w:t>0.05</w:t>
            </w:r>
          </w:p>
        </w:tc>
      </w:tr>
      <w:tr>
        <w:trPr>
          <w:cantSplit/>
        </w:trPr>
        <w:tc>
          <w:tcPr>
            <w:tcW w:w="5245" w:type="dxa"/>
          </w:tcPr>
          <w:p>
            <w:pPr>
              <w:pStyle w:val="yTable"/>
              <w:keepLines/>
              <w:spacing w:before="44"/>
              <w:ind w:left="1134" w:hanging="567"/>
            </w:pPr>
            <w:r>
              <w:t>(d)</w:t>
            </w:r>
            <w:r>
              <w:tab/>
              <w:t>temperature alteration (for each 1°C above the ambient temperature of the waters in each megalitre discharged per day) — </w:t>
            </w:r>
          </w:p>
          <w:p>
            <w:pPr>
              <w:pStyle w:val="yTable"/>
              <w:keepLines/>
              <w:spacing w:before="44"/>
              <w:ind w:left="1701" w:hanging="567"/>
            </w:pPr>
            <w:r>
              <w:t>(i)</w:t>
            </w:r>
            <w:r>
              <w:tab/>
              <w:t>in the sea south of the Tropic of Capricorn</w:t>
            </w:r>
          </w:p>
          <w:p>
            <w:pPr>
              <w:pStyle w:val="yTable"/>
              <w:keepLines/>
              <w:spacing w:before="44"/>
              <w:ind w:left="1701" w:hanging="567"/>
            </w:pPr>
            <w:r>
              <w:t>(ii)</w:t>
            </w:r>
            <w:r>
              <w:tab/>
              <w:t>in other waters</w:t>
            </w:r>
          </w:p>
        </w:tc>
        <w:tc>
          <w:tcPr>
            <w:tcW w:w="1985" w:type="dxa"/>
          </w:tcPr>
          <w:p>
            <w:pPr>
              <w:pStyle w:val="yTable"/>
              <w:keepLines/>
              <w:tabs>
                <w:tab w:val="decimal" w:pos="993"/>
              </w:tabs>
              <w:spacing w:before="44"/>
            </w:pPr>
          </w:p>
          <w:p>
            <w:pPr>
              <w:pStyle w:val="yTable"/>
              <w:keepLines/>
              <w:tabs>
                <w:tab w:val="decimal" w:pos="993"/>
              </w:tabs>
              <w:spacing w:before="0"/>
            </w:pPr>
          </w:p>
          <w:p>
            <w:pPr>
              <w:pStyle w:val="yTable"/>
              <w:keepLines/>
              <w:tabs>
                <w:tab w:val="decimal" w:pos="993"/>
              </w:tabs>
              <w:spacing w:before="0"/>
            </w:pPr>
          </w:p>
          <w:p>
            <w:pPr>
              <w:pStyle w:val="yTable"/>
              <w:keepLines/>
              <w:tabs>
                <w:tab w:val="decimal" w:pos="993"/>
              </w:tabs>
              <w:spacing w:before="44"/>
            </w:pPr>
            <w:r>
              <w:t>0.05</w:t>
            </w:r>
          </w:p>
          <w:p>
            <w:pPr>
              <w:pStyle w:val="yTable"/>
              <w:keepLines/>
              <w:tabs>
                <w:tab w:val="decimal" w:pos="993"/>
              </w:tabs>
              <w:spacing w:before="0"/>
            </w:pPr>
          </w:p>
          <w:p>
            <w:pPr>
              <w:pStyle w:val="yTable"/>
              <w:keepLines/>
              <w:tabs>
                <w:tab w:val="decimal" w:pos="993"/>
              </w:tabs>
              <w:spacing w:before="44"/>
            </w:pPr>
            <w:r>
              <w:t>0.25</w:t>
            </w:r>
          </w:p>
        </w:tc>
      </w:tr>
      <w:tr>
        <w:tc>
          <w:tcPr>
            <w:tcW w:w="5245" w:type="dxa"/>
          </w:tcPr>
          <w:p>
            <w:pPr>
              <w:pStyle w:val="yTable"/>
              <w:keepNext/>
              <w:spacing w:before="44"/>
              <w:ind w:left="567" w:hanging="567"/>
            </w:pPr>
            <w:r>
              <w:t>4.</w:t>
            </w:r>
            <w:r>
              <w:tab/>
              <w:t>Waste that can potentially accumulate in the environment or living tissue (for each kilogram discharged per day) — </w:t>
            </w:r>
          </w:p>
          <w:p>
            <w:pPr>
              <w:pStyle w:val="yTable"/>
              <w:spacing w:before="44"/>
              <w:ind w:left="1135" w:hanging="567"/>
            </w:pPr>
            <w:r>
              <w:t>(a)</w:t>
            </w:r>
            <w:r>
              <w:tab/>
              <w:t>aluminium, arsenic, cadmium, chromium, cobalt, copper, lead, mercury, molybdenum, nickel, vanadium and zinc</w:t>
            </w:r>
          </w:p>
          <w:p>
            <w:pPr>
              <w:pStyle w:val="yTable"/>
              <w:spacing w:before="44"/>
              <w:ind w:left="1135" w:hanging="567"/>
            </w:pPr>
            <w:r>
              <w:t>(b)</w:t>
            </w:r>
            <w:r>
              <w:tab/>
              <w:t>pesticides</w:t>
            </w:r>
          </w:p>
          <w:p>
            <w:pPr>
              <w:pStyle w:val="yTable"/>
              <w:ind w:left="1134" w:hanging="567"/>
            </w:pPr>
            <w:r>
              <w:t>(c)</w:t>
            </w:r>
            <w:r>
              <w:tab/>
              <w:t>fish tainting wastes</w:t>
            </w:r>
          </w:p>
          <w:p>
            <w:pPr>
              <w:pStyle w:val="yTable"/>
              <w:ind w:left="1134" w:hanging="567"/>
            </w:pPr>
            <w:r>
              <w:t>(d)</w:t>
            </w:r>
            <w:r>
              <w:tab/>
              <w:t>manganese</w:t>
            </w:r>
          </w:p>
        </w:tc>
        <w:tc>
          <w:tcPr>
            <w:tcW w:w="1985" w:type="dxa"/>
          </w:tcPr>
          <w:p>
            <w:pPr>
              <w:pStyle w:val="yTable"/>
              <w:tabs>
                <w:tab w:val="decimal" w:pos="993"/>
              </w:tabs>
              <w:spacing w:before="44"/>
            </w:pPr>
          </w:p>
          <w:p>
            <w:pPr>
              <w:pStyle w:val="yTable"/>
              <w:tabs>
                <w:tab w:val="decimal" w:pos="993"/>
              </w:tabs>
              <w:spacing w:before="0"/>
            </w:pPr>
          </w:p>
          <w:p>
            <w:pPr>
              <w:pStyle w:val="yTable"/>
              <w:tabs>
                <w:tab w:val="decimal" w:pos="993"/>
              </w:tabs>
              <w:spacing w:before="0"/>
            </w:pPr>
          </w:p>
          <w:p>
            <w:pPr>
              <w:pStyle w:val="yTable"/>
              <w:tabs>
                <w:tab w:val="decimal" w:pos="993"/>
              </w:tabs>
              <w:spacing w:before="44"/>
            </w:pPr>
            <w:r>
              <w:t>100</w:t>
            </w:r>
          </w:p>
          <w:p>
            <w:pPr>
              <w:pStyle w:val="yTable"/>
              <w:tabs>
                <w:tab w:val="decimal" w:pos="993"/>
              </w:tabs>
              <w:spacing w:before="0"/>
            </w:pPr>
          </w:p>
          <w:p>
            <w:pPr>
              <w:pStyle w:val="yTable"/>
              <w:tabs>
                <w:tab w:val="decimal" w:pos="993"/>
              </w:tabs>
              <w:spacing w:before="0"/>
            </w:pPr>
          </w:p>
          <w:p>
            <w:pPr>
              <w:pStyle w:val="yTable"/>
              <w:tabs>
                <w:tab w:val="decimal" w:pos="993"/>
              </w:tabs>
              <w:spacing w:before="44"/>
            </w:pPr>
            <w:r>
              <w:t>100</w:t>
            </w:r>
          </w:p>
          <w:p>
            <w:pPr>
              <w:pStyle w:val="yTable"/>
              <w:tabs>
                <w:tab w:val="decimal" w:pos="993"/>
              </w:tabs>
            </w:pPr>
            <w:r>
              <w:t>100</w:t>
            </w:r>
          </w:p>
          <w:p>
            <w:pPr>
              <w:pStyle w:val="yTable"/>
              <w:tabs>
                <w:tab w:val="decimal" w:pos="993"/>
              </w:tabs>
            </w:pPr>
            <w:r>
              <w:t>10</w:t>
            </w:r>
          </w:p>
        </w:tc>
      </w:tr>
      <w:tr>
        <w:tc>
          <w:tcPr>
            <w:tcW w:w="5245" w:type="dxa"/>
          </w:tcPr>
          <w:p>
            <w:pPr>
              <w:pStyle w:val="yTable"/>
              <w:ind w:left="568" w:hanging="568"/>
            </w:pPr>
            <w:r>
              <w:t>5.</w:t>
            </w:r>
            <w:r>
              <w:rPr>
                <w:i/>
              </w:rPr>
              <w:tab/>
              <w:t>E coli</w:t>
            </w:r>
            <w:r>
              <w:t xml:space="preserve"> bacteria as indicator species (in each megalitre discharged per day) — </w:t>
            </w:r>
          </w:p>
          <w:p>
            <w:pPr>
              <w:pStyle w:val="yTable"/>
              <w:ind w:left="1135" w:hanging="567"/>
            </w:pPr>
            <w:r>
              <w:t>(a)</w:t>
            </w:r>
            <w:r>
              <w:tab/>
              <w:t>1 000 to 5 000 organisms per 100 ml</w:t>
            </w:r>
          </w:p>
          <w:p>
            <w:pPr>
              <w:pStyle w:val="yTable"/>
              <w:ind w:left="1135" w:hanging="567"/>
            </w:pPr>
            <w:r>
              <w:t>(b)</w:t>
            </w:r>
            <w:r>
              <w:tab/>
              <w:t>5 000 to 20 000 organisms per 100 ml</w:t>
            </w:r>
          </w:p>
          <w:p>
            <w:pPr>
              <w:pStyle w:val="yTable"/>
              <w:ind w:left="1135" w:hanging="567"/>
            </w:pPr>
            <w:r>
              <w:t>(c)</w:t>
            </w:r>
            <w:r>
              <w:tab/>
              <w:t>more than 20 000 organisms per 100 ml</w:t>
            </w:r>
          </w:p>
        </w:tc>
        <w:tc>
          <w:tcPr>
            <w:tcW w:w="1985" w:type="dxa"/>
          </w:tcPr>
          <w:p>
            <w:pPr>
              <w:pStyle w:val="yTable"/>
              <w:tabs>
                <w:tab w:val="decimal" w:pos="993"/>
              </w:tabs>
            </w:pPr>
          </w:p>
          <w:p>
            <w:pPr>
              <w:pStyle w:val="yTable"/>
              <w:tabs>
                <w:tab w:val="decimal" w:pos="993"/>
              </w:tabs>
              <w:spacing w:before="0"/>
            </w:pPr>
          </w:p>
          <w:p>
            <w:pPr>
              <w:pStyle w:val="yTable"/>
              <w:tabs>
                <w:tab w:val="decimal" w:pos="993"/>
              </w:tabs>
            </w:pPr>
            <w:r>
              <w:t>5</w:t>
            </w:r>
          </w:p>
          <w:p>
            <w:pPr>
              <w:pStyle w:val="yTable"/>
              <w:tabs>
                <w:tab w:val="decimal" w:pos="993"/>
              </w:tabs>
            </w:pPr>
            <w:r>
              <w:t>10</w:t>
            </w:r>
          </w:p>
          <w:p>
            <w:pPr>
              <w:pStyle w:val="yTable"/>
              <w:tabs>
                <w:tab w:val="decimal" w:pos="993"/>
              </w:tabs>
            </w:pPr>
            <w:r>
              <w:t>15</w:t>
            </w:r>
          </w:p>
        </w:tc>
      </w:tr>
      <w:tr>
        <w:tc>
          <w:tcPr>
            <w:tcW w:w="5245" w:type="dxa"/>
          </w:tcPr>
          <w:p>
            <w:pPr>
              <w:pStyle w:val="yTable"/>
              <w:ind w:left="568" w:hanging="568"/>
            </w:pPr>
            <w:r>
              <w:t>6.</w:t>
            </w:r>
            <w:r>
              <w:tab/>
              <w:t>Other waste (per kilogram discharged per day) —</w:t>
            </w:r>
          </w:p>
          <w:p>
            <w:pPr>
              <w:pStyle w:val="yTable"/>
              <w:ind w:left="1135" w:hanging="567"/>
            </w:pPr>
            <w:r>
              <w:t>(a)</w:t>
            </w:r>
            <w:r>
              <w:tab/>
              <w:t>oil and grease</w:t>
            </w:r>
          </w:p>
          <w:p>
            <w:pPr>
              <w:pStyle w:val="yTable"/>
              <w:ind w:left="1135" w:hanging="567"/>
            </w:pPr>
            <w:r>
              <w:t>(b)</w:t>
            </w:r>
            <w:r>
              <w:tab/>
              <w:t>total dissolved solids</w:t>
            </w:r>
          </w:p>
          <w:p>
            <w:pPr>
              <w:pStyle w:val="yTable"/>
              <w:ind w:left="1135" w:hanging="567"/>
            </w:pPr>
            <w:r>
              <w:t>(c)</w:t>
            </w:r>
            <w:r>
              <w:tab/>
              <w:t>fluoride</w:t>
            </w:r>
          </w:p>
          <w:p>
            <w:pPr>
              <w:pStyle w:val="yTable"/>
              <w:ind w:left="1135" w:hanging="567"/>
            </w:pPr>
            <w:r>
              <w:t>(d)</w:t>
            </w:r>
            <w:r>
              <w:tab/>
              <w:t>iron</w:t>
            </w:r>
          </w:p>
          <w:p>
            <w:pPr>
              <w:pStyle w:val="yTable"/>
              <w:ind w:left="1135" w:hanging="567"/>
            </w:pPr>
            <w:r>
              <w:t>(e)</w:t>
            </w:r>
            <w:r>
              <w:tab/>
              <w:t>total residual chlorine</w:t>
            </w:r>
          </w:p>
          <w:p>
            <w:pPr>
              <w:pStyle w:val="yTable"/>
              <w:ind w:left="1135" w:hanging="567"/>
            </w:pPr>
            <w:r>
              <w:t>(f)</w:t>
            </w:r>
            <w:r>
              <w:tab/>
              <w:t>other</w:t>
            </w:r>
          </w:p>
        </w:tc>
        <w:tc>
          <w:tcPr>
            <w:tcW w:w="1985" w:type="dxa"/>
          </w:tcPr>
          <w:p>
            <w:pPr>
              <w:pStyle w:val="yTable"/>
              <w:tabs>
                <w:tab w:val="decimal" w:pos="993"/>
              </w:tabs>
            </w:pPr>
          </w:p>
          <w:p>
            <w:pPr>
              <w:pStyle w:val="yTable"/>
              <w:tabs>
                <w:tab w:val="decimal" w:pos="993"/>
              </w:tabs>
            </w:pPr>
            <w:r>
              <w:t>0.05</w:t>
            </w:r>
          </w:p>
          <w:p>
            <w:pPr>
              <w:pStyle w:val="yTable"/>
              <w:tabs>
                <w:tab w:val="decimal" w:pos="993"/>
              </w:tabs>
            </w:pPr>
            <w:r>
              <w:t>0.05</w:t>
            </w:r>
          </w:p>
          <w:p>
            <w:pPr>
              <w:pStyle w:val="yTable"/>
              <w:tabs>
                <w:tab w:val="decimal" w:pos="993"/>
              </w:tabs>
            </w:pPr>
            <w:r>
              <w:t>1</w:t>
            </w:r>
          </w:p>
          <w:p>
            <w:pPr>
              <w:pStyle w:val="yTable"/>
              <w:tabs>
                <w:tab w:val="decimal" w:pos="993"/>
              </w:tabs>
            </w:pPr>
            <w:r>
              <w:t>1</w:t>
            </w:r>
          </w:p>
          <w:p>
            <w:pPr>
              <w:pStyle w:val="yTable"/>
              <w:tabs>
                <w:tab w:val="decimal" w:pos="993"/>
              </w:tabs>
            </w:pPr>
            <w:r>
              <w:t>10</w:t>
            </w:r>
          </w:p>
          <w:p>
            <w:pPr>
              <w:pStyle w:val="yTable"/>
              <w:tabs>
                <w:tab w:val="decimal" w:pos="993"/>
              </w:tabs>
            </w:pPr>
            <w:r>
              <w:t>1</w:t>
            </w:r>
          </w:p>
        </w:tc>
      </w:tr>
    </w:tbl>
    <w:p>
      <w:pPr>
        <w:pStyle w:val="yFootnotesection"/>
      </w:pPr>
      <w:r>
        <w:tab/>
        <w:t>[Part 3 inserted in Gazette 13 Sep 1996 p. 4565</w:t>
      </w:r>
      <w:r>
        <w:noBreakHyphen/>
        <w:t xml:space="preserve">7; amended in Gazette 10 Dec 1996 p. 6878; 15 Aug 2000 p. 4718; 29 Sep 2006 p. 4266; 22 Jun 2007 p. 2844.] </w:t>
      </w:r>
    </w:p>
    <w:p>
      <w:pPr>
        <w:pStyle w:val="yScheduleHeading"/>
      </w:pPr>
      <w:bookmarkStart w:id="1320" w:name="_Toc12952252"/>
      <w:bookmarkStart w:id="1321" w:name="_Toc94331088"/>
      <w:bookmarkStart w:id="1322" w:name="_Toc122159481"/>
      <w:bookmarkStart w:id="1323" w:name="_Toc122232980"/>
      <w:bookmarkStart w:id="1324" w:name="_Toc147220617"/>
      <w:bookmarkStart w:id="1325" w:name="_Toc147223968"/>
      <w:bookmarkStart w:id="1326" w:name="_Toc165445003"/>
      <w:bookmarkStart w:id="1327" w:name="_Toc170557783"/>
      <w:bookmarkStart w:id="1328" w:name="_Toc170795174"/>
      <w:bookmarkStart w:id="1329" w:name="_Toc172709279"/>
      <w:bookmarkStart w:id="1330" w:name="_Toc172964763"/>
      <w:bookmarkStart w:id="1331" w:name="_Toc174158480"/>
      <w:bookmarkStart w:id="1332" w:name="_Toc174359033"/>
      <w:bookmarkStart w:id="1333" w:name="_Toc174518624"/>
      <w:bookmarkStart w:id="1334" w:name="_Toc176170569"/>
      <w:bookmarkStart w:id="1335" w:name="_Toc181431128"/>
      <w:bookmarkStart w:id="1336" w:name="_Toc181497584"/>
      <w:bookmarkStart w:id="1337" w:name="_Toc202254251"/>
      <w:bookmarkStart w:id="1338" w:name="_Toc267572166"/>
      <w:bookmarkStart w:id="1339" w:name="_Toc281461075"/>
      <w:bookmarkStart w:id="1340" w:name="_Toc318383393"/>
      <w:bookmarkStart w:id="1341" w:name="_Toc318383513"/>
      <w:bookmarkStart w:id="1342" w:name="_Toc324153628"/>
      <w:r>
        <w:rPr>
          <w:rStyle w:val="CharSchNo"/>
        </w:rPr>
        <w:t>Schedule 5</w:t>
      </w:r>
      <w:r>
        <w:t xml:space="preserve"> — </w:t>
      </w:r>
      <w:smartTag w:uri="urn:schemas-microsoft-com:office:smarttags" w:element="place">
        <w:smartTag w:uri="urn:schemas-microsoft-com:office:smarttags" w:element="City">
          <w:r>
            <w:rPr>
              <w:rStyle w:val="CharSchText"/>
            </w:rPr>
            <w:t>Tyre</w:t>
          </w:r>
        </w:smartTag>
      </w:smartTag>
      <w:r>
        <w:rPr>
          <w:rStyle w:val="CharSchText"/>
        </w:rPr>
        <w:t xml:space="preserve"> landfill exclusion zone</w:t>
      </w:r>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p>
    <w:p>
      <w:pPr>
        <w:pStyle w:val="yShoulderClause"/>
        <w:rPr>
          <w:snapToGrid w:val="0"/>
        </w:rPr>
      </w:pPr>
      <w:r>
        <w:rPr>
          <w:snapToGrid w:val="0"/>
        </w:rPr>
        <w:t>[r. 11(1)]</w:t>
      </w:r>
    </w:p>
    <w:p>
      <w:pPr>
        <w:pStyle w:val="yFootnoteheading"/>
      </w:pPr>
      <w:bookmarkStart w:id="1343" w:name="_Toc172709280"/>
      <w:r>
        <w:tab/>
        <w:t>[Heading inserted in Gazette 10 Dec 1996 p. 6879.]</w:t>
      </w:r>
    </w:p>
    <w:p>
      <w:pPr>
        <w:pStyle w:val="yHeading2"/>
      </w:pPr>
      <w:bookmarkStart w:id="1344" w:name="_Toc172964764"/>
      <w:bookmarkStart w:id="1345" w:name="_Toc174158481"/>
      <w:bookmarkStart w:id="1346" w:name="_Toc174359034"/>
      <w:bookmarkStart w:id="1347" w:name="_Toc174518625"/>
      <w:bookmarkStart w:id="1348" w:name="_Toc176170570"/>
      <w:bookmarkStart w:id="1349" w:name="_Toc181431129"/>
      <w:bookmarkStart w:id="1350" w:name="_Toc181497585"/>
      <w:bookmarkStart w:id="1351" w:name="_Toc202254252"/>
      <w:bookmarkStart w:id="1352" w:name="_Toc267572167"/>
      <w:bookmarkStart w:id="1353" w:name="_Toc281461076"/>
      <w:bookmarkStart w:id="1354" w:name="_Toc318383394"/>
      <w:bookmarkStart w:id="1355" w:name="_Toc318383514"/>
      <w:bookmarkStart w:id="1356" w:name="_Toc324153629"/>
      <w:r>
        <w:rPr>
          <w:rStyle w:val="CharSDivNo"/>
          <w:sz w:val="28"/>
        </w:rPr>
        <w:t>Part 1</w:t>
      </w:r>
      <w:r>
        <w:t> — </w:t>
      </w:r>
      <w:r>
        <w:rPr>
          <w:rStyle w:val="CharSDivText"/>
          <w:sz w:val="28"/>
        </w:rPr>
        <w:t>Metropolitan</w:t>
      </w:r>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p>
    <w:tbl>
      <w:tblPr>
        <w:tblW w:w="0" w:type="auto"/>
        <w:tblInd w:w="360" w:type="dxa"/>
        <w:tblLayout w:type="fixed"/>
        <w:tblCellMar>
          <w:left w:w="360" w:type="dxa"/>
          <w:right w:w="360" w:type="dxa"/>
        </w:tblCellMar>
        <w:tblLook w:val="0000" w:firstRow="0" w:lastRow="0" w:firstColumn="0" w:lastColumn="0" w:noHBand="0" w:noVBand="0"/>
      </w:tblPr>
      <w:tblGrid>
        <w:gridCol w:w="2552"/>
        <w:gridCol w:w="2551"/>
        <w:gridCol w:w="2127"/>
      </w:tblGrid>
      <w:tr>
        <w:tc>
          <w:tcPr>
            <w:tcW w:w="2552" w:type="dxa"/>
          </w:tcPr>
          <w:p>
            <w:pPr>
              <w:pStyle w:val="yTable"/>
            </w:pPr>
            <w:r>
              <w:t>Armadale</w:t>
            </w:r>
          </w:p>
          <w:p>
            <w:pPr>
              <w:pStyle w:val="yTable"/>
            </w:pPr>
            <w:r>
              <w:t>Bassendean</w:t>
            </w:r>
          </w:p>
          <w:p>
            <w:pPr>
              <w:pStyle w:val="yTable"/>
            </w:pPr>
            <w:r>
              <w:t>Bayswater</w:t>
            </w:r>
          </w:p>
          <w:p>
            <w:pPr>
              <w:pStyle w:val="yTable"/>
            </w:pPr>
            <w:smartTag w:uri="urn:schemas-microsoft-com:office:smarttags" w:element="place">
              <w:smartTag w:uri="urn:schemas-microsoft-com:office:smarttags" w:element="City">
                <w:r>
                  <w:t>Belmont</w:t>
                </w:r>
              </w:smartTag>
            </w:smartTag>
          </w:p>
          <w:p>
            <w:pPr>
              <w:pStyle w:val="yTable"/>
            </w:pPr>
            <w:smartTag w:uri="urn:schemas-microsoft-com:office:smarttags" w:element="place">
              <w:smartTag w:uri="urn:schemas-microsoft-com:office:smarttags" w:element="City">
                <w:r>
                  <w:t>Cambridge</w:t>
                </w:r>
              </w:smartTag>
            </w:smartTag>
          </w:p>
          <w:p>
            <w:pPr>
              <w:pStyle w:val="yTable"/>
            </w:pPr>
            <w:r>
              <w:t>Canning</w:t>
            </w:r>
          </w:p>
          <w:p>
            <w:pPr>
              <w:pStyle w:val="yTable"/>
            </w:pPr>
            <w:smartTag w:uri="urn:schemas-microsoft-com:office:smarttags" w:element="place">
              <w:smartTag w:uri="urn:schemas-microsoft-com:office:smarttags" w:element="City">
                <w:r>
                  <w:t>Claremont</w:t>
                </w:r>
              </w:smartTag>
            </w:smartTag>
          </w:p>
          <w:p>
            <w:pPr>
              <w:pStyle w:val="yTable"/>
            </w:pPr>
            <w:r>
              <w:t>Cockburn</w:t>
            </w:r>
          </w:p>
          <w:p>
            <w:pPr>
              <w:pStyle w:val="yTable"/>
            </w:pPr>
            <w:r>
              <w:t>Cottesloe</w:t>
            </w:r>
          </w:p>
          <w:p>
            <w:pPr>
              <w:pStyle w:val="yTable"/>
            </w:pPr>
            <w:smartTag w:uri="urn:schemas-microsoft-com:office:smarttags" w:element="place">
              <w:r>
                <w:t>East Fremantle</w:t>
              </w:r>
            </w:smartTag>
          </w:p>
        </w:tc>
        <w:tc>
          <w:tcPr>
            <w:tcW w:w="2551" w:type="dxa"/>
          </w:tcPr>
          <w:p>
            <w:pPr>
              <w:pStyle w:val="yTable"/>
            </w:pPr>
            <w:r>
              <w:t>Fremantle</w:t>
            </w:r>
          </w:p>
          <w:p>
            <w:pPr>
              <w:pStyle w:val="yTable"/>
            </w:pPr>
            <w:r>
              <w:t>Gosnells</w:t>
            </w:r>
          </w:p>
          <w:p>
            <w:pPr>
              <w:pStyle w:val="yTable"/>
            </w:pPr>
            <w:r>
              <w:t>Kalamunda</w:t>
            </w:r>
          </w:p>
          <w:p>
            <w:pPr>
              <w:pStyle w:val="yTable"/>
            </w:pPr>
            <w:r>
              <w:t>Kwinana</w:t>
            </w:r>
          </w:p>
          <w:p>
            <w:pPr>
              <w:pStyle w:val="yTable"/>
            </w:pPr>
            <w:r>
              <w:t>Melville</w:t>
            </w:r>
          </w:p>
          <w:p>
            <w:pPr>
              <w:pStyle w:val="yTable"/>
            </w:pPr>
            <w:smartTag w:uri="urn:schemas-microsoft-com:office:smarttags" w:element="place">
              <w:smartTag w:uri="urn:schemas-microsoft-com:office:smarttags" w:element="PlaceName">
                <w:r>
                  <w:t>Mosman</w:t>
                </w:r>
              </w:smartTag>
              <w:r>
                <w:t xml:space="preserve"> </w:t>
              </w:r>
              <w:smartTag w:uri="urn:schemas-microsoft-com:office:smarttags" w:element="PlaceType">
                <w:r>
                  <w:t>Park</w:t>
                </w:r>
              </w:smartTag>
            </w:smartTag>
          </w:p>
          <w:p>
            <w:pPr>
              <w:pStyle w:val="yTable"/>
            </w:pPr>
            <w:r>
              <w:t>Mundaring</w:t>
            </w:r>
          </w:p>
          <w:p>
            <w:pPr>
              <w:pStyle w:val="yTable"/>
            </w:pPr>
            <w:r>
              <w:t>Nedlands</w:t>
            </w:r>
          </w:p>
          <w:p>
            <w:pPr>
              <w:pStyle w:val="yTable"/>
            </w:pPr>
            <w:r>
              <w:t>Peppermint Grove</w:t>
            </w:r>
          </w:p>
          <w:p>
            <w:pPr>
              <w:pStyle w:val="yTable"/>
            </w:pPr>
            <w:smartTag w:uri="urn:schemas-microsoft-com:office:smarttags" w:element="place">
              <w:smartTag w:uri="urn:schemas-microsoft-com:office:smarttags" w:element="City">
                <w:r>
                  <w:t>Perth</w:t>
                </w:r>
              </w:smartTag>
            </w:smartTag>
          </w:p>
        </w:tc>
        <w:tc>
          <w:tcPr>
            <w:tcW w:w="2127" w:type="dxa"/>
          </w:tcPr>
          <w:p>
            <w:pPr>
              <w:pStyle w:val="yTable"/>
            </w:pPr>
            <w:r>
              <w:t>Rockingham</w:t>
            </w:r>
          </w:p>
          <w:p>
            <w:pPr>
              <w:pStyle w:val="yTable"/>
            </w:pPr>
            <w:r>
              <w:t>Serpentine</w:t>
            </w:r>
            <w:r>
              <w:noBreakHyphen/>
            </w:r>
          </w:p>
          <w:p>
            <w:pPr>
              <w:pStyle w:val="yTable"/>
            </w:pPr>
            <w:r>
              <w:t>Jarrahdale</w:t>
            </w:r>
          </w:p>
          <w:p>
            <w:pPr>
              <w:pStyle w:val="yTable"/>
            </w:pPr>
            <w:smartTag w:uri="urn:schemas-microsoft-com:office:smarttags" w:element="place">
              <w:r>
                <w:t>South Perth</w:t>
              </w:r>
            </w:smartTag>
          </w:p>
          <w:p>
            <w:pPr>
              <w:pStyle w:val="yTable"/>
            </w:pPr>
            <w:smartTag w:uri="urn:schemas-microsoft-com:office:smarttags" w:element="place">
              <w:r>
                <w:t>Stirling</w:t>
              </w:r>
            </w:smartTag>
          </w:p>
          <w:p>
            <w:pPr>
              <w:pStyle w:val="yTable"/>
            </w:pPr>
            <w:r>
              <w:t>Subiaco</w:t>
            </w:r>
          </w:p>
          <w:p>
            <w:pPr>
              <w:pStyle w:val="yTable"/>
            </w:pPr>
            <w:r>
              <w:t>Swan</w:t>
            </w:r>
          </w:p>
          <w:p>
            <w:pPr>
              <w:pStyle w:val="yTable"/>
            </w:pPr>
            <w:r>
              <w:t>Victoria Park</w:t>
            </w:r>
          </w:p>
          <w:p>
            <w:pPr>
              <w:pStyle w:val="yTable"/>
            </w:pPr>
            <w:r>
              <w:t>Vincent</w:t>
            </w:r>
          </w:p>
          <w:p>
            <w:pPr>
              <w:pStyle w:val="yTable"/>
            </w:pPr>
            <w:r>
              <w:t>Wanneroo</w:t>
            </w:r>
          </w:p>
        </w:tc>
      </w:tr>
    </w:tbl>
    <w:p>
      <w:pPr>
        <w:pStyle w:val="yFootnotesection"/>
      </w:pPr>
      <w:r>
        <w:tab/>
        <w:t>[Part 1 inserted in Gazette 10 Dec 1996 p. 6879.]</w:t>
      </w:r>
    </w:p>
    <w:p>
      <w:pPr>
        <w:pStyle w:val="yTable"/>
      </w:pPr>
    </w:p>
    <w:p>
      <w:pPr>
        <w:pStyle w:val="yHeading2"/>
      </w:pPr>
      <w:bookmarkStart w:id="1357" w:name="_Toc172709281"/>
      <w:bookmarkStart w:id="1358" w:name="_Toc172964765"/>
      <w:bookmarkStart w:id="1359" w:name="_Toc174158482"/>
      <w:bookmarkStart w:id="1360" w:name="_Toc174359035"/>
      <w:bookmarkStart w:id="1361" w:name="_Toc174518626"/>
      <w:bookmarkStart w:id="1362" w:name="_Toc176170571"/>
      <w:bookmarkStart w:id="1363" w:name="_Toc181431130"/>
      <w:bookmarkStart w:id="1364" w:name="_Toc181497586"/>
      <w:bookmarkStart w:id="1365" w:name="_Toc202254253"/>
      <w:bookmarkStart w:id="1366" w:name="_Toc267572168"/>
      <w:bookmarkStart w:id="1367" w:name="_Toc281461077"/>
      <w:bookmarkStart w:id="1368" w:name="_Toc318383395"/>
      <w:bookmarkStart w:id="1369" w:name="_Toc318383515"/>
      <w:bookmarkStart w:id="1370" w:name="_Toc324153630"/>
      <w:r>
        <w:rPr>
          <w:rStyle w:val="CharSDivNo"/>
          <w:sz w:val="28"/>
        </w:rPr>
        <w:t>Part 2</w:t>
      </w:r>
      <w:r>
        <w:t> — </w:t>
      </w:r>
      <w:r>
        <w:rPr>
          <w:rStyle w:val="CharSDivText"/>
          <w:sz w:val="28"/>
        </w:rPr>
        <w:t>Country</w:t>
      </w:r>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p>
    <w:tbl>
      <w:tblPr>
        <w:tblW w:w="0" w:type="auto"/>
        <w:tblInd w:w="360" w:type="dxa"/>
        <w:tblLayout w:type="fixed"/>
        <w:tblCellMar>
          <w:left w:w="360" w:type="dxa"/>
          <w:right w:w="360" w:type="dxa"/>
        </w:tblCellMar>
        <w:tblLook w:val="0000" w:firstRow="0" w:lastRow="0" w:firstColumn="0" w:lastColumn="0" w:noHBand="0" w:noVBand="0"/>
      </w:tblPr>
      <w:tblGrid>
        <w:gridCol w:w="2552"/>
        <w:gridCol w:w="2551"/>
        <w:gridCol w:w="2268"/>
      </w:tblGrid>
      <w:tr>
        <w:tc>
          <w:tcPr>
            <w:tcW w:w="2552" w:type="dxa"/>
          </w:tcPr>
          <w:p>
            <w:pPr>
              <w:pStyle w:val="yTable"/>
            </w:pPr>
            <w:r>
              <w:t>Beverley</w:t>
            </w:r>
          </w:p>
          <w:p>
            <w:pPr>
              <w:pStyle w:val="yTable"/>
            </w:pPr>
            <w:r>
              <w:t>Boddington</w:t>
            </w:r>
          </w:p>
          <w:p>
            <w:pPr>
              <w:pStyle w:val="yTable"/>
            </w:pPr>
            <w:r>
              <w:t>Brookton</w:t>
            </w:r>
          </w:p>
          <w:p>
            <w:pPr>
              <w:pStyle w:val="yTable"/>
            </w:pPr>
            <w:r>
              <w:t>Chittering</w:t>
            </w:r>
          </w:p>
        </w:tc>
        <w:tc>
          <w:tcPr>
            <w:tcW w:w="2551" w:type="dxa"/>
          </w:tcPr>
          <w:p>
            <w:pPr>
              <w:pStyle w:val="yTable"/>
            </w:pPr>
            <w:r>
              <w:t>Gingin</w:t>
            </w:r>
          </w:p>
          <w:p>
            <w:pPr>
              <w:pStyle w:val="yTable"/>
            </w:pPr>
            <w:r>
              <w:t>Mandurah</w:t>
            </w:r>
          </w:p>
          <w:p>
            <w:pPr>
              <w:pStyle w:val="yTable"/>
            </w:pPr>
            <w:smartTag w:uri="urn:schemas-microsoft-com:office:smarttags" w:element="place">
              <w:smartTag w:uri="urn:schemas-microsoft-com:office:smarttags" w:element="City">
                <w:r>
                  <w:t>Murray</w:t>
                </w:r>
              </w:smartTag>
            </w:smartTag>
          </w:p>
          <w:p>
            <w:pPr>
              <w:pStyle w:val="yTable"/>
            </w:pPr>
            <w:r>
              <w:t>Northam (Town)</w:t>
            </w:r>
          </w:p>
        </w:tc>
        <w:tc>
          <w:tcPr>
            <w:tcW w:w="2268" w:type="dxa"/>
          </w:tcPr>
          <w:p>
            <w:pPr>
              <w:pStyle w:val="yTable"/>
            </w:pPr>
            <w:r>
              <w:t>Northam (Shire)</w:t>
            </w:r>
          </w:p>
          <w:p>
            <w:pPr>
              <w:pStyle w:val="yTable"/>
            </w:pPr>
            <w:r>
              <w:t>Toodyay</w:t>
            </w:r>
          </w:p>
          <w:p>
            <w:pPr>
              <w:pStyle w:val="yTable"/>
            </w:pPr>
            <w:r>
              <w:t>Wandering</w:t>
            </w:r>
          </w:p>
          <w:p>
            <w:pPr>
              <w:pStyle w:val="yTable"/>
            </w:pPr>
            <w:smartTag w:uri="urn:schemas-microsoft-com:office:smarttags" w:element="place">
              <w:smartTag w:uri="urn:schemas-microsoft-com:office:smarttags" w:element="City">
                <w:r>
                  <w:t>York</w:t>
                </w:r>
              </w:smartTag>
            </w:smartTag>
          </w:p>
        </w:tc>
      </w:tr>
    </w:tbl>
    <w:p>
      <w:pPr>
        <w:pStyle w:val="yFootnotesection"/>
      </w:pPr>
      <w:r>
        <w:tab/>
        <w:t>[Part 2 inserted in Gazette 10 Dec 1996 p. 6879.]</w:t>
      </w:r>
    </w:p>
    <w:p>
      <w:pPr>
        <w:pStyle w:val="yScheduleHeading"/>
        <w:rPr>
          <w:rStyle w:val="CharSchNo"/>
        </w:rPr>
        <w:sectPr>
          <w:headerReference w:type="even" r:id="rId16"/>
          <w:headerReference w:type="default" r:id="rId17"/>
          <w:headerReference w:type="first" r:id="rId18"/>
          <w:pgSz w:w="11906" w:h="16838" w:code="9"/>
          <w:pgMar w:top="2376" w:right="2405" w:bottom="3542" w:left="2405" w:header="706" w:footer="3380" w:gutter="0"/>
          <w:cols w:space="720"/>
          <w:noEndnote/>
          <w:docGrid w:linePitch="326"/>
        </w:sectPr>
      </w:pPr>
      <w:bookmarkStart w:id="1371" w:name="_Toc12952253"/>
      <w:bookmarkStart w:id="1372" w:name="_Toc94331089"/>
      <w:bookmarkStart w:id="1373" w:name="_Toc122159482"/>
      <w:bookmarkStart w:id="1374" w:name="_Toc122232981"/>
      <w:bookmarkStart w:id="1375" w:name="_Toc147220618"/>
      <w:bookmarkStart w:id="1376" w:name="_Toc147223969"/>
      <w:bookmarkStart w:id="1377" w:name="_Toc165445004"/>
      <w:bookmarkStart w:id="1378" w:name="_Toc170557784"/>
      <w:bookmarkStart w:id="1379" w:name="_Toc170795175"/>
    </w:p>
    <w:p>
      <w:pPr>
        <w:pStyle w:val="yScheduleHeading"/>
      </w:pPr>
      <w:bookmarkStart w:id="1380" w:name="_Toc172709282"/>
      <w:bookmarkStart w:id="1381" w:name="_Toc172964766"/>
      <w:bookmarkStart w:id="1382" w:name="_Toc174158483"/>
      <w:bookmarkStart w:id="1383" w:name="_Toc174359036"/>
      <w:bookmarkStart w:id="1384" w:name="_Toc174518627"/>
      <w:bookmarkStart w:id="1385" w:name="_Toc176170572"/>
      <w:bookmarkStart w:id="1386" w:name="_Toc181431131"/>
      <w:bookmarkStart w:id="1387" w:name="_Toc181497587"/>
      <w:bookmarkStart w:id="1388" w:name="_Toc202254254"/>
      <w:bookmarkStart w:id="1389" w:name="_Toc267572169"/>
      <w:bookmarkStart w:id="1390" w:name="_Toc281461078"/>
      <w:bookmarkStart w:id="1391" w:name="_Toc318383396"/>
      <w:bookmarkStart w:id="1392" w:name="_Toc318383516"/>
      <w:bookmarkStart w:id="1393" w:name="_Toc324153631"/>
      <w:r>
        <w:rPr>
          <w:rStyle w:val="CharSchNo"/>
        </w:rPr>
        <w:t>Schedule 5A</w:t>
      </w:r>
      <w:r>
        <w:rPr>
          <w:rStyle w:val="CharSDivNo"/>
        </w:rPr>
        <w:t> </w:t>
      </w:r>
      <w:r>
        <w:t>—</w:t>
      </w:r>
      <w:r>
        <w:rPr>
          <w:rStyle w:val="CharSDivText"/>
        </w:rPr>
        <w:t> </w:t>
      </w:r>
      <w:r>
        <w:rPr>
          <w:rStyle w:val="CharSchText"/>
        </w:rPr>
        <w:t>Areas where burning matter on or from development sites is prohibited</w:t>
      </w:r>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p>
    <w:p>
      <w:pPr>
        <w:pStyle w:val="yShoulderClause"/>
      </w:pPr>
      <w:r>
        <w:t>[r. 16B]</w:t>
      </w:r>
    </w:p>
    <w:p>
      <w:pPr>
        <w:pStyle w:val="yFootnoteheading"/>
      </w:pPr>
      <w:bookmarkStart w:id="1394" w:name="_Toc503260629"/>
      <w:bookmarkStart w:id="1395" w:name="_Toc505661487"/>
      <w:bookmarkStart w:id="1396" w:name="_Toc12076732"/>
      <w:bookmarkStart w:id="1397" w:name="_Toc12952254"/>
      <w:bookmarkStart w:id="1398" w:name="_Toc122232982"/>
      <w:r>
        <w:tab/>
        <w:t>[Heading inserted in Gazette 19 Dec 2000 p. 7284.]</w:t>
      </w:r>
    </w:p>
    <w:p>
      <w:pPr>
        <w:pStyle w:val="yHeading5"/>
      </w:pPr>
      <w:bookmarkStart w:id="1399" w:name="_Toc324153632"/>
      <w:bookmarkStart w:id="1400" w:name="_Toc318383517"/>
      <w:r>
        <w:rPr>
          <w:rStyle w:val="CharSClsNo"/>
        </w:rPr>
        <w:t>1</w:t>
      </w:r>
      <w:r>
        <w:t>.</w:t>
      </w:r>
      <w:r>
        <w:tab/>
      </w:r>
      <w:smartTag w:uri="urn:schemas-microsoft-com:office:smarttags" w:element="place">
        <w:smartTag w:uri="urn:schemas-microsoft-com:office:smarttags" w:element="City">
          <w:r>
            <w:t>Perth</w:t>
          </w:r>
        </w:smartTag>
      </w:smartTag>
      <w:r>
        <w:t xml:space="preserve"> metropolitan area</w:t>
      </w:r>
      <w:bookmarkEnd w:id="1394"/>
      <w:bookmarkEnd w:id="1395"/>
      <w:bookmarkEnd w:id="1396"/>
      <w:bookmarkEnd w:id="1397"/>
      <w:bookmarkEnd w:id="1398"/>
      <w:bookmarkEnd w:id="1399"/>
      <w:bookmarkEnd w:id="1400"/>
    </w:p>
    <w:p>
      <w:pPr>
        <w:pStyle w:val="ySubsection"/>
      </w:pPr>
      <w:r>
        <w:tab/>
      </w:r>
      <w:r>
        <w:tab/>
        <w:t xml:space="preserve">The area comprising the area bound by the coastline and the local government district boundaries of the City of </w:t>
      </w:r>
      <w:smartTag w:uri="urn:schemas-microsoft-com:office:smarttags" w:element="City">
        <w:r>
          <w:t>Wanneroo</w:t>
        </w:r>
      </w:smartTag>
      <w:r>
        <w:t xml:space="preserve">, the City of </w:t>
      </w:r>
      <w:smartTag w:uri="urn:schemas-microsoft-com:office:smarttags" w:element="City">
        <w:r>
          <w:t>Swan</w:t>
        </w:r>
      </w:smartTag>
      <w:r>
        <w:t xml:space="preserve">, the Shire of Mundaring, the Shire of Kalamunda, the City of </w:t>
      </w:r>
      <w:smartTag w:uri="urn:schemas-microsoft-com:office:smarttags" w:element="City">
        <w:r>
          <w:t>Armadale</w:t>
        </w:r>
      </w:smartTag>
      <w:r>
        <w:t>, the Shire of Serpentine</w:t>
      </w:r>
      <w:r>
        <w:noBreakHyphen/>
        <w:t xml:space="preserve">Jarrahdale and the City of </w:t>
      </w:r>
      <w:smartTag w:uri="urn:schemas-microsoft-com:office:smarttags" w:element="place">
        <w:smartTag w:uri="urn:schemas-microsoft-com:office:smarttags" w:element="City">
          <w:r>
            <w:t>Rockingham</w:t>
          </w:r>
        </w:smartTag>
      </w:smartTag>
      <w:r>
        <w:t>.</w:t>
      </w:r>
    </w:p>
    <w:p>
      <w:pPr>
        <w:pStyle w:val="yFootnotesection"/>
      </w:pPr>
      <w:bookmarkStart w:id="1401" w:name="_Toc503260630"/>
      <w:bookmarkStart w:id="1402" w:name="_Toc505661488"/>
      <w:bookmarkStart w:id="1403" w:name="_Toc12076733"/>
      <w:bookmarkStart w:id="1404" w:name="_Toc12952255"/>
      <w:bookmarkStart w:id="1405" w:name="_Toc122232983"/>
      <w:r>
        <w:tab/>
        <w:t>[Clause 1 inserted in Gazette 19 Dec 2000 p. 7284.]</w:t>
      </w:r>
    </w:p>
    <w:p>
      <w:pPr>
        <w:pStyle w:val="yHeading5"/>
      </w:pPr>
      <w:bookmarkStart w:id="1406" w:name="_Toc324153633"/>
      <w:bookmarkStart w:id="1407" w:name="_Toc318383518"/>
      <w:r>
        <w:rPr>
          <w:rStyle w:val="CharSClsNo"/>
        </w:rPr>
        <w:t>2</w:t>
      </w:r>
      <w:r>
        <w:t>.</w:t>
      </w:r>
      <w:r>
        <w:tab/>
        <w:t>Mandurah area</w:t>
      </w:r>
      <w:bookmarkEnd w:id="1401"/>
      <w:bookmarkEnd w:id="1402"/>
      <w:bookmarkEnd w:id="1403"/>
      <w:bookmarkEnd w:id="1404"/>
      <w:bookmarkEnd w:id="1405"/>
      <w:bookmarkEnd w:id="1406"/>
      <w:bookmarkEnd w:id="1407"/>
    </w:p>
    <w:p>
      <w:pPr>
        <w:pStyle w:val="ySubsection"/>
      </w:pPr>
      <w:r>
        <w:tab/>
      </w:r>
      <w:r>
        <w:tab/>
        <w:t xml:space="preserve">The area comprising the local government district of the City of </w:t>
      </w:r>
      <w:smartTag w:uri="urn:schemas-microsoft-com:office:smarttags" w:element="place">
        <w:smartTag w:uri="urn:schemas-microsoft-com:office:smarttags" w:element="City">
          <w:r>
            <w:t>Mandurah</w:t>
          </w:r>
        </w:smartTag>
      </w:smartTag>
      <w:r>
        <w:t>.</w:t>
      </w:r>
    </w:p>
    <w:p>
      <w:pPr>
        <w:pStyle w:val="yFootnotesection"/>
      </w:pPr>
      <w:r>
        <w:tab/>
        <w:t>[Clause 2 inserted in Gazette 19 Dec 2000 p. 7284.]</w:t>
      </w:r>
    </w:p>
    <w:p>
      <w:pPr>
        <w:pStyle w:val="yScheduleHeading"/>
        <w:rPr>
          <w:rStyle w:val="CharSchNo"/>
        </w:rPr>
        <w:sectPr>
          <w:headerReference w:type="even" r:id="rId19"/>
          <w:headerReference w:type="default" r:id="rId20"/>
          <w:pgSz w:w="11906" w:h="16838" w:code="9"/>
          <w:pgMar w:top="2376" w:right="2405" w:bottom="3542" w:left="2405" w:header="706" w:footer="3380" w:gutter="0"/>
          <w:cols w:space="720"/>
          <w:noEndnote/>
          <w:docGrid w:linePitch="326"/>
        </w:sectPr>
      </w:pPr>
      <w:bookmarkStart w:id="1408" w:name="_Toc12952256"/>
      <w:bookmarkStart w:id="1409" w:name="_Toc94331092"/>
      <w:bookmarkStart w:id="1410" w:name="_Toc122159485"/>
      <w:bookmarkStart w:id="1411" w:name="_Toc122232984"/>
      <w:bookmarkStart w:id="1412" w:name="_Toc147220621"/>
      <w:bookmarkStart w:id="1413" w:name="_Toc147223972"/>
      <w:bookmarkStart w:id="1414" w:name="_Toc165445007"/>
      <w:bookmarkStart w:id="1415" w:name="_Toc170557787"/>
      <w:bookmarkStart w:id="1416" w:name="_Toc170795178"/>
    </w:p>
    <w:p>
      <w:pPr>
        <w:pStyle w:val="yScheduleHeading"/>
      </w:pPr>
      <w:bookmarkStart w:id="1417" w:name="_Toc172709285"/>
      <w:bookmarkStart w:id="1418" w:name="_Toc172964769"/>
      <w:bookmarkStart w:id="1419" w:name="_Toc174158486"/>
      <w:bookmarkStart w:id="1420" w:name="_Toc174359039"/>
      <w:bookmarkStart w:id="1421" w:name="_Toc174518630"/>
      <w:bookmarkStart w:id="1422" w:name="_Toc176170575"/>
      <w:bookmarkStart w:id="1423" w:name="_Toc181431134"/>
      <w:bookmarkStart w:id="1424" w:name="_Toc181497590"/>
      <w:bookmarkStart w:id="1425" w:name="_Toc202254257"/>
      <w:bookmarkStart w:id="1426" w:name="_Toc267572172"/>
      <w:bookmarkStart w:id="1427" w:name="_Toc281461081"/>
      <w:bookmarkStart w:id="1428" w:name="_Toc318383399"/>
      <w:bookmarkStart w:id="1429" w:name="_Toc318383519"/>
      <w:bookmarkStart w:id="1430" w:name="_Toc324153634"/>
      <w:r>
        <w:rPr>
          <w:rStyle w:val="CharSchNo"/>
        </w:rPr>
        <w:t>Schedule 6</w:t>
      </w:r>
      <w:r>
        <w:t xml:space="preserve"> — </w:t>
      </w:r>
      <w:r>
        <w:rPr>
          <w:rStyle w:val="CharSchText"/>
        </w:rPr>
        <w:t>Infringement notice offences</w:t>
      </w:r>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p>
    <w:p>
      <w:pPr>
        <w:pStyle w:val="yShoulderClause"/>
        <w:spacing w:after="120"/>
      </w:pPr>
      <w:r>
        <w:t>[r. 41]</w:t>
      </w:r>
    </w:p>
    <w:tbl>
      <w:tblPr>
        <w:tblW w:w="7237" w:type="dxa"/>
        <w:tblInd w:w="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5" w:type="dxa"/>
          <w:right w:w="85" w:type="dxa"/>
        </w:tblCellMar>
        <w:tblLook w:val="0000" w:firstRow="0" w:lastRow="0" w:firstColumn="0" w:lastColumn="0" w:noHBand="0" w:noVBand="0"/>
      </w:tblPr>
      <w:tblGrid>
        <w:gridCol w:w="2953"/>
        <w:gridCol w:w="24"/>
        <w:gridCol w:w="1824"/>
        <w:gridCol w:w="19"/>
        <w:gridCol w:w="2410"/>
        <w:gridCol w:w="7"/>
      </w:tblGrid>
      <w:tr>
        <w:trPr>
          <w:gridAfter w:val="1"/>
          <w:wAfter w:w="7" w:type="dxa"/>
          <w:tblHeader/>
        </w:trPr>
        <w:tc>
          <w:tcPr>
            <w:tcW w:w="2977" w:type="dxa"/>
            <w:gridSpan w:val="2"/>
            <w:tcBorders>
              <w:top w:val="nil"/>
              <w:left w:val="nil"/>
              <w:bottom w:val="nil"/>
              <w:right w:val="nil"/>
            </w:tcBorders>
          </w:tcPr>
          <w:p>
            <w:pPr>
              <w:pStyle w:val="yTableNAm"/>
              <w:jc w:val="center"/>
              <w:rPr>
                <w:b/>
                <w:bCs/>
              </w:rPr>
            </w:pPr>
            <w:r>
              <w:rPr>
                <w:b/>
                <w:bCs/>
              </w:rPr>
              <w:t>Infringement notice offence</w:t>
            </w:r>
          </w:p>
        </w:tc>
        <w:tc>
          <w:tcPr>
            <w:tcW w:w="1843" w:type="dxa"/>
            <w:gridSpan w:val="2"/>
            <w:tcBorders>
              <w:top w:val="nil"/>
              <w:left w:val="nil"/>
              <w:bottom w:val="nil"/>
              <w:right w:val="nil"/>
            </w:tcBorders>
          </w:tcPr>
          <w:p>
            <w:pPr>
              <w:pStyle w:val="yTableNAm"/>
              <w:jc w:val="center"/>
              <w:rPr>
                <w:b/>
                <w:bCs/>
              </w:rPr>
            </w:pPr>
            <w:r>
              <w:rPr>
                <w:b/>
                <w:bCs/>
              </w:rPr>
              <w:t>Modified penalty for first offence</w:t>
            </w:r>
          </w:p>
          <w:p>
            <w:pPr>
              <w:pStyle w:val="yTableNAm"/>
              <w:jc w:val="center"/>
              <w:rPr>
                <w:b/>
                <w:bCs/>
              </w:rPr>
            </w:pPr>
          </w:p>
          <w:p>
            <w:pPr>
              <w:pStyle w:val="yTableNAm"/>
              <w:jc w:val="center"/>
              <w:rPr>
                <w:b/>
                <w:bCs/>
              </w:rPr>
            </w:pPr>
            <w:r>
              <w:rPr>
                <w:b/>
                <w:bCs/>
              </w:rPr>
              <w:t>$</w:t>
            </w:r>
          </w:p>
        </w:tc>
        <w:tc>
          <w:tcPr>
            <w:tcW w:w="2410" w:type="dxa"/>
            <w:tcBorders>
              <w:top w:val="nil"/>
              <w:left w:val="nil"/>
              <w:bottom w:val="nil"/>
              <w:right w:val="nil"/>
            </w:tcBorders>
          </w:tcPr>
          <w:p>
            <w:pPr>
              <w:pStyle w:val="yTableNAm"/>
              <w:jc w:val="center"/>
              <w:rPr>
                <w:b/>
                <w:bCs/>
              </w:rPr>
            </w:pPr>
            <w:r>
              <w:rPr>
                <w:b/>
                <w:bCs/>
              </w:rPr>
              <w:t>Modified penalty</w:t>
            </w:r>
          </w:p>
          <w:p>
            <w:pPr>
              <w:pStyle w:val="yTableNAm"/>
              <w:jc w:val="center"/>
              <w:rPr>
                <w:b/>
                <w:bCs/>
              </w:rPr>
            </w:pPr>
            <w:r>
              <w:rPr>
                <w:b/>
                <w:bCs/>
              </w:rPr>
              <w:t>for subsequent</w:t>
            </w:r>
          </w:p>
          <w:p>
            <w:pPr>
              <w:pStyle w:val="yTableNAm"/>
              <w:jc w:val="center"/>
              <w:rPr>
                <w:b/>
                <w:bCs/>
              </w:rPr>
            </w:pPr>
            <w:r>
              <w:rPr>
                <w:b/>
                <w:bCs/>
              </w:rPr>
              <w:t>offence</w:t>
            </w:r>
          </w:p>
          <w:p>
            <w:pPr>
              <w:pStyle w:val="yTableNAm"/>
              <w:jc w:val="center"/>
              <w:rPr>
                <w:b/>
                <w:bCs/>
              </w:rPr>
            </w:pPr>
            <w:r>
              <w:rPr>
                <w:b/>
                <w:bCs/>
              </w:rPr>
              <w:t>$</w:t>
            </w:r>
          </w:p>
        </w:tc>
      </w:tr>
      <w:tr>
        <w:trPr>
          <w:gridAfter w:val="1"/>
          <w:wAfter w:w="7" w:type="dxa"/>
        </w:trPr>
        <w:tc>
          <w:tcPr>
            <w:tcW w:w="2977" w:type="dxa"/>
            <w:gridSpan w:val="2"/>
            <w:tcBorders>
              <w:top w:val="nil"/>
              <w:left w:val="nil"/>
              <w:bottom w:val="nil"/>
              <w:right w:val="nil"/>
            </w:tcBorders>
          </w:tcPr>
          <w:p>
            <w:pPr>
              <w:pStyle w:val="yTableNAm"/>
              <w:rPr>
                <w:i/>
                <w:iCs/>
              </w:rPr>
            </w:pPr>
            <w:r>
              <w:rPr>
                <w:i/>
                <w:iCs/>
              </w:rPr>
              <w:t>Environmental Protection Act 1986</w:t>
            </w:r>
          </w:p>
        </w:tc>
        <w:tc>
          <w:tcPr>
            <w:tcW w:w="1843" w:type="dxa"/>
            <w:gridSpan w:val="2"/>
            <w:tcBorders>
              <w:top w:val="nil"/>
              <w:left w:val="nil"/>
              <w:bottom w:val="nil"/>
              <w:right w:val="nil"/>
            </w:tcBorders>
          </w:tcPr>
          <w:p>
            <w:pPr>
              <w:pStyle w:val="yTableNAm"/>
            </w:pPr>
          </w:p>
        </w:tc>
        <w:tc>
          <w:tcPr>
            <w:tcW w:w="2410" w:type="dxa"/>
            <w:tcBorders>
              <w:top w:val="nil"/>
              <w:left w:val="nil"/>
              <w:bottom w:val="nil"/>
              <w:right w:val="nil"/>
            </w:tcBorders>
          </w:tcPr>
          <w:p>
            <w:pPr>
              <w:pStyle w:val="yTableNAm"/>
            </w:pPr>
          </w:p>
        </w:tc>
      </w:tr>
      <w:tr>
        <w:trPr>
          <w:gridAfter w:val="1"/>
          <w:wAfter w:w="7" w:type="dxa"/>
        </w:trPr>
        <w:tc>
          <w:tcPr>
            <w:tcW w:w="2977" w:type="dxa"/>
            <w:gridSpan w:val="2"/>
            <w:tcBorders>
              <w:top w:val="nil"/>
              <w:left w:val="nil"/>
              <w:bottom w:val="nil"/>
              <w:right w:val="nil"/>
            </w:tcBorders>
          </w:tcPr>
          <w:p>
            <w:pPr>
              <w:pStyle w:val="yTableNAm"/>
            </w:pPr>
            <w:r>
              <w:t>1.</w:t>
            </w:r>
            <w:r>
              <w:tab/>
              <w:t>section 77(1), (2) or (3)</w:t>
            </w:r>
          </w:p>
        </w:tc>
        <w:tc>
          <w:tcPr>
            <w:tcW w:w="1843" w:type="dxa"/>
            <w:gridSpan w:val="2"/>
            <w:tcBorders>
              <w:top w:val="nil"/>
              <w:left w:val="nil"/>
              <w:bottom w:val="nil"/>
              <w:right w:val="nil"/>
            </w:tcBorders>
          </w:tcPr>
          <w:p>
            <w:pPr>
              <w:pStyle w:val="yTableNAm"/>
              <w:jc w:val="center"/>
            </w:pPr>
            <w:r>
              <w:t>250</w:t>
            </w:r>
          </w:p>
        </w:tc>
        <w:tc>
          <w:tcPr>
            <w:tcW w:w="2410" w:type="dxa"/>
            <w:tcBorders>
              <w:top w:val="nil"/>
              <w:left w:val="nil"/>
              <w:bottom w:val="nil"/>
              <w:right w:val="nil"/>
            </w:tcBorders>
          </w:tcPr>
          <w:p>
            <w:pPr>
              <w:pStyle w:val="yTableNAm"/>
              <w:jc w:val="center"/>
            </w:pPr>
            <w:r>
              <w:t>500</w:t>
            </w:r>
          </w:p>
        </w:tc>
      </w:tr>
      <w:tr>
        <w:trPr>
          <w:gridAfter w:val="1"/>
          <w:wAfter w:w="7" w:type="dxa"/>
        </w:trPr>
        <w:tc>
          <w:tcPr>
            <w:tcW w:w="2977" w:type="dxa"/>
            <w:gridSpan w:val="2"/>
            <w:tcBorders>
              <w:top w:val="nil"/>
              <w:left w:val="nil"/>
              <w:bottom w:val="nil"/>
              <w:right w:val="nil"/>
            </w:tcBorders>
          </w:tcPr>
          <w:p>
            <w:pPr>
              <w:pStyle w:val="yTableNAm"/>
            </w:pPr>
            <w:r>
              <w:t>2.</w:t>
            </w:r>
            <w:r>
              <w:tab/>
              <w:t>section 78(1) or (3)</w:t>
            </w:r>
          </w:p>
        </w:tc>
        <w:tc>
          <w:tcPr>
            <w:tcW w:w="1843" w:type="dxa"/>
            <w:gridSpan w:val="2"/>
            <w:tcBorders>
              <w:top w:val="nil"/>
              <w:left w:val="nil"/>
              <w:bottom w:val="nil"/>
              <w:right w:val="nil"/>
            </w:tcBorders>
          </w:tcPr>
          <w:p>
            <w:pPr>
              <w:pStyle w:val="yTableNAm"/>
              <w:jc w:val="center"/>
            </w:pPr>
            <w:r>
              <w:t>250</w:t>
            </w:r>
          </w:p>
        </w:tc>
        <w:tc>
          <w:tcPr>
            <w:tcW w:w="2410" w:type="dxa"/>
            <w:tcBorders>
              <w:top w:val="nil"/>
              <w:left w:val="nil"/>
              <w:bottom w:val="nil"/>
              <w:right w:val="nil"/>
            </w:tcBorders>
          </w:tcPr>
          <w:p>
            <w:pPr>
              <w:pStyle w:val="yTableNAm"/>
              <w:jc w:val="center"/>
            </w:pPr>
            <w:r>
              <w:t>500</w:t>
            </w:r>
          </w:p>
        </w:tc>
      </w:tr>
      <w:tr>
        <w:trPr>
          <w:gridAfter w:val="1"/>
          <w:wAfter w:w="7" w:type="dxa"/>
        </w:trPr>
        <w:tc>
          <w:tcPr>
            <w:tcW w:w="2977" w:type="dxa"/>
            <w:gridSpan w:val="2"/>
            <w:tcBorders>
              <w:top w:val="nil"/>
              <w:left w:val="nil"/>
              <w:bottom w:val="nil"/>
              <w:right w:val="nil"/>
            </w:tcBorders>
          </w:tcPr>
          <w:p>
            <w:pPr>
              <w:pStyle w:val="yTableNAm"/>
            </w:pPr>
            <w:r>
              <w:t>3.</w:t>
            </w:r>
            <w:r>
              <w:tab/>
              <w:t>section 79(1)</w:t>
            </w:r>
          </w:p>
        </w:tc>
        <w:tc>
          <w:tcPr>
            <w:tcW w:w="1843" w:type="dxa"/>
            <w:gridSpan w:val="2"/>
            <w:tcBorders>
              <w:top w:val="nil"/>
              <w:left w:val="nil"/>
              <w:bottom w:val="nil"/>
              <w:right w:val="nil"/>
            </w:tcBorders>
          </w:tcPr>
          <w:p>
            <w:pPr>
              <w:pStyle w:val="yTableNAm"/>
              <w:jc w:val="center"/>
            </w:pPr>
            <w:r>
              <w:t>250</w:t>
            </w:r>
          </w:p>
        </w:tc>
        <w:tc>
          <w:tcPr>
            <w:tcW w:w="2410" w:type="dxa"/>
            <w:tcBorders>
              <w:top w:val="nil"/>
              <w:left w:val="nil"/>
              <w:bottom w:val="nil"/>
              <w:right w:val="nil"/>
            </w:tcBorders>
          </w:tcPr>
          <w:p>
            <w:pPr>
              <w:pStyle w:val="yTableNAm"/>
              <w:jc w:val="center"/>
            </w:pPr>
            <w:r>
              <w:t>500</w:t>
            </w:r>
          </w:p>
        </w:tc>
      </w:tr>
      <w:tr>
        <w:trPr>
          <w:gridAfter w:val="1"/>
          <w:wAfter w:w="7" w:type="dxa"/>
        </w:trPr>
        <w:tc>
          <w:tcPr>
            <w:tcW w:w="2977" w:type="dxa"/>
            <w:gridSpan w:val="2"/>
            <w:tcBorders>
              <w:top w:val="nil"/>
              <w:left w:val="nil"/>
              <w:bottom w:val="nil"/>
              <w:right w:val="nil"/>
            </w:tcBorders>
          </w:tcPr>
          <w:p>
            <w:pPr>
              <w:pStyle w:val="yTableNAm"/>
            </w:pPr>
            <w:r>
              <w:t>4.</w:t>
            </w:r>
            <w:r>
              <w:tab/>
              <w:t>section 80</w:t>
            </w:r>
          </w:p>
        </w:tc>
        <w:tc>
          <w:tcPr>
            <w:tcW w:w="1843" w:type="dxa"/>
            <w:gridSpan w:val="2"/>
            <w:tcBorders>
              <w:top w:val="nil"/>
              <w:left w:val="nil"/>
              <w:bottom w:val="nil"/>
              <w:right w:val="nil"/>
            </w:tcBorders>
          </w:tcPr>
          <w:p>
            <w:pPr>
              <w:pStyle w:val="yTableNAm"/>
              <w:jc w:val="center"/>
            </w:pPr>
            <w:r>
              <w:t>250</w:t>
            </w:r>
          </w:p>
        </w:tc>
        <w:tc>
          <w:tcPr>
            <w:tcW w:w="2410" w:type="dxa"/>
            <w:tcBorders>
              <w:top w:val="nil"/>
              <w:left w:val="nil"/>
              <w:bottom w:val="nil"/>
              <w:right w:val="nil"/>
            </w:tcBorders>
          </w:tcPr>
          <w:p>
            <w:pPr>
              <w:pStyle w:val="yTableNAm"/>
              <w:jc w:val="center"/>
            </w:pPr>
            <w:r>
              <w:t>500</w:t>
            </w:r>
          </w:p>
        </w:tc>
      </w:tr>
      <w:tr>
        <w:trPr>
          <w:gridAfter w:val="1"/>
          <w:wAfter w:w="7" w:type="dxa"/>
        </w:trPr>
        <w:tc>
          <w:tcPr>
            <w:tcW w:w="2977" w:type="dxa"/>
            <w:gridSpan w:val="2"/>
            <w:tcBorders>
              <w:top w:val="nil"/>
              <w:left w:val="nil"/>
              <w:bottom w:val="nil"/>
              <w:right w:val="nil"/>
            </w:tcBorders>
          </w:tcPr>
          <w:p>
            <w:pPr>
              <w:pStyle w:val="yTableNAm"/>
            </w:pPr>
            <w:r>
              <w:t>5.</w:t>
            </w:r>
            <w:r>
              <w:tab/>
              <w:t>section 84(1)</w:t>
            </w:r>
          </w:p>
        </w:tc>
        <w:tc>
          <w:tcPr>
            <w:tcW w:w="1843" w:type="dxa"/>
            <w:gridSpan w:val="2"/>
            <w:tcBorders>
              <w:top w:val="nil"/>
              <w:left w:val="nil"/>
              <w:bottom w:val="nil"/>
              <w:right w:val="nil"/>
            </w:tcBorders>
          </w:tcPr>
          <w:p>
            <w:pPr>
              <w:pStyle w:val="yTableNAm"/>
              <w:jc w:val="center"/>
            </w:pPr>
            <w:r>
              <w:t>250</w:t>
            </w:r>
          </w:p>
        </w:tc>
        <w:tc>
          <w:tcPr>
            <w:tcW w:w="2410" w:type="dxa"/>
            <w:tcBorders>
              <w:top w:val="nil"/>
              <w:left w:val="nil"/>
              <w:bottom w:val="nil"/>
              <w:right w:val="nil"/>
            </w:tcBorders>
          </w:tcPr>
          <w:p>
            <w:pPr>
              <w:pStyle w:val="yTableNAm"/>
              <w:jc w:val="center"/>
            </w:pPr>
            <w:r>
              <w:t>500</w:t>
            </w:r>
          </w:p>
        </w:tc>
      </w:tr>
      <w:tr>
        <w:trPr>
          <w:gridAfter w:val="1"/>
          <w:wAfter w:w="7" w:type="dxa"/>
        </w:trPr>
        <w:tc>
          <w:tcPr>
            <w:tcW w:w="2977" w:type="dxa"/>
            <w:gridSpan w:val="2"/>
            <w:tcBorders>
              <w:top w:val="nil"/>
              <w:left w:val="nil"/>
              <w:bottom w:val="nil"/>
              <w:right w:val="nil"/>
            </w:tcBorders>
          </w:tcPr>
          <w:p>
            <w:pPr>
              <w:pStyle w:val="yTableNAm"/>
            </w:pPr>
            <w:r>
              <w:t>6.</w:t>
            </w:r>
            <w:r>
              <w:tab/>
              <w:t>section 85(1)</w:t>
            </w:r>
          </w:p>
        </w:tc>
        <w:tc>
          <w:tcPr>
            <w:tcW w:w="1843" w:type="dxa"/>
            <w:gridSpan w:val="2"/>
            <w:tcBorders>
              <w:top w:val="nil"/>
              <w:left w:val="nil"/>
              <w:bottom w:val="nil"/>
              <w:right w:val="nil"/>
            </w:tcBorders>
          </w:tcPr>
          <w:p>
            <w:pPr>
              <w:pStyle w:val="yTableNAm"/>
              <w:jc w:val="center"/>
            </w:pPr>
            <w:r>
              <w:t>250</w:t>
            </w:r>
          </w:p>
        </w:tc>
        <w:tc>
          <w:tcPr>
            <w:tcW w:w="2410" w:type="dxa"/>
            <w:tcBorders>
              <w:top w:val="nil"/>
              <w:left w:val="nil"/>
              <w:bottom w:val="nil"/>
              <w:right w:val="nil"/>
            </w:tcBorders>
          </w:tcPr>
          <w:p>
            <w:pPr>
              <w:pStyle w:val="yTableNAm"/>
              <w:jc w:val="center"/>
            </w:pPr>
            <w:r>
              <w:t>500</w:t>
            </w:r>
          </w:p>
        </w:tc>
      </w:tr>
      <w:tr>
        <w:trPr>
          <w:gridAfter w:val="1"/>
          <w:wAfter w:w="7" w:type="dxa"/>
        </w:trPr>
        <w:tc>
          <w:tcPr>
            <w:tcW w:w="2977" w:type="dxa"/>
            <w:gridSpan w:val="2"/>
            <w:tcBorders>
              <w:top w:val="nil"/>
              <w:left w:val="nil"/>
              <w:bottom w:val="nil"/>
              <w:right w:val="nil"/>
            </w:tcBorders>
          </w:tcPr>
          <w:p>
            <w:pPr>
              <w:pStyle w:val="yTableNAm"/>
            </w:pPr>
            <w:r>
              <w:t>7.</w:t>
            </w:r>
            <w:r>
              <w:tab/>
              <w:t>section 97(2)</w:t>
            </w:r>
          </w:p>
        </w:tc>
        <w:tc>
          <w:tcPr>
            <w:tcW w:w="1843" w:type="dxa"/>
            <w:gridSpan w:val="2"/>
            <w:tcBorders>
              <w:top w:val="nil"/>
              <w:left w:val="nil"/>
              <w:bottom w:val="nil"/>
              <w:right w:val="nil"/>
            </w:tcBorders>
          </w:tcPr>
          <w:p>
            <w:pPr>
              <w:pStyle w:val="yTableNAm"/>
              <w:jc w:val="center"/>
            </w:pPr>
            <w:r>
              <w:t>250</w:t>
            </w:r>
          </w:p>
        </w:tc>
        <w:tc>
          <w:tcPr>
            <w:tcW w:w="2410" w:type="dxa"/>
            <w:tcBorders>
              <w:top w:val="nil"/>
              <w:left w:val="nil"/>
              <w:bottom w:val="nil"/>
              <w:right w:val="nil"/>
            </w:tcBorders>
          </w:tcPr>
          <w:p>
            <w:pPr>
              <w:pStyle w:val="yTableNAm"/>
              <w:jc w:val="center"/>
            </w:pPr>
            <w:r>
              <w:t>500</w:t>
            </w:r>
          </w:p>
        </w:tc>
      </w:tr>
      <w:tr>
        <w:trPr>
          <w:gridAfter w:val="1"/>
          <w:wAfter w:w="7" w:type="dxa"/>
        </w:trPr>
        <w:tc>
          <w:tcPr>
            <w:tcW w:w="2977" w:type="dxa"/>
            <w:gridSpan w:val="2"/>
            <w:tcBorders>
              <w:top w:val="nil"/>
              <w:left w:val="nil"/>
              <w:bottom w:val="nil"/>
              <w:right w:val="nil"/>
            </w:tcBorders>
          </w:tcPr>
          <w:p>
            <w:pPr>
              <w:pStyle w:val="yTableNAm"/>
            </w:pPr>
            <w:r>
              <w:t>8.</w:t>
            </w:r>
            <w:r>
              <w:tab/>
              <w:t>section 110H(6)</w:t>
            </w:r>
          </w:p>
        </w:tc>
        <w:tc>
          <w:tcPr>
            <w:tcW w:w="1843" w:type="dxa"/>
            <w:gridSpan w:val="2"/>
            <w:tcBorders>
              <w:top w:val="nil"/>
              <w:left w:val="nil"/>
              <w:bottom w:val="nil"/>
              <w:right w:val="nil"/>
            </w:tcBorders>
          </w:tcPr>
          <w:p>
            <w:pPr>
              <w:pStyle w:val="yTableNAm"/>
              <w:jc w:val="center"/>
            </w:pPr>
            <w:r>
              <w:t>250</w:t>
            </w:r>
          </w:p>
        </w:tc>
        <w:tc>
          <w:tcPr>
            <w:tcW w:w="2410" w:type="dxa"/>
            <w:tcBorders>
              <w:top w:val="nil"/>
              <w:left w:val="nil"/>
              <w:bottom w:val="nil"/>
              <w:right w:val="nil"/>
            </w:tcBorders>
          </w:tcPr>
          <w:p>
            <w:pPr>
              <w:pStyle w:val="yTableNAm"/>
              <w:jc w:val="center"/>
            </w:pPr>
            <w:r>
              <w:t>500</w:t>
            </w:r>
          </w:p>
        </w:tc>
      </w:tr>
      <w:tr>
        <w:trPr>
          <w:gridAfter w:val="1"/>
          <w:wAfter w:w="7" w:type="dxa"/>
        </w:trPr>
        <w:tc>
          <w:tcPr>
            <w:tcW w:w="2977" w:type="dxa"/>
            <w:gridSpan w:val="2"/>
            <w:tcBorders>
              <w:top w:val="nil"/>
              <w:left w:val="nil"/>
              <w:bottom w:val="nil"/>
              <w:right w:val="nil"/>
            </w:tcBorders>
          </w:tcPr>
          <w:p>
            <w:pPr>
              <w:pStyle w:val="yTableNAm"/>
              <w:rPr>
                <w:i/>
                <w:iCs/>
              </w:rPr>
            </w:pPr>
            <w:r>
              <w:rPr>
                <w:i/>
                <w:iCs/>
              </w:rPr>
              <w:t>Environmental Protection Regulations 1987</w:t>
            </w:r>
          </w:p>
        </w:tc>
        <w:tc>
          <w:tcPr>
            <w:tcW w:w="1843" w:type="dxa"/>
            <w:gridSpan w:val="2"/>
            <w:tcBorders>
              <w:top w:val="nil"/>
              <w:left w:val="nil"/>
              <w:bottom w:val="nil"/>
              <w:right w:val="nil"/>
            </w:tcBorders>
          </w:tcPr>
          <w:p>
            <w:pPr>
              <w:pStyle w:val="yTableNAm"/>
              <w:rPr>
                <w:i/>
                <w:iCs/>
              </w:rPr>
            </w:pPr>
          </w:p>
        </w:tc>
        <w:tc>
          <w:tcPr>
            <w:tcW w:w="2410" w:type="dxa"/>
            <w:tcBorders>
              <w:top w:val="nil"/>
              <w:left w:val="nil"/>
              <w:bottom w:val="nil"/>
              <w:right w:val="nil"/>
            </w:tcBorders>
          </w:tcPr>
          <w:p>
            <w:pPr>
              <w:pStyle w:val="yTableNAm"/>
              <w:rPr>
                <w:i/>
                <w:iCs/>
              </w:rPr>
            </w:pPr>
          </w:p>
        </w:tc>
      </w:tr>
      <w:tr>
        <w:trPr>
          <w:gridAfter w:val="1"/>
          <w:wAfter w:w="7" w:type="dxa"/>
        </w:trPr>
        <w:tc>
          <w:tcPr>
            <w:tcW w:w="2977" w:type="dxa"/>
            <w:gridSpan w:val="2"/>
            <w:tcBorders>
              <w:top w:val="nil"/>
              <w:left w:val="nil"/>
              <w:bottom w:val="nil"/>
              <w:right w:val="nil"/>
            </w:tcBorders>
          </w:tcPr>
          <w:p>
            <w:pPr>
              <w:pStyle w:val="yTableNAm"/>
            </w:pPr>
            <w:r>
              <w:t>1.</w:t>
            </w:r>
            <w:r>
              <w:tab/>
            </w:r>
            <w:r>
              <w:rPr>
                <w:szCs w:val="22"/>
              </w:rPr>
              <w:t>regulation 5B(</w:t>
            </w:r>
            <w:del w:id="1431" w:author="Master Repository Process" w:date="2021-08-01T12:45:00Z">
              <w:r>
                <w:delText>1) or (</w:delText>
              </w:r>
            </w:del>
            <w:r>
              <w:rPr>
                <w:szCs w:val="22"/>
              </w:rPr>
              <w:t>4)</w:t>
            </w:r>
          </w:p>
        </w:tc>
        <w:tc>
          <w:tcPr>
            <w:tcW w:w="1843" w:type="dxa"/>
            <w:gridSpan w:val="2"/>
            <w:tcBorders>
              <w:top w:val="nil"/>
              <w:left w:val="nil"/>
              <w:bottom w:val="nil"/>
              <w:right w:val="nil"/>
            </w:tcBorders>
          </w:tcPr>
          <w:p>
            <w:pPr>
              <w:pStyle w:val="yTableNAm"/>
              <w:jc w:val="center"/>
            </w:pPr>
            <w:r>
              <w:t>250</w:t>
            </w:r>
          </w:p>
        </w:tc>
        <w:tc>
          <w:tcPr>
            <w:tcW w:w="2410" w:type="dxa"/>
            <w:tcBorders>
              <w:top w:val="nil"/>
              <w:left w:val="nil"/>
              <w:bottom w:val="nil"/>
              <w:right w:val="nil"/>
            </w:tcBorders>
          </w:tcPr>
          <w:p>
            <w:pPr>
              <w:pStyle w:val="yTableNAm"/>
              <w:jc w:val="center"/>
            </w:pPr>
            <w:r>
              <w:t>500</w:t>
            </w:r>
          </w:p>
        </w:tc>
      </w:tr>
      <w:tr>
        <w:trPr>
          <w:gridAfter w:val="1"/>
          <w:wAfter w:w="7" w:type="dxa"/>
        </w:trPr>
        <w:tc>
          <w:tcPr>
            <w:tcW w:w="2977" w:type="dxa"/>
            <w:gridSpan w:val="2"/>
            <w:tcBorders>
              <w:top w:val="nil"/>
              <w:left w:val="nil"/>
              <w:bottom w:val="nil"/>
              <w:right w:val="nil"/>
            </w:tcBorders>
          </w:tcPr>
          <w:p>
            <w:pPr>
              <w:pStyle w:val="yTableNAm"/>
            </w:pPr>
            <w:r>
              <w:t>2.</w:t>
            </w:r>
            <w:r>
              <w:tab/>
              <w:t>regulation 5M(4)</w:t>
            </w:r>
          </w:p>
        </w:tc>
        <w:tc>
          <w:tcPr>
            <w:tcW w:w="1843" w:type="dxa"/>
            <w:gridSpan w:val="2"/>
            <w:tcBorders>
              <w:top w:val="nil"/>
              <w:left w:val="nil"/>
              <w:bottom w:val="nil"/>
              <w:right w:val="nil"/>
            </w:tcBorders>
          </w:tcPr>
          <w:p>
            <w:pPr>
              <w:pStyle w:val="yTableNAm"/>
              <w:jc w:val="center"/>
            </w:pPr>
            <w:r>
              <w:t>250</w:t>
            </w:r>
          </w:p>
        </w:tc>
        <w:tc>
          <w:tcPr>
            <w:tcW w:w="2410" w:type="dxa"/>
            <w:tcBorders>
              <w:top w:val="nil"/>
              <w:left w:val="nil"/>
              <w:bottom w:val="nil"/>
              <w:right w:val="nil"/>
            </w:tcBorders>
          </w:tcPr>
          <w:p>
            <w:pPr>
              <w:pStyle w:val="yTableNAm"/>
              <w:jc w:val="center"/>
            </w:pPr>
            <w:r>
              <w:t>500</w:t>
            </w:r>
          </w:p>
        </w:tc>
      </w:tr>
      <w:tr>
        <w:trPr>
          <w:gridAfter w:val="1"/>
          <w:wAfter w:w="7" w:type="dxa"/>
        </w:trPr>
        <w:tc>
          <w:tcPr>
            <w:tcW w:w="2977" w:type="dxa"/>
            <w:gridSpan w:val="2"/>
            <w:tcBorders>
              <w:top w:val="nil"/>
              <w:left w:val="nil"/>
              <w:bottom w:val="nil"/>
              <w:right w:val="nil"/>
            </w:tcBorders>
          </w:tcPr>
          <w:p>
            <w:pPr>
              <w:pStyle w:val="yTableNAm"/>
            </w:pPr>
            <w:r>
              <w:t>3.</w:t>
            </w:r>
            <w:r>
              <w:tab/>
              <w:t>regulation 13(1)</w:t>
            </w:r>
          </w:p>
        </w:tc>
        <w:tc>
          <w:tcPr>
            <w:tcW w:w="1843" w:type="dxa"/>
            <w:gridSpan w:val="2"/>
            <w:tcBorders>
              <w:top w:val="nil"/>
              <w:left w:val="nil"/>
              <w:bottom w:val="nil"/>
              <w:right w:val="nil"/>
            </w:tcBorders>
          </w:tcPr>
          <w:p>
            <w:pPr>
              <w:pStyle w:val="yTableNAm"/>
              <w:jc w:val="center"/>
            </w:pPr>
            <w:r>
              <w:t>250</w:t>
            </w:r>
          </w:p>
        </w:tc>
        <w:tc>
          <w:tcPr>
            <w:tcW w:w="2410" w:type="dxa"/>
            <w:tcBorders>
              <w:top w:val="nil"/>
              <w:left w:val="nil"/>
              <w:bottom w:val="nil"/>
              <w:right w:val="nil"/>
            </w:tcBorders>
          </w:tcPr>
          <w:p>
            <w:pPr>
              <w:pStyle w:val="yTableNAm"/>
              <w:jc w:val="center"/>
            </w:pPr>
            <w:r>
              <w:t>500</w:t>
            </w:r>
          </w:p>
        </w:tc>
      </w:tr>
      <w:tr>
        <w:trPr>
          <w:gridAfter w:val="1"/>
          <w:wAfter w:w="7" w:type="dxa"/>
        </w:trPr>
        <w:tc>
          <w:tcPr>
            <w:tcW w:w="2977" w:type="dxa"/>
            <w:gridSpan w:val="2"/>
            <w:tcBorders>
              <w:top w:val="nil"/>
              <w:left w:val="nil"/>
              <w:bottom w:val="nil"/>
              <w:right w:val="nil"/>
            </w:tcBorders>
          </w:tcPr>
          <w:p>
            <w:pPr>
              <w:pStyle w:val="yTableNAm"/>
            </w:pPr>
            <w:r>
              <w:t>4.</w:t>
            </w:r>
            <w:r>
              <w:tab/>
              <w:t>regulation 13A(1)</w:t>
            </w:r>
          </w:p>
        </w:tc>
        <w:tc>
          <w:tcPr>
            <w:tcW w:w="1843" w:type="dxa"/>
            <w:gridSpan w:val="2"/>
            <w:tcBorders>
              <w:top w:val="nil"/>
              <w:left w:val="nil"/>
              <w:bottom w:val="nil"/>
              <w:right w:val="nil"/>
            </w:tcBorders>
          </w:tcPr>
          <w:p>
            <w:pPr>
              <w:pStyle w:val="yTableNAm"/>
              <w:jc w:val="center"/>
            </w:pPr>
            <w:r>
              <w:t>250</w:t>
            </w:r>
          </w:p>
        </w:tc>
        <w:tc>
          <w:tcPr>
            <w:tcW w:w="2410" w:type="dxa"/>
            <w:tcBorders>
              <w:top w:val="nil"/>
              <w:left w:val="nil"/>
              <w:bottom w:val="nil"/>
              <w:right w:val="nil"/>
            </w:tcBorders>
          </w:tcPr>
          <w:p>
            <w:pPr>
              <w:pStyle w:val="yTableNAm"/>
              <w:jc w:val="center"/>
            </w:pPr>
            <w:r>
              <w:t>500</w:t>
            </w:r>
          </w:p>
        </w:tc>
      </w:tr>
      <w:tr>
        <w:trPr>
          <w:gridAfter w:val="1"/>
          <w:wAfter w:w="7" w:type="dxa"/>
        </w:trPr>
        <w:tc>
          <w:tcPr>
            <w:tcW w:w="2977" w:type="dxa"/>
            <w:gridSpan w:val="2"/>
            <w:tcBorders>
              <w:top w:val="nil"/>
              <w:left w:val="nil"/>
              <w:bottom w:val="nil"/>
              <w:right w:val="nil"/>
            </w:tcBorders>
          </w:tcPr>
          <w:p>
            <w:pPr>
              <w:pStyle w:val="yTableNAm"/>
            </w:pPr>
            <w:r>
              <w:t>5.</w:t>
            </w:r>
            <w:r>
              <w:tab/>
              <w:t>regulation 16(1)</w:t>
            </w:r>
          </w:p>
        </w:tc>
        <w:tc>
          <w:tcPr>
            <w:tcW w:w="1843" w:type="dxa"/>
            <w:gridSpan w:val="2"/>
            <w:tcBorders>
              <w:top w:val="nil"/>
              <w:left w:val="nil"/>
              <w:bottom w:val="nil"/>
              <w:right w:val="nil"/>
            </w:tcBorders>
          </w:tcPr>
          <w:p>
            <w:pPr>
              <w:pStyle w:val="yTableNAm"/>
              <w:jc w:val="center"/>
            </w:pPr>
            <w:r>
              <w:t>250</w:t>
            </w:r>
          </w:p>
        </w:tc>
        <w:tc>
          <w:tcPr>
            <w:tcW w:w="2410" w:type="dxa"/>
            <w:tcBorders>
              <w:top w:val="nil"/>
              <w:left w:val="nil"/>
              <w:bottom w:val="nil"/>
              <w:right w:val="nil"/>
            </w:tcBorders>
          </w:tcPr>
          <w:p>
            <w:pPr>
              <w:pStyle w:val="yTableNAm"/>
              <w:jc w:val="center"/>
            </w:pPr>
            <w:r>
              <w:t>500</w:t>
            </w:r>
          </w:p>
        </w:tc>
      </w:tr>
      <w:tr>
        <w:trPr>
          <w:gridAfter w:val="1"/>
          <w:wAfter w:w="7" w:type="dxa"/>
        </w:trPr>
        <w:tc>
          <w:tcPr>
            <w:tcW w:w="2977" w:type="dxa"/>
            <w:gridSpan w:val="2"/>
            <w:tcBorders>
              <w:top w:val="nil"/>
              <w:left w:val="nil"/>
              <w:bottom w:val="nil"/>
              <w:right w:val="nil"/>
            </w:tcBorders>
          </w:tcPr>
          <w:p>
            <w:pPr>
              <w:pStyle w:val="yTableNAm"/>
            </w:pPr>
            <w:r>
              <w:t>6.</w:t>
            </w:r>
            <w:r>
              <w:tab/>
              <w:t>regulation 16(2)</w:t>
            </w:r>
          </w:p>
        </w:tc>
        <w:tc>
          <w:tcPr>
            <w:tcW w:w="1843" w:type="dxa"/>
            <w:gridSpan w:val="2"/>
            <w:tcBorders>
              <w:top w:val="nil"/>
              <w:left w:val="nil"/>
              <w:bottom w:val="nil"/>
              <w:right w:val="nil"/>
            </w:tcBorders>
          </w:tcPr>
          <w:p>
            <w:pPr>
              <w:pStyle w:val="yTableNAm"/>
              <w:jc w:val="center"/>
            </w:pPr>
            <w:r>
              <w:t>250</w:t>
            </w:r>
          </w:p>
        </w:tc>
        <w:tc>
          <w:tcPr>
            <w:tcW w:w="2410" w:type="dxa"/>
            <w:tcBorders>
              <w:top w:val="nil"/>
              <w:left w:val="nil"/>
              <w:bottom w:val="nil"/>
              <w:right w:val="nil"/>
            </w:tcBorders>
          </w:tcPr>
          <w:p>
            <w:pPr>
              <w:pStyle w:val="yTableNAm"/>
              <w:jc w:val="center"/>
            </w:pPr>
            <w:r>
              <w:t>500</w:t>
            </w:r>
          </w:p>
        </w:tc>
      </w:tr>
      <w:tr>
        <w:trPr>
          <w:gridAfter w:val="1"/>
          <w:wAfter w:w="7" w:type="dxa"/>
        </w:trPr>
        <w:tc>
          <w:tcPr>
            <w:tcW w:w="2977" w:type="dxa"/>
            <w:gridSpan w:val="2"/>
            <w:tcBorders>
              <w:top w:val="nil"/>
              <w:left w:val="nil"/>
              <w:bottom w:val="nil"/>
              <w:right w:val="nil"/>
            </w:tcBorders>
          </w:tcPr>
          <w:p>
            <w:pPr>
              <w:pStyle w:val="yTableNAm"/>
            </w:pPr>
            <w:r>
              <w:t>7.</w:t>
            </w:r>
            <w:r>
              <w:tab/>
              <w:t>regulation 16(3)</w:t>
            </w:r>
          </w:p>
        </w:tc>
        <w:tc>
          <w:tcPr>
            <w:tcW w:w="1843" w:type="dxa"/>
            <w:gridSpan w:val="2"/>
            <w:tcBorders>
              <w:top w:val="nil"/>
              <w:left w:val="nil"/>
              <w:bottom w:val="nil"/>
              <w:right w:val="nil"/>
            </w:tcBorders>
          </w:tcPr>
          <w:p>
            <w:pPr>
              <w:pStyle w:val="yTableNAm"/>
              <w:jc w:val="center"/>
            </w:pPr>
            <w:r>
              <w:t>250</w:t>
            </w:r>
          </w:p>
        </w:tc>
        <w:tc>
          <w:tcPr>
            <w:tcW w:w="2410" w:type="dxa"/>
            <w:tcBorders>
              <w:top w:val="nil"/>
              <w:left w:val="nil"/>
              <w:bottom w:val="nil"/>
              <w:right w:val="nil"/>
            </w:tcBorders>
          </w:tcPr>
          <w:p>
            <w:pPr>
              <w:pStyle w:val="yTableNAm"/>
              <w:jc w:val="center"/>
            </w:pPr>
            <w:r>
              <w:t>500</w:t>
            </w:r>
          </w:p>
        </w:tc>
      </w:tr>
      <w:tr>
        <w:trPr>
          <w:gridAfter w:val="1"/>
          <w:wAfter w:w="7" w:type="dxa"/>
        </w:trPr>
        <w:tc>
          <w:tcPr>
            <w:tcW w:w="2977" w:type="dxa"/>
            <w:gridSpan w:val="2"/>
            <w:tcBorders>
              <w:top w:val="nil"/>
              <w:left w:val="nil"/>
              <w:bottom w:val="nil"/>
              <w:right w:val="nil"/>
            </w:tcBorders>
          </w:tcPr>
          <w:p>
            <w:pPr>
              <w:pStyle w:val="yTableNAm"/>
            </w:pPr>
            <w:r>
              <w:t>8.</w:t>
            </w:r>
            <w:r>
              <w:tab/>
              <w:t>regulation 16B</w:t>
            </w:r>
          </w:p>
        </w:tc>
        <w:tc>
          <w:tcPr>
            <w:tcW w:w="1843" w:type="dxa"/>
            <w:gridSpan w:val="2"/>
            <w:tcBorders>
              <w:top w:val="nil"/>
              <w:left w:val="nil"/>
              <w:bottom w:val="nil"/>
              <w:right w:val="nil"/>
            </w:tcBorders>
          </w:tcPr>
          <w:p>
            <w:pPr>
              <w:pStyle w:val="yTableNAm"/>
              <w:jc w:val="center"/>
            </w:pPr>
            <w:r>
              <w:t>500</w:t>
            </w:r>
          </w:p>
        </w:tc>
        <w:tc>
          <w:tcPr>
            <w:tcW w:w="2410" w:type="dxa"/>
            <w:tcBorders>
              <w:top w:val="nil"/>
              <w:left w:val="nil"/>
              <w:bottom w:val="nil"/>
              <w:right w:val="nil"/>
            </w:tcBorders>
          </w:tcPr>
          <w:p>
            <w:pPr>
              <w:pStyle w:val="yTableNAm"/>
              <w:jc w:val="center"/>
            </w:pPr>
            <w:r>
              <w:t>1 000</w:t>
            </w:r>
          </w:p>
        </w:tc>
      </w:tr>
      <w:tr>
        <w:trPr>
          <w:gridAfter w:val="1"/>
          <w:wAfter w:w="7" w:type="dxa"/>
        </w:trPr>
        <w:tc>
          <w:tcPr>
            <w:tcW w:w="2977" w:type="dxa"/>
            <w:gridSpan w:val="2"/>
            <w:tcBorders>
              <w:top w:val="nil"/>
              <w:left w:val="nil"/>
              <w:bottom w:val="nil"/>
              <w:right w:val="nil"/>
            </w:tcBorders>
          </w:tcPr>
          <w:p>
            <w:pPr>
              <w:pStyle w:val="yTableNAm"/>
            </w:pPr>
            <w:r>
              <w:t>9.</w:t>
            </w:r>
            <w:r>
              <w:tab/>
              <w:t>regulation 26(1)</w:t>
            </w:r>
          </w:p>
        </w:tc>
        <w:tc>
          <w:tcPr>
            <w:tcW w:w="1843" w:type="dxa"/>
            <w:gridSpan w:val="2"/>
            <w:tcBorders>
              <w:top w:val="nil"/>
              <w:left w:val="nil"/>
              <w:bottom w:val="nil"/>
              <w:right w:val="nil"/>
            </w:tcBorders>
          </w:tcPr>
          <w:p>
            <w:pPr>
              <w:pStyle w:val="yTableNAm"/>
              <w:jc w:val="center"/>
            </w:pPr>
            <w:r>
              <w:t>250</w:t>
            </w:r>
          </w:p>
        </w:tc>
        <w:tc>
          <w:tcPr>
            <w:tcW w:w="2410" w:type="dxa"/>
            <w:tcBorders>
              <w:top w:val="nil"/>
              <w:left w:val="nil"/>
              <w:bottom w:val="nil"/>
              <w:right w:val="nil"/>
            </w:tcBorders>
          </w:tcPr>
          <w:p>
            <w:pPr>
              <w:pStyle w:val="yTableNAm"/>
              <w:jc w:val="center"/>
            </w:pPr>
            <w:r>
              <w:t>500</w:t>
            </w:r>
          </w:p>
        </w:tc>
      </w:tr>
      <w:tr>
        <w:trPr>
          <w:gridAfter w:val="1"/>
          <w:wAfter w:w="7" w:type="dxa"/>
        </w:trPr>
        <w:tc>
          <w:tcPr>
            <w:tcW w:w="2977" w:type="dxa"/>
            <w:gridSpan w:val="2"/>
            <w:tcBorders>
              <w:top w:val="nil"/>
              <w:left w:val="nil"/>
              <w:bottom w:val="nil"/>
              <w:right w:val="nil"/>
            </w:tcBorders>
          </w:tcPr>
          <w:p>
            <w:pPr>
              <w:pStyle w:val="yTableNAm"/>
            </w:pPr>
            <w:r>
              <w:t>9A.</w:t>
            </w:r>
            <w:r>
              <w:tab/>
              <w:t>regulation 26(5)</w:t>
            </w:r>
          </w:p>
        </w:tc>
        <w:tc>
          <w:tcPr>
            <w:tcW w:w="1843" w:type="dxa"/>
            <w:gridSpan w:val="2"/>
            <w:tcBorders>
              <w:top w:val="nil"/>
              <w:left w:val="nil"/>
              <w:bottom w:val="nil"/>
              <w:right w:val="nil"/>
            </w:tcBorders>
          </w:tcPr>
          <w:p>
            <w:pPr>
              <w:pStyle w:val="yTableNAm"/>
              <w:jc w:val="center"/>
            </w:pPr>
            <w:r>
              <w:t>250</w:t>
            </w:r>
          </w:p>
        </w:tc>
        <w:tc>
          <w:tcPr>
            <w:tcW w:w="2410" w:type="dxa"/>
            <w:tcBorders>
              <w:top w:val="nil"/>
              <w:left w:val="nil"/>
              <w:bottom w:val="nil"/>
              <w:right w:val="nil"/>
            </w:tcBorders>
          </w:tcPr>
          <w:p>
            <w:pPr>
              <w:pStyle w:val="yTableNAm"/>
              <w:jc w:val="center"/>
            </w:pPr>
            <w:r>
              <w:t>500</w:t>
            </w:r>
          </w:p>
        </w:tc>
      </w:tr>
      <w:tr>
        <w:trPr>
          <w:gridAfter w:val="1"/>
          <w:wAfter w:w="7" w:type="dxa"/>
        </w:trPr>
        <w:tc>
          <w:tcPr>
            <w:tcW w:w="2977" w:type="dxa"/>
            <w:gridSpan w:val="2"/>
            <w:tcBorders>
              <w:top w:val="nil"/>
              <w:left w:val="nil"/>
              <w:bottom w:val="nil"/>
              <w:right w:val="nil"/>
            </w:tcBorders>
          </w:tcPr>
          <w:p>
            <w:pPr>
              <w:pStyle w:val="yTableNAm"/>
            </w:pPr>
            <w:r>
              <w:t>10.</w:t>
            </w:r>
            <w:r>
              <w:tab/>
              <w:t>regulation 28(2)</w:t>
            </w:r>
          </w:p>
        </w:tc>
        <w:tc>
          <w:tcPr>
            <w:tcW w:w="1843" w:type="dxa"/>
            <w:gridSpan w:val="2"/>
            <w:tcBorders>
              <w:top w:val="nil"/>
              <w:left w:val="nil"/>
              <w:bottom w:val="nil"/>
              <w:right w:val="nil"/>
            </w:tcBorders>
          </w:tcPr>
          <w:p>
            <w:pPr>
              <w:pStyle w:val="yTableNAm"/>
              <w:jc w:val="center"/>
            </w:pPr>
            <w:r>
              <w:t>250</w:t>
            </w:r>
          </w:p>
        </w:tc>
        <w:tc>
          <w:tcPr>
            <w:tcW w:w="2410" w:type="dxa"/>
            <w:tcBorders>
              <w:top w:val="nil"/>
              <w:left w:val="nil"/>
              <w:bottom w:val="nil"/>
              <w:right w:val="nil"/>
            </w:tcBorders>
          </w:tcPr>
          <w:p>
            <w:pPr>
              <w:pStyle w:val="yTableNAm"/>
              <w:jc w:val="center"/>
            </w:pPr>
            <w:r>
              <w:t>500</w:t>
            </w:r>
          </w:p>
        </w:tc>
      </w:tr>
      <w:tr>
        <w:trPr>
          <w:gridAfter w:val="1"/>
          <w:wAfter w:w="7" w:type="dxa"/>
        </w:trPr>
        <w:tc>
          <w:tcPr>
            <w:tcW w:w="2977" w:type="dxa"/>
            <w:gridSpan w:val="2"/>
            <w:tcBorders>
              <w:top w:val="nil"/>
              <w:left w:val="nil"/>
              <w:bottom w:val="nil"/>
              <w:right w:val="nil"/>
            </w:tcBorders>
          </w:tcPr>
          <w:p>
            <w:pPr>
              <w:pStyle w:val="yTableNAm"/>
            </w:pPr>
            <w:r>
              <w:t>11.</w:t>
            </w:r>
            <w:r>
              <w:tab/>
              <w:t>regulation 28(4)</w:t>
            </w:r>
          </w:p>
        </w:tc>
        <w:tc>
          <w:tcPr>
            <w:tcW w:w="1843" w:type="dxa"/>
            <w:gridSpan w:val="2"/>
            <w:tcBorders>
              <w:top w:val="nil"/>
              <w:left w:val="nil"/>
              <w:bottom w:val="nil"/>
              <w:right w:val="nil"/>
            </w:tcBorders>
          </w:tcPr>
          <w:p>
            <w:pPr>
              <w:pStyle w:val="yTableNAm"/>
              <w:jc w:val="center"/>
            </w:pPr>
            <w:r>
              <w:t>250</w:t>
            </w:r>
          </w:p>
        </w:tc>
        <w:tc>
          <w:tcPr>
            <w:tcW w:w="2410" w:type="dxa"/>
            <w:tcBorders>
              <w:top w:val="nil"/>
              <w:left w:val="nil"/>
              <w:bottom w:val="nil"/>
              <w:right w:val="nil"/>
            </w:tcBorders>
          </w:tcPr>
          <w:p>
            <w:pPr>
              <w:pStyle w:val="yTableNAm"/>
              <w:jc w:val="center"/>
            </w:pPr>
            <w:r>
              <w:t>500</w:t>
            </w:r>
          </w:p>
        </w:tc>
      </w:tr>
      <w:tr>
        <w:trPr>
          <w:gridAfter w:val="1"/>
          <w:wAfter w:w="7" w:type="dxa"/>
        </w:trPr>
        <w:tc>
          <w:tcPr>
            <w:tcW w:w="2977" w:type="dxa"/>
            <w:gridSpan w:val="2"/>
            <w:tcBorders>
              <w:top w:val="nil"/>
              <w:left w:val="nil"/>
              <w:bottom w:val="nil"/>
              <w:right w:val="nil"/>
            </w:tcBorders>
          </w:tcPr>
          <w:p>
            <w:pPr>
              <w:pStyle w:val="yTableNAm"/>
            </w:pPr>
            <w:r>
              <w:t>12.</w:t>
            </w:r>
            <w:r>
              <w:tab/>
              <w:t>regulation 28(8)</w:t>
            </w:r>
          </w:p>
        </w:tc>
        <w:tc>
          <w:tcPr>
            <w:tcW w:w="1843" w:type="dxa"/>
            <w:gridSpan w:val="2"/>
            <w:tcBorders>
              <w:top w:val="nil"/>
              <w:left w:val="nil"/>
              <w:bottom w:val="nil"/>
              <w:right w:val="nil"/>
            </w:tcBorders>
          </w:tcPr>
          <w:p>
            <w:pPr>
              <w:pStyle w:val="yTableNAm"/>
              <w:jc w:val="center"/>
            </w:pPr>
            <w:r>
              <w:t>250</w:t>
            </w:r>
          </w:p>
        </w:tc>
        <w:tc>
          <w:tcPr>
            <w:tcW w:w="2410" w:type="dxa"/>
            <w:tcBorders>
              <w:top w:val="nil"/>
              <w:left w:val="nil"/>
              <w:bottom w:val="nil"/>
              <w:right w:val="nil"/>
            </w:tcBorders>
          </w:tcPr>
          <w:p>
            <w:pPr>
              <w:pStyle w:val="yTableNAm"/>
              <w:jc w:val="center"/>
            </w:pPr>
            <w:r>
              <w:t>500</w:t>
            </w:r>
          </w:p>
        </w:tc>
      </w:tr>
      <w:tr>
        <w:trPr>
          <w:gridAfter w:val="1"/>
          <w:wAfter w:w="7" w:type="dxa"/>
        </w:trPr>
        <w:tc>
          <w:tcPr>
            <w:tcW w:w="2977" w:type="dxa"/>
            <w:gridSpan w:val="2"/>
            <w:tcBorders>
              <w:top w:val="nil"/>
              <w:left w:val="nil"/>
              <w:bottom w:val="nil"/>
              <w:right w:val="nil"/>
            </w:tcBorders>
          </w:tcPr>
          <w:p>
            <w:pPr>
              <w:pStyle w:val="yTableNAm"/>
            </w:pPr>
            <w:r>
              <w:t>13.</w:t>
            </w:r>
            <w:r>
              <w:tab/>
              <w:t>regulation 29(5)</w:t>
            </w:r>
          </w:p>
        </w:tc>
        <w:tc>
          <w:tcPr>
            <w:tcW w:w="1843" w:type="dxa"/>
            <w:gridSpan w:val="2"/>
            <w:tcBorders>
              <w:top w:val="nil"/>
              <w:left w:val="nil"/>
              <w:bottom w:val="nil"/>
              <w:right w:val="nil"/>
            </w:tcBorders>
          </w:tcPr>
          <w:p>
            <w:pPr>
              <w:pStyle w:val="yTableNAm"/>
              <w:jc w:val="center"/>
            </w:pPr>
            <w:r>
              <w:t>250</w:t>
            </w:r>
          </w:p>
        </w:tc>
        <w:tc>
          <w:tcPr>
            <w:tcW w:w="2410" w:type="dxa"/>
            <w:tcBorders>
              <w:top w:val="nil"/>
              <w:left w:val="nil"/>
              <w:bottom w:val="nil"/>
              <w:right w:val="nil"/>
            </w:tcBorders>
          </w:tcPr>
          <w:p>
            <w:pPr>
              <w:pStyle w:val="yTableNAm"/>
              <w:jc w:val="center"/>
            </w:pPr>
            <w:r>
              <w:t>500</w:t>
            </w:r>
          </w:p>
        </w:tc>
      </w:tr>
      <w:tr>
        <w:trPr>
          <w:gridAfter w:val="1"/>
          <w:wAfter w:w="7" w:type="dxa"/>
        </w:trPr>
        <w:tc>
          <w:tcPr>
            <w:tcW w:w="2977" w:type="dxa"/>
            <w:gridSpan w:val="2"/>
            <w:tcBorders>
              <w:top w:val="nil"/>
              <w:left w:val="nil"/>
              <w:bottom w:val="nil"/>
              <w:right w:val="nil"/>
            </w:tcBorders>
          </w:tcPr>
          <w:p>
            <w:pPr>
              <w:pStyle w:val="yTableNAm"/>
            </w:pPr>
            <w:r>
              <w:t>14.</w:t>
            </w:r>
            <w:r>
              <w:tab/>
              <w:t>regulation 31(2)</w:t>
            </w:r>
          </w:p>
        </w:tc>
        <w:tc>
          <w:tcPr>
            <w:tcW w:w="1843" w:type="dxa"/>
            <w:gridSpan w:val="2"/>
            <w:tcBorders>
              <w:top w:val="nil"/>
              <w:left w:val="nil"/>
              <w:bottom w:val="nil"/>
              <w:right w:val="nil"/>
            </w:tcBorders>
          </w:tcPr>
          <w:p>
            <w:pPr>
              <w:pStyle w:val="yTableNAm"/>
              <w:jc w:val="center"/>
            </w:pPr>
            <w:r>
              <w:t>250</w:t>
            </w:r>
          </w:p>
        </w:tc>
        <w:tc>
          <w:tcPr>
            <w:tcW w:w="2410" w:type="dxa"/>
            <w:tcBorders>
              <w:top w:val="nil"/>
              <w:left w:val="nil"/>
              <w:bottom w:val="nil"/>
              <w:right w:val="nil"/>
            </w:tcBorders>
          </w:tcPr>
          <w:p>
            <w:pPr>
              <w:pStyle w:val="yTableNAm"/>
              <w:jc w:val="center"/>
            </w:pPr>
            <w:r>
              <w:t>500</w:t>
            </w:r>
          </w:p>
        </w:tc>
      </w:tr>
      <w:tr>
        <w:trPr>
          <w:gridAfter w:val="1"/>
          <w:wAfter w:w="7" w:type="dxa"/>
        </w:trPr>
        <w:tc>
          <w:tcPr>
            <w:tcW w:w="2977" w:type="dxa"/>
            <w:gridSpan w:val="2"/>
            <w:tcBorders>
              <w:top w:val="nil"/>
              <w:left w:val="nil"/>
              <w:bottom w:val="nil"/>
              <w:right w:val="nil"/>
            </w:tcBorders>
          </w:tcPr>
          <w:p>
            <w:pPr>
              <w:pStyle w:val="yTableNAm"/>
              <w:rPr>
                <w:i/>
                <w:iCs/>
              </w:rPr>
            </w:pPr>
            <w:r>
              <w:rPr>
                <w:i/>
                <w:iCs/>
              </w:rPr>
              <w:t>Environmental Protection (Recovery of Vapours from the Transfer of Organic Liquids) Regulations 1995</w:t>
            </w:r>
          </w:p>
        </w:tc>
        <w:tc>
          <w:tcPr>
            <w:tcW w:w="1843" w:type="dxa"/>
            <w:gridSpan w:val="2"/>
            <w:tcBorders>
              <w:top w:val="nil"/>
              <w:left w:val="nil"/>
              <w:bottom w:val="nil"/>
              <w:right w:val="nil"/>
            </w:tcBorders>
          </w:tcPr>
          <w:p>
            <w:pPr>
              <w:pStyle w:val="yTableNAm"/>
              <w:rPr>
                <w:i/>
                <w:iCs/>
              </w:rPr>
            </w:pPr>
          </w:p>
        </w:tc>
        <w:tc>
          <w:tcPr>
            <w:tcW w:w="2410" w:type="dxa"/>
            <w:tcBorders>
              <w:top w:val="nil"/>
              <w:left w:val="nil"/>
              <w:bottom w:val="nil"/>
              <w:right w:val="nil"/>
            </w:tcBorders>
          </w:tcPr>
          <w:p>
            <w:pPr>
              <w:pStyle w:val="yTableNAm"/>
              <w:rPr>
                <w:i/>
                <w:iCs/>
              </w:rPr>
            </w:pPr>
          </w:p>
        </w:tc>
      </w:tr>
      <w:tr>
        <w:trPr>
          <w:gridAfter w:val="1"/>
          <w:wAfter w:w="7" w:type="dxa"/>
        </w:trPr>
        <w:tc>
          <w:tcPr>
            <w:tcW w:w="2977" w:type="dxa"/>
            <w:gridSpan w:val="2"/>
            <w:tcBorders>
              <w:top w:val="nil"/>
              <w:left w:val="nil"/>
              <w:bottom w:val="nil"/>
              <w:right w:val="nil"/>
            </w:tcBorders>
          </w:tcPr>
          <w:p>
            <w:pPr>
              <w:pStyle w:val="yTableNAm"/>
            </w:pPr>
            <w:r>
              <w:t>1.</w:t>
            </w:r>
            <w:r>
              <w:tab/>
              <w:t>regulation 7(1)</w:t>
            </w:r>
          </w:p>
        </w:tc>
        <w:tc>
          <w:tcPr>
            <w:tcW w:w="1843" w:type="dxa"/>
            <w:gridSpan w:val="2"/>
            <w:tcBorders>
              <w:top w:val="nil"/>
              <w:left w:val="nil"/>
              <w:bottom w:val="nil"/>
              <w:right w:val="nil"/>
            </w:tcBorders>
          </w:tcPr>
          <w:p>
            <w:pPr>
              <w:pStyle w:val="yTableNAm"/>
              <w:jc w:val="center"/>
            </w:pPr>
            <w:r>
              <w:t>250</w:t>
            </w:r>
          </w:p>
        </w:tc>
        <w:tc>
          <w:tcPr>
            <w:tcW w:w="2410" w:type="dxa"/>
            <w:tcBorders>
              <w:top w:val="nil"/>
              <w:left w:val="nil"/>
              <w:bottom w:val="nil"/>
              <w:right w:val="nil"/>
            </w:tcBorders>
          </w:tcPr>
          <w:p>
            <w:pPr>
              <w:pStyle w:val="yTableNAm"/>
              <w:jc w:val="center"/>
            </w:pPr>
            <w:r>
              <w:t>500</w:t>
            </w:r>
          </w:p>
        </w:tc>
      </w:tr>
      <w:tr>
        <w:trPr>
          <w:gridAfter w:val="1"/>
          <w:wAfter w:w="7" w:type="dxa"/>
        </w:trPr>
        <w:tc>
          <w:tcPr>
            <w:tcW w:w="2977" w:type="dxa"/>
            <w:gridSpan w:val="2"/>
            <w:tcBorders>
              <w:top w:val="nil"/>
              <w:left w:val="nil"/>
              <w:bottom w:val="nil"/>
              <w:right w:val="nil"/>
            </w:tcBorders>
          </w:tcPr>
          <w:p>
            <w:pPr>
              <w:pStyle w:val="yTableNAm"/>
            </w:pPr>
            <w:r>
              <w:t>2.</w:t>
            </w:r>
            <w:r>
              <w:tab/>
              <w:t>regulation 8(1)</w:t>
            </w:r>
          </w:p>
        </w:tc>
        <w:tc>
          <w:tcPr>
            <w:tcW w:w="1843" w:type="dxa"/>
            <w:gridSpan w:val="2"/>
            <w:tcBorders>
              <w:top w:val="nil"/>
              <w:left w:val="nil"/>
              <w:bottom w:val="nil"/>
              <w:right w:val="nil"/>
            </w:tcBorders>
          </w:tcPr>
          <w:p>
            <w:pPr>
              <w:pStyle w:val="yTableNAm"/>
              <w:jc w:val="center"/>
            </w:pPr>
            <w:r>
              <w:t>250</w:t>
            </w:r>
          </w:p>
        </w:tc>
        <w:tc>
          <w:tcPr>
            <w:tcW w:w="2410" w:type="dxa"/>
            <w:tcBorders>
              <w:top w:val="nil"/>
              <w:left w:val="nil"/>
              <w:bottom w:val="nil"/>
              <w:right w:val="nil"/>
            </w:tcBorders>
          </w:tcPr>
          <w:p>
            <w:pPr>
              <w:pStyle w:val="yTableNAm"/>
              <w:jc w:val="center"/>
            </w:pPr>
            <w:r>
              <w:t>500</w:t>
            </w:r>
          </w:p>
        </w:tc>
      </w:tr>
      <w:tr>
        <w:trPr>
          <w:gridAfter w:val="1"/>
          <w:wAfter w:w="7" w:type="dxa"/>
        </w:trPr>
        <w:tc>
          <w:tcPr>
            <w:tcW w:w="2977" w:type="dxa"/>
            <w:gridSpan w:val="2"/>
            <w:tcBorders>
              <w:top w:val="nil"/>
              <w:left w:val="nil"/>
              <w:bottom w:val="nil"/>
              <w:right w:val="nil"/>
            </w:tcBorders>
          </w:tcPr>
          <w:p>
            <w:pPr>
              <w:pStyle w:val="yTableNAm"/>
            </w:pPr>
            <w:r>
              <w:t>3.</w:t>
            </w:r>
            <w:r>
              <w:tab/>
              <w:t>regulation 8(5)</w:t>
            </w:r>
          </w:p>
        </w:tc>
        <w:tc>
          <w:tcPr>
            <w:tcW w:w="1843" w:type="dxa"/>
            <w:gridSpan w:val="2"/>
            <w:tcBorders>
              <w:top w:val="nil"/>
              <w:left w:val="nil"/>
              <w:bottom w:val="nil"/>
              <w:right w:val="nil"/>
            </w:tcBorders>
          </w:tcPr>
          <w:p>
            <w:pPr>
              <w:pStyle w:val="yTableNAm"/>
              <w:jc w:val="center"/>
            </w:pPr>
            <w:r>
              <w:t>250</w:t>
            </w:r>
          </w:p>
        </w:tc>
        <w:tc>
          <w:tcPr>
            <w:tcW w:w="2410" w:type="dxa"/>
            <w:tcBorders>
              <w:top w:val="nil"/>
              <w:left w:val="nil"/>
              <w:bottom w:val="nil"/>
              <w:right w:val="nil"/>
            </w:tcBorders>
          </w:tcPr>
          <w:p>
            <w:pPr>
              <w:pStyle w:val="yTableNAm"/>
              <w:jc w:val="center"/>
            </w:pPr>
            <w:r>
              <w:t>500</w:t>
            </w:r>
          </w:p>
        </w:tc>
      </w:tr>
      <w:tr>
        <w:trPr>
          <w:gridAfter w:val="1"/>
          <w:wAfter w:w="7" w:type="dxa"/>
        </w:trPr>
        <w:tc>
          <w:tcPr>
            <w:tcW w:w="2977" w:type="dxa"/>
            <w:gridSpan w:val="2"/>
            <w:tcBorders>
              <w:top w:val="nil"/>
              <w:left w:val="nil"/>
              <w:bottom w:val="nil"/>
              <w:right w:val="nil"/>
            </w:tcBorders>
          </w:tcPr>
          <w:p>
            <w:pPr>
              <w:pStyle w:val="yTableNAm"/>
            </w:pPr>
            <w:r>
              <w:t>4.</w:t>
            </w:r>
            <w:r>
              <w:tab/>
              <w:t>regulation 9(1)</w:t>
            </w:r>
          </w:p>
        </w:tc>
        <w:tc>
          <w:tcPr>
            <w:tcW w:w="1843" w:type="dxa"/>
            <w:gridSpan w:val="2"/>
            <w:tcBorders>
              <w:top w:val="nil"/>
              <w:left w:val="nil"/>
              <w:bottom w:val="nil"/>
              <w:right w:val="nil"/>
            </w:tcBorders>
          </w:tcPr>
          <w:p>
            <w:pPr>
              <w:pStyle w:val="yTableNAm"/>
              <w:jc w:val="center"/>
            </w:pPr>
            <w:r>
              <w:t>250</w:t>
            </w:r>
          </w:p>
        </w:tc>
        <w:tc>
          <w:tcPr>
            <w:tcW w:w="2410" w:type="dxa"/>
            <w:tcBorders>
              <w:top w:val="nil"/>
              <w:left w:val="nil"/>
              <w:bottom w:val="nil"/>
              <w:right w:val="nil"/>
            </w:tcBorders>
          </w:tcPr>
          <w:p>
            <w:pPr>
              <w:pStyle w:val="yTableNAm"/>
              <w:jc w:val="center"/>
            </w:pPr>
            <w:r>
              <w:t>500</w:t>
            </w:r>
          </w:p>
        </w:tc>
      </w:tr>
      <w:tr>
        <w:trPr>
          <w:gridAfter w:val="1"/>
          <w:wAfter w:w="7" w:type="dxa"/>
        </w:trPr>
        <w:tc>
          <w:tcPr>
            <w:tcW w:w="2977" w:type="dxa"/>
            <w:gridSpan w:val="2"/>
            <w:tcBorders>
              <w:top w:val="nil"/>
              <w:left w:val="nil"/>
              <w:bottom w:val="nil"/>
              <w:right w:val="nil"/>
            </w:tcBorders>
          </w:tcPr>
          <w:p>
            <w:pPr>
              <w:pStyle w:val="yTableNAm"/>
            </w:pPr>
            <w:r>
              <w:t>5.</w:t>
            </w:r>
            <w:r>
              <w:tab/>
              <w:t>regulation 9(5)</w:t>
            </w:r>
          </w:p>
        </w:tc>
        <w:tc>
          <w:tcPr>
            <w:tcW w:w="1843" w:type="dxa"/>
            <w:gridSpan w:val="2"/>
            <w:tcBorders>
              <w:top w:val="nil"/>
              <w:left w:val="nil"/>
              <w:bottom w:val="nil"/>
              <w:right w:val="nil"/>
            </w:tcBorders>
          </w:tcPr>
          <w:p>
            <w:pPr>
              <w:pStyle w:val="yTableNAm"/>
              <w:jc w:val="center"/>
            </w:pPr>
            <w:r>
              <w:t>250</w:t>
            </w:r>
          </w:p>
        </w:tc>
        <w:tc>
          <w:tcPr>
            <w:tcW w:w="2410" w:type="dxa"/>
            <w:tcBorders>
              <w:top w:val="nil"/>
              <w:left w:val="nil"/>
              <w:bottom w:val="nil"/>
              <w:right w:val="nil"/>
            </w:tcBorders>
          </w:tcPr>
          <w:p>
            <w:pPr>
              <w:pStyle w:val="yTableNAm"/>
              <w:jc w:val="center"/>
            </w:pPr>
            <w:r>
              <w:t>500</w:t>
            </w:r>
          </w:p>
        </w:tc>
      </w:tr>
      <w:tr>
        <w:trPr>
          <w:gridAfter w:val="1"/>
          <w:wAfter w:w="7" w:type="dxa"/>
        </w:trPr>
        <w:tc>
          <w:tcPr>
            <w:tcW w:w="2977" w:type="dxa"/>
            <w:gridSpan w:val="2"/>
            <w:tcBorders>
              <w:top w:val="nil"/>
              <w:left w:val="nil"/>
              <w:bottom w:val="nil"/>
              <w:right w:val="nil"/>
            </w:tcBorders>
          </w:tcPr>
          <w:p>
            <w:pPr>
              <w:pStyle w:val="yTableNAm"/>
            </w:pPr>
            <w:r>
              <w:t>6.</w:t>
            </w:r>
            <w:r>
              <w:tab/>
              <w:t>regulation 10</w:t>
            </w:r>
          </w:p>
        </w:tc>
        <w:tc>
          <w:tcPr>
            <w:tcW w:w="1843" w:type="dxa"/>
            <w:gridSpan w:val="2"/>
            <w:tcBorders>
              <w:top w:val="nil"/>
              <w:left w:val="nil"/>
              <w:bottom w:val="nil"/>
              <w:right w:val="nil"/>
            </w:tcBorders>
          </w:tcPr>
          <w:p>
            <w:pPr>
              <w:pStyle w:val="yTableNAm"/>
              <w:jc w:val="center"/>
            </w:pPr>
            <w:r>
              <w:t>250</w:t>
            </w:r>
          </w:p>
        </w:tc>
        <w:tc>
          <w:tcPr>
            <w:tcW w:w="2410" w:type="dxa"/>
            <w:tcBorders>
              <w:top w:val="nil"/>
              <w:left w:val="nil"/>
              <w:bottom w:val="nil"/>
              <w:right w:val="nil"/>
            </w:tcBorders>
          </w:tcPr>
          <w:p>
            <w:pPr>
              <w:pStyle w:val="yTableNAm"/>
              <w:jc w:val="center"/>
            </w:pPr>
            <w:r>
              <w:t>500</w:t>
            </w:r>
          </w:p>
        </w:tc>
      </w:tr>
      <w:tr>
        <w:trPr>
          <w:gridAfter w:val="1"/>
          <w:wAfter w:w="7" w:type="dxa"/>
        </w:trPr>
        <w:tc>
          <w:tcPr>
            <w:tcW w:w="2977" w:type="dxa"/>
            <w:gridSpan w:val="2"/>
            <w:tcBorders>
              <w:top w:val="nil"/>
              <w:left w:val="nil"/>
              <w:bottom w:val="nil"/>
              <w:right w:val="nil"/>
            </w:tcBorders>
          </w:tcPr>
          <w:p>
            <w:pPr>
              <w:pStyle w:val="yTableNAm"/>
            </w:pPr>
            <w:r>
              <w:t>7.</w:t>
            </w:r>
            <w:r>
              <w:tab/>
              <w:t>regulation 11</w:t>
            </w:r>
          </w:p>
        </w:tc>
        <w:tc>
          <w:tcPr>
            <w:tcW w:w="1843" w:type="dxa"/>
            <w:gridSpan w:val="2"/>
            <w:tcBorders>
              <w:top w:val="nil"/>
              <w:left w:val="nil"/>
              <w:bottom w:val="nil"/>
              <w:right w:val="nil"/>
            </w:tcBorders>
          </w:tcPr>
          <w:p>
            <w:pPr>
              <w:pStyle w:val="yTableNAm"/>
              <w:jc w:val="center"/>
            </w:pPr>
            <w:r>
              <w:t>250</w:t>
            </w:r>
          </w:p>
        </w:tc>
        <w:tc>
          <w:tcPr>
            <w:tcW w:w="2410" w:type="dxa"/>
            <w:tcBorders>
              <w:top w:val="nil"/>
              <w:left w:val="nil"/>
              <w:bottom w:val="nil"/>
              <w:right w:val="nil"/>
            </w:tcBorders>
          </w:tcPr>
          <w:p>
            <w:pPr>
              <w:pStyle w:val="yTableNAm"/>
              <w:jc w:val="center"/>
            </w:pPr>
            <w:r>
              <w:t>500</w:t>
            </w:r>
          </w:p>
        </w:tc>
      </w:tr>
      <w:tr>
        <w:trPr>
          <w:gridAfter w:val="1"/>
          <w:wAfter w:w="7" w:type="dxa"/>
        </w:trPr>
        <w:tc>
          <w:tcPr>
            <w:tcW w:w="2977" w:type="dxa"/>
            <w:gridSpan w:val="2"/>
            <w:tcBorders>
              <w:top w:val="nil"/>
              <w:left w:val="nil"/>
              <w:bottom w:val="nil"/>
              <w:right w:val="nil"/>
            </w:tcBorders>
          </w:tcPr>
          <w:p>
            <w:pPr>
              <w:pStyle w:val="yTableNAm"/>
            </w:pPr>
            <w:r>
              <w:t>8.</w:t>
            </w:r>
            <w:r>
              <w:tab/>
              <w:t>regulation 12</w:t>
            </w:r>
          </w:p>
        </w:tc>
        <w:tc>
          <w:tcPr>
            <w:tcW w:w="1843" w:type="dxa"/>
            <w:gridSpan w:val="2"/>
            <w:tcBorders>
              <w:top w:val="nil"/>
              <w:left w:val="nil"/>
              <w:bottom w:val="nil"/>
              <w:right w:val="nil"/>
            </w:tcBorders>
          </w:tcPr>
          <w:p>
            <w:pPr>
              <w:pStyle w:val="yTableNAm"/>
              <w:jc w:val="center"/>
            </w:pPr>
            <w:r>
              <w:t>250</w:t>
            </w:r>
          </w:p>
        </w:tc>
        <w:tc>
          <w:tcPr>
            <w:tcW w:w="2410" w:type="dxa"/>
            <w:tcBorders>
              <w:top w:val="nil"/>
              <w:left w:val="nil"/>
              <w:bottom w:val="nil"/>
              <w:right w:val="nil"/>
            </w:tcBorders>
          </w:tcPr>
          <w:p>
            <w:pPr>
              <w:pStyle w:val="yTableNAm"/>
              <w:jc w:val="center"/>
            </w:pPr>
            <w:r>
              <w:t>500</w:t>
            </w:r>
          </w:p>
        </w:tc>
      </w:tr>
      <w:tr>
        <w:trPr>
          <w:gridAfter w:val="1"/>
          <w:wAfter w:w="7" w:type="dxa"/>
        </w:trPr>
        <w:tc>
          <w:tcPr>
            <w:tcW w:w="2977" w:type="dxa"/>
            <w:gridSpan w:val="2"/>
            <w:tcBorders>
              <w:top w:val="nil"/>
              <w:left w:val="nil"/>
              <w:bottom w:val="nil"/>
              <w:right w:val="nil"/>
            </w:tcBorders>
          </w:tcPr>
          <w:p>
            <w:pPr>
              <w:pStyle w:val="yTableNAm"/>
            </w:pPr>
            <w:r>
              <w:t>9.</w:t>
            </w:r>
            <w:r>
              <w:tab/>
              <w:t>regulation 13(1)</w:t>
            </w:r>
          </w:p>
        </w:tc>
        <w:tc>
          <w:tcPr>
            <w:tcW w:w="1843" w:type="dxa"/>
            <w:gridSpan w:val="2"/>
            <w:tcBorders>
              <w:top w:val="nil"/>
              <w:left w:val="nil"/>
              <w:bottom w:val="nil"/>
              <w:right w:val="nil"/>
            </w:tcBorders>
          </w:tcPr>
          <w:p>
            <w:pPr>
              <w:pStyle w:val="yTableNAm"/>
              <w:jc w:val="center"/>
            </w:pPr>
            <w:r>
              <w:t>250</w:t>
            </w:r>
          </w:p>
        </w:tc>
        <w:tc>
          <w:tcPr>
            <w:tcW w:w="2410" w:type="dxa"/>
            <w:tcBorders>
              <w:top w:val="nil"/>
              <w:left w:val="nil"/>
              <w:bottom w:val="nil"/>
              <w:right w:val="nil"/>
            </w:tcBorders>
          </w:tcPr>
          <w:p>
            <w:pPr>
              <w:pStyle w:val="yTableNAm"/>
              <w:jc w:val="center"/>
            </w:pPr>
            <w:r>
              <w:t>500</w:t>
            </w:r>
          </w:p>
        </w:tc>
      </w:tr>
      <w:tr>
        <w:trPr>
          <w:gridAfter w:val="1"/>
          <w:wAfter w:w="7" w:type="dxa"/>
        </w:trPr>
        <w:tc>
          <w:tcPr>
            <w:tcW w:w="2977" w:type="dxa"/>
            <w:gridSpan w:val="2"/>
            <w:tcBorders>
              <w:top w:val="nil"/>
              <w:left w:val="nil"/>
              <w:bottom w:val="nil"/>
              <w:right w:val="nil"/>
            </w:tcBorders>
          </w:tcPr>
          <w:p>
            <w:pPr>
              <w:pStyle w:val="yTableNAm"/>
            </w:pPr>
            <w:r>
              <w:t>10.</w:t>
            </w:r>
            <w:r>
              <w:tab/>
              <w:t>regulation 13(2)</w:t>
            </w:r>
          </w:p>
        </w:tc>
        <w:tc>
          <w:tcPr>
            <w:tcW w:w="1843" w:type="dxa"/>
            <w:gridSpan w:val="2"/>
            <w:tcBorders>
              <w:top w:val="nil"/>
              <w:left w:val="nil"/>
              <w:bottom w:val="nil"/>
              <w:right w:val="nil"/>
            </w:tcBorders>
          </w:tcPr>
          <w:p>
            <w:pPr>
              <w:pStyle w:val="yTableNAm"/>
              <w:jc w:val="center"/>
            </w:pPr>
            <w:r>
              <w:t>250</w:t>
            </w:r>
          </w:p>
        </w:tc>
        <w:tc>
          <w:tcPr>
            <w:tcW w:w="2410" w:type="dxa"/>
            <w:tcBorders>
              <w:top w:val="nil"/>
              <w:left w:val="nil"/>
              <w:bottom w:val="nil"/>
              <w:right w:val="nil"/>
            </w:tcBorders>
          </w:tcPr>
          <w:p>
            <w:pPr>
              <w:pStyle w:val="yTableNAm"/>
              <w:jc w:val="center"/>
            </w:pPr>
            <w:r>
              <w:t>500</w:t>
            </w:r>
          </w:p>
        </w:tc>
      </w:tr>
      <w:tr>
        <w:trPr>
          <w:gridAfter w:val="1"/>
          <w:wAfter w:w="7" w:type="dxa"/>
        </w:trPr>
        <w:tc>
          <w:tcPr>
            <w:tcW w:w="2977" w:type="dxa"/>
            <w:gridSpan w:val="2"/>
            <w:tcBorders>
              <w:top w:val="nil"/>
              <w:left w:val="nil"/>
              <w:bottom w:val="nil"/>
              <w:right w:val="nil"/>
            </w:tcBorders>
          </w:tcPr>
          <w:p>
            <w:pPr>
              <w:pStyle w:val="yTableNAm"/>
              <w:rPr>
                <w:i/>
                <w:iCs/>
              </w:rPr>
            </w:pPr>
            <w:r>
              <w:rPr>
                <w:i/>
                <w:iCs/>
              </w:rPr>
              <w:t>Environmental Protection (Noise) Regulations 1997</w:t>
            </w:r>
          </w:p>
        </w:tc>
        <w:tc>
          <w:tcPr>
            <w:tcW w:w="1843" w:type="dxa"/>
            <w:gridSpan w:val="2"/>
            <w:tcBorders>
              <w:top w:val="nil"/>
              <w:left w:val="nil"/>
              <w:bottom w:val="nil"/>
              <w:right w:val="nil"/>
            </w:tcBorders>
          </w:tcPr>
          <w:p>
            <w:pPr>
              <w:pStyle w:val="yTableNAm"/>
              <w:rPr>
                <w:i/>
                <w:iCs/>
              </w:rPr>
            </w:pPr>
          </w:p>
        </w:tc>
        <w:tc>
          <w:tcPr>
            <w:tcW w:w="2410" w:type="dxa"/>
            <w:tcBorders>
              <w:top w:val="nil"/>
              <w:left w:val="nil"/>
              <w:bottom w:val="nil"/>
              <w:right w:val="nil"/>
            </w:tcBorders>
          </w:tcPr>
          <w:p>
            <w:pPr>
              <w:pStyle w:val="yTableNAm"/>
              <w:rPr>
                <w:i/>
                <w:iCs/>
              </w:rPr>
            </w:pPr>
          </w:p>
        </w:tc>
      </w:tr>
      <w:tr>
        <w:trPr>
          <w:gridAfter w:val="1"/>
          <w:wAfter w:w="7" w:type="dxa"/>
        </w:trPr>
        <w:tc>
          <w:tcPr>
            <w:tcW w:w="2977" w:type="dxa"/>
            <w:gridSpan w:val="2"/>
            <w:tcBorders>
              <w:top w:val="nil"/>
              <w:left w:val="nil"/>
              <w:bottom w:val="nil"/>
              <w:right w:val="nil"/>
            </w:tcBorders>
          </w:tcPr>
          <w:p>
            <w:pPr>
              <w:pStyle w:val="yTableNAm"/>
            </w:pPr>
            <w:r>
              <w:t>1.</w:t>
            </w:r>
            <w:r>
              <w:tab/>
              <w:t>regulation 6(2)</w:t>
            </w:r>
          </w:p>
        </w:tc>
        <w:tc>
          <w:tcPr>
            <w:tcW w:w="1843" w:type="dxa"/>
            <w:gridSpan w:val="2"/>
            <w:tcBorders>
              <w:top w:val="nil"/>
              <w:left w:val="nil"/>
              <w:bottom w:val="nil"/>
              <w:right w:val="nil"/>
            </w:tcBorders>
          </w:tcPr>
          <w:p>
            <w:pPr>
              <w:pStyle w:val="yTableNAm"/>
              <w:jc w:val="center"/>
            </w:pPr>
            <w:r>
              <w:t>250</w:t>
            </w:r>
          </w:p>
        </w:tc>
        <w:tc>
          <w:tcPr>
            <w:tcW w:w="2410" w:type="dxa"/>
            <w:tcBorders>
              <w:top w:val="nil"/>
              <w:left w:val="nil"/>
              <w:bottom w:val="nil"/>
              <w:right w:val="nil"/>
            </w:tcBorders>
          </w:tcPr>
          <w:p>
            <w:pPr>
              <w:pStyle w:val="yTableNAm"/>
              <w:jc w:val="center"/>
            </w:pPr>
            <w:r>
              <w:t>500</w:t>
            </w:r>
          </w:p>
        </w:tc>
      </w:tr>
      <w:tr>
        <w:trPr>
          <w:gridAfter w:val="1"/>
          <w:wAfter w:w="7" w:type="dxa"/>
        </w:trPr>
        <w:tc>
          <w:tcPr>
            <w:tcW w:w="2977" w:type="dxa"/>
            <w:gridSpan w:val="2"/>
            <w:tcBorders>
              <w:top w:val="nil"/>
              <w:left w:val="nil"/>
              <w:bottom w:val="nil"/>
              <w:right w:val="nil"/>
            </w:tcBorders>
          </w:tcPr>
          <w:p>
            <w:pPr>
              <w:pStyle w:val="yTableNAm"/>
            </w:pPr>
            <w:r>
              <w:t>2.</w:t>
            </w:r>
            <w:r>
              <w:tab/>
              <w:t>regulation 23</w:t>
            </w:r>
          </w:p>
        </w:tc>
        <w:tc>
          <w:tcPr>
            <w:tcW w:w="1843" w:type="dxa"/>
            <w:gridSpan w:val="2"/>
            <w:tcBorders>
              <w:top w:val="nil"/>
              <w:left w:val="nil"/>
              <w:bottom w:val="nil"/>
              <w:right w:val="nil"/>
            </w:tcBorders>
          </w:tcPr>
          <w:p>
            <w:pPr>
              <w:pStyle w:val="yTableNAm"/>
              <w:jc w:val="center"/>
            </w:pPr>
            <w:r>
              <w:t>250</w:t>
            </w:r>
          </w:p>
        </w:tc>
        <w:tc>
          <w:tcPr>
            <w:tcW w:w="2410" w:type="dxa"/>
            <w:tcBorders>
              <w:top w:val="nil"/>
              <w:left w:val="nil"/>
              <w:bottom w:val="nil"/>
              <w:right w:val="nil"/>
            </w:tcBorders>
          </w:tcPr>
          <w:p>
            <w:pPr>
              <w:pStyle w:val="yTableNAm"/>
              <w:jc w:val="center"/>
            </w:pPr>
            <w:r>
              <w:t>500</w:t>
            </w:r>
          </w:p>
        </w:tc>
      </w:tr>
      <w:tr>
        <w:trPr>
          <w:gridAfter w:val="1"/>
          <w:wAfter w:w="7" w:type="dxa"/>
        </w:trPr>
        <w:tc>
          <w:tcPr>
            <w:tcW w:w="2977" w:type="dxa"/>
            <w:gridSpan w:val="2"/>
            <w:tcBorders>
              <w:top w:val="nil"/>
              <w:left w:val="nil"/>
              <w:bottom w:val="nil"/>
              <w:right w:val="nil"/>
            </w:tcBorders>
          </w:tcPr>
          <w:p>
            <w:pPr>
              <w:pStyle w:val="yTableNAm"/>
              <w:rPr>
                <w:i/>
                <w:iCs/>
              </w:rPr>
            </w:pPr>
            <w:r>
              <w:rPr>
                <w:i/>
                <w:iCs/>
              </w:rPr>
              <w:t>Environmental Protection (Fibre Reinforced Plastics) Regulations 1998</w:t>
            </w:r>
          </w:p>
        </w:tc>
        <w:tc>
          <w:tcPr>
            <w:tcW w:w="1843" w:type="dxa"/>
            <w:gridSpan w:val="2"/>
            <w:tcBorders>
              <w:top w:val="nil"/>
              <w:left w:val="nil"/>
              <w:bottom w:val="nil"/>
              <w:right w:val="nil"/>
            </w:tcBorders>
          </w:tcPr>
          <w:p>
            <w:pPr>
              <w:pStyle w:val="yTableNAm"/>
              <w:rPr>
                <w:i/>
                <w:iCs/>
              </w:rPr>
            </w:pPr>
          </w:p>
        </w:tc>
        <w:tc>
          <w:tcPr>
            <w:tcW w:w="2410" w:type="dxa"/>
            <w:tcBorders>
              <w:top w:val="nil"/>
              <w:left w:val="nil"/>
              <w:bottom w:val="nil"/>
              <w:right w:val="nil"/>
            </w:tcBorders>
          </w:tcPr>
          <w:p>
            <w:pPr>
              <w:pStyle w:val="yTableNAm"/>
              <w:rPr>
                <w:i/>
                <w:iCs/>
              </w:rPr>
            </w:pPr>
          </w:p>
        </w:tc>
      </w:tr>
      <w:tr>
        <w:trPr>
          <w:gridAfter w:val="1"/>
          <w:wAfter w:w="7" w:type="dxa"/>
        </w:trPr>
        <w:tc>
          <w:tcPr>
            <w:tcW w:w="2977" w:type="dxa"/>
            <w:gridSpan w:val="2"/>
            <w:tcBorders>
              <w:top w:val="nil"/>
              <w:left w:val="nil"/>
              <w:bottom w:val="nil"/>
              <w:right w:val="nil"/>
            </w:tcBorders>
          </w:tcPr>
          <w:p>
            <w:pPr>
              <w:pStyle w:val="yTableNAm"/>
            </w:pPr>
            <w:r>
              <w:t>1.</w:t>
            </w:r>
            <w:r>
              <w:tab/>
              <w:t>regulation 3(1)</w:t>
            </w:r>
          </w:p>
        </w:tc>
        <w:tc>
          <w:tcPr>
            <w:tcW w:w="1843" w:type="dxa"/>
            <w:gridSpan w:val="2"/>
            <w:tcBorders>
              <w:top w:val="nil"/>
              <w:left w:val="nil"/>
              <w:bottom w:val="nil"/>
              <w:right w:val="nil"/>
            </w:tcBorders>
          </w:tcPr>
          <w:p>
            <w:pPr>
              <w:pStyle w:val="yTableNAm"/>
              <w:jc w:val="center"/>
            </w:pPr>
            <w:r>
              <w:t>250</w:t>
            </w:r>
          </w:p>
        </w:tc>
        <w:tc>
          <w:tcPr>
            <w:tcW w:w="2410" w:type="dxa"/>
            <w:tcBorders>
              <w:top w:val="nil"/>
              <w:left w:val="nil"/>
              <w:bottom w:val="nil"/>
              <w:right w:val="nil"/>
            </w:tcBorders>
          </w:tcPr>
          <w:p>
            <w:pPr>
              <w:pStyle w:val="yTableNAm"/>
              <w:jc w:val="center"/>
            </w:pPr>
            <w:r>
              <w:t>500</w:t>
            </w:r>
          </w:p>
        </w:tc>
      </w:tr>
      <w:tr>
        <w:trPr>
          <w:gridAfter w:val="1"/>
          <w:wAfter w:w="7" w:type="dxa"/>
        </w:trPr>
        <w:tc>
          <w:tcPr>
            <w:tcW w:w="2977" w:type="dxa"/>
            <w:gridSpan w:val="2"/>
            <w:tcBorders>
              <w:top w:val="nil"/>
              <w:left w:val="nil"/>
              <w:bottom w:val="nil"/>
              <w:right w:val="nil"/>
            </w:tcBorders>
          </w:tcPr>
          <w:p>
            <w:pPr>
              <w:pStyle w:val="yTableNAm"/>
            </w:pPr>
            <w:r>
              <w:t>2.</w:t>
            </w:r>
            <w:r>
              <w:tab/>
              <w:t>regulation 3(2)</w:t>
            </w:r>
          </w:p>
        </w:tc>
        <w:tc>
          <w:tcPr>
            <w:tcW w:w="1843" w:type="dxa"/>
            <w:gridSpan w:val="2"/>
            <w:tcBorders>
              <w:top w:val="nil"/>
              <w:left w:val="nil"/>
              <w:bottom w:val="nil"/>
              <w:right w:val="nil"/>
            </w:tcBorders>
          </w:tcPr>
          <w:p>
            <w:pPr>
              <w:pStyle w:val="yTableNAm"/>
              <w:jc w:val="center"/>
            </w:pPr>
            <w:r>
              <w:t>250</w:t>
            </w:r>
          </w:p>
        </w:tc>
        <w:tc>
          <w:tcPr>
            <w:tcW w:w="2410" w:type="dxa"/>
            <w:tcBorders>
              <w:top w:val="nil"/>
              <w:left w:val="nil"/>
              <w:bottom w:val="nil"/>
              <w:right w:val="nil"/>
            </w:tcBorders>
          </w:tcPr>
          <w:p>
            <w:pPr>
              <w:pStyle w:val="yTableNAm"/>
              <w:jc w:val="center"/>
            </w:pPr>
            <w:r>
              <w:t>500</w:t>
            </w:r>
          </w:p>
        </w:tc>
      </w:tr>
      <w:tr>
        <w:trPr>
          <w:gridAfter w:val="1"/>
          <w:wAfter w:w="7" w:type="dxa"/>
        </w:trPr>
        <w:tc>
          <w:tcPr>
            <w:tcW w:w="2977" w:type="dxa"/>
            <w:gridSpan w:val="2"/>
            <w:tcBorders>
              <w:top w:val="nil"/>
              <w:left w:val="nil"/>
              <w:bottom w:val="nil"/>
              <w:right w:val="nil"/>
            </w:tcBorders>
          </w:tcPr>
          <w:p>
            <w:pPr>
              <w:pStyle w:val="yTableNAm"/>
            </w:pPr>
            <w:r>
              <w:t>3.</w:t>
            </w:r>
            <w:r>
              <w:tab/>
              <w:t>regulation 3(3)</w:t>
            </w:r>
          </w:p>
        </w:tc>
        <w:tc>
          <w:tcPr>
            <w:tcW w:w="1843" w:type="dxa"/>
            <w:gridSpan w:val="2"/>
            <w:tcBorders>
              <w:top w:val="nil"/>
              <w:left w:val="nil"/>
              <w:bottom w:val="nil"/>
              <w:right w:val="nil"/>
            </w:tcBorders>
          </w:tcPr>
          <w:p>
            <w:pPr>
              <w:pStyle w:val="yTableNAm"/>
              <w:jc w:val="center"/>
            </w:pPr>
            <w:r>
              <w:t>250</w:t>
            </w:r>
          </w:p>
        </w:tc>
        <w:tc>
          <w:tcPr>
            <w:tcW w:w="2410" w:type="dxa"/>
            <w:tcBorders>
              <w:top w:val="nil"/>
              <w:left w:val="nil"/>
              <w:bottom w:val="nil"/>
              <w:right w:val="nil"/>
            </w:tcBorders>
          </w:tcPr>
          <w:p>
            <w:pPr>
              <w:pStyle w:val="yTableNAm"/>
              <w:jc w:val="center"/>
            </w:pPr>
            <w:r>
              <w:t>500</w:t>
            </w:r>
          </w:p>
        </w:tc>
      </w:tr>
      <w:tr>
        <w:trPr>
          <w:gridAfter w:val="1"/>
          <w:wAfter w:w="7" w:type="dxa"/>
        </w:trPr>
        <w:tc>
          <w:tcPr>
            <w:tcW w:w="2977" w:type="dxa"/>
            <w:gridSpan w:val="2"/>
            <w:tcBorders>
              <w:top w:val="nil"/>
              <w:left w:val="nil"/>
              <w:bottom w:val="nil"/>
              <w:right w:val="nil"/>
            </w:tcBorders>
          </w:tcPr>
          <w:p>
            <w:pPr>
              <w:pStyle w:val="yTableNAm"/>
            </w:pPr>
            <w:r>
              <w:t>4.</w:t>
            </w:r>
            <w:r>
              <w:tab/>
              <w:t>regulation 4(1)</w:t>
            </w:r>
          </w:p>
        </w:tc>
        <w:tc>
          <w:tcPr>
            <w:tcW w:w="1843" w:type="dxa"/>
            <w:gridSpan w:val="2"/>
            <w:tcBorders>
              <w:top w:val="nil"/>
              <w:left w:val="nil"/>
              <w:bottom w:val="nil"/>
              <w:right w:val="nil"/>
            </w:tcBorders>
          </w:tcPr>
          <w:p>
            <w:pPr>
              <w:pStyle w:val="yTableNAm"/>
              <w:jc w:val="center"/>
            </w:pPr>
            <w:r>
              <w:t>250</w:t>
            </w:r>
          </w:p>
        </w:tc>
        <w:tc>
          <w:tcPr>
            <w:tcW w:w="2410" w:type="dxa"/>
            <w:tcBorders>
              <w:top w:val="nil"/>
              <w:left w:val="nil"/>
              <w:bottom w:val="nil"/>
              <w:right w:val="nil"/>
            </w:tcBorders>
          </w:tcPr>
          <w:p>
            <w:pPr>
              <w:pStyle w:val="yTableNAm"/>
              <w:jc w:val="center"/>
            </w:pPr>
            <w:r>
              <w:t>500</w:t>
            </w:r>
          </w:p>
        </w:tc>
      </w:tr>
      <w:tr>
        <w:trPr>
          <w:gridAfter w:val="1"/>
          <w:wAfter w:w="7" w:type="dxa"/>
        </w:trPr>
        <w:tc>
          <w:tcPr>
            <w:tcW w:w="2977" w:type="dxa"/>
            <w:gridSpan w:val="2"/>
            <w:tcBorders>
              <w:top w:val="nil"/>
              <w:left w:val="nil"/>
              <w:bottom w:val="nil"/>
              <w:right w:val="nil"/>
            </w:tcBorders>
          </w:tcPr>
          <w:p>
            <w:pPr>
              <w:pStyle w:val="yTableNAm"/>
            </w:pPr>
            <w:r>
              <w:t>5.</w:t>
            </w:r>
            <w:r>
              <w:tab/>
              <w:t>regulation 5</w:t>
            </w:r>
          </w:p>
        </w:tc>
        <w:tc>
          <w:tcPr>
            <w:tcW w:w="1843" w:type="dxa"/>
            <w:gridSpan w:val="2"/>
            <w:tcBorders>
              <w:top w:val="nil"/>
              <w:left w:val="nil"/>
              <w:bottom w:val="nil"/>
              <w:right w:val="nil"/>
            </w:tcBorders>
          </w:tcPr>
          <w:p>
            <w:pPr>
              <w:pStyle w:val="yTableNAm"/>
              <w:jc w:val="center"/>
            </w:pPr>
            <w:r>
              <w:t>250</w:t>
            </w:r>
          </w:p>
        </w:tc>
        <w:tc>
          <w:tcPr>
            <w:tcW w:w="2410" w:type="dxa"/>
            <w:tcBorders>
              <w:top w:val="nil"/>
              <w:left w:val="nil"/>
              <w:bottom w:val="nil"/>
              <w:right w:val="nil"/>
            </w:tcBorders>
          </w:tcPr>
          <w:p>
            <w:pPr>
              <w:pStyle w:val="yTableNAm"/>
              <w:jc w:val="center"/>
            </w:pPr>
            <w:r>
              <w:t>500</w:t>
            </w:r>
          </w:p>
        </w:tc>
      </w:tr>
      <w:tr>
        <w:trPr>
          <w:gridAfter w:val="1"/>
          <w:wAfter w:w="7" w:type="dxa"/>
        </w:trPr>
        <w:tc>
          <w:tcPr>
            <w:tcW w:w="2977" w:type="dxa"/>
            <w:gridSpan w:val="2"/>
            <w:tcBorders>
              <w:top w:val="nil"/>
              <w:left w:val="nil"/>
              <w:bottom w:val="nil"/>
              <w:right w:val="nil"/>
            </w:tcBorders>
          </w:tcPr>
          <w:p>
            <w:pPr>
              <w:pStyle w:val="yTableNAm"/>
            </w:pPr>
            <w:r>
              <w:t>6.</w:t>
            </w:r>
            <w:r>
              <w:tab/>
              <w:t>regulation 6</w:t>
            </w:r>
          </w:p>
        </w:tc>
        <w:tc>
          <w:tcPr>
            <w:tcW w:w="1843" w:type="dxa"/>
            <w:gridSpan w:val="2"/>
            <w:tcBorders>
              <w:top w:val="nil"/>
              <w:left w:val="nil"/>
              <w:bottom w:val="nil"/>
              <w:right w:val="nil"/>
            </w:tcBorders>
          </w:tcPr>
          <w:p>
            <w:pPr>
              <w:pStyle w:val="yTableNAm"/>
              <w:jc w:val="center"/>
            </w:pPr>
            <w:r>
              <w:t>250</w:t>
            </w:r>
          </w:p>
        </w:tc>
        <w:tc>
          <w:tcPr>
            <w:tcW w:w="2410" w:type="dxa"/>
            <w:tcBorders>
              <w:top w:val="nil"/>
              <w:left w:val="nil"/>
              <w:bottom w:val="nil"/>
              <w:right w:val="nil"/>
            </w:tcBorders>
          </w:tcPr>
          <w:p>
            <w:pPr>
              <w:pStyle w:val="yTableNAm"/>
              <w:jc w:val="center"/>
            </w:pPr>
            <w:r>
              <w:t>500</w:t>
            </w:r>
          </w:p>
        </w:tc>
      </w:tr>
      <w:tr>
        <w:trPr>
          <w:gridAfter w:val="1"/>
          <w:wAfter w:w="7" w:type="dxa"/>
        </w:trPr>
        <w:tc>
          <w:tcPr>
            <w:tcW w:w="2977" w:type="dxa"/>
            <w:gridSpan w:val="2"/>
            <w:tcBorders>
              <w:top w:val="nil"/>
              <w:left w:val="nil"/>
              <w:bottom w:val="nil"/>
              <w:right w:val="nil"/>
            </w:tcBorders>
          </w:tcPr>
          <w:p>
            <w:pPr>
              <w:pStyle w:val="yTableNAm"/>
              <w:rPr>
                <w:i/>
                <w:iCs/>
              </w:rPr>
            </w:pPr>
            <w:r>
              <w:rPr>
                <w:i/>
                <w:iCs/>
              </w:rPr>
              <w:t>Environmental Protection (Abrasive Blasting) Regulations 1998</w:t>
            </w:r>
          </w:p>
        </w:tc>
        <w:tc>
          <w:tcPr>
            <w:tcW w:w="1843" w:type="dxa"/>
            <w:gridSpan w:val="2"/>
            <w:tcBorders>
              <w:top w:val="nil"/>
              <w:left w:val="nil"/>
              <w:bottom w:val="nil"/>
              <w:right w:val="nil"/>
            </w:tcBorders>
          </w:tcPr>
          <w:p>
            <w:pPr>
              <w:pStyle w:val="yTableNAm"/>
              <w:rPr>
                <w:i/>
                <w:iCs/>
              </w:rPr>
            </w:pPr>
          </w:p>
        </w:tc>
        <w:tc>
          <w:tcPr>
            <w:tcW w:w="2410" w:type="dxa"/>
            <w:tcBorders>
              <w:top w:val="nil"/>
              <w:left w:val="nil"/>
              <w:bottom w:val="nil"/>
              <w:right w:val="nil"/>
            </w:tcBorders>
          </w:tcPr>
          <w:p>
            <w:pPr>
              <w:pStyle w:val="yTableNAm"/>
              <w:rPr>
                <w:i/>
                <w:iCs/>
              </w:rPr>
            </w:pPr>
          </w:p>
        </w:tc>
      </w:tr>
      <w:tr>
        <w:trPr>
          <w:gridAfter w:val="1"/>
          <w:wAfter w:w="7" w:type="dxa"/>
        </w:trPr>
        <w:tc>
          <w:tcPr>
            <w:tcW w:w="2977" w:type="dxa"/>
            <w:gridSpan w:val="2"/>
            <w:tcBorders>
              <w:top w:val="nil"/>
              <w:left w:val="nil"/>
              <w:bottom w:val="nil"/>
              <w:right w:val="nil"/>
            </w:tcBorders>
          </w:tcPr>
          <w:p>
            <w:pPr>
              <w:pStyle w:val="yTableNAm"/>
            </w:pPr>
            <w:r>
              <w:t>1.</w:t>
            </w:r>
            <w:r>
              <w:tab/>
              <w:t>regulation 3</w:t>
            </w:r>
          </w:p>
        </w:tc>
        <w:tc>
          <w:tcPr>
            <w:tcW w:w="1843" w:type="dxa"/>
            <w:gridSpan w:val="2"/>
            <w:tcBorders>
              <w:top w:val="nil"/>
              <w:left w:val="nil"/>
              <w:bottom w:val="nil"/>
              <w:right w:val="nil"/>
            </w:tcBorders>
          </w:tcPr>
          <w:p>
            <w:pPr>
              <w:pStyle w:val="yTableNAm"/>
              <w:jc w:val="center"/>
            </w:pPr>
            <w:r>
              <w:t>250</w:t>
            </w:r>
          </w:p>
        </w:tc>
        <w:tc>
          <w:tcPr>
            <w:tcW w:w="2410" w:type="dxa"/>
            <w:tcBorders>
              <w:top w:val="nil"/>
              <w:left w:val="nil"/>
              <w:bottom w:val="nil"/>
              <w:right w:val="nil"/>
            </w:tcBorders>
          </w:tcPr>
          <w:p>
            <w:pPr>
              <w:pStyle w:val="yTableNAm"/>
              <w:jc w:val="center"/>
            </w:pPr>
            <w:r>
              <w:t>500</w:t>
            </w:r>
          </w:p>
        </w:tc>
      </w:tr>
      <w:tr>
        <w:trPr>
          <w:gridAfter w:val="1"/>
          <w:wAfter w:w="7" w:type="dxa"/>
        </w:trPr>
        <w:tc>
          <w:tcPr>
            <w:tcW w:w="2977" w:type="dxa"/>
            <w:gridSpan w:val="2"/>
            <w:tcBorders>
              <w:top w:val="nil"/>
              <w:left w:val="nil"/>
              <w:bottom w:val="nil"/>
              <w:right w:val="nil"/>
            </w:tcBorders>
          </w:tcPr>
          <w:p>
            <w:pPr>
              <w:pStyle w:val="yTableNAm"/>
            </w:pPr>
            <w:r>
              <w:t>2.</w:t>
            </w:r>
            <w:r>
              <w:tab/>
              <w:t>regulation 4</w:t>
            </w:r>
          </w:p>
        </w:tc>
        <w:tc>
          <w:tcPr>
            <w:tcW w:w="1843" w:type="dxa"/>
            <w:gridSpan w:val="2"/>
            <w:tcBorders>
              <w:top w:val="nil"/>
              <w:left w:val="nil"/>
              <w:bottom w:val="nil"/>
              <w:right w:val="nil"/>
            </w:tcBorders>
          </w:tcPr>
          <w:p>
            <w:pPr>
              <w:pStyle w:val="yTableNAm"/>
              <w:jc w:val="center"/>
            </w:pPr>
            <w:r>
              <w:t>250</w:t>
            </w:r>
          </w:p>
        </w:tc>
        <w:tc>
          <w:tcPr>
            <w:tcW w:w="2410" w:type="dxa"/>
            <w:tcBorders>
              <w:top w:val="nil"/>
              <w:left w:val="nil"/>
              <w:bottom w:val="nil"/>
              <w:right w:val="nil"/>
            </w:tcBorders>
          </w:tcPr>
          <w:p>
            <w:pPr>
              <w:pStyle w:val="yTableNAm"/>
              <w:jc w:val="center"/>
            </w:pPr>
            <w:r>
              <w:t>500</w:t>
            </w:r>
          </w:p>
        </w:tc>
      </w:tr>
      <w:tr>
        <w:trPr>
          <w:gridAfter w:val="1"/>
          <w:wAfter w:w="7" w:type="dxa"/>
        </w:trPr>
        <w:tc>
          <w:tcPr>
            <w:tcW w:w="2977" w:type="dxa"/>
            <w:gridSpan w:val="2"/>
            <w:tcBorders>
              <w:top w:val="nil"/>
              <w:left w:val="nil"/>
              <w:bottom w:val="nil"/>
              <w:right w:val="nil"/>
            </w:tcBorders>
          </w:tcPr>
          <w:p>
            <w:pPr>
              <w:pStyle w:val="yTableNAm"/>
            </w:pPr>
            <w:r>
              <w:t>3.</w:t>
            </w:r>
            <w:r>
              <w:tab/>
              <w:t>regulation 5(1)</w:t>
            </w:r>
          </w:p>
        </w:tc>
        <w:tc>
          <w:tcPr>
            <w:tcW w:w="1843" w:type="dxa"/>
            <w:gridSpan w:val="2"/>
            <w:tcBorders>
              <w:top w:val="nil"/>
              <w:left w:val="nil"/>
              <w:bottom w:val="nil"/>
              <w:right w:val="nil"/>
            </w:tcBorders>
          </w:tcPr>
          <w:p>
            <w:pPr>
              <w:pStyle w:val="yTableNAm"/>
              <w:jc w:val="center"/>
            </w:pPr>
            <w:r>
              <w:t>250</w:t>
            </w:r>
          </w:p>
        </w:tc>
        <w:tc>
          <w:tcPr>
            <w:tcW w:w="2410" w:type="dxa"/>
            <w:tcBorders>
              <w:top w:val="nil"/>
              <w:left w:val="nil"/>
              <w:bottom w:val="nil"/>
              <w:right w:val="nil"/>
            </w:tcBorders>
          </w:tcPr>
          <w:p>
            <w:pPr>
              <w:pStyle w:val="yTableNAm"/>
              <w:jc w:val="center"/>
            </w:pPr>
            <w:r>
              <w:t>500</w:t>
            </w:r>
          </w:p>
        </w:tc>
      </w:tr>
      <w:tr>
        <w:trPr>
          <w:gridAfter w:val="1"/>
          <w:wAfter w:w="7" w:type="dxa"/>
        </w:trPr>
        <w:tc>
          <w:tcPr>
            <w:tcW w:w="2977" w:type="dxa"/>
            <w:gridSpan w:val="2"/>
            <w:tcBorders>
              <w:top w:val="nil"/>
              <w:left w:val="nil"/>
              <w:bottom w:val="nil"/>
              <w:right w:val="nil"/>
            </w:tcBorders>
          </w:tcPr>
          <w:p>
            <w:pPr>
              <w:pStyle w:val="yTableNAm"/>
            </w:pPr>
            <w:r>
              <w:t>4.</w:t>
            </w:r>
            <w:r>
              <w:tab/>
              <w:t>regulation 5(2)</w:t>
            </w:r>
          </w:p>
        </w:tc>
        <w:tc>
          <w:tcPr>
            <w:tcW w:w="1843" w:type="dxa"/>
            <w:gridSpan w:val="2"/>
            <w:tcBorders>
              <w:top w:val="nil"/>
              <w:left w:val="nil"/>
              <w:bottom w:val="nil"/>
              <w:right w:val="nil"/>
            </w:tcBorders>
          </w:tcPr>
          <w:p>
            <w:pPr>
              <w:pStyle w:val="yTableNAm"/>
              <w:jc w:val="center"/>
            </w:pPr>
            <w:r>
              <w:t>250</w:t>
            </w:r>
          </w:p>
        </w:tc>
        <w:tc>
          <w:tcPr>
            <w:tcW w:w="2410" w:type="dxa"/>
            <w:tcBorders>
              <w:top w:val="nil"/>
              <w:left w:val="nil"/>
              <w:bottom w:val="nil"/>
              <w:right w:val="nil"/>
            </w:tcBorders>
          </w:tcPr>
          <w:p>
            <w:pPr>
              <w:pStyle w:val="yTableNAm"/>
              <w:jc w:val="center"/>
            </w:pPr>
            <w:r>
              <w:t>500</w:t>
            </w:r>
          </w:p>
        </w:tc>
      </w:tr>
      <w:tr>
        <w:trPr>
          <w:gridAfter w:val="1"/>
          <w:wAfter w:w="7" w:type="dxa"/>
        </w:trPr>
        <w:tc>
          <w:tcPr>
            <w:tcW w:w="2977" w:type="dxa"/>
            <w:gridSpan w:val="2"/>
            <w:tcBorders>
              <w:top w:val="nil"/>
              <w:left w:val="nil"/>
              <w:bottom w:val="nil"/>
              <w:right w:val="nil"/>
            </w:tcBorders>
          </w:tcPr>
          <w:p>
            <w:pPr>
              <w:pStyle w:val="yTableNAm"/>
            </w:pPr>
            <w:r>
              <w:t>5.</w:t>
            </w:r>
            <w:r>
              <w:tab/>
              <w:t>regulation 6</w:t>
            </w:r>
          </w:p>
        </w:tc>
        <w:tc>
          <w:tcPr>
            <w:tcW w:w="1843" w:type="dxa"/>
            <w:gridSpan w:val="2"/>
            <w:tcBorders>
              <w:top w:val="nil"/>
              <w:left w:val="nil"/>
              <w:bottom w:val="nil"/>
              <w:right w:val="nil"/>
            </w:tcBorders>
          </w:tcPr>
          <w:p>
            <w:pPr>
              <w:pStyle w:val="yTableNAm"/>
              <w:jc w:val="center"/>
            </w:pPr>
            <w:r>
              <w:t>250</w:t>
            </w:r>
          </w:p>
        </w:tc>
        <w:tc>
          <w:tcPr>
            <w:tcW w:w="2410" w:type="dxa"/>
            <w:tcBorders>
              <w:top w:val="nil"/>
              <w:left w:val="nil"/>
              <w:bottom w:val="nil"/>
              <w:right w:val="nil"/>
            </w:tcBorders>
          </w:tcPr>
          <w:p>
            <w:pPr>
              <w:pStyle w:val="yTableNAm"/>
              <w:jc w:val="center"/>
            </w:pPr>
            <w:r>
              <w:t>500</w:t>
            </w:r>
          </w:p>
        </w:tc>
      </w:tr>
      <w:tr>
        <w:trPr>
          <w:gridAfter w:val="1"/>
          <w:wAfter w:w="7" w:type="dxa"/>
        </w:trPr>
        <w:tc>
          <w:tcPr>
            <w:tcW w:w="2977" w:type="dxa"/>
            <w:gridSpan w:val="2"/>
            <w:tcBorders>
              <w:top w:val="nil"/>
              <w:left w:val="nil"/>
              <w:bottom w:val="nil"/>
              <w:right w:val="nil"/>
            </w:tcBorders>
          </w:tcPr>
          <w:p>
            <w:pPr>
              <w:pStyle w:val="yTableNAm"/>
            </w:pPr>
            <w:r>
              <w:t>6.</w:t>
            </w:r>
            <w:r>
              <w:tab/>
              <w:t>regulation 7(2)</w:t>
            </w:r>
          </w:p>
        </w:tc>
        <w:tc>
          <w:tcPr>
            <w:tcW w:w="1843" w:type="dxa"/>
            <w:gridSpan w:val="2"/>
            <w:tcBorders>
              <w:top w:val="nil"/>
              <w:left w:val="nil"/>
              <w:bottom w:val="nil"/>
              <w:right w:val="nil"/>
            </w:tcBorders>
          </w:tcPr>
          <w:p>
            <w:pPr>
              <w:pStyle w:val="yTableNAm"/>
              <w:jc w:val="center"/>
            </w:pPr>
            <w:r>
              <w:t>250</w:t>
            </w:r>
          </w:p>
        </w:tc>
        <w:tc>
          <w:tcPr>
            <w:tcW w:w="2410" w:type="dxa"/>
            <w:tcBorders>
              <w:top w:val="nil"/>
              <w:left w:val="nil"/>
              <w:bottom w:val="nil"/>
              <w:right w:val="nil"/>
            </w:tcBorders>
          </w:tcPr>
          <w:p>
            <w:pPr>
              <w:pStyle w:val="yTableNAm"/>
              <w:jc w:val="center"/>
            </w:pPr>
            <w:r>
              <w:t>500</w:t>
            </w:r>
          </w:p>
        </w:tc>
      </w:tr>
      <w:tr>
        <w:trPr>
          <w:gridAfter w:val="1"/>
          <w:wAfter w:w="7" w:type="dxa"/>
        </w:trPr>
        <w:tc>
          <w:tcPr>
            <w:tcW w:w="2977" w:type="dxa"/>
            <w:gridSpan w:val="2"/>
            <w:tcBorders>
              <w:top w:val="nil"/>
              <w:left w:val="nil"/>
              <w:bottom w:val="nil"/>
              <w:right w:val="nil"/>
            </w:tcBorders>
          </w:tcPr>
          <w:p>
            <w:pPr>
              <w:pStyle w:val="yTableNAm"/>
            </w:pPr>
            <w:r>
              <w:t>7.</w:t>
            </w:r>
            <w:r>
              <w:tab/>
              <w:t>regulation 7(3)</w:t>
            </w:r>
          </w:p>
        </w:tc>
        <w:tc>
          <w:tcPr>
            <w:tcW w:w="1843" w:type="dxa"/>
            <w:gridSpan w:val="2"/>
            <w:tcBorders>
              <w:top w:val="nil"/>
              <w:left w:val="nil"/>
              <w:bottom w:val="nil"/>
              <w:right w:val="nil"/>
            </w:tcBorders>
          </w:tcPr>
          <w:p>
            <w:pPr>
              <w:pStyle w:val="yTableNAm"/>
              <w:jc w:val="center"/>
            </w:pPr>
            <w:r>
              <w:t>250</w:t>
            </w:r>
          </w:p>
        </w:tc>
        <w:tc>
          <w:tcPr>
            <w:tcW w:w="2410" w:type="dxa"/>
            <w:tcBorders>
              <w:top w:val="nil"/>
              <w:left w:val="nil"/>
              <w:bottom w:val="nil"/>
              <w:right w:val="nil"/>
            </w:tcBorders>
          </w:tcPr>
          <w:p>
            <w:pPr>
              <w:pStyle w:val="yTableNAm"/>
              <w:jc w:val="center"/>
            </w:pPr>
            <w:r>
              <w:t>500</w:t>
            </w:r>
          </w:p>
        </w:tc>
      </w:tr>
      <w:tr>
        <w:trPr>
          <w:gridAfter w:val="1"/>
          <w:wAfter w:w="7" w:type="dxa"/>
        </w:trPr>
        <w:tc>
          <w:tcPr>
            <w:tcW w:w="2977" w:type="dxa"/>
            <w:gridSpan w:val="2"/>
            <w:tcBorders>
              <w:top w:val="nil"/>
              <w:left w:val="nil"/>
              <w:bottom w:val="nil"/>
              <w:right w:val="nil"/>
            </w:tcBorders>
          </w:tcPr>
          <w:p>
            <w:pPr>
              <w:pStyle w:val="yTableNAm"/>
            </w:pPr>
            <w:r>
              <w:t>8.</w:t>
            </w:r>
            <w:r>
              <w:tab/>
              <w:t>regulation 7(4)</w:t>
            </w:r>
          </w:p>
        </w:tc>
        <w:tc>
          <w:tcPr>
            <w:tcW w:w="1843" w:type="dxa"/>
            <w:gridSpan w:val="2"/>
            <w:tcBorders>
              <w:top w:val="nil"/>
              <w:left w:val="nil"/>
              <w:bottom w:val="nil"/>
              <w:right w:val="nil"/>
            </w:tcBorders>
          </w:tcPr>
          <w:p>
            <w:pPr>
              <w:pStyle w:val="yTableNAm"/>
              <w:jc w:val="center"/>
            </w:pPr>
            <w:r>
              <w:t>250</w:t>
            </w:r>
          </w:p>
        </w:tc>
        <w:tc>
          <w:tcPr>
            <w:tcW w:w="2410" w:type="dxa"/>
            <w:tcBorders>
              <w:top w:val="nil"/>
              <w:left w:val="nil"/>
              <w:bottom w:val="nil"/>
              <w:right w:val="nil"/>
            </w:tcBorders>
          </w:tcPr>
          <w:p>
            <w:pPr>
              <w:pStyle w:val="yTableNAm"/>
              <w:jc w:val="center"/>
            </w:pPr>
            <w:r>
              <w:t>500</w:t>
            </w:r>
          </w:p>
        </w:tc>
      </w:tr>
      <w:tr>
        <w:trPr>
          <w:gridAfter w:val="1"/>
          <w:wAfter w:w="7" w:type="dxa"/>
        </w:trPr>
        <w:tc>
          <w:tcPr>
            <w:tcW w:w="2977" w:type="dxa"/>
            <w:gridSpan w:val="2"/>
            <w:tcBorders>
              <w:top w:val="nil"/>
              <w:left w:val="nil"/>
              <w:bottom w:val="nil"/>
              <w:right w:val="nil"/>
            </w:tcBorders>
          </w:tcPr>
          <w:p>
            <w:pPr>
              <w:pStyle w:val="yTableNAm"/>
            </w:pPr>
            <w:r>
              <w:t>9.</w:t>
            </w:r>
            <w:r>
              <w:tab/>
              <w:t>regulation 8</w:t>
            </w:r>
          </w:p>
        </w:tc>
        <w:tc>
          <w:tcPr>
            <w:tcW w:w="1843" w:type="dxa"/>
            <w:gridSpan w:val="2"/>
            <w:tcBorders>
              <w:top w:val="nil"/>
              <w:left w:val="nil"/>
              <w:bottom w:val="nil"/>
              <w:right w:val="nil"/>
            </w:tcBorders>
          </w:tcPr>
          <w:p>
            <w:pPr>
              <w:pStyle w:val="yTableNAm"/>
              <w:jc w:val="center"/>
            </w:pPr>
            <w:r>
              <w:t>250</w:t>
            </w:r>
          </w:p>
        </w:tc>
        <w:tc>
          <w:tcPr>
            <w:tcW w:w="2410" w:type="dxa"/>
            <w:tcBorders>
              <w:top w:val="nil"/>
              <w:left w:val="nil"/>
              <w:bottom w:val="nil"/>
              <w:right w:val="nil"/>
            </w:tcBorders>
          </w:tcPr>
          <w:p>
            <w:pPr>
              <w:pStyle w:val="yTableNAm"/>
              <w:jc w:val="center"/>
            </w:pPr>
            <w:r>
              <w:t>500</w:t>
            </w:r>
          </w:p>
        </w:tc>
      </w:tr>
      <w:tr>
        <w:trPr>
          <w:gridAfter w:val="1"/>
          <w:wAfter w:w="7" w:type="dxa"/>
        </w:trPr>
        <w:tc>
          <w:tcPr>
            <w:tcW w:w="2977" w:type="dxa"/>
            <w:gridSpan w:val="2"/>
            <w:tcBorders>
              <w:top w:val="nil"/>
              <w:left w:val="nil"/>
              <w:bottom w:val="nil"/>
              <w:right w:val="nil"/>
            </w:tcBorders>
          </w:tcPr>
          <w:p>
            <w:pPr>
              <w:pStyle w:val="yTableNAm"/>
              <w:rPr>
                <w:i/>
                <w:iCs/>
              </w:rPr>
            </w:pPr>
            <w:r>
              <w:rPr>
                <w:i/>
                <w:iCs/>
              </w:rPr>
              <w:t>Environmental Protection (Concrete Batching and Cement Product Manufacturing) Regulations 1998</w:t>
            </w:r>
          </w:p>
        </w:tc>
        <w:tc>
          <w:tcPr>
            <w:tcW w:w="1843" w:type="dxa"/>
            <w:gridSpan w:val="2"/>
            <w:tcBorders>
              <w:top w:val="nil"/>
              <w:left w:val="nil"/>
              <w:bottom w:val="nil"/>
              <w:right w:val="nil"/>
            </w:tcBorders>
          </w:tcPr>
          <w:p>
            <w:pPr>
              <w:pStyle w:val="yTableNAm"/>
              <w:rPr>
                <w:i/>
                <w:iCs/>
              </w:rPr>
            </w:pPr>
          </w:p>
        </w:tc>
        <w:tc>
          <w:tcPr>
            <w:tcW w:w="2410" w:type="dxa"/>
            <w:tcBorders>
              <w:top w:val="nil"/>
              <w:left w:val="nil"/>
              <w:bottom w:val="nil"/>
              <w:right w:val="nil"/>
            </w:tcBorders>
          </w:tcPr>
          <w:p>
            <w:pPr>
              <w:pStyle w:val="yTableNAm"/>
              <w:rPr>
                <w:i/>
                <w:iCs/>
              </w:rPr>
            </w:pPr>
          </w:p>
        </w:tc>
      </w:tr>
      <w:tr>
        <w:trPr>
          <w:gridAfter w:val="1"/>
          <w:wAfter w:w="7" w:type="dxa"/>
        </w:trPr>
        <w:tc>
          <w:tcPr>
            <w:tcW w:w="2977" w:type="dxa"/>
            <w:gridSpan w:val="2"/>
            <w:tcBorders>
              <w:top w:val="nil"/>
              <w:left w:val="nil"/>
              <w:bottom w:val="nil"/>
              <w:right w:val="nil"/>
            </w:tcBorders>
          </w:tcPr>
          <w:p>
            <w:pPr>
              <w:pStyle w:val="yTableNAm"/>
            </w:pPr>
            <w:r>
              <w:t>1.</w:t>
            </w:r>
            <w:r>
              <w:tab/>
              <w:t>regulation 3(1)</w:t>
            </w:r>
          </w:p>
        </w:tc>
        <w:tc>
          <w:tcPr>
            <w:tcW w:w="1843" w:type="dxa"/>
            <w:gridSpan w:val="2"/>
            <w:tcBorders>
              <w:top w:val="nil"/>
              <w:left w:val="nil"/>
              <w:bottom w:val="nil"/>
              <w:right w:val="nil"/>
            </w:tcBorders>
          </w:tcPr>
          <w:p>
            <w:pPr>
              <w:pStyle w:val="yTableNAm"/>
              <w:jc w:val="center"/>
            </w:pPr>
            <w:r>
              <w:t>250</w:t>
            </w:r>
          </w:p>
        </w:tc>
        <w:tc>
          <w:tcPr>
            <w:tcW w:w="2410" w:type="dxa"/>
            <w:tcBorders>
              <w:top w:val="nil"/>
              <w:left w:val="nil"/>
              <w:bottom w:val="nil"/>
              <w:right w:val="nil"/>
            </w:tcBorders>
          </w:tcPr>
          <w:p>
            <w:pPr>
              <w:pStyle w:val="yTableNAm"/>
              <w:jc w:val="center"/>
            </w:pPr>
            <w:r>
              <w:t>500</w:t>
            </w:r>
          </w:p>
        </w:tc>
      </w:tr>
      <w:tr>
        <w:trPr>
          <w:gridAfter w:val="1"/>
          <w:wAfter w:w="7" w:type="dxa"/>
        </w:trPr>
        <w:tc>
          <w:tcPr>
            <w:tcW w:w="2977" w:type="dxa"/>
            <w:gridSpan w:val="2"/>
            <w:tcBorders>
              <w:top w:val="nil"/>
              <w:left w:val="nil"/>
              <w:bottom w:val="nil"/>
              <w:right w:val="nil"/>
            </w:tcBorders>
          </w:tcPr>
          <w:p>
            <w:pPr>
              <w:pStyle w:val="yTableNAm"/>
            </w:pPr>
            <w:r>
              <w:t>2.</w:t>
            </w:r>
            <w:r>
              <w:tab/>
              <w:t>regulation 3(2)</w:t>
            </w:r>
          </w:p>
        </w:tc>
        <w:tc>
          <w:tcPr>
            <w:tcW w:w="1843" w:type="dxa"/>
            <w:gridSpan w:val="2"/>
            <w:tcBorders>
              <w:top w:val="nil"/>
              <w:left w:val="nil"/>
              <w:bottom w:val="nil"/>
              <w:right w:val="nil"/>
            </w:tcBorders>
          </w:tcPr>
          <w:p>
            <w:pPr>
              <w:pStyle w:val="yTableNAm"/>
              <w:jc w:val="center"/>
            </w:pPr>
            <w:r>
              <w:t>250</w:t>
            </w:r>
          </w:p>
        </w:tc>
        <w:tc>
          <w:tcPr>
            <w:tcW w:w="2410" w:type="dxa"/>
            <w:tcBorders>
              <w:top w:val="nil"/>
              <w:left w:val="nil"/>
              <w:bottom w:val="nil"/>
              <w:right w:val="nil"/>
            </w:tcBorders>
          </w:tcPr>
          <w:p>
            <w:pPr>
              <w:pStyle w:val="yTableNAm"/>
              <w:jc w:val="center"/>
            </w:pPr>
            <w:r>
              <w:t>500</w:t>
            </w:r>
          </w:p>
        </w:tc>
      </w:tr>
      <w:tr>
        <w:trPr>
          <w:gridAfter w:val="1"/>
          <w:wAfter w:w="7" w:type="dxa"/>
        </w:trPr>
        <w:tc>
          <w:tcPr>
            <w:tcW w:w="2977" w:type="dxa"/>
            <w:gridSpan w:val="2"/>
            <w:tcBorders>
              <w:top w:val="nil"/>
              <w:left w:val="nil"/>
              <w:bottom w:val="nil"/>
              <w:right w:val="nil"/>
            </w:tcBorders>
          </w:tcPr>
          <w:p>
            <w:pPr>
              <w:pStyle w:val="yTableNAm"/>
            </w:pPr>
            <w:r>
              <w:t>3.</w:t>
            </w:r>
            <w:r>
              <w:tab/>
              <w:t>regulation 4(1)</w:t>
            </w:r>
          </w:p>
        </w:tc>
        <w:tc>
          <w:tcPr>
            <w:tcW w:w="1843" w:type="dxa"/>
            <w:gridSpan w:val="2"/>
            <w:tcBorders>
              <w:top w:val="nil"/>
              <w:left w:val="nil"/>
              <w:bottom w:val="nil"/>
              <w:right w:val="nil"/>
            </w:tcBorders>
          </w:tcPr>
          <w:p>
            <w:pPr>
              <w:pStyle w:val="yTableNAm"/>
              <w:jc w:val="center"/>
            </w:pPr>
            <w:r>
              <w:t>250</w:t>
            </w:r>
          </w:p>
        </w:tc>
        <w:tc>
          <w:tcPr>
            <w:tcW w:w="2410" w:type="dxa"/>
            <w:tcBorders>
              <w:top w:val="nil"/>
              <w:left w:val="nil"/>
              <w:bottom w:val="nil"/>
              <w:right w:val="nil"/>
            </w:tcBorders>
          </w:tcPr>
          <w:p>
            <w:pPr>
              <w:pStyle w:val="yTableNAm"/>
              <w:jc w:val="center"/>
            </w:pPr>
            <w:r>
              <w:t>500</w:t>
            </w:r>
          </w:p>
        </w:tc>
      </w:tr>
      <w:tr>
        <w:trPr>
          <w:gridAfter w:val="1"/>
          <w:wAfter w:w="7" w:type="dxa"/>
        </w:trPr>
        <w:tc>
          <w:tcPr>
            <w:tcW w:w="2977" w:type="dxa"/>
            <w:gridSpan w:val="2"/>
            <w:tcBorders>
              <w:top w:val="nil"/>
              <w:left w:val="nil"/>
              <w:bottom w:val="nil"/>
              <w:right w:val="nil"/>
            </w:tcBorders>
          </w:tcPr>
          <w:p>
            <w:pPr>
              <w:pStyle w:val="yTableNAm"/>
            </w:pPr>
            <w:r>
              <w:t>4.</w:t>
            </w:r>
            <w:r>
              <w:tab/>
              <w:t>regulation 4(2)</w:t>
            </w:r>
          </w:p>
        </w:tc>
        <w:tc>
          <w:tcPr>
            <w:tcW w:w="1843" w:type="dxa"/>
            <w:gridSpan w:val="2"/>
            <w:tcBorders>
              <w:top w:val="nil"/>
              <w:left w:val="nil"/>
              <w:bottom w:val="nil"/>
              <w:right w:val="nil"/>
            </w:tcBorders>
          </w:tcPr>
          <w:p>
            <w:pPr>
              <w:pStyle w:val="yTableNAm"/>
              <w:jc w:val="center"/>
            </w:pPr>
            <w:r>
              <w:t>250</w:t>
            </w:r>
          </w:p>
        </w:tc>
        <w:tc>
          <w:tcPr>
            <w:tcW w:w="2410" w:type="dxa"/>
            <w:tcBorders>
              <w:top w:val="nil"/>
              <w:left w:val="nil"/>
              <w:bottom w:val="nil"/>
              <w:right w:val="nil"/>
            </w:tcBorders>
          </w:tcPr>
          <w:p>
            <w:pPr>
              <w:pStyle w:val="yTableNAm"/>
              <w:jc w:val="center"/>
            </w:pPr>
            <w:r>
              <w:t>500</w:t>
            </w:r>
          </w:p>
        </w:tc>
      </w:tr>
      <w:tr>
        <w:trPr>
          <w:gridAfter w:val="1"/>
          <w:wAfter w:w="7" w:type="dxa"/>
        </w:trPr>
        <w:tc>
          <w:tcPr>
            <w:tcW w:w="2977" w:type="dxa"/>
            <w:gridSpan w:val="2"/>
            <w:tcBorders>
              <w:top w:val="nil"/>
              <w:left w:val="nil"/>
              <w:bottom w:val="nil"/>
              <w:right w:val="nil"/>
            </w:tcBorders>
          </w:tcPr>
          <w:p>
            <w:pPr>
              <w:pStyle w:val="yTableNAm"/>
            </w:pPr>
            <w:r>
              <w:t>5.</w:t>
            </w:r>
            <w:r>
              <w:tab/>
              <w:t>regulation 5(1)</w:t>
            </w:r>
          </w:p>
        </w:tc>
        <w:tc>
          <w:tcPr>
            <w:tcW w:w="1843" w:type="dxa"/>
            <w:gridSpan w:val="2"/>
            <w:tcBorders>
              <w:top w:val="nil"/>
              <w:left w:val="nil"/>
              <w:bottom w:val="nil"/>
              <w:right w:val="nil"/>
            </w:tcBorders>
          </w:tcPr>
          <w:p>
            <w:pPr>
              <w:pStyle w:val="yTableNAm"/>
              <w:jc w:val="center"/>
            </w:pPr>
            <w:r>
              <w:t>250</w:t>
            </w:r>
          </w:p>
        </w:tc>
        <w:tc>
          <w:tcPr>
            <w:tcW w:w="2410" w:type="dxa"/>
            <w:tcBorders>
              <w:top w:val="nil"/>
              <w:left w:val="nil"/>
              <w:bottom w:val="nil"/>
              <w:right w:val="nil"/>
            </w:tcBorders>
          </w:tcPr>
          <w:p>
            <w:pPr>
              <w:pStyle w:val="yTableNAm"/>
              <w:jc w:val="center"/>
            </w:pPr>
            <w:r>
              <w:t>500</w:t>
            </w:r>
          </w:p>
        </w:tc>
      </w:tr>
      <w:tr>
        <w:trPr>
          <w:gridAfter w:val="1"/>
          <w:wAfter w:w="7" w:type="dxa"/>
        </w:trPr>
        <w:tc>
          <w:tcPr>
            <w:tcW w:w="2977" w:type="dxa"/>
            <w:gridSpan w:val="2"/>
            <w:tcBorders>
              <w:top w:val="nil"/>
              <w:left w:val="nil"/>
              <w:bottom w:val="nil"/>
              <w:right w:val="nil"/>
            </w:tcBorders>
          </w:tcPr>
          <w:p>
            <w:pPr>
              <w:pStyle w:val="yTableNAm"/>
            </w:pPr>
            <w:r>
              <w:t>6.</w:t>
            </w:r>
            <w:r>
              <w:tab/>
              <w:t>regulation 5(2)</w:t>
            </w:r>
          </w:p>
        </w:tc>
        <w:tc>
          <w:tcPr>
            <w:tcW w:w="1843" w:type="dxa"/>
            <w:gridSpan w:val="2"/>
            <w:tcBorders>
              <w:top w:val="nil"/>
              <w:left w:val="nil"/>
              <w:bottom w:val="nil"/>
              <w:right w:val="nil"/>
            </w:tcBorders>
          </w:tcPr>
          <w:p>
            <w:pPr>
              <w:pStyle w:val="yTableNAm"/>
              <w:jc w:val="center"/>
            </w:pPr>
            <w:r>
              <w:t>250</w:t>
            </w:r>
          </w:p>
        </w:tc>
        <w:tc>
          <w:tcPr>
            <w:tcW w:w="2410" w:type="dxa"/>
            <w:tcBorders>
              <w:top w:val="nil"/>
              <w:left w:val="nil"/>
              <w:bottom w:val="nil"/>
              <w:right w:val="nil"/>
            </w:tcBorders>
          </w:tcPr>
          <w:p>
            <w:pPr>
              <w:pStyle w:val="yTableNAm"/>
              <w:jc w:val="center"/>
            </w:pPr>
            <w:r>
              <w:t>500</w:t>
            </w:r>
          </w:p>
        </w:tc>
      </w:tr>
      <w:tr>
        <w:trPr>
          <w:gridAfter w:val="1"/>
          <w:wAfter w:w="7" w:type="dxa"/>
        </w:trPr>
        <w:tc>
          <w:tcPr>
            <w:tcW w:w="2977" w:type="dxa"/>
            <w:gridSpan w:val="2"/>
            <w:tcBorders>
              <w:top w:val="nil"/>
              <w:left w:val="nil"/>
              <w:bottom w:val="nil"/>
              <w:right w:val="nil"/>
            </w:tcBorders>
          </w:tcPr>
          <w:p>
            <w:pPr>
              <w:pStyle w:val="yTableNAm"/>
            </w:pPr>
            <w:r>
              <w:t>7.</w:t>
            </w:r>
            <w:r>
              <w:tab/>
              <w:t>regulation 5(3)</w:t>
            </w:r>
          </w:p>
        </w:tc>
        <w:tc>
          <w:tcPr>
            <w:tcW w:w="1843" w:type="dxa"/>
            <w:gridSpan w:val="2"/>
            <w:tcBorders>
              <w:top w:val="nil"/>
              <w:left w:val="nil"/>
              <w:bottom w:val="nil"/>
              <w:right w:val="nil"/>
            </w:tcBorders>
          </w:tcPr>
          <w:p>
            <w:pPr>
              <w:pStyle w:val="yTableNAm"/>
              <w:jc w:val="center"/>
            </w:pPr>
            <w:r>
              <w:t>250</w:t>
            </w:r>
          </w:p>
        </w:tc>
        <w:tc>
          <w:tcPr>
            <w:tcW w:w="2410" w:type="dxa"/>
            <w:tcBorders>
              <w:top w:val="nil"/>
              <w:left w:val="nil"/>
              <w:bottom w:val="nil"/>
              <w:right w:val="nil"/>
            </w:tcBorders>
          </w:tcPr>
          <w:p>
            <w:pPr>
              <w:pStyle w:val="yTableNAm"/>
              <w:jc w:val="center"/>
            </w:pPr>
            <w:r>
              <w:t>500</w:t>
            </w:r>
          </w:p>
        </w:tc>
      </w:tr>
      <w:tr>
        <w:trPr>
          <w:gridAfter w:val="1"/>
          <w:wAfter w:w="7" w:type="dxa"/>
        </w:trPr>
        <w:tc>
          <w:tcPr>
            <w:tcW w:w="2977" w:type="dxa"/>
            <w:gridSpan w:val="2"/>
            <w:tcBorders>
              <w:top w:val="nil"/>
              <w:left w:val="nil"/>
              <w:bottom w:val="nil"/>
              <w:right w:val="nil"/>
            </w:tcBorders>
          </w:tcPr>
          <w:p>
            <w:pPr>
              <w:pStyle w:val="yTableNAm"/>
            </w:pPr>
            <w:r>
              <w:t>8.</w:t>
            </w:r>
            <w:r>
              <w:tab/>
              <w:t>regulation 5(4)</w:t>
            </w:r>
          </w:p>
        </w:tc>
        <w:tc>
          <w:tcPr>
            <w:tcW w:w="1843" w:type="dxa"/>
            <w:gridSpan w:val="2"/>
            <w:tcBorders>
              <w:top w:val="nil"/>
              <w:left w:val="nil"/>
              <w:bottom w:val="nil"/>
              <w:right w:val="nil"/>
            </w:tcBorders>
          </w:tcPr>
          <w:p>
            <w:pPr>
              <w:pStyle w:val="yTableNAm"/>
              <w:jc w:val="center"/>
            </w:pPr>
            <w:r>
              <w:t>250</w:t>
            </w:r>
          </w:p>
        </w:tc>
        <w:tc>
          <w:tcPr>
            <w:tcW w:w="2410" w:type="dxa"/>
            <w:tcBorders>
              <w:top w:val="nil"/>
              <w:left w:val="nil"/>
              <w:bottom w:val="nil"/>
              <w:right w:val="nil"/>
            </w:tcBorders>
          </w:tcPr>
          <w:p>
            <w:pPr>
              <w:pStyle w:val="yTableNAm"/>
              <w:jc w:val="center"/>
            </w:pPr>
            <w:r>
              <w:t>500</w:t>
            </w:r>
          </w:p>
        </w:tc>
      </w:tr>
      <w:tr>
        <w:trPr>
          <w:gridAfter w:val="1"/>
          <w:wAfter w:w="7" w:type="dxa"/>
        </w:trPr>
        <w:tc>
          <w:tcPr>
            <w:tcW w:w="2977" w:type="dxa"/>
            <w:gridSpan w:val="2"/>
            <w:tcBorders>
              <w:top w:val="nil"/>
              <w:left w:val="nil"/>
              <w:bottom w:val="nil"/>
              <w:right w:val="nil"/>
            </w:tcBorders>
          </w:tcPr>
          <w:p>
            <w:pPr>
              <w:pStyle w:val="yTableNAm"/>
            </w:pPr>
            <w:r>
              <w:t>9.</w:t>
            </w:r>
            <w:r>
              <w:tab/>
              <w:t>regulation 6(1)</w:t>
            </w:r>
          </w:p>
        </w:tc>
        <w:tc>
          <w:tcPr>
            <w:tcW w:w="1843" w:type="dxa"/>
            <w:gridSpan w:val="2"/>
            <w:tcBorders>
              <w:top w:val="nil"/>
              <w:left w:val="nil"/>
              <w:bottom w:val="nil"/>
              <w:right w:val="nil"/>
            </w:tcBorders>
          </w:tcPr>
          <w:p>
            <w:pPr>
              <w:pStyle w:val="yTableNAm"/>
              <w:jc w:val="center"/>
            </w:pPr>
            <w:r>
              <w:t>250</w:t>
            </w:r>
          </w:p>
        </w:tc>
        <w:tc>
          <w:tcPr>
            <w:tcW w:w="2410" w:type="dxa"/>
            <w:tcBorders>
              <w:top w:val="nil"/>
              <w:left w:val="nil"/>
              <w:bottom w:val="nil"/>
              <w:right w:val="nil"/>
            </w:tcBorders>
          </w:tcPr>
          <w:p>
            <w:pPr>
              <w:pStyle w:val="yTableNAm"/>
              <w:jc w:val="center"/>
            </w:pPr>
            <w:r>
              <w:t>500</w:t>
            </w:r>
          </w:p>
        </w:tc>
      </w:tr>
      <w:tr>
        <w:trPr>
          <w:gridAfter w:val="1"/>
          <w:wAfter w:w="7" w:type="dxa"/>
        </w:trPr>
        <w:tc>
          <w:tcPr>
            <w:tcW w:w="2977" w:type="dxa"/>
            <w:gridSpan w:val="2"/>
            <w:tcBorders>
              <w:top w:val="nil"/>
              <w:left w:val="nil"/>
              <w:bottom w:val="nil"/>
              <w:right w:val="nil"/>
            </w:tcBorders>
          </w:tcPr>
          <w:p>
            <w:pPr>
              <w:pStyle w:val="yTableNAm"/>
            </w:pPr>
            <w:r>
              <w:t>10.</w:t>
            </w:r>
            <w:r>
              <w:tab/>
              <w:t>regulation 6(3)</w:t>
            </w:r>
          </w:p>
        </w:tc>
        <w:tc>
          <w:tcPr>
            <w:tcW w:w="1843" w:type="dxa"/>
            <w:gridSpan w:val="2"/>
            <w:tcBorders>
              <w:top w:val="nil"/>
              <w:left w:val="nil"/>
              <w:bottom w:val="nil"/>
              <w:right w:val="nil"/>
            </w:tcBorders>
          </w:tcPr>
          <w:p>
            <w:pPr>
              <w:pStyle w:val="yTableNAm"/>
              <w:jc w:val="center"/>
            </w:pPr>
            <w:r>
              <w:t>250</w:t>
            </w:r>
          </w:p>
        </w:tc>
        <w:tc>
          <w:tcPr>
            <w:tcW w:w="2410" w:type="dxa"/>
            <w:tcBorders>
              <w:top w:val="nil"/>
              <w:left w:val="nil"/>
              <w:bottom w:val="nil"/>
              <w:right w:val="nil"/>
            </w:tcBorders>
          </w:tcPr>
          <w:p>
            <w:pPr>
              <w:pStyle w:val="yTableNAm"/>
              <w:jc w:val="center"/>
            </w:pPr>
            <w:r>
              <w:t>500</w:t>
            </w:r>
          </w:p>
        </w:tc>
      </w:tr>
      <w:tr>
        <w:trPr>
          <w:gridAfter w:val="1"/>
          <w:wAfter w:w="7" w:type="dxa"/>
        </w:trPr>
        <w:tc>
          <w:tcPr>
            <w:tcW w:w="2977" w:type="dxa"/>
            <w:gridSpan w:val="2"/>
            <w:tcBorders>
              <w:top w:val="nil"/>
              <w:left w:val="nil"/>
              <w:bottom w:val="nil"/>
              <w:right w:val="nil"/>
            </w:tcBorders>
          </w:tcPr>
          <w:p>
            <w:pPr>
              <w:pStyle w:val="yTableNAm"/>
            </w:pPr>
            <w:r>
              <w:t>11.</w:t>
            </w:r>
            <w:r>
              <w:tab/>
              <w:t>regulation 6(4)</w:t>
            </w:r>
          </w:p>
        </w:tc>
        <w:tc>
          <w:tcPr>
            <w:tcW w:w="1843" w:type="dxa"/>
            <w:gridSpan w:val="2"/>
            <w:tcBorders>
              <w:top w:val="nil"/>
              <w:left w:val="nil"/>
              <w:bottom w:val="nil"/>
              <w:right w:val="nil"/>
            </w:tcBorders>
          </w:tcPr>
          <w:p>
            <w:pPr>
              <w:pStyle w:val="yTableNAm"/>
              <w:jc w:val="center"/>
            </w:pPr>
            <w:r>
              <w:t>250</w:t>
            </w:r>
          </w:p>
        </w:tc>
        <w:tc>
          <w:tcPr>
            <w:tcW w:w="2410" w:type="dxa"/>
            <w:tcBorders>
              <w:top w:val="nil"/>
              <w:left w:val="nil"/>
              <w:bottom w:val="nil"/>
              <w:right w:val="nil"/>
            </w:tcBorders>
          </w:tcPr>
          <w:p>
            <w:pPr>
              <w:pStyle w:val="yTableNAm"/>
              <w:jc w:val="center"/>
            </w:pPr>
            <w:r>
              <w:t>500</w:t>
            </w:r>
          </w:p>
        </w:tc>
      </w:tr>
      <w:tr>
        <w:trPr>
          <w:gridAfter w:val="1"/>
          <w:wAfter w:w="7" w:type="dxa"/>
        </w:trPr>
        <w:tc>
          <w:tcPr>
            <w:tcW w:w="2977" w:type="dxa"/>
            <w:gridSpan w:val="2"/>
            <w:tcBorders>
              <w:top w:val="nil"/>
              <w:left w:val="nil"/>
              <w:bottom w:val="nil"/>
              <w:right w:val="nil"/>
            </w:tcBorders>
          </w:tcPr>
          <w:p>
            <w:pPr>
              <w:pStyle w:val="yTableNAm"/>
            </w:pPr>
            <w:r>
              <w:t>12.</w:t>
            </w:r>
            <w:r>
              <w:tab/>
              <w:t>regulation 7(2)</w:t>
            </w:r>
          </w:p>
        </w:tc>
        <w:tc>
          <w:tcPr>
            <w:tcW w:w="1843" w:type="dxa"/>
            <w:gridSpan w:val="2"/>
            <w:tcBorders>
              <w:top w:val="nil"/>
              <w:left w:val="nil"/>
              <w:bottom w:val="nil"/>
              <w:right w:val="nil"/>
            </w:tcBorders>
          </w:tcPr>
          <w:p>
            <w:pPr>
              <w:pStyle w:val="yTableNAm"/>
              <w:jc w:val="center"/>
            </w:pPr>
            <w:r>
              <w:t>250</w:t>
            </w:r>
          </w:p>
        </w:tc>
        <w:tc>
          <w:tcPr>
            <w:tcW w:w="2410" w:type="dxa"/>
            <w:tcBorders>
              <w:top w:val="nil"/>
              <w:left w:val="nil"/>
              <w:bottom w:val="nil"/>
              <w:right w:val="nil"/>
            </w:tcBorders>
          </w:tcPr>
          <w:p>
            <w:pPr>
              <w:pStyle w:val="yTableNAm"/>
              <w:jc w:val="center"/>
            </w:pPr>
            <w:r>
              <w:t>500</w:t>
            </w:r>
          </w:p>
        </w:tc>
      </w:tr>
      <w:tr>
        <w:trPr>
          <w:gridAfter w:val="1"/>
          <w:wAfter w:w="7" w:type="dxa"/>
        </w:trPr>
        <w:tc>
          <w:tcPr>
            <w:tcW w:w="2977" w:type="dxa"/>
            <w:gridSpan w:val="2"/>
            <w:tcBorders>
              <w:top w:val="nil"/>
              <w:left w:val="nil"/>
              <w:bottom w:val="nil"/>
              <w:right w:val="nil"/>
            </w:tcBorders>
          </w:tcPr>
          <w:p>
            <w:pPr>
              <w:pStyle w:val="yTableNAm"/>
            </w:pPr>
            <w:r>
              <w:t>13.</w:t>
            </w:r>
            <w:r>
              <w:tab/>
              <w:t>regulation 7(3)</w:t>
            </w:r>
          </w:p>
        </w:tc>
        <w:tc>
          <w:tcPr>
            <w:tcW w:w="1843" w:type="dxa"/>
            <w:gridSpan w:val="2"/>
            <w:tcBorders>
              <w:top w:val="nil"/>
              <w:left w:val="nil"/>
              <w:bottom w:val="nil"/>
              <w:right w:val="nil"/>
            </w:tcBorders>
          </w:tcPr>
          <w:p>
            <w:pPr>
              <w:pStyle w:val="yTableNAm"/>
              <w:jc w:val="center"/>
            </w:pPr>
            <w:r>
              <w:t>250</w:t>
            </w:r>
          </w:p>
        </w:tc>
        <w:tc>
          <w:tcPr>
            <w:tcW w:w="2410" w:type="dxa"/>
            <w:tcBorders>
              <w:top w:val="nil"/>
              <w:left w:val="nil"/>
              <w:bottom w:val="nil"/>
              <w:right w:val="nil"/>
            </w:tcBorders>
          </w:tcPr>
          <w:p>
            <w:pPr>
              <w:pStyle w:val="yTableNAm"/>
              <w:jc w:val="center"/>
            </w:pPr>
            <w:r>
              <w:t>500</w:t>
            </w:r>
          </w:p>
        </w:tc>
      </w:tr>
      <w:tr>
        <w:trPr>
          <w:gridAfter w:val="1"/>
          <w:wAfter w:w="7" w:type="dxa"/>
        </w:trPr>
        <w:tc>
          <w:tcPr>
            <w:tcW w:w="2977" w:type="dxa"/>
            <w:gridSpan w:val="2"/>
            <w:tcBorders>
              <w:top w:val="nil"/>
              <w:left w:val="nil"/>
              <w:bottom w:val="nil"/>
              <w:right w:val="nil"/>
            </w:tcBorders>
          </w:tcPr>
          <w:p>
            <w:pPr>
              <w:pStyle w:val="yTableNAm"/>
            </w:pPr>
            <w:r>
              <w:t>14.</w:t>
            </w:r>
            <w:r>
              <w:tab/>
              <w:t>regulation 7(4)</w:t>
            </w:r>
          </w:p>
        </w:tc>
        <w:tc>
          <w:tcPr>
            <w:tcW w:w="1843" w:type="dxa"/>
            <w:gridSpan w:val="2"/>
            <w:tcBorders>
              <w:top w:val="nil"/>
              <w:left w:val="nil"/>
              <w:bottom w:val="nil"/>
              <w:right w:val="nil"/>
            </w:tcBorders>
          </w:tcPr>
          <w:p>
            <w:pPr>
              <w:pStyle w:val="yTableNAm"/>
              <w:jc w:val="center"/>
            </w:pPr>
            <w:r>
              <w:t>250</w:t>
            </w:r>
          </w:p>
        </w:tc>
        <w:tc>
          <w:tcPr>
            <w:tcW w:w="2410" w:type="dxa"/>
            <w:tcBorders>
              <w:top w:val="nil"/>
              <w:left w:val="nil"/>
              <w:bottom w:val="nil"/>
              <w:right w:val="nil"/>
            </w:tcBorders>
          </w:tcPr>
          <w:p>
            <w:pPr>
              <w:pStyle w:val="yTableNAm"/>
              <w:jc w:val="center"/>
            </w:pPr>
            <w:r>
              <w:t>500</w:t>
            </w:r>
          </w:p>
        </w:tc>
      </w:tr>
      <w:tr>
        <w:trPr>
          <w:gridAfter w:val="1"/>
          <w:wAfter w:w="7" w:type="dxa"/>
        </w:trPr>
        <w:tc>
          <w:tcPr>
            <w:tcW w:w="2977" w:type="dxa"/>
            <w:gridSpan w:val="2"/>
            <w:tcBorders>
              <w:top w:val="nil"/>
              <w:left w:val="nil"/>
              <w:bottom w:val="nil"/>
              <w:right w:val="nil"/>
            </w:tcBorders>
          </w:tcPr>
          <w:p>
            <w:pPr>
              <w:pStyle w:val="yTableNAm"/>
            </w:pPr>
            <w:r>
              <w:t>15.</w:t>
            </w:r>
            <w:r>
              <w:tab/>
              <w:t>regulation 8(2)</w:t>
            </w:r>
          </w:p>
        </w:tc>
        <w:tc>
          <w:tcPr>
            <w:tcW w:w="1843" w:type="dxa"/>
            <w:gridSpan w:val="2"/>
            <w:tcBorders>
              <w:top w:val="nil"/>
              <w:left w:val="nil"/>
              <w:bottom w:val="nil"/>
              <w:right w:val="nil"/>
            </w:tcBorders>
          </w:tcPr>
          <w:p>
            <w:pPr>
              <w:pStyle w:val="yTableNAm"/>
              <w:jc w:val="center"/>
            </w:pPr>
            <w:r>
              <w:t>250</w:t>
            </w:r>
          </w:p>
        </w:tc>
        <w:tc>
          <w:tcPr>
            <w:tcW w:w="2410" w:type="dxa"/>
            <w:tcBorders>
              <w:top w:val="nil"/>
              <w:left w:val="nil"/>
              <w:bottom w:val="nil"/>
              <w:right w:val="nil"/>
            </w:tcBorders>
          </w:tcPr>
          <w:p>
            <w:pPr>
              <w:pStyle w:val="yTableNAm"/>
              <w:jc w:val="center"/>
            </w:pPr>
            <w:r>
              <w:t>500</w:t>
            </w:r>
          </w:p>
        </w:tc>
      </w:tr>
      <w:tr>
        <w:trPr>
          <w:gridAfter w:val="1"/>
          <w:wAfter w:w="7" w:type="dxa"/>
        </w:trPr>
        <w:tc>
          <w:tcPr>
            <w:tcW w:w="2977" w:type="dxa"/>
            <w:gridSpan w:val="2"/>
            <w:tcBorders>
              <w:top w:val="nil"/>
              <w:left w:val="nil"/>
              <w:bottom w:val="nil"/>
              <w:right w:val="nil"/>
            </w:tcBorders>
          </w:tcPr>
          <w:p>
            <w:pPr>
              <w:pStyle w:val="yTableNAm"/>
            </w:pPr>
            <w:r>
              <w:t>16.</w:t>
            </w:r>
            <w:r>
              <w:tab/>
              <w:t>regulation 9(1)</w:t>
            </w:r>
          </w:p>
        </w:tc>
        <w:tc>
          <w:tcPr>
            <w:tcW w:w="1843" w:type="dxa"/>
            <w:gridSpan w:val="2"/>
            <w:tcBorders>
              <w:top w:val="nil"/>
              <w:left w:val="nil"/>
              <w:bottom w:val="nil"/>
              <w:right w:val="nil"/>
            </w:tcBorders>
          </w:tcPr>
          <w:p>
            <w:pPr>
              <w:pStyle w:val="yTableNAm"/>
              <w:jc w:val="center"/>
            </w:pPr>
            <w:r>
              <w:t>250</w:t>
            </w:r>
          </w:p>
        </w:tc>
        <w:tc>
          <w:tcPr>
            <w:tcW w:w="2410" w:type="dxa"/>
            <w:tcBorders>
              <w:top w:val="nil"/>
              <w:left w:val="nil"/>
              <w:bottom w:val="nil"/>
              <w:right w:val="nil"/>
            </w:tcBorders>
          </w:tcPr>
          <w:p>
            <w:pPr>
              <w:pStyle w:val="yTableNAm"/>
              <w:jc w:val="center"/>
            </w:pPr>
            <w:r>
              <w:t>500</w:t>
            </w:r>
          </w:p>
        </w:tc>
      </w:tr>
      <w:tr>
        <w:trPr>
          <w:gridAfter w:val="1"/>
          <w:wAfter w:w="7" w:type="dxa"/>
        </w:trPr>
        <w:tc>
          <w:tcPr>
            <w:tcW w:w="2977" w:type="dxa"/>
            <w:gridSpan w:val="2"/>
            <w:tcBorders>
              <w:top w:val="nil"/>
              <w:left w:val="nil"/>
              <w:bottom w:val="nil"/>
              <w:right w:val="nil"/>
            </w:tcBorders>
          </w:tcPr>
          <w:p>
            <w:pPr>
              <w:pStyle w:val="yTableNAm"/>
            </w:pPr>
            <w:r>
              <w:t>17.</w:t>
            </w:r>
            <w:r>
              <w:tab/>
              <w:t>regulation 9(2)</w:t>
            </w:r>
          </w:p>
        </w:tc>
        <w:tc>
          <w:tcPr>
            <w:tcW w:w="1843" w:type="dxa"/>
            <w:gridSpan w:val="2"/>
            <w:tcBorders>
              <w:top w:val="nil"/>
              <w:left w:val="nil"/>
              <w:bottom w:val="nil"/>
              <w:right w:val="nil"/>
            </w:tcBorders>
          </w:tcPr>
          <w:p>
            <w:pPr>
              <w:pStyle w:val="yTableNAm"/>
              <w:jc w:val="center"/>
            </w:pPr>
            <w:r>
              <w:t>250</w:t>
            </w:r>
          </w:p>
        </w:tc>
        <w:tc>
          <w:tcPr>
            <w:tcW w:w="2410" w:type="dxa"/>
            <w:tcBorders>
              <w:top w:val="nil"/>
              <w:left w:val="nil"/>
              <w:bottom w:val="nil"/>
              <w:right w:val="nil"/>
            </w:tcBorders>
          </w:tcPr>
          <w:p>
            <w:pPr>
              <w:pStyle w:val="yTableNAm"/>
              <w:jc w:val="center"/>
            </w:pPr>
            <w:r>
              <w:t>500</w:t>
            </w:r>
          </w:p>
        </w:tc>
      </w:tr>
      <w:tr>
        <w:trPr>
          <w:gridAfter w:val="1"/>
          <w:wAfter w:w="7" w:type="dxa"/>
        </w:trPr>
        <w:tc>
          <w:tcPr>
            <w:tcW w:w="2977" w:type="dxa"/>
            <w:gridSpan w:val="2"/>
            <w:tcBorders>
              <w:top w:val="nil"/>
              <w:left w:val="nil"/>
              <w:bottom w:val="nil"/>
              <w:right w:val="nil"/>
            </w:tcBorders>
          </w:tcPr>
          <w:p>
            <w:pPr>
              <w:pStyle w:val="yTableNAm"/>
            </w:pPr>
            <w:r>
              <w:t>18.</w:t>
            </w:r>
            <w:r>
              <w:tab/>
              <w:t>regulation 10(1)</w:t>
            </w:r>
          </w:p>
        </w:tc>
        <w:tc>
          <w:tcPr>
            <w:tcW w:w="1843" w:type="dxa"/>
            <w:gridSpan w:val="2"/>
            <w:tcBorders>
              <w:top w:val="nil"/>
              <w:left w:val="nil"/>
              <w:bottom w:val="nil"/>
              <w:right w:val="nil"/>
            </w:tcBorders>
          </w:tcPr>
          <w:p>
            <w:pPr>
              <w:pStyle w:val="yTableNAm"/>
              <w:jc w:val="center"/>
            </w:pPr>
            <w:r>
              <w:t>250</w:t>
            </w:r>
          </w:p>
        </w:tc>
        <w:tc>
          <w:tcPr>
            <w:tcW w:w="2410" w:type="dxa"/>
            <w:tcBorders>
              <w:top w:val="nil"/>
              <w:left w:val="nil"/>
              <w:bottom w:val="nil"/>
              <w:right w:val="nil"/>
            </w:tcBorders>
          </w:tcPr>
          <w:p>
            <w:pPr>
              <w:pStyle w:val="yTableNAm"/>
              <w:jc w:val="center"/>
            </w:pPr>
            <w:r>
              <w:t>500</w:t>
            </w:r>
          </w:p>
        </w:tc>
      </w:tr>
      <w:tr>
        <w:trPr>
          <w:gridAfter w:val="1"/>
          <w:wAfter w:w="7" w:type="dxa"/>
        </w:trPr>
        <w:tc>
          <w:tcPr>
            <w:tcW w:w="2977" w:type="dxa"/>
            <w:gridSpan w:val="2"/>
            <w:tcBorders>
              <w:top w:val="nil"/>
              <w:left w:val="nil"/>
              <w:bottom w:val="nil"/>
              <w:right w:val="nil"/>
            </w:tcBorders>
          </w:tcPr>
          <w:p>
            <w:pPr>
              <w:pStyle w:val="yTableNAm"/>
            </w:pPr>
            <w:r>
              <w:t>19.</w:t>
            </w:r>
            <w:r>
              <w:tab/>
              <w:t>regulation 10(2)</w:t>
            </w:r>
          </w:p>
        </w:tc>
        <w:tc>
          <w:tcPr>
            <w:tcW w:w="1843" w:type="dxa"/>
            <w:gridSpan w:val="2"/>
            <w:tcBorders>
              <w:top w:val="nil"/>
              <w:left w:val="nil"/>
              <w:bottom w:val="nil"/>
              <w:right w:val="nil"/>
            </w:tcBorders>
          </w:tcPr>
          <w:p>
            <w:pPr>
              <w:pStyle w:val="yTableNAm"/>
              <w:jc w:val="center"/>
            </w:pPr>
            <w:r>
              <w:t>250</w:t>
            </w:r>
          </w:p>
        </w:tc>
        <w:tc>
          <w:tcPr>
            <w:tcW w:w="2410" w:type="dxa"/>
            <w:tcBorders>
              <w:top w:val="nil"/>
              <w:left w:val="nil"/>
              <w:bottom w:val="nil"/>
              <w:right w:val="nil"/>
            </w:tcBorders>
          </w:tcPr>
          <w:p>
            <w:pPr>
              <w:pStyle w:val="yTableNAm"/>
              <w:jc w:val="center"/>
            </w:pPr>
            <w:r>
              <w:t>500</w:t>
            </w:r>
          </w:p>
        </w:tc>
      </w:tr>
      <w:tr>
        <w:trPr>
          <w:gridAfter w:val="1"/>
          <w:wAfter w:w="7" w:type="dxa"/>
        </w:trPr>
        <w:tc>
          <w:tcPr>
            <w:tcW w:w="2977" w:type="dxa"/>
            <w:gridSpan w:val="2"/>
            <w:tcBorders>
              <w:top w:val="nil"/>
              <w:left w:val="nil"/>
              <w:bottom w:val="nil"/>
              <w:right w:val="nil"/>
            </w:tcBorders>
          </w:tcPr>
          <w:p>
            <w:pPr>
              <w:pStyle w:val="yTableNAm"/>
            </w:pPr>
            <w:r>
              <w:t>20.</w:t>
            </w:r>
            <w:r>
              <w:tab/>
              <w:t>regulation 11(1)</w:t>
            </w:r>
          </w:p>
        </w:tc>
        <w:tc>
          <w:tcPr>
            <w:tcW w:w="1843" w:type="dxa"/>
            <w:gridSpan w:val="2"/>
            <w:tcBorders>
              <w:top w:val="nil"/>
              <w:left w:val="nil"/>
              <w:bottom w:val="nil"/>
              <w:right w:val="nil"/>
            </w:tcBorders>
          </w:tcPr>
          <w:p>
            <w:pPr>
              <w:pStyle w:val="yTableNAm"/>
              <w:jc w:val="center"/>
            </w:pPr>
            <w:r>
              <w:t>250</w:t>
            </w:r>
          </w:p>
        </w:tc>
        <w:tc>
          <w:tcPr>
            <w:tcW w:w="2410" w:type="dxa"/>
            <w:tcBorders>
              <w:top w:val="nil"/>
              <w:left w:val="nil"/>
              <w:bottom w:val="nil"/>
              <w:right w:val="nil"/>
            </w:tcBorders>
          </w:tcPr>
          <w:p>
            <w:pPr>
              <w:pStyle w:val="yTableNAm"/>
              <w:jc w:val="center"/>
            </w:pPr>
            <w:r>
              <w:t>500</w:t>
            </w:r>
          </w:p>
        </w:tc>
      </w:tr>
      <w:tr>
        <w:trPr>
          <w:gridAfter w:val="1"/>
          <w:wAfter w:w="7" w:type="dxa"/>
        </w:trPr>
        <w:tc>
          <w:tcPr>
            <w:tcW w:w="2977" w:type="dxa"/>
            <w:gridSpan w:val="2"/>
            <w:tcBorders>
              <w:top w:val="nil"/>
              <w:left w:val="nil"/>
              <w:bottom w:val="nil"/>
              <w:right w:val="nil"/>
            </w:tcBorders>
          </w:tcPr>
          <w:p>
            <w:pPr>
              <w:pStyle w:val="yTableNAm"/>
            </w:pPr>
            <w:r>
              <w:t>21.</w:t>
            </w:r>
            <w:r>
              <w:tab/>
              <w:t>regulation 11(2)</w:t>
            </w:r>
          </w:p>
        </w:tc>
        <w:tc>
          <w:tcPr>
            <w:tcW w:w="1843" w:type="dxa"/>
            <w:gridSpan w:val="2"/>
            <w:tcBorders>
              <w:top w:val="nil"/>
              <w:left w:val="nil"/>
              <w:bottom w:val="nil"/>
              <w:right w:val="nil"/>
            </w:tcBorders>
          </w:tcPr>
          <w:p>
            <w:pPr>
              <w:pStyle w:val="yTableNAm"/>
              <w:jc w:val="center"/>
            </w:pPr>
            <w:r>
              <w:t>250</w:t>
            </w:r>
          </w:p>
        </w:tc>
        <w:tc>
          <w:tcPr>
            <w:tcW w:w="2410" w:type="dxa"/>
            <w:tcBorders>
              <w:top w:val="nil"/>
              <w:left w:val="nil"/>
              <w:bottom w:val="nil"/>
              <w:right w:val="nil"/>
            </w:tcBorders>
          </w:tcPr>
          <w:p>
            <w:pPr>
              <w:pStyle w:val="yTableNAm"/>
              <w:jc w:val="center"/>
            </w:pPr>
            <w:r>
              <w:t>500</w:t>
            </w:r>
          </w:p>
        </w:tc>
      </w:tr>
      <w:tr>
        <w:trPr>
          <w:gridAfter w:val="1"/>
          <w:wAfter w:w="7" w:type="dxa"/>
        </w:trPr>
        <w:tc>
          <w:tcPr>
            <w:tcW w:w="2977" w:type="dxa"/>
            <w:gridSpan w:val="2"/>
            <w:tcBorders>
              <w:top w:val="nil"/>
              <w:left w:val="nil"/>
              <w:bottom w:val="nil"/>
              <w:right w:val="nil"/>
            </w:tcBorders>
          </w:tcPr>
          <w:p>
            <w:pPr>
              <w:pStyle w:val="yTableNAm"/>
            </w:pPr>
            <w:r>
              <w:t>22.</w:t>
            </w:r>
            <w:r>
              <w:tab/>
              <w:t>regulation 12(1)</w:t>
            </w:r>
          </w:p>
        </w:tc>
        <w:tc>
          <w:tcPr>
            <w:tcW w:w="1843" w:type="dxa"/>
            <w:gridSpan w:val="2"/>
            <w:tcBorders>
              <w:top w:val="nil"/>
              <w:left w:val="nil"/>
              <w:bottom w:val="nil"/>
              <w:right w:val="nil"/>
            </w:tcBorders>
          </w:tcPr>
          <w:p>
            <w:pPr>
              <w:pStyle w:val="yTableNAm"/>
              <w:jc w:val="center"/>
            </w:pPr>
            <w:r>
              <w:t>250</w:t>
            </w:r>
          </w:p>
        </w:tc>
        <w:tc>
          <w:tcPr>
            <w:tcW w:w="2410" w:type="dxa"/>
            <w:tcBorders>
              <w:top w:val="nil"/>
              <w:left w:val="nil"/>
              <w:bottom w:val="nil"/>
              <w:right w:val="nil"/>
            </w:tcBorders>
          </w:tcPr>
          <w:p>
            <w:pPr>
              <w:pStyle w:val="yTableNAm"/>
              <w:jc w:val="center"/>
            </w:pPr>
            <w:r>
              <w:t>500</w:t>
            </w:r>
          </w:p>
        </w:tc>
      </w:tr>
      <w:tr>
        <w:trPr>
          <w:gridAfter w:val="1"/>
          <w:wAfter w:w="7" w:type="dxa"/>
        </w:trPr>
        <w:tc>
          <w:tcPr>
            <w:tcW w:w="2977" w:type="dxa"/>
            <w:gridSpan w:val="2"/>
            <w:tcBorders>
              <w:top w:val="nil"/>
              <w:left w:val="nil"/>
              <w:bottom w:val="nil"/>
              <w:right w:val="nil"/>
            </w:tcBorders>
          </w:tcPr>
          <w:p>
            <w:pPr>
              <w:pStyle w:val="yTableNAm"/>
            </w:pPr>
            <w:r>
              <w:t>23.</w:t>
            </w:r>
            <w:r>
              <w:tab/>
              <w:t>regulation 12(2)</w:t>
            </w:r>
          </w:p>
        </w:tc>
        <w:tc>
          <w:tcPr>
            <w:tcW w:w="1843" w:type="dxa"/>
            <w:gridSpan w:val="2"/>
            <w:tcBorders>
              <w:top w:val="nil"/>
              <w:left w:val="nil"/>
              <w:bottom w:val="nil"/>
              <w:right w:val="nil"/>
            </w:tcBorders>
          </w:tcPr>
          <w:p>
            <w:pPr>
              <w:pStyle w:val="yTableNAm"/>
              <w:jc w:val="center"/>
            </w:pPr>
            <w:r>
              <w:t>250</w:t>
            </w:r>
          </w:p>
        </w:tc>
        <w:tc>
          <w:tcPr>
            <w:tcW w:w="2410" w:type="dxa"/>
            <w:tcBorders>
              <w:top w:val="nil"/>
              <w:left w:val="nil"/>
              <w:bottom w:val="nil"/>
              <w:right w:val="nil"/>
            </w:tcBorders>
          </w:tcPr>
          <w:p>
            <w:pPr>
              <w:pStyle w:val="yTableNAm"/>
              <w:jc w:val="center"/>
            </w:pPr>
            <w:r>
              <w:t>500</w:t>
            </w:r>
          </w:p>
        </w:tc>
      </w:tr>
      <w:tr>
        <w:trPr>
          <w:gridAfter w:val="1"/>
          <w:wAfter w:w="7" w:type="dxa"/>
        </w:trPr>
        <w:tc>
          <w:tcPr>
            <w:tcW w:w="2977" w:type="dxa"/>
            <w:gridSpan w:val="2"/>
            <w:tcBorders>
              <w:top w:val="nil"/>
              <w:left w:val="nil"/>
              <w:bottom w:val="nil"/>
              <w:right w:val="nil"/>
            </w:tcBorders>
          </w:tcPr>
          <w:p>
            <w:pPr>
              <w:pStyle w:val="yTableNAm"/>
            </w:pPr>
            <w:r>
              <w:t>24.</w:t>
            </w:r>
            <w:r>
              <w:tab/>
              <w:t>regulation 12(3)</w:t>
            </w:r>
          </w:p>
        </w:tc>
        <w:tc>
          <w:tcPr>
            <w:tcW w:w="1843" w:type="dxa"/>
            <w:gridSpan w:val="2"/>
            <w:tcBorders>
              <w:top w:val="nil"/>
              <w:left w:val="nil"/>
              <w:bottom w:val="nil"/>
              <w:right w:val="nil"/>
            </w:tcBorders>
          </w:tcPr>
          <w:p>
            <w:pPr>
              <w:pStyle w:val="yTableNAm"/>
              <w:jc w:val="center"/>
            </w:pPr>
            <w:r>
              <w:t>250</w:t>
            </w:r>
          </w:p>
        </w:tc>
        <w:tc>
          <w:tcPr>
            <w:tcW w:w="2410" w:type="dxa"/>
            <w:tcBorders>
              <w:top w:val="nil"/>
              <w:left w:val="nil"/>
              <w:bottom w:val="nil"/>
              <w:right w:val="nil"/>
            </w:tcBorders>
          </w:tcPr>
          <w:p>
            <w:pPr>
              <w:pStyle w:val="yTableNAm"/>
              <w:jc w:val="center"/>
            </w:pPr>
            <w:r>
              <w:t>500</w:t>
            </w:r>
          </w:p>
        </w:tc>
      </w:tr>
      <w:tr>
        <w:trPr>
          <w:gridAfter w:val="1"/>
          <w:wAfter w:w="7" w:type="dxa"/>
        </w:trPr>
        <w:tc>
          <w:tcPr>
            <w:tcW w:w="2977" w:type="dxa"/>
            <w:gridSpan w:val="2"/>
            <w:tcBorders>
              <w:top w:val="nil"/>
              <w:left w:val="nil"/>
              <w:bottom w:val="nil"/>
              <w:right w:val="nil"/>
            </w:tcBorders>
          </w:tcPr>
          <w:p>
            <w:pPr>
              <w:pStyle w:val="yTableNAm"/>
            </w:pPr>
            <w:r>
              <w:t>25.</w:t>
            </w:r>
            <w:r>
              <w:tab/>
              <w:t>regulation 13</w:t>
            </w:r>
          </w:p>
        </w:tc>
        <w:tc>
          <w:tcPr>
            <w:tcW w:w="1843" w:type="dxa"/>
            <w:gridSpan w:val="2"/>
            <w:tcBorders>
              <w:top w:val="nil"/>
              <w:left w:val="nil"/>
              <w:bottom w:val="nil"/>
              <w:right w:val="nil"/>
            </w:tcBorders>
          </w:tcPr>
          <w:p>
            <w:pPr>
              <w:pStyle w:val="yTableNAm"/>
              <w:jc w:val="center"/>
            </w:pPr>
            <w:r>
              <w:t>250</w:t>
            </w:r>
          </w:p>
        </w:tc>
        <w:tc>
          <w:tcPr>
            <w:tcW w:w="2410" w:type="dxa"/>
            <w:tcBorders>
              <w:top w:val="nil"/>
              <w:left w:val="nil"/>
              <w:bottom w:val="nil"/>
              <w:right w:val="nil"/>
            </w:tcBorders>
          </w:tcPr>
          <w:p>
            <w:pPr>
              <w:pStyle w:val="yTableNAm"/>
              <w:jc w:val="center"/>
            </w:pPr>
            <w:r>
              <w:t>500</w:t>
            </w:r>
          </w:p>
        </w:tc>
      </w:tr>
      <w:tr>
        <w:trPr>
          <w:gridAfter w:val="1"/>
          <w:wAfter w:w="7" w:type="dxa"/>
          <w:cantSplit/>
          <w:trHeight w:val="55"/>
        </w:trPr>
        <w:tc>
          <w:tcPr>
            <w:tcW w:w="2977" w:type="dxa"/>
            <w:gridSpan w:val="2"/>
            <w:tcBorders>
              <w:top w:val="nil"/>
              <w:left w:val="nil"/>
              <w:bottom w:val="nil"/>
              <w:right w:val="nil"/>
            </w:tcBorders>
          </w:tcPr>
          <w:p>
            <w:pPr>
              <w:pStyle w:val="yTableNAm"/>
              <w:rPr>
                <w:i/>
                <w:iCs/>
              </w:rPr>
            </w:pPr>
            <w:r>
              <w:rPr>
                <w:i/>
                <w:iCs/>
              </w:rPr>
              <w:t>Environmental Protection (Domestic Solid Fuel Burning Appliances and Firewood Supply) Regulations 1998</w:t>
            </w:r>
          </w:p>
        </w:tc>
        <w:tc>
          <w:tcPr>
            <w:tcW w:w="1843" w:type="dxa"/>
            <w:gridSpan w:val="2"/>
            <w:tcBorders>
              <w:top w:val="nil"/>
              <w:left w:val="nil"/>
              <w:bottom w:val="nil"/>
              <w:right w:val="nil"/>
            </w:tcBorders>
          </w:tcPr>
          <w:p>
            <w:pPr>
              <w:pStyle w:val="yTableNAm"/>
              <w:rPr>
                <w:i/>
                <w:iCs/>
              </w:rPr>
            </w:pPr>
          </w:p>
        </w:tc>
        <w:tc>
          <w:tcPr>
            <w:tcW w:w="2410" w:type="dxa"/>
            <w:tcBorders>
              <w:top w:val="nil"/>
              <w:left w:val="nil"/>
              <w:bottom w:val="nil"/>
              <w:right w:val="nil"/>
            </w:tcBorders>
          </w:tcPr>
          <w:p>
            <w:pPr>
              <w:pStyle w:val="yTableNAm"/>
              <w:rPr>
                <w:i/>
                <w:iCs/>
              </w:rPr>
            </w:pPr>
          </w:p>
        </w:tc>
      </w:tr>
      <w:tr>
        <w:trPr>
          <w:gridAfter w:val="1"/>
          <w:wAfter w:w="7" w:type="dxa"/>
          <w:cantSplit/>
          <w:trHeight w:val="52"/>
        </w:trPr>
        <w:tc>
          <w:tcPr>
            <w:tcW w:w="2977" w:type="dxa"/>
            <w:gridSpan w:val="2"/>
            <w:tcBorders>
              <w:top w:val="nil"/>
              <w:left w:val="nil"/>
              <w:bottom w:val="nil"/>
              <w:right w:val="nil"/>
            </w:tcBorders>
          </w:tcPr>
          <w:p>
            <w:pPr>
              <w:pStyle w:val="yTableNAm"/>
            </w:pPr>
            <w:r>
              <w:t>1.</w:t>
            </w:r>
            <w:r>
              <w:tab/>
              <w:t>regulation 1B(1)</w:t>
            </w:r>
          </w:p>
        </w:tc>
        <w:tc>
          <w:tcPr>
            <w:tcW w:w="1843" w:type="dxa"/>
            <w:gridSpan w:val="2"/>
            <w:tcBorders>
              <w:top w:val="nil"/>
              <w:left w:val="nil"/>
              <w:bottom w:val="nil"/>
              <w:right w:val="nil"/>
            </w:tcBorders>
          </w:tcPr>
          <w:p>
            <w:pPr>
              <w:pStyle w:val="yTableNAm"/>
              <w:jc w:val="center"/>
            </w:pPr>
            <w:r>
              <w:t>250</w:t>
            </w:r>
          </w:p>
        </w:tc>
        <w:tc>
          <w:tcPr>
            <w:tcW w:w="2410" w:type="dxa"/>
            <w:tcBorders>
              <w:top w:val="nil"/>
              <w:left w:val="nil"/>
              <w:bottom w:val="nil"/>
              <w:right w:val="nil"/>
            </w:tcBorders>
          </w:tcPr>
          <w:p>
            <w:pPr>
              <w:pStyle w:val="yTableNAm"/>
              <w:jc w:val="center"/>
            </w:pPr>
            <w:r>
              <w:t>500</w:t>
            </w:r>
          </w:p>
        </w:tc>
      </w:tr>
      <w:tr>
        <w:trPr>
          <w:gridAfter w:val="1"/>
          <w:wAfter w:w="7" w:type="dxa"/>
          <w:cantSplit/>
          <w:trHeight w:val="52"/>
        </w:trPr>
        <w:tc>
          <w:tcPr>
            <w:tcW w:w="2977" w:type="dxa"/>
            <w:gridSpan w:val="2"/>
            <w:tcBorders>
              <w:top w:val="nil"/>
              <w:left w:val="nil"/>
              <w:bottom w:val="nil"/>
              <w:right w:val="nil"/>
            </w:tcBorders>
          </w:tcPr>
          <w:p>
            <w:pPr>
              <w:pStyle w:val="yTableNAm"/>
            </w:pPr>
            <w:r>
              <w:t>2.</w:t>
            </w:r>
            <w:r>
              <w:tab/>
              <w:t>regulation 1C</w:t>
            </w:r>
          </w:p>
        </w:tc>
        <w:tc>
          <w:tcPr>
            <w:tcW w:w="1843" w:type="dxa"/>
            <w:gridSpan w:val="2"/>
            <w:tcBorders>
              <w:top w:val="nil"/>
              <w:left w:val="nil"/>
              <w:bottom w:val="nil"/>
              <w:right w:val="nil"/>
            </w:tcBorders>
          </w:tcPr>
          <w:p>
            <w:pPr>
              <w:pStyle w:val="yTableNAm"/>
              <w:jc w:val="center"/>
            </w:pPr>
            <w:r>
              <w:t>250</w:t>
            </w:r>
          </w:p>
        </w:tc>
        <w:tc>
          <w:tcPr>
            <w:tcW w:w="2410" w:type="dxa"/>
            <w:tcBorders>
              <w:top w:val="nil"/>
              <w:left w:val="nil"/>
              <w:bottom w:val="nil"/>
              <w:right w:val="nil"/>
            </w:tcBorders>
          </w:tcPr>
          <w:p>
            <w:pPr>
              <w:pStyle w:val="yTableNAm"/>
              <w:jc w:val="center"/>
            </w:pPr>
            <w:r>
              <w:t>500</w:t>
            </w:r>
          </w:p>
        </w:tc>
      </w:tr>
      <w:tr>
        <w:trPr>
          <w:gridAfter w:val="1"/>
          <w:wAfter w:w="7" w:type="dxa"/>
          <w:cantSplit/>
          <w:trHeight w:val="52"/>
        </w:trPr>
        <w:tc>
          <w:tcPr>
            <w:tcW w:w="2977" w:type="dxa"/>
            <w:gridSpan w:val="2"/>
            <w:tcBorders>
              <w:top w:val="nil"/>
              <w:left w:val="nil"/>
              <w:bottom w:val="nil"/>
              <w:right w:val="nil"/>
            </w:tcBorders>
          </w:tcPr>
          <w:p>
            <w:pPr>
              <w:pStyle w:val="yTableNAm"/>
            </w:pPr>
            <w:r>
              <w:t>3.</w:t>
            </w:r>
            <w:r>
              <w:tab/>
              <w:t>regulation 1D(3)</w:t>
            </w:r>
          </w:p>
        </w:tc>
        <w:tc>
          <w:tcPr>
            <w:tcW w:w="1843" w:type="dxa"/>
            <w:gridSpan w:val="2"/>
            <w:tcBorders>
              <w:top w:val="nil"/>
              <w:left w:val="nil"/>
              <w:bottom w:val="nil"/>
              <w:right w:val="nil"/>
            </w:tcBorders>
          </w:tcPr>
          <w:p>
            <w:pPr>
              <w:pStyle w:val="yTableNAm"/>
              <w:jc w:val="center"/>
            </w:pPr>
            <w:r>
              <w:t>250</w:t>
            </w:r>
          </w:p>
        </w:tc>
        <w:tc>
          <w:tcPr>
            <w:tcW w:w="2410" w:type="dxa"/>
            <w:tcBorders>
              <w:top w:val="nil"/>
              <w:left w:val="nil"/>
              <w:bottom w:val="nil"/>
              <w:right w:val="nil"/>
            </w:tcBorders>
          </w:tcPr>
          <w:p>
            <w:pPr>
              <w:pStyle w:val="yTableNAm"/>
              <w:jc w:val="center"/>
            </w:pPr>
            <w:r>
              <w:t>500</w:t>
            </w:r>
          </w:p>
        </w:tc>
      </w:tr>
      <w:tr>
        <w:trPr>
          <w:gridAfter w:val="1"/>
          <w:wAfter w:w="7" w:type="dxa"/>
          <w:cantSplit/>
          <w:trHeight w:val="52"/>
        </w:trPr>
        <w:tc>
          <w:tcPr>
            <w:tcW w:w="2977" w:type="dxa"/>
            <w:gridSpan w:val="2"/>
            <w:tcBorders>
              <w:top w:val="nil"/>
              <w:left w:val="nil"/>
              <w:bottom w:val="nil"/>
              <w:right w:val="nil"/>
            </w:tcBorders>
          </w:tcPr>
          <w:p>
            <w:pPr>
              <w:pStyle w:val="yTableNAm"/>
            </w:pPr>
            <w:r>
              <w:t>4.</w:t>
            </w:r>
            <w:r>
              <w:tab/>
              <w:t>regulation 3</w:t>
            </w:r>
          </w:p>
        </w:tc>
        <w:tc>
          <w:tcPr>
            <w:tcW w:w="1843" w:type="dxa"/>
            <w:gridSpan w:val="2"/>
            <w:tcBorders>
              <w:top w:val="nil"/>
              <w:left w:val="nil"/>
              <w:bottom w:val="nil"/>
              <w:right w:val="nil"/>
            </w:tcBorders>
          </w:tcPr>
          <w:p>
            <w:pPr>
              <w:pStyle w:val="yTableNAm"/>
              <w:jc w:val="center"/>
            </w:pPr>
            <w:r>
              <w:t>250</w:t>
            </w:r>
          </w:p>
        </w:tc>
        <w:tc>
          <w:tcPr>
            <w:tcW w:w="2410" w:type="dxa"/>
            <w:tcBorders>
              <w:top w:val="nil"/>
              <w:left w:val="nil"/>
              <w:bottom w:val="nil"/>
              <w:right w:val="nil"/>
            </w:tcBorders>
          </w:tcPr>
          <w:p>
            <w:pPr>
              <w:pStyle w:val="yTableNAm"/>
              <w:jc w:val="center"/>
            </w:pPr>
            <w:r>
              <w:t>500</w:t>
            </w:r>
          </w:p>
        </w:tc>
      </w:tr>
      <w:tr>
        <w:trPr>
          <w:gridAfter w:val="1"/>
          <w:wAfter w:w="7" w:type="dxa"/>
          <w:cantSplit/>
          <w:trHeight w:val="52"/>
        </w:trPr>
        <w:tc>
          <w:tcPr>
            <w:tcW w:w="2977" w:type="dxa"/>
            <w:gridSpan w:val="2"/>
            <w:tcBorders>
              <w:top w:val="nil"/>
              <w:left w:val="nil"/>
              <w:bottom w:val="nil"/>
              <w:right w:val="nil"/>
            </w:tcBorders>
          </w:tcPr>
          <w:p>
            <w:pPr>
              <w:pStyle w:val="yTableNAm"/>
            </w:pPr>
            <w:r>
              <w:t>5.</w:t>
            </w:r>
            <w:r>
              <w:tab/>
              <w:t>regulation 4</w:t>
            </w:r>
          </w:p>
        </w:tc>
        <w:tc>
          <w:tcPr>
            <w:tcW w:w="1843" w:type="dxa"/>
            <w:gridSpan w:val="2"/>
            <w:tcBorders>
              <w:top w:val="nil"/>
              <w:left w:val="nil"/>
              <w:bottom w:val="nil"/>
              <w:right w:val="nil"/>
            </w:tcBorders>
          </w:tcPr>
          <w:p>
            <w:pPr>
              <w:pStyle w:val="yTableNAm"/>
              <w:jc w:val="center"/>
            </w:pPr>
            <w:r>
              <w:t>250</w:t>
            </w:r>
          </w:p>
        </w:tc>
        <w:tc>
          <w:tcPr>
            <w:tcW w:w="2410" w:type="dxa"/>
            <w:tcBorders>
              <w:top w:val="nil"/>
              <w:left w:val="nil"/>
              <w:bottom w:val="nil"/>
              <w:right w:val="nil"/>
            </w:tcBorders>
          </w:tcPr>
          <w:p>
            <w:pPr>
              <w:pStyle w:val="yTableNAm"/>
              <w:jc w:val="center"/>
            </w:pPr>
            <w:r>
              <w:t>500</w:t>
            </w:r>
          </w:p>
        </w:tc>
      </w:tr>
      <w:tr>
        <w:trPr>
          <w:gridAfter w:val="1"/>
          <w:wAfter w:w="7" w:type="dxa"/>
          <w:cantSplit/>
          <w:trHeight w:val="52"/>
        </w:trPr>
        <w:tc>
          <w:tcPr>
            <w:tcW w:w="2977" w:type="dxa"/>
            <w:gridSpan w:val="2"/>
            <w:tcBorders>
              <w:top w:val="nil"/>
              <w:left w:val="nil"/>
              <w:bottom w:val="nil"/>
              <w:right w:val="nil"/>
            </w:tcBorders>
          </w:tcPr>
          <w:p>
            <w:pPr>
              <w:pStyle w:val="yTableNAm"/>
            </w:pPr>
            <w:r>
              <w:t>6.</w:t>
            </w:r>
            <w:r>
              <w:tab/>
              <w:t>regulation 5(5)</w:t>
            </w:r>
          </w:p>
        </w:tc>
        <w:tc>
          <w:tcPr>
            <w:tcW w:w="1843" w:type="dxa"/>
            <w:gridSpan w:val="2"/>
            <w:tcBorders>
              <w:top w:val="nil"/>
              <w:left w:val="nil"/>
              <w:bottom w:val="nil"/>
              <w:right w:val="nil"/>
            </w:tcBorders>
          </w:tcPr>
          <w:p>
            <w:pPr>
              <w:pStyle w:val="yTableNAm"/>
              <w:jc w:val="center"/>
            </w:pPr>
            <w:r>
              <w:t>250</w:t>
            </w:r>
          </w:p>
        </w:tc>
        <w:tc>
          <w:tcPr>
            <w:tcW w:w="2410" w:type="dxa"/>
            <w:tcBorders>
              <w:top w:val="nil"/>
              <w:left w:val="nil"/>
              <w:bottom w:val="nil"/>
              <w:right w:val="nil"/>
            </w:tcBorders>
          </w:tcPr>
          <w:p>
            <w:pPr>
              <w:pStyle w:val="yTableNAm"/>
              <w:jc w:val="center"/>
            </w:pPr>
            <w:r>
              <w:t>500</w:t>
            </w:r>
          </w:p>
        </w:tc>
      </w:tr>
      <w:tr>
        <w:trPr>
          <w:gridAfter w:val="1"/>
          <w:wAfter w:w="7" w:type="dxa"/>
          <w:cantSplit/>
          <w:trHeight w:val="52"/>
        </w:trPr>
        <w:tc>
          <w:tcPr>
            <w:tcW w:w="2977" w:type="dxa"/>
            <w:gridSpan w:val="2"/>
            <w:tcBorders>
              <w:top w:val="nil"/>
              <w:left w:val="nil"/>
              <w:bottom w:val="nil"/>
              <w:right w:val="nil"/>
            </w:tcBorders>
          </w:tcPr>
          <w:p>
            <w:pPr>
              <w:pStyle w:val="yTableNAm"/>
            </w:pPr>
            <w:r>
              <w:t>7.</w:t>
            </w:r>
            <w:r>
              <w:tab/>
              <w:t>regulation 8</w:t>
            </w:r>
          </w:p>
        </w:tc>
        <w:tc>
          <w:tcPr>
            <w:tcW w:w="1843" w:type="dxa"/>
            <w:gridSpan w:val="2"/>
            <w:tcBorders>
              <w:top w:val="nil"/>
              <w:left w:val="nil"/>
              <w:bottom w:val="nil"/>
              <w:right w:val="nil"/>
            </w:tcBorders>
          </w:tcPr>
          <w:p>
            <w:pPr>
              <w:pStyle w:val="yTableNAm"/>
              <w:jc w:val="center"/>
            </w:pPr>
            <w:r>
              <w:t>250</w:t>
            </w:r>
          </w:p>
        </w:tc>
        <w:tc>
          <w:tcPr>
            <w:tcW w:w="2410" w:type="dxa"/>
            <w:tcBorders>
              <w:top w:val="nil"/>
              <w:left w:val="nil"/>
              <w:bottom w:val="nil"/>
              <w:right w:val="nil"/>
            </w:tcBorders>
          </w:tcPr>
          <w:p>
            <w:pPr>
              <w:pStyle w:val="yTableNAm"/>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gridAfter w:val="1"/>
          <w:wAfter w:w="7" w:type="dxa"/>
        </w:trPr>
        <w:tc>
          <w:tcPr>
            <w:tcW w:w="2977" w:type="dxa"/>
            <w:gridSpan w:val="2"/>
          </w:tcPr>
          <w:p>
            <w:pPr>
              <w:pStyle w:val="yTableNAm"/>
              <w:rPr>
                <w:i/>
                <w:iCs/>
              </w:rPr>
            </w:pPr>
            <w:r>
              <w:rPr>
                <w:i/>
                <w:iCs/>
              </w:rPr>
              <w:t>Environmental Protection (Abattoirs) Regulations 2001</w:t>
            </w:r>
          </w:p>
        </w:tc>
        <w:tc>
          <w:tcPr>
            <w:tcW w:w="1843" w:type="dxa"/>
            <w:gridSpan w:val="2"/>
          </w:tcPr>
          <w:p>
            <w:pPr>
              <w:pStyle w:val="yTableNAm"/>
              <w:rPr>
                <w:i/>
                <w:iCs/>
              </w:rPr>
            </w:pPr>
          </w:p>
        </w:tc>
        <w:tc>
          <w:tcPr>
            <w:tcW w:w="2410" w:type="dxa"/>
          </w:tcPr>
          <w:p>
            <w:pPr>
              <w:pStyle w:val="yTableNAm"/>
              <w:rPr>
                <w:i/>
                <w:iCs/>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gridAfter w:val="1"/>
          <w:wAfter w:w="7" w:type="dxa"/>
        </w:trPr>
        <w:tc>
          <w:tcPr>
            <w:tcW w:w="2977" w:type="dxa"/>
            <w:gridSpan w:val="2"/>
          </w:tcPr>
          <w:p>
            <w:pPr>
              <w:pStyle w:val="yTableNAm"/>
            </w:pPr>
            <w:r>
              <w:t>1.</w:t>
            </w:r>
            <w:r>
              <w:tab/>
              <w:t>regulation 4(1)</w:t>
            </w:r>
          </w:p>
        </w:tc>
        <w:tc>
          <w:tcPr>
            <w:tcW w:w="1843" w:type="dxa"/>
            <w:gridSpan w:val="2"/>
          </w:tcPr>
          <w:p>
            <w:pPr>
              <w:pStyle w:val="yTableNAm"/>
              <w:jc w:val="center"/>
            </w:pPr>
            <w:r>
              <w:t>250</w:t>
            </w:r>
          </w:p>
        </w:tc>
        <w:tc>
          <w:tcPr>
            <w:tcW w:w="2410" w:type="dxa"/>
          </w:tcPr>
          <w:p>
            <w:pPr>
              <w:pStyle w:val="yTableNAm"/>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gridAfter w:val="1"/>
          <w:wAfter w:w="7" w:type="dxa"/>
        </w:trPr>
        <w:tc>
          <w:tcPr>
            <w:tcW w:w="2977" w:type="dxa"/>
            <w:gridSpan w:val="2"/>
          </w:tcPr>
          <w:p>
            <w:pPr>
              <w:pStyle w:val="yTableNAm"/>
            </w:pPr>
            <w:r>
              <w:t>2.</w:t>
            </w:r>
            <w:r>
              <w:tab/>
              <w:t>regulation 4(2)</w:t>
            </w:r>
          </w:p>
        </w:tc>
        <w:tc>
          <w:tcPr>
            <w:tcW w:w="1843" w:type="dxa"/>
            <w:gridSpan w:val="2"/>
          </w:tcPr>
          <w:p>
            <w:pPr>
              <w:pStyle w:val="yTableNAm"/>
              <w:jc w:val="center"/>
            </w:pPr>
            <w:r>
              <w:t>250</w:t>
            </w:r>
          </w:p>
        </w:tc>
        <w:tc>
          <w:tcPr>
            <w:tcW w:w="2410" w:type="dxa"/>
          </w:tcPr>
          <w:p>
            <w:pPr>
              <w:pStyle w:val="yTableNAm"/>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gridAfter w:val="1"/>
          <w:wAfter w:w="7" w:type="dxa"/>
        </w:trPr>
        <w:tc>
          <w:tcPr>
            <w:tcW w:w="2977" w:type="dxa"/>
            <w:gridSpan w:val="2"/>
          </w:tcPr>
          <w:p>
            <w:pPr>
              <w:pStyle w:val="yTableNAm"/>
            </w:pPr>
            <w:r>
              <w:t>3.</w:t>
            </w:r>
            <w:r>
              <w:tab/>
              <w:t>regulation 5</w:t>
            </w:r>
          </w:p>
        </w:tc>
        <w:tc>
          <w:tcPr>
            <w:tcW w:w="1843" w:type="dxa"/>
            <w:gridSpan w:val="2"/>
          </w:tcPr>
          <w:p>
            <w:pPr>
              <w:pStyle w:val="yTableNAm"/>
              <w:jc w:val="center"/>
            </w:pPr>
            <w:r>
              <w:t>250</w:t>
            </w:r>
          </w:p>
        </w:tc>
        <w:tc>
          <w:tcPr>
            <w:tcW w:w="2410" w:type="dxa"/>
          </w:tcPr>
          <w:p>
            <w:pPr>
              <w:pStyle w:val="yTableNAm"/>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gridAfter w:val="1"/>
          <w:wAfter w:w="7" w:type="dxa"/>
        </w:trPr>
        <w:tc>
          <w:tcPr>
            <w:tcW w:w="2977" w:type="dxa"/>
            <w:gridSpan w:val="2"/>
          </w:tcPr>
          <w:p>
            <w:pPr>
              <w:pStyle w:val="yTableNAm"/>
            </w:pPr>
            <w:r>
              <w:t>4.</w:t>
            </w:r>
            <w:r>
              <w:tab/>
              <w:t>regulation 7(1)</w:t>
            </w:r>
          </w:p>
        </w:tc>
        <w:tc>
          <w:tcPr>
            <w:tcW w:w="1843" w:type="dxa"/>
            <w:gridSpan w:val="2"/>
          </w:tcPr>
          <w:p>
            <w:pPr>
              <w:pStyle w:val="yTableNAm"/>
              <w:jc w:val="center"/>
            </w:pPr>
            <w:r>
              <w:t>250</w:t>
            </w:r>
          </w:p>
        </w:tc>
        <w:tc>
          <w:tcPr>
            <w:tcW w:w="2410" w:type="dxa"/>
          </w:tcPr>
          <w:p>
            <w:pPr>
              <w:pStyle w:val="yTableNAm"/>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gridAfter w:val="1"/>
          <w:wAfter w:w="7" w:type="dxa"/>
        </w:trPr>
        <w:tc>
          <w:tcPr>
            <w:tcW w:w="2977" w:type="dxa"/>
            <w:gridSpan w:val="2"/>
          </w:tcPr>
          <w:p>
            <w:pPr>
              <w:pStyle w:val="yTableNAm"/>
            </w:pPr>
            <w:r>
              <w:t>5.</w:t>
            </w:r>
            <w:r>
              <w:tab/>
              <w:t>regulation 9</w:t>
            </w:r>
          </w:p>
        </w:tc>
        <w:tc>
          <w:tcPr>
            <w:tcW w:w="1843" w:type="dxa"/>
            <w:gridSpan w:val="2"/>
          </w:tcPr>
          <w:p>
            <w:pPr>
              <w:pStyle w:val="yTableNAm"/>
              <w:jc w:val="center"/>
            </w:pPr>
            <w:r>
              <w:t>250</w:t>
            </w:r>
          </w:p>
        </w:tc>
        <w:tc>
          <w:tcPr>
            <w:tcW w:w="2410" w:type="dxa"/>
          </w:tcPr>
          <w:p>
            <w:pPr>
              <w:pStyle w:val="yTableNAm"/>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gridAfter w:val="1"/>
          <w:wAfter w:w="7" w:type="dxa"/>
        </w:trPr>
        <w:tc>
          <w:tcPr>
            <w:tcW w:w="2977" w:type="dxa"/>
            <w:gridSpan w:val="2"/>
          </w:tcPr>
          <w:p>
            <w:pPr>
              <w:pStyle w:val="yTableNAm"/>
            </w:pPr>
            <w:r>
              <w:t>6.</w:t>
            </w:r>
            <w:r>
              <w:tab/>
              <w:t>regulation 12</w:t>
            </w:r>
          </w:p>
        </w:tc>
        <w:tc>
          <w:tcPr>
            <w:tcW w:w="1843" w:type="dxa"/>
            <w:gridSpan w:val="2"/>
          </w:tcPr>
          <w:p>
            <w:pPr>
              <w:pStyle w:val="yTableNAm"/>
              <w:jc w:val="center"/>
            </w:pPr>
            <w:r>
              <w:t>250</w:t>
            </w:r>
          </w:p>
        </w:tc>
        <w:tc>
          <w:tcPr>
            <w:tcW w:w="2410" w:type="dxa"/>
          </w:tcPr>
          <w:p>
            <w:pPr>
              <w:pStyle w:val="yTableNAm"/>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gridAfter w:val="1"/>
          <w:wAfter w:w="7" w:type="dxa"/>
        </w:trPr>
        <w:tc>
          <w:tcPr>
            <w:tcW w:w="2977" w:type="dxa"/>
            <w:gridSpan w:val="2"/>
          </w:tcPr>
          <w:p>
            <w:pPr>
              <w:pStyle w:val="yTableNAm"/>
            </w:pPr>
            <w:r>
              <w:t>7.</w:t>
            </w:r>
            <w:r>
              <w:tab/>
              <w:t>regulation 13</w:t>
            </w:r>
          </w:p>
        </w:tc>
        <w:tc>
          <w:tcPr>
            <w:tcW w:w="1843" w:type="dxa"/>
            <w:gridSpan w:val="2"/>
          </w:tcPr>
          <w:p>
            <w:pPr>
              <w:pStyle w:val="yTableNAm"/>
              <w:jc w:val="center"/>
            </w:pPr>
            <w:r>
              <w:t>250</w:t>
            </w:r>
          </w:p>
        </w:tc>
        <w:tc>
          <w:tcPr>
            <w:tcW w:w="2410" w:type="dxa"/>
          </w:tcPr>
          <w:p>
            <w:pPr>
              <w:pStyle w:val="yTableNAm"/>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gridAfter w:val="1"/>
          <w:wAfter w:w="7" w:type="dxa"/>
        </w:trPr>
        <w:tc>
          <w:tcPr>
            <w:tcW w:w="2977" w:type="dxa"/>
            <w:gridSpan w:val="2"/>
          </w:tcPr>
          <w:p>
            <w:pPr>
              <w:pStyle w:val="yTableNAm"/>
            </w:pPr>
            <w:r>
              <w:t>8.</w:t>
            </w:r>
            <w:r>
              <w:tab/>
              <w:t>regulation 14</w:t>
            </w:r>
          </w:p>
        </w:tc>
        <w:tc>
          <w:tcPr>
            <w:tcW w:w="1843" w:type="dxa"/>
            <w:gridSpan w:val="2"/>
          </w:tcPr>
          <w:p>
            <w:pPr>
              <w:pStyle w:val="yTableNAm"/>
              <w:jc w:val="center"/>
            </w:pPr>
            <w:r>
              <w:t>250</w:t>
            </w:r>
          </w:p>
        </w:tc>
        <w:tc>
          <w:tcPr>
            <w:tcW w:w="2410" w:type="dxa"/>
          </w:tcPr>
          <w:p>
            <w:pPr>
              <w:pStyle w:val="yTableNAm"/>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gridAfter w:val="1"/>
          <w:wAfter w:w="7" w:type="dxa"/>
        </w:trPr>
        <w:tc>
          <w:tcPr>
            <w:tcW w:w="2977" w:type="dxa"/>
            <w:gridSpan w:val="2"/>
          </w:tcPr>
          <w:p>
            <w:pPr>
              <w:pStyle w:val="yTableNAm"/>
            </w:pPr>
            <w:r>
              <w:rPr>
                <w:i/>
                <w:iCs/>
              </w:rPr>
              <w:t>Environmental Protection (Metal Coating) Regulations 2001</w:t>
            </w:r>
          </w:p>
        </w:tc>
        <w:tc>
          <w:tcPr>
            <w:tcW w:w="1843" w:type="dxa"/>
            <w:gridSpan w:val="2"/>
          </w:tcPr>
          <w:p>
            <w:pPr>
              <w:pStyle w:val="yTableNAm"/>
              <w:jc w:val="center"/>
            </w:pPr>
          </w:p>
        </w:tc>
        <w:tc>
          <w:tcPr>
            <w:tcW w:w="2410" w:type="dxa"/>
          </w:tcPr>
          <w:p>
            <w:pPr>
              <w:pStyle w:val="yTableNAm"/>
              <w:jc w:val="center"/>
            </w:pPr>
          </w:p>
        </w:tc>
      </w:tr>
      <w:tr>
        <w:trPr>
          <w:gridAfter w:val="1"/>
          <w:wAfter w:w="7" w:type="dxa"/>
        </w:trPr>
        <w:tc>
          <w:tcPr>
            <w:tcW w:w="2977" w:type="dxa"/>
            <w:gridSpan w:val="2"/>
            <w:tcBorders>
              <w:top w:val="nil"/>
              <w:left w:val="nil"/>
              <w:bottom w:val="nil"/>
              <w:right w:val="nil"/>
            </w:tcBorders>
          </w:tcPr>
          <w:p>
            <w:pPr>
              <w:pStyle w:val="yTableNAm"/>
            </w:pPr>
            <w:r>
              <w:t>1.</w:t>
            </w:r>
            <w:r>
              <w:tab/>
              <w:t>regulation 4</w:t>
            </w:r>
          </w:p>
        </w:tc>
        <w:tc>
          <w:tcPr>
            <w:tcW w:w="1843" w:type="dxa"/>
            <w:gridSpan w:val="2"/>
            <w:tcBorders>
              <w:top w:val="nil"/>
              <w:left w:val="nil"/>
              <w:bottom w:val="nil"/>
              <w:right w:val="nil"/>
            </w:tcBorders>
          </w:tcPr>
          <w:p>
            <w:pPr>
              <w:pStyle w:val="yTableNAm"/>
              <w:jc w:val="center"/>
            </w:pPr>
            <w:r>
              <w:t>250</w:t>
            </w:r>
          </w:p>
        </w:tc>
        <w:tc>
          <w:tcPr>
            <w:tcW w:w="2410" w:type="dxa"/>
            <w:tcBorders>
              <w:top w:val="nil"/>
              <w:left w:val="nil"/>
              <w:bottom w:val="nil"/>
              <w:right w:val="nil"/>
            </w:tcBorders>
          </w:tcPr>
          <w:p>
            <w:pPr>
              <w:pStyle w:val="yTableNAm"/>
              <w:jc w:val="center"/>
            </w:pPr>
            <w:r>
              <w:t>500</w:t>
            </w:r>
          </w:p>
        </w:tc>
      </w:tr>
      <w:tr>
        <w:trPr>
          <w:gridAfter w:val="1"/>
          <w:wAfter w:w="7" w:type="dxa"/>
        </w:trPr>
        <w:tc>
          <w:tcPr>
            <w:tcW w:w="2977" w:type="dxa"/>
            <w:gridSpan w:val="2"/>
            <w:tcBorders>
              <w:top w:val="nil"/>
              <w:left w:val="nil"/>
              <w:bottom w:val="nil"/>
              <w:right w:val="nil"/>
            </w:tcBorders>
          </w:tcPr>
          <w:p>
            <w:pPr>
              <w:pStyle w:val="yTableNAm"/>
            </w:pPr>
            <w:r>
              <w:t>2.</w:t>
            </w:r>
            <w:r>
              <w:tab/>
              <w:t>regulation 5</w:t>
            </w:r>
          </w:p>
        </w:tc>
        <w:tc>
          <w:tcPr>
            <w:tcW w:w="1843" w:type="dxa"/>
            <w:gridSpan w:val="2"/>
            <w:tcBorders>
              <w:top w:val="nil"/>
              <w:left w:val="nil"/>
              <w:bottom w:val="nil"/>
              <w:right w:val="nil"/>
            </w:tcBorders>
          </w:tcPr>
          <w:p>
            <w:pPr>
              <w:pStyle w:val="yTableNAm"/>
              <w:jc w:val="center"/>
            </w:pPr>
            <w:r>
              <w:t>250</w:t>
            </w:r>
          </w:p>
        </w:tc>
        <w:tc>
          <w:tcPr>
            <w:tcW w:w="2410" w:type="dxa"/>
            <w:tcBorders>
              <w:top w:val="nil"/>
              <w:left w:val="nil"/>
              <w:bottom w:val="nil"/>
              <w:right w:val="nil"/>
            </w:tcBorders>
          </w:tcPr>
          <w:p>
            <w:pPr>
              <w:pStyle w:val="yTableNAm"/>
              <w:jc w:val="center"/>
            </w:pPr>
            <w:r>
              <w:t>500</w:t>
            </w:r>
          </w:p>
        </w:tc>
      </w:tr>
      <w:tr>
        <w:trPr>
          <w:gridAfter w:val="1"/>
          <w:wAfter w:w="7" w:type="dxa"/>
        </w:trPr>
        <w:tc>
          <w:tcPr>
            <w:tcW w:w="2977" w:type="dxa"/>
            <w:gridSpan w:val="2"/>
            <w:tcBorders>
              <w:top w:val="nil"/>
              <w:left w:val="nil"/>
              <w:bottom w:val="nil"/>
              <w:right w:val="nil"/>
            </w:tcBorders>
          </w:tcPr>
          <w:p>
            <w:pPr>
              <w:pStyle w:val="yTableNAm"/>
            </w:pPr>
            <w:r>
              <w:t>3.</w:t>
            </w:r>
            <w:r>
              <w:tab/>
              <w:t>regulation 6</w:t>
            </w:r>
          </w:p>
        </w:tc>
        <w:tc>
          <w:tcPr>
            <w:tcW w:w="1843" w:type="dxa"/>
            <w:gridSpan w:val="2"/>
            <w:tcBorders>
              <w:top w:val="nil"/>
              <w:left w:val="nil"/>
              <w:bottom w:val="nil"/>
              <w:right w:val="nil"/>
            </w:tcBorders>
          </w:tcPr>
          <w:p>
            <w:pPr>
              <w:pStyle w:val="yTableNAm"/>
              <w:jc w:val="center"/>
            </w:pPr>
            <w:r>
              <w:t>250</w:t>
            </w:r>
          </w:p>
        </w:tc>
        <w:tc>
          <w:tcPr>
            <w:tcW w:w="2410" w:type="dxa"/>
            <w:tcBorders>
              <w:top w:val="nil"/>
              <w:left w:val="nil"/>
              <w:bottom w:val="nil"/>
              <w:right w:val="nil"/>
            </w:tcBorders>
          </w:tcPr>
          <w:p>
            <w:pPr>
              <w:pStyle w:val="yTableNAm"/>
              <w:jc w:val="center"/>
            </w:pPr>
            <w:r>
              <w:t>500</w:t>
            </w:r>
          </w:p>
        </w:tc>
      </w:tr>
      <w:tr>
        <w:trPr>
          <w:gridAfter w:val="1"/>
          <w:wAfter w:w="7" w:type="dxa"/>
        </w:trPr>
        <w:tc>
          <w:tcPr>
            <w:tcW w:w="2977" w:type="dxa"/>
            <w:gridSpan w:val="2"/>
            <w:tcBorders>
              <w:top w:val="nil"/>
              <w:left w:val="nil"/>
              <w:bottom w:val="nil"/>
              <w:right w:val="nil"/>
            </w:tcBorders>
          </w:tcPr>
          <w:p>
            <w:pPr>
              <w:pStyle w:val="yTableNAm"/>
            </w:pPr>
            <w:r>
              <w:t>4.</w:t>
            </w:r>
            <w:r>
              <w:tab/>
              <w:t>regulation 7</w:t>
            </w:r>
          </w:p>
        </w:tc>
        <w:tc>
          <w:tcPr>
            <w:tcW w:w="1843" w:type="dxa"/>
            <w:gridSpan w:val="2"/>
            <w:tcBorders>
              <w:top w:val="nil"/>
              <w:left w:val="nil"/>
              <w:bottom w:val="nil"/>
              <w:right w:val="nil"/>
            </w:tcBorders>
          </w:tcPr>
          <w:p>
            <w:pPr>
              <w:pStyle w:val="yTableNAm"/>
              <w:jc w:val="center"/>
            </w:pPr>
            <w:r>
              <w:t>250</w:t>
            </w:r>
          </w:p>
        </w:tc>
        <w:tc>
          <w:tcPr>
            <w:tcW w:w="2410" w:type="dxa"/>
            <w:tcBorders>
              <w:top w:val="nil"/>
              <w:left w:val="nil"/>
              <w:bottom w:val="nil"/>
              <w:right w:val="nil"/>
            </w:tcBorders>
          </w:tcPr>
          <w:p>
            <w:pPr>
              <w:pStyle w:val="yTableNAm"/>
              <w:jc w:val="center"/>
            </w:pPr>
            <w:r>
              <w:t>500</w:t>
            </w:r>
          </w:p>
        </w:tc>
      </w:tr>
      <w:tr>
        <w:trPr>
          <w:gridAfter w:val="1"/>
          <w:wAfter w:w="7" w:type="dxa"/>
        </w:trPr>
        <w:tc>
          <w:tcPr>
            <w:tcW w:w="2977" w:type="dxa"/>
            <w:gridSpan w:val="2"/>
            <w:tcBorders>
              <w:top w:val="nil"/>
              <w:left w:val="nil"/>
              <w:bottom w:val="nil"/>
              <w:right w:val="nil"/>
            </w:tcBorders>
          </w:tcPr>
          <w:p>
            <w:pPr>
              <w:pStyle w:val="yTableNAm"/>
            </w:pPr>
            <w:r>
              <w:t>5.</w:t>
            </w:r>
            <w:r>
              <w:tab/>
              <w:t>regulation 8</w:t>
            </w:r>
          </w:p>
        </w:tc>
        <w:tc>
          <w:tcPr>
            <w:tcW w:w="1843" w:type="dxa"/>
            <w:gridSpan w:val="2"/>
            <w:tcBorders>
              <w:top w:val="nil"/>
              <w:left w:val="nil"/>
              <w:bottom w:val="nil"/>
              <w:right w:val="nil"/>
            </w:tcBorders>
          </w:tcPr>
          <w:p>
            <w:pPr>
              <w:pStyle w:val="yTableNAm"/>
              <w:jc w:val="center"/>
            </w:pPr>
            <w:r>
              <w:t>250</w:t>
            </w:r>
          </w:p>
        </w:tc>
        <w:tc>
          <w:tcPr>
            <w:tcW w:w="2410" w:type="dxa"/>
            <w:tcBorders>
              <w:top w:val="nil"/>
              <w:left w:val="nil"/>
              <w:bottom w:val="nil"/>
              <w:right w:val="nil"/>
            </w:tcBorders>
          </w:tcPr>
          <w:p>
            <w:pPr>
              <w:pStyle w:val="yTableNAm"/>
              <w:jc w:val="center"/>
            </w:pPr>
            <w:r>
              <w:t>500</w:t>
            </w:r>
          </w:p>
        </w:tc>
      </w:tr>
      <w:tr>
        <w:trPr>
          <w:gridAfter w:val="1"/>
          <w:wAfter w:w="7" w:type="dxa"/>
        </w:trPr>
        <w:tc>
          <w:tcPr>
            <w:tcW w:w="2977" w:type="dxa"/>
            <w:gridSpan w:val="2"/>
            <w:tcBorders>
              <w:top w:val="nil"/>
              <w:left w:val="nil"/>
              <w:bottom w:val="nil"/>
              <w:right w:val="nil"/>
            </w:tcBorders>
          </w:tcPr>
          <w:p>
            <w:pPr>
              <w:pStyle w:val="yTableNAm"/>
            </w:pPr>
            <w:r>
              <w:t>6.</w:t>
            </w:r>
            <w:r>
              <w:tab/>
              <w:t>regulation 9</w:t>
            </w:r>
          </w:p>
        </w:tc>
        <w:tc>
          <w:tcPr>
            <w:tcW w:w="1843" w:type="dxa"/>
            <w:gridSpan w:val="2"/>
            <w:tcBorders>
              <w:top w:val="nil"/>
              <w:left w:val="nil"/>
              <w:bottom w:val="nil"/>
              <w:right w:val="nil"/>
            </w:tcBorders>
          </w:tcPr>
          <w:p>
            <w:pPr>
              <w:pStyle w:val="yTableNAm"/>
              <w:jc w:val="center"/>
            </w:pPr>
            <w:r>
              <w:t>250</w:t>
            </w:r>
          </w:p>
        </w:tc>
        <w:tc>
          <w:tcPr>
            <w:tcW w:w="2410" w:type="dxa"/>
            <w:tcBorders>
              <w:top w:val="nil"/>
              <w:left w:val="nil"/>
              <w:bottom w:val="nil"/>
              <w:right w:val="nil"/>
            </w:tcBorders>
          </w:tcPr>
          <w:p>
            <w:pPr>
              <w:pStyle w:val="yTableNAm"/>
              <w:jc w:val="center"/>
            </w:pPr>
            <w:r>
              <w:t>500</w:t>
            </w:r>
          </w:p>
        </w:tc>
      </w:tr>
      <w:tr>
        <w:trPr>
          <w:gridAfter w:val="1"/>
          <w:wAfter w:w="7" w:type="dxa"/>
        </w:trPr>
        <w:tc>
          <w:tcPr>
            <w:tcW w:w="2977" w:type="dxa"/>
            <w:gridSpan w:val="2"/>
            <w:tcBorders>
              <w:top w:val="nil"/>
              <w:left w:val="nil"/>
              <w:bottom w:val="nil"/>
              <w:right w:val="nil"/>
            </w:tcBorders>
          </w:tcPr>
          <w:p>
            <w:pPr>
              <w:pStyle w:val="yTableNAm"/>
            </w:pPr>
            <w:r>
              <w:t>7.</w:t>
            </w:r>
            <w:r>
              <w:tab/>
              <w:t>regulation 10(1)</w:t>
            </w:r>
          </w:p>
        </w:tc>
        <w:tc>
          <w:tcPr>
            <w:tcW w:w="1843" w:type="dxa"/>
            <w:gridSpan w:val="2"/>
            <w:tcBorders>
              <w:top w:val="nil"/>
              <w:left w:val="nil"/>
              <w:bottom w:val="nil"/>
              <w:right w:val="nil"/>
            </w:tcBorders>
          </w:tcPr>
          <w:p>
            <w:pPr>
              <w:pStyle w:val="yTableNAm"/>
              <w:jc w:val="center"/>
            </w:pPr>
            <w:r>
              <w:t>250</w:t>
            </w:r>
          </w:p>
        </w:tc>
        <w:tc>
          <w:tcPr>
            <w:tcW w:w="2410" w:type="dxa"/>
            <w:tcBorders>
              <w:top w:val="nil"/>
              <w:left w:val="nil"/>
              <w:bottom w:val="nil"/>
              <w:right w:val="nil"/>
            </w:tcBorders>
          </w:tcPr>
          <w:p>
            <w:pPr>
              <w:pStyle w:val="yTableNAm"/>
              <w:jc w:val="center"/>
            </w:pPr>
            <w:r>
              <w:t>500</w:t>
            </w:r>
          </w:p>
        </w:tc>
      </w:tr>
      <w:tr>
        <w:trPr>
          <w:gridAfter w:val="1"/>
          <w:wAfter w:w="7" w:type="dxa"/>
        </w:trPr>
        <w:tc>
          <w:tcPr>
            <w:tcW w:w="2977" w:type="dxa"/>
            <w:gridSpan w:val="2"/>
            <w:tcBorders>
              <w:top w:val="nil"/>
              <w:left w:val="nil"/>
              <w:bottom w:val="nil"/>
              <w:right w:val="nil"/>
            </w:tcBorders>
          </w:tcPr>
          <w:p>
            <w:pPr>
              <w:pStyle w:val="yTableNAm"/>
            </w:pPr>
            <w:r>
              <w:t>8.</w:t>
            </w:r>
            <w:r>
              <w:tab/>
              <w:t>regulation 10(2)</w:t>
            </w:r>
          </w:p>
        </w:tc>
        <w:tc>
          <w:tcPr>
            <w:tcW w:w="1843" w:type="dxa"/>
            <w:gridSpan w:val="2"/>
            <w:tcBorders>
              <w:top w:val="nil"/>
              <w:left w:val="nil"/>
              <w:bottom w:val="nil"/>
              <w:right w:val="nil"/>
            </w:tcBorders>
          </w:tcPr>
          <w:p>
            <w:pPr>
              <w:pStyle w:val="yTableNAm"/>
              <w:jc w:val="center"/>
            </w:pPr>
            <w:r>
              <w:t>250</w:t>
            </w:r>
          </w:p>
        </w:tc>
        <w:tc>
          <w:tcPr>
            <w:tcW w:w="2410" w:type="dxa"/>
            <w:tcBorders>
              <w:top w:val="nil"/>
              <w:left w:val="nil"/>
              <w:bottom w:val="nil"/>
              <w:right w:val="nil"/>
            </w:tcBorders>
          </w:tcPr>
          <w:p>
            <w:pPr>
              <w:pStyle w:val="yTableNAm"/>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gridAfter w:val="1"/>
          <w:wAfter w:w="7" w:type="dxa"/>
        </w:trPr>
        <w:tc>
          <w:tcPr>
            <w:tcW w:w="2977" w:type="dxa"/>
            <w:gridSpan w:val="2"/>
          </w:tcPr>
          <w:p>
            <w:pPr>
              <w:pStyle w:val="yTableNAm"/>
            </w:pPr>
            <w:r>
              <w:t>9.</w:t>
            </w:r>
            <w:r>
              <w:tab/>
              <w:t>regulation 11(1)</w:t>
            </w:r>
          </w:p>
        </w:tc>
        <w:tc>
          <w:tcPr>
            <w:tcW w:w="1843" w:type="dxa"/>
            <w:gridSpan w:val="2"/>
          </w:tcPr>
          <w:p>
            <w:pPr>
              <w:pStyle w:val="yTableNAm"/>
              <w:jc w:val="center"/>
            </w:pPr>
            <w:r>
              <w:t>250</w:t>
            </w:r>
          </w:p>
        </w:tc>
        <w:tc>
          <w:tcPr>
            <w:tcW w:w="2410" w:type="dxa"/>
          </w:tcPr>
          <w:p>
            <w:pPr>
              <w:pStyle w:val="yTableNAm"/>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gridAfter w:val="1"/>
          <w:wAfter w:w="7" w:type="dxa"/>
        </w:trPr>
        <w:tc>
          <w:tcPr>
            <w:tcW w:w="2977" w:type="dxa"/>
            <w:gridSpan w:val="2"/>
          </w:tcPr>
          <w:p>
            <w:pPr>
              <w:pStyle w:val="yTableNAm"/>
            </w:pPr>
            <w:r>
              <w:t>10.</w:t>
            </w:r>
            <w:r>
              <w:tab/>
              <w:t>regulation 11(2)</w:t>
            </w:r>
          </w:p>
        </w:tc>
        <w:tc>
          <w:tcPr>
            <w:tcW w:w="1843" w:type="dxa"/>
            <w:gridSpan w:val="2"/>
          </w:tcPr>
          <w:p>
            <w:pPr>
              <w:pStyle w:val="yTableNAm"/>
              <w:jc w:val="center"/>
            </w:pPr>
            <w:r>
              <w:t>250</w:t>
            </w:r>
          </w:p>
        </w:tc>
        <w:tc>
          <w:tcPr>
            <w:tcW w:w="2410" w:type="dxa"/>
          </w:tcPr>
          <w:p>
            <w:pPr>
              <w:pStyle w:val="yTableNAm"/>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gridAfter w:val="1"/>
          <w:wAfter w:w="7" w:type="dxa"/>
        </w:trPr>
        <w:tc>
          <w:tcPr>
            <w:tcW w:w="2977" w:type="dxa"/>
            <w:gridSpan w:val="2"/>
          </w:tcPr>
          <w:p>
            <w:pPr>
              <w:pStyle w:val="yTableNAm"/>
            </w:pPr>
            <w:r>
              <w:t>11.</w:t>
            </w:r>
            <w:r>
              <w:tab/>
              <w:t>regulation 12</w:t>
            </w:r>
          </w:p>
        </w:tc>
        <w:tc>
          <w:tcPr>
            <w:tcW w:w="1843" w:type="dxa"/>
            <w:gridSpan w:val="2"/>
          </w:tcPr>
          <w:p>
            <w:pPr>
              <w:pStyle w:val="yTableNAm"/>
              <w:jc w:val="center"/>
            </w:pPr>
            <w:r>
              <w:t>250</w:t>
            </w:r>
          </w:p>
        </w:tc>
        <w:tc>
          <w:tcPr>
            <w:tcW w:w="2410" w:type="dxa"/>
          </w:tcPr>
          <w:p>
            <w:pPr>
              <w:pStyle w:val="yTableNAm"/>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gridAfter w:val="1"/>
          <w:wAfter w:w="7" w:type="dxa"/>
        </w:trPr>
        <w:tc>
          <w:tcPr>
            <w:tcW w:w="2977" w:type="dxa"/>
            <w:gridSpan w:val="2"/>
          </w:tcPr>
          <w:p>
            <w:pPr>
              <w:pStyle w:val="yTableNAm"/>
            </w:pPr>
            <w:r>
              <w:rPr>
                <w:i/>
                <w:iCs/>
              </w:rPr>
              <w:t>Environmental Protection (Rural Landfill) Regulations 2002</w:t>
            </w:r>
          </w:p>
        </w:tc>
        <w:tc>
          <w:tcPr>
            <w:tcW w:w="1843" w:type="dxa"/>
            <w:gridSpan w:val="2"/>
          </w:tcPr>
          <w:p>
            <w:pPr>
              <w:pStyle w:val="yTableNAm"/>
              <w:jc w:val="center"/>
            </w:pPr>
          </w:p>
        </w:tc>
        <w:tc>
          <w:tcPr>
            <w:tcW w:w="2410" w:type="dxa"/>
          </w:tcPr>
          <w:p>
            <w:pPr>
              <w:pStyle w:val="yTableNAm"/>
              <w:jc w:val="cente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gridAfter w:val="1"/>
          <w:wAfter w:w="7" w:type="dxa"/>
        </w:trPr>
        <w:tc>
          <w:tcPr>
            <w:tcW w:w="2977" w:type="dxa"/>
            <w:gridSpan w:val="2"/>
          </w:tcPr>
          <w:p>
            <w:pPr>
              <w:pStyle w:val="yTableNAm"/>
            </w:pPr>
            <w:r>
              <w:t>1.</w:t>
            </w:r>
            <w:r>
              <w:tab/>
              <w:t>regulation 5</w:t>
            </w:r>
          </w:p>
        </w:tc>
        <w:tc>
          <w:tcPr>
            <w:tcW w:w="1843" w:type="dxa"/>
            <w:gridSpan w:val="2"/>
          </w:tcPr>
          <w:p>
            <w:pPr>
              <w:pStyle w:val="yTableNAm"/>
              <w:jc w:val="center"/>
            </w:pPr>
            <w:r>
              <w:t>250</w:t>
            </w:r>
          </w:p>
        </w:tc>
        <w:tc>
          <w:tcPr>
            <w:tcW w:w="2410" w:type="dxa"/>
          </w:tcPr>
          <w:p>
            <w:pPr>
              <w:pStyle w:val="yTableNAm"/>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gridAfter w:val="1"/>
          <w:wAfter w:w="7" w:type="dxa"/>
        </w:trPr>
        <w:tc>
          <w:tcPr>
            <w:tcW w:w="2977" w:type="dxa"/>
            <w:gridSpan w:val="2"/>
          </w:tcPr>
          <w:p>
            <w:pPr>
              <w:pStyle w:val="yTableNAm"/>
            </w:pPr>
            <w:r>
              <w:t>2.</w:t>
            </w:r>
            <w:r>
              <w:tab/>
              <w:t>regulation 6(1)</w:t>
            </w:r>
          </w:p>
        </w:tc>
        <w:tc>
          <w:tcPr>
            <w:tcW w:w="1843" w:type="dxa"/>
            <w:gridSpan w:val="2"/>
          </w:tcPr>
          <w:p>
            <w:pPr>
              <w:pStyle w:val="yTableNAm"/>
              <w:jc w:val="center"/>
            </w:pPr>
            <w:r>
              <w:t>250</w:t>
            </w:r>
          </w:p>
        </w:tc>
        <w:tc>
          <w:tcPr>
            <w:tcW w:w="2410" w:type="dxa"/>
          </w:tcPr>
          <w:p>
            <w:pPr>
              <w:pStyle w:val="yTableNAm"/>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gridAfter w:val="1"/>
          <w:wAfter w:w="7" w:type="dxa"/>
        </w:trPr>
        <w:tc>
          <w:tcPr>
            <w:tcW w:w="2977" w:type="dxa"/>
            <w:gridSpan w:val="2"/>
          </w:tcPr>
          <w:p>
            <w:pPr>
              <w:pStyle w:val="yTableNAm"/>
            </w:pPr>
            <w:r>
              <w:t>3.</w:t>
            </w:r>
            <w:r>
              <w:tab/>
              <w:t>regulation 6(3)</w:t>
            </w:r>
          </w:p>
        </w:tc>
        <w:tc>
          <w:tcPr>
            <w:tcW w:w="1843" w:type="dxa"/>
            <w:gridSpan w:val="2"/>
          </w:tcPr>
          <w:p>
            <w:pPr>
              <w:pStyle w:val="yTableNAm"/>
              <w:jc w:val="center"/>
            </w:pPr>
            <w:r>
              <w:t>250</w:t>
            </w:r>
          </w:p>
        </w:tc>
        <w:tc>
          <w:tcPr>
            <w:tcW w:w="2410" w:type="dxa"/>
          </w:tcPr>
          <w:p>
            <w:pPr>
              <w:pStyle w:val="yTableNAm"/>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gridAfter w:val="1"/>
          <w:wAfter w:w="7" w:type="dxa"/>
        </w:trPr>
        <w:tc>
          <w:tcPr>
            <w:tcW w:w="2977" w:type="dxa"/>
            <w:gridSpan w:val="2"/>
          </w:tcPr>
          <w:p>
            <w:pPr>
              <w:pStyle w:val="yTableNAm"/>
            </w:pPr>
            <w:r>
              <w:t>4.</w:t>
            </w:r>
            <w:r>
              <w:tab/>
              <w:t>regulation 7</w:t>
            </w:r>
          </w:p>
        </w:tc>
        <w:tc>
          <w:tcPr>
            <w:tcW w:w="1843" w:type="dxa"/>
            <w:gridSpan w:val="2"/>
          </w:tcPr>
          <w:p>
            <w:pPr>
              <w:pStyle w:val="yTableNAm"/>
              <w:jc w:val="center"/>
            </w:pPr>
            <w:r>
              <w:t>250</w:t>
            </w:r>
          </w:p>
        </w:tc>
        <w:tc>
          <w:tcPr>
            <w:tcW w:w="2410" w:type="dxa"/>
          </w:tcPr>
          <w:p>
            <w:pPr>
              <w:pStyle w:val="yTableNAm"/>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gridAfter w:val="1"/>
          <w:wAfter w:w="7" w:type="dxa"/>
        </w:trPr>
        <w:tc>
          <w:tcPr>
            <w:tcW w:w="2977" w:type="dxa"/>
            <w:gridSpan w:val="2"/>
          </w:tcPr>
          <w:p>
            <w:pPr>
              <w:pStyle w:val="yTableNAm"/>
            </w:pPr>
            <w:r>
              <w:t>5.</w:t>
            </w:r>
            <w:r>
              <w:tab/>
              <w:t>regulation 8</w:t>
            </w:r>
          </w:p>
        </w:tc>
        <w:tc>
          <w:tcPr>
            <w:tcW w:w="1843" w:type="dxa"/>
            <w:gridSpan w:val="2"/>
          </w:tcPr>
          <w:p>
            <w:pPr>
              <w:pStyle w:val="yTableNAm"/>
              <w:jc w:val="center"/>
            </w:pPr>
            <w:r>
              <w:t>250</w:t>
            </w:r>
          </w:p>
        </w:tc>
        <w:tc>
          <w:tcPr>
            <w:tcW w:w="2410" w:type="dxa"/>
          </w:tcPr>
          <w:p>
            <w:pPr>
              <w:pStyle w:val="yTableNAm"/>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gridAfter w:val="1"/>
          <w:wAfter w:w="7" w:type="dxa"/>
        </w:trPr>
        <w:tc>
          <w:tcPr>
            <w:tcW w:w="2977" w:type="dxa"/>
            <w:gridSpan w:val="2"/>
          </w:tcPr>
          <w:p>
            <w:pPr>
              <w:pStyle w:val="yTableNAm"/>
            </w:pPr>
            <w:r>
              <w:t>6.</w:t>
            </w:r>
            <w:r>
              <w:tab/>
              <w:t>regulation 9</w:t>
            </w:r>
          </w:p>
        </w:tc>
        <w:tc>
          <w:tcPr>
            <w:tcW w:w="1843" w:type="dxa"/>
            <w:gridSpan w:val="2"/>
          </w:tcPr>
          <w:p>
            <w:pPr>
              <w:pStyle w:val="yTableNAm"/>
              <w:jc w:val="center"/>
            </w:pPr>
            <w:r>
              <w:t>250</w:t>
            </w:r>
          </w:p>
        </w:tc>
        <w:tc>
          <w:tcPr>
            <w:tcW w:w="2410" w:type="dxa"/>
          </w:tcPr>
          <w:p>
            <w:pPr>
              <w:pStyle w:val="yTableNAm"/>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gridAfter w:val="1"/>
          <w:wAfter w:w="7" w:type="dxa"/>
        </w:trPr>
        <w:tc>
          <w:tcPr>
            <w:tcW w:w="2977" w:type="dxa"/>
            <w:gridSpan w:val="2"/>
          </w:tcPr>
          <w:p>
            <w:pPr>
              <w:pStyle w:val="yTableNAm"/>
            </w:pPr>
            <w:r>
              <w:t>7.</w:t>
            </w:r>
            <w:r>
              <w:tab/>
              <w:t>regulation 10</w:t>
            </w:r>
          </w:p>
        </w:tc>
        <w:tc>
          <w:tcPr>
            <w:tcW w:w="1843" w:type="dxa"/>
            <w:gridSpan w:val="2"/>
          </w:tcPr>
          <w:p>
            <w:pPr>
              <w:pStyle w:val="yTableNAm"/>
              <w:jc w:val="center"/>
            </w:pPr>
            <w:r>
              <w:t>250</w:t>
            </w:r>
          </w:p>
        </w:tc>
        <w:tc>
          <w:tcPr>
            <w:tcW w:w="2410" w:type="dxa"/>
          </w:tcPr>
          <w:p>
            <w:pPr>
              <w:pStyle w:val="yTableNAm"/>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gridAfter w:val="1"/>
          <w:wAfter w:w="7" w:type="dxa"/>
        </w:trPr>
        <w:tc>
          <w:tcPr>
            <w:tcW w:w="2977" w:type="dxa"/>
            <w:gridSpan w:val="2"/>
          </w:tcPr>
          <w:p>
            <w:pPr>
              <w:pStyle w:val="yTableNAm"/>
            </w:pPr>
            <w:r>
              <w:t>8.</w:t>
            </w:r>
            <w:r>
              <w:tab/>
              <w:t>regulation 11</w:t>
            </w:r>
          </w:p>
        </w:tc>
        <w:tc>
          <w:tcPr>
            <w:tcW w:w="1843" w:type="dxa"/>
            <w:gridSpan w:val="2"/>
          </w:tcPr>
          <w:p>
            <w:pPr>
              <w:pStyle w:val="yTableNAm"/>
              <w:jc w:val="center"/>
            </w:pPr>
            <w:r>
              <w:t>250</w:t>
            </w:r>
          </w:p>
        </w:tc>
        <w:tc>
          <w:tcPr>
            <w:tcW w:w="2410" w:type="dxa"/>
          </w:tcPr>
          <w:p>
            <w:pPr>
              <w:pStyle w:val="yTableNAm"/>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gridAfter w:val="1"/>
          <w:wAfter w:w="7" w:type="dxa"/>
        </w:trPr>
        <w:tc>
          <w:tcPr>
            <w:tcW w:w="2977" w:type="dxa"/>
            <w:gridSpan w:val="2"/>
          </w:tcPr>
          <w:p>
            <w:pPr>
              <w:pStyle w:val="yTableNAm"/>
            </w:pPr>
            <w:r>
              <w:t>9.</w:t>
            </w:r>
            <w:r>
              <w:tab/>
              <w:t>regulation 12</w:t>
            </w:r>
          </w:p>
        </w:tc>
        <w:tc>
          <w:tcPr>
            <w:tcW w:w="1843" w:type="dxa"/>
            <w:gridSpan w:val="2"/>
          </w:tcPr>
          <w:p>
            <w:pPr>
              <w:pStyle w:val="yTableNAm"/>
              <w:jc w:val="center"/>
            </w:pPr>
            <w:r>
              <w:t>250</w:t>
            </w:r>
          </w:p>
        </w:tc>
        <w:tc>
          <w:tcPr>
            <w:tcW w:w="2410" w:type="dxa"/>
          </w:tcPr>
          <w:p>
            <w:pPr>
              <w:pStyle w:val="yTableNAm"/>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gridAfter w:val="1"/>
          <w:wAfter w:w="7" w:type="dxa"/>
        </w:trPr>
        <w:tc>
          <w:tcPr>
            <w:tcW w:w="2977" w:type="dxa"/>
            <w:gridSpan w:val="2"/>
          </w:tcPr>
          <w:p>
            <w:pPr>
              <w:pStyle w:val="yTableNAm"/>
            </w:pPr>
            <w:r>
              <w:t>10.</w:t>
            </w:r>
            <w:r>
              <w:tab/>
              <w:t>regulation 13(1)</w:t>
            </w:r>
          </w:p>
        </w:tc>
        <w:tc>
          <w:tcPr>
            <w:tcW w:w="1843" w:type="dxa"/>
            <w:gridSpan w:val="2"/>
          </w:tcPr>
          <w:p>
            <w:pPr>
              <w:pStyle w:val="yTableNAm"/>
              <w:jc w:val="center"/>
            </w:pPr>
            <w:r>
              <w:t>250</w:t>
            </w:r>
          </w:p>
        </w:tc>
        <w:tc>
          <w:tcPr>
            <w:tcW w:w="2410" w:type="dxa"/>
          </w:tcPr>
          <w:p>
            <w:pPr>
              <w:pStyle w:val="yTableNAm"/>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gridAfter w:val="1"/>
          <w:wAfter w:w="7" w:type="dxa"/>
        </w:trPr>
        <w:tc>
          <w:tcPr>
            <w:tcW w:w="2977" w:type="dxa"/>
            <w:gridSpan w:val="2"/>
          </w:tcPr>
          <w:p>
            <w:pPr>
              <w:pStyle w:val="yTableNAm"/>
            </w:pPr>
            <w:r>
              <w:t>11.</w:t>
            </w:r>
            <w:r>
              <w:tab/>
              <w:t>regulation 14</w:t>
            </w:r>
          </w:p>
        </w:tc>
        <w:tc>
          <w:tcPr>
            <w:tcW w:w="1843" w:type="dxa"/>
            <w:gridSpan w:val="2"/>
          </w:tcPr>
          <w:p>
            <w:pPr>
              <w:pStyle w:val="yTableNAm"/>
              <w:jc w:val="center"/>
            </w:pPr>
            <w:r>
              <w:t>250</w:t>
            </w:r>
          </w:p>
        </w:tc>
        <w:tc>
          <w:tcPr>
            <w:tcW w:w="2410" w:type="dxa"/>
          </w:tcPr>
          <w:p>
            <w:pPr>
              <w:pStyle w:val="yTableNAm"/>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gridAfter w:val="1"/>
          <w:wAfter w:w="7" w:type="dxa"/>
        </w:trPr>
        <w:tc>
          <w:tcPr>
            <w:tcW w:w="2977" w:type="dxa"/>
            <w:gridSpan w:val="2"/>
          </w:tcPr>
          <w:p>
            <w:pPr>
              <w:pStyle w:val="yTableNAm"/>
            </w:pPr>
            <w:r>
              <w:t>12.</w:t>
            </w:r>
            <w:r>
              <w:tab/>
              <w:t>regulation 15</w:t>
            </w:r>
          </w:p>
        </w:tc>
        <w:tc>
          <w:tcPr>
            <w:tcW w:w="1843" w:type="dxa"/>
            <w:gridSpan w:val="2"/>
          </w:tcPr>
          <w:p>
            <w:pPr>
              <w:pStyle w:val="yTableNAm"/>
              <w:jc w:val="center"/>
            </w:pPr>
            <w:r>
              <w:t>250</w:t>
            </w:r>
          </w:p>
        </w:tc>
        <w:tc>
          <w:tcPr>
            <w:tcW w:w="2410" w:type="dxa"/>
          </w:tcPr>
          <w:p>
            <w:pPr>
              <w:pStyle w:val="yTableNAm"/>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gridAfter w:val="1"/>
          <w:wAfter w:w="7" w:type="dxa"/>
        </w:trPr>
        <w:tc>
          <w:tcPr>
            <w:tcW w:w="2977" w:type="dxa"/>
            <w:gridSpan w:val="2"/>
          </w:tcPr>
          <w:p>
            <w:pPr>
              <w:pStyle w:val="yTableNAm"/>
            </w:pPr>
            <w:r>
              <w:t>13.</w:t>
            </w:r>
            <w:r>
              <w:tab/>
              <w:t>regulation 16</w:t>
            </w:r>
          </w:p>
        </w:tc>
        <w:tc>
          <w:tcPr>
            <w:tcW w:w="1843" w:type="dxa"/>
            <w:gridSpan w:val="2"/>
          </w:tcPr>
          <w:p>
            <w:pPr>
              <w:pStyle w:val="yTableNAm"/>
              <w:jc w:val="center"/>
            </w:pPr>
            <w:r>
              <w:t>250</w:t>
            </w:r>
          </w:p>
        </w:tc>
        <w:tc>
          <w:tcPr>
            <w:tcW w:w="2410" w:type="dxa"/>
          </w:tcPr>
          <w:p>
            <w:pPr>
              <w:pStyle w:val="yTableNAm"/>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gridAfter w:val="1"/>
          <w:wAfter w:w="7" w:type="dxa"/>
        </w:trPr>
        <w:tc>
          <w:tcPr>
            <w:tcW w:w="2977" w:type="dxa"/>
            <w:gridSpan w:val="2"/>
          </w:tcPr>
          <w:p>
            <w:pPr>
              <w:pStyle w:val="yTableNAm"/>
            </w:pPr>
            <w:r>
              <w:t>14.</w:t>
            </w:r>
            <w:r>
              <w:tab/>
              <w:t>regulation 17(1)</w:t>
            </w:r>
          </w:p>
        </w:tc>
        <w:tc>
          <w:tcPr>
            <w:tcW w:w="1843" w:type="dxa"/>
            <w:gridSpan w:val="2"/>
          </w:tcPr>
          <w:p>
            <w:pPr>
              <w:pStyle w:val="yTableNAm"/>
              <w:jc w:val="center"/>
            </w:pPr>
            <w:r>
              <w:t>250</w:t>
            </w:r>
          </w:p>
        </w:tc>
        <w:tc>
          <w:tcPr>
            <w:tcW w:w="2410" w:type="dxa"/>
          </w:tcPr>
          <w:p>
            <w:pPr>
              <w:pStyle w:val="yTableNAm"/>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gridAfter w:val="1"/>
          <w:wAfter w:w="7" w:type="dxa"/>
        </w:trPr>
        <w:tc>
          <w:tcPr>
            <w:tcW w:w="2977" w:type="dxa"/>
            <w:gridSpan w:val="2"/>
          </w:tcPr>
          <w:p>
            <w:pPr>
              <w:pStyle w:val="yTableNAm"/>
              <w:rPr>
                <w:i/>
                <w:iCs/>
              </w:rPr>
            </w:pPr>
            <w:r>
              <w:rPr>
                <w:i/>
                <w:iCs/>
              </w:rPr>
              <w:t>Environmental Protection (Unauthorised Discharges) Regulations 2004</w:t>
            </w:r>
          </w:p>
        </w:tc>
        <w:tc>
          <w:tcPr>
            <w:tcW w:w="1843" w:type="dxa"/>
            <w:gridSpan w:val="2"/>
          </w:tcPr>
          <w:p>
            <w:pPr>
              <w:pStyle w:val="yTableNAm"/>
              <w:rPr>
                <w:i/>
                <w:iCs/>
              </w:rPr>
            </w:pPr>
          </w:p>
        </w:tc>
        <w:tc>
          <w:tcPr>
            <w:tcW w:w="2410" w:type="dxa"/>
          </w:tcPr>
          <w:p>
            <w:pPr>
              <w:pStyle w:val="yTableNAm"/>
              <w:rPr>
                <w:i/>
                <w:iCs/>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gridAfter w:val="1"/>
          <w:wAfter w:w="7" w:type="dxa"/>
        </w:trPr>
        <w:tc>
          <w:tcPr>
            <w:tcW w:w="2977" w:type="dxa"/>
            <w:gridSpan w:val="2"/>
          </w:tcPr>
          <w:p>
            <w:pPr>
              <w:pStyle w:val="yTableNAm"/>
            </w:pPr>
            <w:r>
              <w:t>1.</w:t>
            </w:r>
            <w:r>
              <w:tab/>
              <w:t>regulation 3(1)</w:t>
            </w:r>
          </w:p>
        </w:tc>
        <w:tc>
          <w:tcPr>
            <w:tcW w:w="1843" w:type="dxa"/>
            <w:gridSpan w:val="2"/>
          </w:tcPr>
          <w:p>
            <w:pPr>
              <w:pStyle w:val="yTableNAm"/>
              <w:jc w:val="center"/>
            </w:pPr>
            <w:r>
              <w:t>250</w:t>
            </w:r>
          </w:p>
        </w:tc>
        <w:tc>
          <w:tcPr>
            <w:tcW w:w="2410" w:type="dxa"/>
          </w:tcPr>
          <w:p>
            <w:pPr>
              <w:pStyle w:val="yTableNAm"/>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gridAfter w:val="1"/>
          <w:wAfter w:w="7" w:type="dxa"/>
        </w:trPr>
        <w:tc>
          <w:tcPr>
            <w:tcW w:w="2977" w:type="dxa"/>
            <w:gridSpan w:val="2"/>
          </w:tcPr>
          <w:p>
            <w:pPr>
              <w:pStyle w:val="yTableNAm"/>
            </w:pPr>
            <w:r>
              <w:t>2.</w:t>
            </w:r>
            <w:r>
              <w:tab/>
              <w:t>regulation 4(1)</w:t>
            </w:r>
          </w:p>
        </w:tc>
        <w:tc>
          <w:tcPr>
            <w:tcW w:w="1843" w:type="dxa"/>
            <w:gridSpan w:val="2"/>
          </w:tcPr>
          <w:p>
            <w:pPr>
              <w:pStyle w:val="yTableNAm"/>
              <w:jc w:val="center"/>
            </w:pPr>
            <w:r>
              <w:t>250</w:t>
            </w:r>
          </w:p>
        </w:tc>
        <w:tc>
          <w:tcPr>
            <w:tcW w:w="2410" w:type="dxa"/>
          </w:tcPr>
          <w:p>
            <w:pPr>
              <w:pStyle w:val="yTableNAm"/>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gridAfter w:val="1"/>
          <w:wAfter w:w="7" w:type="dxa"/>
        </w:trPr>
        <w:tc>
          <w:tcPr>
            <w:tcW w:w="2977" w:type="dxa"/>
            <w:gridSpan w:val="2"/>
          </w:tcPr>
          <w:p>
            <w:pPr>
              <w:pStyle w:val="yTableNAm"/>
            </w:pPr>
            <w:r>
              <w:t>3.</w:t>
            </w:r>
            <w:r>
              <w:tab/>
              <w:t>regulation 4(2)</w:t>
            </w:r>
          </w:p>
        </w:tc>
        <w:tc>
          <w:tcPr>
            <w:tcW w:w="1843" w:type="dxa"/>
            <w:gridSpan w:val="2"/>
          </w:tcPr>
          <w:p>
            <w:pPr>
              <w:pStyle w:val="yTableNAm"/>
              <w:jc w:val="center"/>
            </w:pPr>
            <w:r>
              <w:t>250</w:t>
            </w:r>
          </w:p>
        </w:tc>
        <w:tc>
          <w:tcPr>
            <w:tcW w:w="2410" w:type="dxa"/>
          </w:tcPr>
          <w:p>
            <w:pPr>
              <w:pStyle w:val="yTableNAm"/>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gridAfter w:val="1"/>
          <w:wAfter w:w="7" w:type="dxa"/>
        </w:trPr>
        <w:tc>
          <w:tcPr>
            <w:tcW w:w="2977" w:type="dxa"/>
            <w:gridSpan w:val="2"/>
          </w:tcPr>
          <w:p>
            <w:pPr>
              <w:pStyle w:val="yTableNAm"/>
              <w:rPr>
                <w:i/>
                <w:iCs/>
              </w:rPr>
            </w:pPr>
            <w:r>
              <w:rPr>
                <w:i/>
                <w:iCs/>
              </w:rPr>
              <w:t>Environmental Protection (Controlled Waste) Regulations 2004</w:t>
            </w:r>
          </w:p>
        </w:tc>
        <w:tc>
          <w:tcPr>
            <w:tcW w:w="1843" w:type="dxa"/>
            <w:gridSpan w:val="2"/>
          </w:tcPr>
          <w:p>
            <w:pPr>
              <w:pStyle w:val="yTableNAm"/>
              <w:rPr>
                <w:i/>
                <w:iCs/>
              </w:rPr>
            </w:pPr>
          </w:p>
        </w:tc>
        <w:tc>
          <w:tcPr>
            <w:tcW w:w="2410" w:type="dxa"/>
          </w:tcPr>
          <w:p>
            <w:pPr>
              <w:pStyle w:val="yTableNAm"/>
              <w:rPr>
                <w:i/>
                <w:iCs/>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gridAfter w:val="1"/>
          <w:wAfter w:w="7" w:type="dxa"/>
        </w:trPr>
        <w:tc>
          <w:tcPr>
            <w:tcW w:w="2977" w:type="dxa"/>
            <w:gridSpan w:val="2"/>
          </w:tcPr>
          <w:p>
            <w:pPr>
              <w:pStyle w:val="yTableNAm"/>
            </w:pPr>
            <w:r>
              <w:t>1.</w:t>
            </w:r>
            <w:r>
              <w:tab/>
              <w:t xml:space="preserve">regulation 6(4) </w:t>
            </w:r>
          </w:p>
        </w:tc>
        <w:tc>
          <w:tcPr>
            <w:tcW w:w="1843" w:type="dxa"/>
            <w:gridSpan w:val="2"/>
          </w:tcPr>
          <w:p>
            <w:pPr>
              <w:pStyle w:val="yTableNAm"/>
              <w:jc w:val="center"/>
            </w:pPr>
            <w:r>
              <w:t>250</w:t>
            </w:r>
          </w:p>
        </w:tc>
        <w:tc>
          <w:tcPr>
            <w:tcW w:w="2410" w:type="dxa"/>
          </w:tcPr>
          <w:p>
            <w:pPr>
              <w:pStyle w:val="yTableNAm"/>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gridAfter w:val="1"/>
          <w:wAfter w:w="7" w:type="dxa"/>
        </w:trPr>
        <w:tc>
          <w:tcPr>
            <w:tcW w:w="2977" w:type="dxa"/>
            <w:gridSpan w:val="2"/>
          </w:tcPr>
          <w:p>
            <w:pPr>
              <w:pStyle w:val="yTableNAm"/>
            </w:pPr>
            <w:r>
              <w:t>2.</w:t>
            </w:r>
            <w:r>
              <w:tab/>
              <w:t>regulation 11(1)</w:t>
            </w:r>
          </w:p>
        </w:tc>
        <w:tc>
          <w:tcPr>
            <w:tcW w:w="1843" w:type="dxa"/>
            <w:gridSpan w:val="2"/>
          </w:tcPr>
          <w:p>
            <w:pPr>
              <w:pStyle w:val="yTableNAm"/>
              <w:jc w:val="center"/>
            </w:pPr>
            <w:r>
              <w:t>250</w:t>
            </w:r>
          </w:p>
        </w:tc>
        <w:tc>
          <w:tcPr>
            <w:tcW w:w="2410" w:type="dxa"/>
          </w:tcPr>
          <w:p>
            <w:pPr>
              <w:pStyle w:val="yTableNAm"/>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gridAfter w:val="1"/>
          <w:wAfter w:w="7" w:type="dxa"/>
        </w:trPr>
        <w:tc>
          <w:tcPr>
            <w:tcW w:w="2977" w:type="dxa"/>
            <w:gridSpan w:val="2"/>
          </w:tcPr>
          <w:p>
            <w:pPr>
              <w:pStyle w:val="yTableNAm"/>
            </w:pPr>
            <w:r>
              <w:t>3.</w:t>
            </w:r>
            <w:r>
              <w:tab/>
              <w:t>regulation 13(2)</w:t>
            </w:r>
          </w:p>
        </w:tc>
        <w:tc>
          <w:tcPr>
            <w:tcW w:w="1843" w:type="dxa"/>
            <w:gridSpan w:val="2"/>
          </w:tcPr>
          <w:p>
            <w:pPr>
              <w:pStyle w:val="yTableNAm"/>
              <w:jc w:val="center"/>
            </w:pPr>
            <w:r>
              <w:t>250</w:t>
            </w:r>
          </w:p>
        </w:tc>
        <w:tc>
          <w:tcPr>
            <w:tcW w:w="2410" w:type="dxa"/>
          </w:tcPr>
          <w:p>
            <w:pPr>
              <w:pStyle w:val="yTableNAm"/>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gridAfter w:val="1"/>
          <w:wAfter w:w="7" w:type="dxa"/>
        </w:trPr>
        <w:tc>
          <w:tcPr>
            <w:tcW w:w="2977" w:type="dxa"/>
            <w:gridSpan w:val="2"/>
          </w:tcPr>
          <w:p>
            <w:pPr>
              <w:pStyle w:val="yTableNAm"/>
            </w:pPr>
            <w:r>
              <w:t>4.</w:t>
            </w:r>
            <w:r>
              <w:tab/>
              <w:t>regulation 14</w:t>
            </w:r>
          </w:p>
        </w:tc>
        <w:tc>
          <w:tcPr>
            <w:tcW w:w="1843" w:type="dxa"/>
            <w:gridSpan w:val="2"/>
          </w:tcPr>
          <w:p>
            <w:pPr>
              <w:pStyle w:val="yTableNAm"/>
              <w:jc w:val="center"/>
            </w:pPr>
            <w:r>
              <w:t>250</w:t>
            </w:r>
          </w:p>
        </w:tc>
        <w:tc>
          <w:tcPr>
            <w:tcW w:w="2410" w:type="dxa"/>
          </w:tcPr>
          <w:p>
            <w:pPr>
              <w:pStyle w:val="yTableNAm"/>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gridAfter w:val="1"/>
          <w:wAfter w:w="7" w:type="dxa"/>
        </w:trPr>
        <w:tc>
          <w:tcPr>
            <w:tcW w:w="2977" w:type="dxa"/>
            <w:gridSpan w:val="2"/>
          </w:tcPr>
          <w:p>
            <w:pPr>
              <w:pStyle w:val="yTableNAm"/>
            </w:pPr>
            <w:r>
              <w:t>5.</w:t>
            </w:r>
            <w:r>
              <w:tab/>
              <w:t>regulation 15(1)</w:t>
            </w:r>
          </w:p>
        </w:tc>
        <w:tc>
          <w:tcPr>
            <w:tcW w:w="1843" w:type="dxa"/>
            <w:gridSpan w:val="2"/>
          </w:tcPr>
          <w:p>
            <w:pPr>
              <w:pStyle w:val="yTableNAm"/>
              <w:jc w:val="center"/>
            </w:pPr>
            <w:r>
              <w:t>250</w:t>
            </w:r>
          </w:p>
        </w:tc>
        <w:tc>
          <w:tcPr>
            <w:tcW w:w="2410" w:type="dxa"/>
          </w:tcPr>
          <w:p>
            <w:pPr>
              <w:pStyle w:val="yTableNAm"/>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gridAfter w:val="1"/>
          <w:wAfter w:w="7" w:type="dxa"/>
        </w:trPr>
        <w:tc>
          <w:tcPr>
            <w:tcW w:w="2977" w:type="dxa"/>
            <w:gridSpan w:val="2"/>
          </w:tcPr>
          <w:p>
            <w:pPr>
              <w:pStyle w:val="yTableNAm"/>
            </w:pPr>
            <w:r>
              <w:t>6.</w:t>
            </w:r>
            <w:r>
              <w:tab/>
              <w:t>regulation 15(2)</w:t>
            </w:r>
          </w:p>
        </w:tc>
        <w:tc>
          <w:tcPr>
            <w:tcW w:w="1843" w:type="dxa"/>
            <w:gridSpan w:val="2"/>
          </w:tcPr>
          <w:p>
            <w:pPr>
              <w:pStyle w:val="yTableNAm"/>
              <w:jc w:val="center"/>
            </w:pPr>
            <w:r>
              <w:t>250</w:t>
            </w:r>
          </w:p>
        </w:tc>
        <w:tc>
          <w:tcPr>
            <w:tcW w:w="2410" w:type="dxa"/>
          </w:tcPr>
          <w:p>
            <w:pPr>
              <w:pStyle w:val="yTableNAm"/>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gridAfter w:val="1"/>
          <w:wAfter w:w="7" w:type="dxa"/>
        </w:trPr>
        <w:tc>
          <w:tcPr>
            <w:tcW w:w="2977" w:type="dxa"/>
            <w:gridSpan w:val="2"/>
          </w:tcPr>
          <w:p>
            <w:pPr>
              <w:pStyle w:val="yTableNAm"/>
            </w:pPr>
            <w:r>
              <w:t>7.</w:t>
            </w:r>
            <w:r>
              <w:tab/>
              <w:t>regulation 17</w:t>
            </w:r>
          </w:p>
        </w:tc>
        <w:tc>
          <w:tcPr>
            <w:tcW w:w="1843" w:type="dxa"/>
            <w:gridSpan w:val="2"/>
          </w:tcPr>
          <w:p>
            <w:pPr>
              <w:pStyle w:val="yTableNAm"/>
              <w:jc w:val="center"/>
            </w:pPr>
            <w:r>
              <w:t>250</w:t>
            </w:r>
          </w:p>
        </w:tc>
        <w:tc>
          <w:tcPr>
            <w:tcW w:w="2410" w:type="dxa"/>
          </w:tcPr>
          <w:p>
            <w:pPr>
              <w:pStyle w:val="yTableNAm"/>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gridAfter w:val="1"/>
          <w:wAfter w:w="7" w:type="dxa"/>
        </w:trPr>
        <w:tc>
          <w:tcPr>
            <w:tcW w:w="2977" w:type="dxa"/>
            <w:gridSpan w:val="2"/>
          </w:tcPr>
          <w:p>
            <w:pPr>
              <w:pStyle w:val="yTableNAm"/>
            </w:pPr>
            <w:r>
              <w:t>8.</w:t>
            </w:r>
            <w:r>
              <w:tab/>
              <w:t>regulation 19(2)</w:t>
            </w:r>
          </w:p>
        </w:tc>
        <w:tc>
          <w:tcPr>
            <w:tcW w:w="1843" w:type="dxa"/>
            <w:gridSpan w:val="2"/>
          </w:tcPr>
          <w:p>
            <w:pPr>
              <w:pStyle w:val="yTableNAm"/>
              <w:jc w:val="center"/>
            </w:pPr>
            <w:r>
              <w:t>250</w:t>
            </w:r>
          </w:p>
        </w:tc>
        <w:tc>
          <w:tcPr>
            <w:tcW w:w="2410" w:type="dxa"/>
          </w:tcPr>
          <w:p>
            <w:pPr>
              <w:pStyle w:val="yTableNAm"/>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gridAfter w:val="1"/>
          <w:wAfter w:w="7" w:type="dxa"/>
        </w:trPr>
        <w:tc>
          <w:tcPr>
            <w:tcW w:w="2977" w:type="dxa"/>
            <w:gridSpan w:val="2"/>
          </w:tcPr>
          <w:p>
            <w:pPr>
              <w:pStyle w:val="yTableNAm"/>
            </w:pPr>
            <w:r>
              <w:t>9.</w:t>
            </w:r>
            <w:r>
              <w:tab/>
              <w:t>regulation 21</w:t>
            </w:r>
          </w:p>
        </w:tc>
        <w:tc>
          <w:tcPr>
            <w:tcW w:w="1843" w:type="dxa"/>
            <w:gridSpan w:val="2"/>
          </w:tcPr>
          <w:p>
            <w:pPr>
              <w:pStyle w:val="yTableNAm"/>
              <w:jc w:val="center"/>
            </w:pPr>
            <w:r>
              <w:t>250</w:t>
            </w:r>
          </w:p>
        </w:tc>
        <w:tc>
          <w:tcPr>
            <w:tcW w:w="2410" w:type="dxa"/>
          </w:tcPr>
          <w:p>
            <w:pPr>
              <w:pStyle w:val="yTableNAm"/>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gridAfter w:val="1"/>
          <w:wAfter w:w="7" w:type="dxa"/>
        </w:trPr>
        <w:tc>
          <w:tcPr>
            <w:tcW w:w="2977" w:type="dxa"/>
            <w:gridSpan w:val="2"/>
          </w:tcPr>
          <w:p>
            <w:pPr>
              <w:pStyle w:val="yTableNAm"/>
            </w:pPr>
            <w:r>
              <w:t>10.</w:t>
            </w:r>
            <w:r>
              <w:tab/>
              <w:t>regulation 22(5)</w:t>
            </w:r>
          </w:p>
        </w:tc>
        <w:tc>
          <w:tcPr>
            <w:tcW w:w="1843" w:type="dxa"/>
            <w:gridSpan w:val="2"/>
          </w:tcPr>
          <w:p>
            <w:pPr>
              <w:pStyle w:val="yTableNAm"/>
              <w:jc w:val="center"/>
            </w:pPr>
            <w:r>
              <w:t>250</w:t>
            </w:r>
          </w:p>
        </w:tc>
        <w:tc>
          <w:tcPr>
            <w:tcW w:w="2410" w:type="dxa"/>
          </w:tcPr>
          <w:p>
            <w:pPr>
              <w:pStyle w:val="yTableNAm"/>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gridAfter w:val="1"/>
          <w:wAfter w:w="7" w:type="dxa"/>
        </w:trPr>
        <w:tc>
          <w:tcPr>
            <w:tcW w:w="2977" w:type="dxa"/>
            <w:gridSpan w:val="2"/>
          </w:tcPr>
          <w:p>
            <w:pPr>
              <w:pStyle w:val="yTableNAm"/>
            </w:pPr>
            <w:r>
              <w:t>11.</w:t>
            </w:r>
            <w:r>
              <w:tab/>
              <w:t>regulation 25(1)</w:t>
            </w:r>
          </w:p>
        </w:tc>
        <w:tc>
          <w:tcPr>
            <w:tcW w:w="1843" w:type="dxa"/>
            <w:gridSpan w:val="2"/>
          </w:tcPr>
          <w:p>
            <w:pPr>
              <w:pStyle w:val="yTableNAm"/>
              <w:jc w:val="center"/>
            </w:pPr>
            <w:r>
              <w:t>250</w:t>
            </w:r>
          </w:p>
        </w:tc>
        <w:tc>
          <w:tcPr>
            <w:tcW w:w="2410" w:type="dxa"/>
          </w:tcPr>
          <w:p>
            <w:pPr>
              <w:pStyle w:val="yTableNAm"/>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gridAfter w:val="1"/>
          <w:wAfter w:w="7" w:type="dxa"/>
        </w:trPr>
        <w:tc>
          <w:tcPr>
            <w:tcW w:w="2977" w:type="dxa"/>
            <w:gridSpan w:val="2"/>
          </w:tcPr>
          <w:p>
            <w:pPr>
              <w:pStyle w:val="yTableNAm"/>
            </w:pPr>
            <w:r>
              <w:t>12.</w:t>
            </w:r>
            <w:r>
              <w:tab/>
              <w:t>regulation 25(2)</w:t>
            </w:r>
          </w:p>
        </w:tc>
        <w:tc>
          <w:tcPr>
            <w:tcW w:w="1843" w:type="dxa"/>
            <w:gridSpan w:val="2"/>
          </w:tcPr>
          <w:p>
            <w:pPr>
              <w:pStyle w:val="yTableNAm"/>
              <w:jc w:val="center"/>
            </w:pPr>
            <w:r>
              <w:t>250</w:t>
            </w:r>
          </w:p>
        </w:tc>
        <w:tc>
          <w:tcPr>
            <w:tcW w:w="2410" w:type="dxa"/>
          </w:tcPr>
          <w:p>
            <w:pPr>
              <w:pStyle w:val="yTableNAm"/>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gridAfter w:val="1"/>
          <w:wAfter w:w="7" w:type="dxa"/>
        </w:trPr>
        <w:tc>
          <w:tcPr>
            <w:tcW w:w="2977" w:type="dxa"/>
            <w:gridSpan w:val="2"/>
          </w:tcPr>
          <w:p>
            <w:pPr>
              <w:pStyle w:val="yTableNAm"/>
            </w:pPr>
            <w:r>
              <w:t>13.</w:t>
            </w:r>
            <w:r>
              <w:tab/>
              <w:t>regulation 25(3)</w:t>
            </w:r>
          </w:p>
        </w:tc>
        <w:tc>
          <w:tcPr>
            <w:tcW w:w="1843" w:type="dxa"/>
            <w:gridSpan w:val="2"/>
          </w:tcPr>
          <w:p>
            <w:pPr>
              <w:pStyle w:val="yTableNAm"/>
              <w:jc w:val="center"/>
            </w:pPr>
            <w:r>
              <w:t>250</w:t>
            </w:r>
          </w:p>
        </w:tc>
        <w:tc>
          <w:tcPr>
            <w:tcW w:w="2410" w:type="dxa"/>
          </w:tcPr>
          <w:p>
            <w:pPr>
              <w:pStyle w:val="yTableNAm"/>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gridAfter w:val="1"/>
          <w:wAfter w:w="7" w:type="dxa"/>
        </w:trPr>
        <w:tc>
          <w:tcPr>
            <w:tcW w:w="2977" w:type="dxa"/>
            <w:gridSpan w:val="2"/>
          </w:tcPr>
          <w:p>
            <w:pPr>
              <w:pStyle w:val="yTableNAm"/>
            </w:pPr>
            <w:r>
              <w:t>14.</w:t>
            </w:r>
            <w:r>
              <w:tab/>
              <w:t>regulation 25(4)</w:t>
            </w:r>
          </w:p>
        </w:tc>
        <w:tc>
          <w:tcPr>
            <w:tcW w:w="1843" w:type="dxa"/>
            <w:gridSpan w:val="2"/>
          </w:tcPr>
          <w:p>
            <w:pPr>
              <w:pStyle w:val="yTableNAm"/>
              <w:jc w:val="center"/>
            </w:pPr>
            <w:r>
              <w:t>250</w:t>
            </w:r>
          </w:p>
        </w:tc>
        <w:tc>
          <w:tcPr>
            <w:tcW w:w="2410" w:type="dxa"/>
          </w:tcPr>
          <w:p>
            <w:pPr>
              <w:pStyle w:val="yTableNAm"/>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gridAfter w:val="1"/>
          <w:wAfter w:w="7" w:type="dxa"/>
        </w:trPr>
        <w:tc>
          <w:tcPr>
            <w:tcW w:w="2977" w:type="dxa"/>
            <w:gridSpan w:val="2"/>
          </w:tcPr>
          <w:p>
            <w:pPr>
              <w:pStyle w:val="yTableNAm"/>
            </w:pPr>
            <w:r>
              <w:t>15.</w:t>
            </w:r>
            <w:r>
              <w:tab/>
              <w:t>regulation 25(6)</w:t>
            </w:r>
          </w:p>
        </w:tc>
        <w:tc>
          <w:tcPr>
            <w:tcW w:w="1843" w:type="dxa"/>
            <w:gridSpan w:val="2"/>
          </w:tcPr>
          <w:p>
            <w:pPr>
              <w:pStyle w:val="yTableNAm"/>
              <w:jc w:val="center"/>
            </w:pPr>
            <w:r>
              <w:t>250</w:t>
            </w:r>
          </w:p>
        </w:tc>
        <w:tc>
          <w:tcPr>
            <w:tcW w:w="2410" w:type="dxa"/>
          </w:tcPr>
          <w:p>
            <w:pPr>
              <w:pStyle w:val="yTableNAm"/>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gridAfter w:val="1"/>
          <w:wAfter w:w="7" w:type="dxa"/>
        </w:trPr>
        <w:tc>
          <w:tcPr>
            <w:tcW w:w="2977" w:type="dxa"/>
            <w:gridSpan w:val="2"/>
          </w:tcPr>
          <w:p>
            <w:pPr>
              <w:pStyle w:val="yTableNAm"/>
            </w:pPr>
            <w:r>
              <w:t>16.</w:t>
            </w:r>
            <w:r>
              <w:tab/>
              <w:t>regulation 26(2)</w:t>
            </w:r>
          </w:p>
        </w:tc>
        <w:tc>
          <w:tcPr>
            <w:tcW w:w="1843" w:type="dxa"/>
            <w:gridSpan w:val="2"/>
          </w:tcPr>
          <w:p>
            <w:pPr>
              <w:pStyle w:val="yTableNAm"/>
              <w:jc w:val="center"/>
            </w:pPr>
            <w:r>
              <w:t>250</w:t>
            </w:r>
          </w:p>
        </w:tc>
        <w:tc>
          <w:tcPr>
            <w:tcW w:w="2410" w:type="dxa"/>
          </w:tcPr>
          <w:p>
            <w:pPr>
              <w:pStyle w:val="yTableNAm"/>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gridAfter w:val="1"/>
          <w:wAfter w:w="7" w:type="dxa"/>
        </w:trPr>
        <w:tc>
          <w:tcPr>
            <w:tcW w:w="2977" w:type="dxa"/>
            <w:gridSpan w:val="2"/>
          </w:tcPr>
          <w:p>
            <w:pPr>
              <w:pStyle w:val="yTableNAm"/>
            </w:pPr>
            <w:r>
              <w:t>17.</w:t>
            </w:r>
            <w:r>
              <w:tab/>
              <w:t>regulation 27(3)</w:t>
            </w:r>
          </w:p>
        </w:tc>
        <w:tc>
          <w:tcPr>
            <w:tcW w:w="1843" w:type="dxa"/>
            <w:gridSpan w:val="2"/>
          </w:tcPr>
          <w:p>
            <w:pPr>
              <w:pStyle w:val="yTableNAm"/>
              <w:jc w:val="center"/>
            </w:pPr>
            <w:r>
              <w:t>250</w:t>
            </w:r>
          </w:p>
        </w:tc>
        <w:tc>
          <w:tcPr>
            <w:tcW w:w="2410" w:type="dxa"/>
          </w:tcPr>
          <w:p>
            <w:pPr>
              <w:pStyle w:val="yTableNAm"/>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gridAfter w:val="1"/>
          <w:wAfter w:w="7" w:type="dxa"/>
        </w:trPr>
        <w:tc>
          <w:tcPr>
            <w:tcW w:w="2977" w:type="dxa"/>
            <w:gridSpan w:val="2"/>
          </w:tcPr>
          <w:p>
            <w:pPr>
              <w:pStyle w:val="yTableNAm"/>
            </w:pPr>
            <w:r>
              <w:t>18.</w:t>
            </w:r>
            <w:r>
              <w:tab/>
              <w:t>regulation 28(1)</w:t>
            </w:r>
          </w:p>
        </w:tc>
        <w:tc>
          <w:tcPr>
            <w:tcW w:w="1843" w:type="dxa"/>
            <w:gridSpan w:val="2"/>
          </w:tcPr>
          <w:p>
            <w:pPr>
              <w:pStyle w:val="yTableNAm"/>
              <w:jc w:val="center"/>
            </w:pPr>
            <w:r>
              <w:t>250</w:t>
            </w:r>
          </w:p>
        </w:tc>
        <w:tc>
          <w:tcPr>
            <w:tcW w:w="2410" w:type="dxa"/>
          </w:tcPr>
          <w:p>
            <w:pPr>
              <w:pStyle w:val="yTableNAm"/>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gridAfter w:val="1"/>
          <w:wAfter w:w="7" w:type="dxa"/>
        </w:trPr>
        <w:tc>
          <w:tcPr>
            <w:tcW w:w="2977" w:type="dxa"/>
            <w:gridSpan w:val="2"/>
          </w:tcPr>
          <w:p>
            <w:pPr>
              <w:pStyle w:val="yTableNAm"/>
            </w:pPr>
            <w:r>
              <w:t>19.</w:t>
            </w:r>
            <w:r>
              <w:tab/>
              <w:t>regulation 29(1)</w:t>
            </w:r>
          </w:p>
        </w:tc>
        <w:tc>
          <w:tcPr>
            <w:tcW w:w="1843" w:type="dxa"/>
            <w:gridSpan w:val="2"/>
          </w:tcPr>
          <w:p>
            <w:pPr>
              <w:pStyle w:val="yTableNAm"/>
              <w:jc w:val="center"/>
            </w:pPr>
            <w:r>
              <w:t>250</w:t>
            </w:r>
          </w:p>
        </w:tc>
        <w:tc>
          <w:tcPr>
            <w:tcW w:w="2410" w:type="dxa"/>
          </w:tcPr>
          <w:p>
            <w:pPr>
              <w:pStyle w:val="yTableNAm"/>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gridAfter w:val="1"/>
          <w:wAfter w:w="7" w:type="dxa"/>
        </w:trPr>
        <w:tc>
          <w:tcPr>
            <w:tcW w:w="2977" w:type="dxa"/>
            <w:gridSpan w:val="2"/>
          </w:tcPr>
          <w:p>
            <w:pPr>
              <w:pStyle w:val="yTableNAm"/>
            </w:pPr>
            <w:r>
              <w:t>20.</w:t>
            </w:r>
            <w:r>
              <w:tab/>
              <w:t xml:space="preserve">regulation 30(1) </w:t>
            </w:r>
          </w:p>
        </w:tc>
        <w:tc>
          <w:tcPr>
            <w:tcW w:w="1843" w:type="dxa"/>
            <w:gridSpan w:val="2"/>
          </w:tcPr>
          <w:p>
            <w:pPr>
              <w:pStyle w:val="yTableNAm"/>
              <w:jc w:val="center"/>
            </w:pPr>
            <w:r>
              <w:t>250</w:t>
            </w:r>
          </w:p>
        </w:tc>
        <w:tc>
          <w:tcPr>
            <w:tcW w:w="2410" w:type="dxa"/>
          </w:tcPr>
          <w:p>
            <w:pPr>
              <w:pStyle w:val="yTableNAm"/>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gridAfter w:val="1"/>
          <w:wAfter w:w="7" w:type="dxa"/>
        </w:trPr>
        <w:tc>
          <w:tcPr>
            <w:tcW w:w="2977" w:type="dxa"/>
            <w:gridSpan w:val="2"/>
          </w:tcPr>
          <w:p>
            <w:pPr>
              <w:pStyle w:val="yTableNAm"/>
            </w:pPr>
            <w:r>
              <w:t>21.</w:t>
            </w:r>
            <w:r>
              <w:tab/>
              <w:t>regulation 31(1)</w:t>
            </w:r>
          </w:p>
        </w:tc>
        <w:tc>
          <w:tcPr>
            <w:tcW w:w="1843" w:type="dxa"/>
            <w:gridSpan w:val="2"/>
          </w:tcPr>
          <w:p>
            <w:pPr>
              <w:pStyle w:val="yTableNAm"/>
              <w:jc w:val="center"/>
            </w:pPr>
            <w:r>
              <w:t>250</w:t>
            </w:r>
          </w:p>
        </w:tc>
        <w:tc>
          <w:tcPr>
            <w:tcW w:w="2410" w:type="dxa"/>
          </w:tcPr>
          <w:p>
            <w:pPr>
              <w:pStyle w:val="yTableNAm"/>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gridAfter w:val="1"/>
          <w:wAfter w:w="7" w:type="dxa"/>
        </w:trPr>
        <w:tc>
          <w:tcPr>
            <w:tcW w:w="2977" w:type="dxa"/>
            <w:gridSpan w:val="2"/>
          </w:tcPr>
          <w:p>
            <w:pPr>
              <w:pStyle w:val="yTableNAm"/>
            </w:pPr>
            <w:r>
              <w:t>22.</w:t>
            </w:r>
            <w:r>
              <w:tab/>
              <w:t>regulation 32(1)</w:t>
            </w:r>
          </w:p>
        </w:tc>
        <w:tc>
          <w:tcPr>
            <w:tcW w:w="1843" w:type="dxa"/>
            <w:gridSpan w:val="2"/>
          </w:tcPr>
          <w:p>
            <w:pPr>
              <w:pStyle w:val="yTableNAm"/>
              <w:jc w:val="center"/>
            </w:pPr>
            <w:r>
              <w:t>250</w:t>
            </w:r>
          </w:p>
        </w:tc>
        <w:tc>
          <w:tcPr>
            <w:tcW w:w="2410" w:type="dxa"/>
          </w:tcPr>
          <w:p>
            <w:pPr>
              <w:pStyle w:val="yTableNAm"/>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gridAfter w:val="1"/>
          <w:wAfter w:w="7" w:type="dxa"/>
        </w:trPr>
        <w:tc>
          <w:tcPr>
            <w:tcW w:w="2977" w:type="dxa"/>
            <w:gridSpan w:val="2"/>
          </w:tcPr>
          <w:p>
            <w:pPr>
              <w:pStyle w:val="yTableNAm"/>
            </w:pPr>
            <w:r>
              <w:t>23.</w:t>
            </w:r>
            <w:r>
              <w:tab/>
              <w:t>regulation 33</w:t>
            </w:r>
          </w:p>
        </w:tc>
        <w:tc>
          <w:tcPr>
            <w:tcW w:w="1843" w:type="dxa"/>
            <w:gridSpan w:val="2"/>
          </w:tcPr>
          <w:p>
            <w:pPr>
              <w:pStyle w:val="yTableNAm"/>
              <w:jc w:val="center"/>
            </w:pPr>
            <w:r>
              <w:t>250</w:t>
            </w:r>
          </w:p>
        </w:tc>
        <w:tc>
          <w:tcPr>
            <w:tcW w:w="2410" w:type="dxa"/>
          </w:tcPr>
          <w:p>
            <w:pPr>
              <w:pStyle w:val="yTableNAm"/>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gridAfter w:val="1"/>
          <w:wAfter w:w="7" w:type="dxa"/>
        </w:trPr>
        <w:tc>
          <w:tcPr>
            <w:tcW w:w="2977" w:type="dxa"/>
            <w:gridSpan w:val="2"/>
          </w:tcPr>
          <w:p>
            <w:pPr>
              <w:pStyle w:val="yTableNAm"/>
            </w:pPr>
            <w:r>
              <w:t>24.</w:t>
            </w:r>
            <w:r>
              <w:tab/>
              <w:t>regulation 34</w:t>
            </w:r>
          </w:p>
        </w:tc>
        <w:tc>
          <w:tcPr>
            <w:tcW w:w="1843" w:type="dxa"/>
            <w:gridSpan w:val="2"/>
          </w:tcPr>
          <w:p>
            <w:pPr>
              <w:pStyle w:val="yTableNAm"/>
              <w:jc w:val="center"/>
            </w:pPr>
            <w:r>
              <w:t>250</w:t>
            </w:r>
          </w:p>
        </w:tc>
        <w:tc>
          <w:tcPr>
            <w:tcW w:w="2410" w:type="dxa"/>
          </w:tcPr>
          <w:p>
            <w:pPr>
              <w:pStyle w:val="yTableNAm"/>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gridAfter w:val="1"/>
          <w:wAfter w:w="7" w:type="dxa"/>
        </w:trPr>
        <w:tc>
          <w:tcPr>
            <w:tcW w:w="2977" w:type="dxa"/>
            <w:gridSpan w:val="2"/>
          </w:tcPr>
          <w:p>
            <w:pPr>
              <w:pStyle w:val="yTableNAm"/>
            </w:pPr>
            <w:r>
              <w:t>25.</w:t>
            </w:r>
            <w:r>
              <w:tab/>
              <w:t>regulation 35(1)</w:t>
            </w:r>
          </w:p>
        </w:tc>
        <w:tc>
          <w:tcPr>
            <w:tcW w:w="1843" w:type="dxa"/>
            <w:gridSpan w:val="2"/>
          </w:tcPr>
          <w:p>
            <w:pPr>
              <w:pStyle w:val="yTableNAm"/>
              <w:jc w:val="center"/>
            </w:pPr>
            <w:r>
              <w:t>250</w:t>
            </w:r>
          </w:p>
        </w:tc>
        <w:tc>
          <w:tcPr>
            <w:tcW w:w="2410" w:type="dxa"/>
          </w:tcPr>
          <w:p>
            <w:pPr>
              <w:pStyle w:val="yTableNAm"/>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gridAfter w:val="1"/>
          <w:wAfter w:w="7" w:type="dxa"/>
        </w:trPr>
        <w:tc>
          <w:tcPr>
            <w:tcW w:w="2977" w:type="dxa"/>
            <w:gridSpan w:val="2"/>
          </w:tcPr>
          <w:p>
            <w:pPr>
              <w:pStyle w:val="yTableNAm"/>
            </w:pPr>
            <w:r>
              <w:t>26.</w:t>
            </w:r>
            <w:r>
              <w:tab/>
              <w:t>regulation 35(2)</w:t>
            </w:r>
          </w:p>
        </w:tc>
        <w:tc>
          <w:tcPr>
            <w:tcW w:w="1843" w:type="dxa"/>
            <w:gridSpan w:val="2"/>
          </w:tcPr>
          <w:p>
            <w:pPr>
              <w:pStyle w:val="yTableNAm"/>
              <w:jc w:val="center"/>
            </w:pPr>
            <w:r>
              <w:t>250</w:t>
            </w:r>
          </w:p>
        </w:tc>
        <w:tc>
          <w:tcPr>
            <w:tcW w:w="2410" w:type="dxa"/>
          </w:tcPr>
          <w:p>
            <w:pPr>
              <w:pStyle w:val="yTableNAm"/>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gridAfter w:val="1"/>
          <w:wAfter w:w="7" w:type="dxa"/>
        </w:trPr>
        <w:tc>
          <w:tcPr>
            <w:tcW w:w="2977" w:type="dxa"/>
            <w:gridSpan w:val="2"/>
          </w:tcPr>
          <w:p>
            <w:pPr>
              <w:pStyle w:val="yTableNAm"/>
            </w:pPr>
            <w:r>
              <w:t>27.</w:t>
            </w:r>
            <w:r>
              <w:tab/>
              <w:t>regulation 38(1)</w:t>
            </w:r>
          </w:p>
        </w:tc>
        <w:tc>
          <w:tcPr>
            <w:tcW w:w="1843" w:type="dxa"/>
            <w:gridSpan w:val="2"/>
          </w:tcPr>
          <w:p>
            <w:pPr>
              <w:pStyle w:val="yTableNAm"/>
              <w:jc w:val="center"/>
            </w:pPr>
            <w:r>
              <w:t>250</w:t>
            </w:r>
          </w:p>
        </w:tc>
        <w:tc>
          <w:tcPr>
            <w:tcW w:w="2410" w:type="dxa"/>
          </w:tcPr>
          <w:p>
            <w:pPr>
              <w:pStyle w:val="yTableNAm"/>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gridAfter w:val="1"/>
          <w:wAfter w:w="7" w:type="dxa"/>
        </w:trPr>
        <w:tc>
          <w:tcPr>
            <w:tcW w:w="2977" w:type="dxa"/>
            <w:gridSpan w:val="2"/>
          </w:tcPr>
          <w:p>
            <w:pPr>
              <w:pStyle w:val="yTableNAm"/>
            </w:pPr>
            <w:r>
              <w:t>28.</w:t>
            </w:r>
            <w:r>
              <w:tab/>
              <w:t xml:space="preserve">regulation 38(2) </w:t>
            </w:r>
          </w:p>
        </w:tc>
        <w:tc>
          <w:tcPr>
            <w:tcW w:w="1843" w:type="dxa"/>
            <w:gridSpan w:val="2"/>
          </w:tcPr>
          <w:p>
            <w:pPr>
              <w:pStyle w:val="yTableNAm"/>
              <w:jc w:val="center"/>
            </w:pPr>
            <w:r>
              <w:t>250</w:t>
            </w:r>
          </w:p>
        </w:tc>
        <w:tc>
          <w:tcPr>
            <w:tcW w:w="2410" w:type="dxa"/>
          </w:tcPr>
          <w:p>
            <w:pPr>
              <w:pStyle w:val="yTableNAm"/>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gridAfter w:val="1"/>
          <w:wAfter w:w="7" w:type="dxa"/>
        </w:trPr>
        <w:tc>
          <w:tcPr>
            <w:tcW w:w="2977" w:type="dxa"/>
            <w:gridSpan w:val="2"/>
          </w:tcPr>
          <w:p>
            <w:pPr>
              <w:pStyle w:val="yTableNAm"/>
            </w:pPr>
            <w:r>
              <w:t>29.</w:t>
            </w:r>
            <w:r>
              <w:tab/>
              <w:t>regulation 38(3)</w:t>
            </w:r>
          </w:p>
        </w:tc>
        <w:tc>
          <w:tcPr>
            <w:tcW w:w="1843" w:type="dxa"/>
            <w:gridSpan w:val="2"/>
          </w:tcPr>
          <w:p>
            <w:pPr>
              <w:pStyle w:val="yTableNAm"/>
              <w:jc w:val="center"/>
            </w:pPr>
            <w:r>
              <w:t>250</w:t>
            </w:r>
          </w:p>
        </w:tc>
        <w:tc>
          <w:tcPr>
            <w:tcW w:w="2410" w:type="dxa"/>
          </w:tcPr>
          <w:p>
            <w:pPr>
              <w:pStyle w:val="yTableNAm"/>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gridAfter w:val="1"/>
          <w:wAfter w:w="7" w:type="dxa"/>
        </w:trPr>
        <w:tc>
          <w:tcPr>
            <w:tcW w:w="2977" w:type="dxa"/>
            <w:gridSpan w:val="2"/>
          </w:tcPr>
          <w:p>
            <w:pPr>
              <w:pStyle w:val="yTableNAm"/>
            </w:pPr>
            <w:r>
              <w:t>30.</w:t>
            </w:r>
            <w:r>
              <w:tab/>
              <w:t>regulation 38(4)</w:t>
            </w:r>
          </w:p>
        </w:tc>
        <w:tc>
          <w:tcPr>
            <w:tcW w:w="1843" w:type="dxa"/>
            <w:gridSpan w:val="2"/>
          </w:tcPr>
          <w:p>
            <w:pPr>
              <w:pStyle w:val="yTableNAm"/>
              <w:jc w:val="center"/>
            </w:pPr>
            <w:r>
              <w:t>250</w:t>
            </w:r>
          </w:p>
        </w:tc>
        <w:tc>
          <w:tcPr>
            <w:tcW w:w="2410" w:type="dxa"/>
          </w:tcPr>
          <w:p>
            <w:pPr>
              <w:pStyle w:val="yTableNAm"/>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gridAfter w:val="1"/>
          <w:wAfter w:w="7" w:type="dxa"/>
        </w:trPr>
        <w:tc>
          <w:tcPr>
            <w:tcW w:w="2977" w:type="dxa"/>
            <w:gridSpan w:val="2"/>
          </w:tcPr>
          <w:p>
            <w:pPr>
              <w:pStyle w:val="yTableNAm"/>
            </w:pPr>
            <w:r>
              <w:t>31.</w:t>
            </w:r>
            <w:r>
              <w:tab/>
              <w:t>regulation 39(7)</w:t>
            </w:r>
          </w:p>
        </w:tc>
        <w:tc>
          <w:tcPr>
            <w:tcW w:w="1843" w:type="dxa"/>
            <w:gridSpan w:val="2"/>
          </w:tcPr>
          <w:p>
            <w:pPr>
              <w:pStyle w:val="yTableNAm"/>
              <w:jc w:val="center"/>
            </w:pPr>
            <w:r>
              <w:t>250</w:t>
            </w:r>
          </w:p>
        </w:tc>
        <w:tc>
          <w:tcPr>
            <w:tcW w:w="2410" w:type="dxa"/>
          </w:tcPr>
          <w:p>
            <w:pPr>
              <w:pStyle w:val="yTableNAm"/>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gridAfter w:val="1"/>
          <w:wAfter w:w="7" w:type="dxa"/>
        </w:trPr>
        <w:tc>
          <w:tcPr>
            <w:tcW w:w="2977" w:type="dxa"/>
            <w:gridSpan w:val="2"/>
          </w:tcPr>
          <w:p>
            <w:pPr>
              <w:pStyle w:val="yTableNAm"/>
            </w:pPr>
            <w:r>
              <w:t>32.</w:t>
            </w:r>
            <w:r>
              <w:tab/>
              <w:t>regulation 40(2)</w:t>
            </w:r>
          </w:p>
        </w:tc>
        <w:tc>
          <w:tcPr>
            <w:tcW w:w="1843" w:type="dxa"/>
            <w:gridSpan w:val="2"/>
          </w:tcPr>
          <w:p>
            <w:pPr>
              <w:pStyle w:val="yTableNAm"/>
              <w:jc w:val="center"/>
            </w:pPr>
            <w:r>
              <w:t>250</w:t>
            </w:r>
          </w:p>
        </w:tc>
        <w:tc>
          <w:tcPr>
            <w:tcW w:w="2410" w:type="dxa"/>
          </w:tcPr>
          <w:p>
            <w:pPr>
              <w:pStyle w:val="yTableNAm"/>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gridAfter w:val="1"/>
          <w:wAfter w:w="7" w:type="dxa"/>
        </w:trPr>
        <w:tc>
          <w:tcPr>
            <w:tcW w:w="2977" w:type="dxa"/>
            <w:gridSpan w:val="2"/>
          </w:tcPr>
          <w:p>
            <w:pPr>
              <w:pStyle w:val="yTableNAm"/>
            </w:pPr>
            <w:r>
              <w:t>33.</w:t>
            </w:r>
            <w:r>
              <w:tab/>
              <w:t xml:space="preserve">regulation 41(7) </w:t>
            </w:r>
          </w:p>
        </w:tc>
        <w:tc>
          <w:tcPr>
            <w:tcW w:w="1843" w:type="dxa"/>
            <w:gridSpan w:val="2"/>
          </w:tcPr>
          <w:p>
            <w:pPr>
              <w:pStyle w:val="yTableNAm"/>
              <w:jc w:val="center"/>
            </w:pPr>
            <w:r>
              <w:t>250</w:t>
            </w:r>
          </w:p>
        </w:tc>
        <w:tc>
          <w:tcPr>
            <w:tcW w:w="2410" w:type="dxa"/>
          </w:tcPr>
          <w:p>
            <w:pPr>
              <w:pStyle w:val="yTableNAm"/>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gridAfter w:val="1"/>
          <w:wAfter w:w="7" w:type="dxa"/>
        </w:trPr>
        <w:tc>
          <w:tcPr>
            <w:tcW w:w="2977" w:type="dxa"/>
            <w:gridSpan w:val="2"/>
          </w:tcPr>
          <w:p>
            <w:pPr>
              <w:pStyle w:val="yTableNAm"/>
            </w:pPr>
            <w:r>
              <w:t>34.</w:t>
            </w:r>
            <w:r>
              <w:tab/>
              <w:t>regulation 43</w:t>
            </w:r>
          </w:p>
        </w:tc>
        <w:tc>
          <w:tcPr>
            <w:tcW w:w="1843" w:type="dxa"/>
            <w:gridSpan w:val="2"/>
          </w:tcPr>
          <w:p>
            <w:pPr>
              <w:pStyle w:val="yTableNAm"/>
              <w:jc w:val="center"/>
            </w:pPr>
            <w:r>
              <w:t>250</w:t>
            </w:r>
          </w:p>
        </w:tc>
        <w:tc>
          <w:tcPr>
            <w:tcW w:w="2410" w:type="dxa"/>
          </w:tcPr>
          <w:p>
            <w:pPr>
              <w:pStyle w:val="yTableNAm"/>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gridAfter w:val="1"/>
          <w:wAfter w:w="7" w:type="dxa"/>
        </w:trPr>
        <w:tc>
          <w:tcPr>
            <w:tcW w:w="2977" w:type="dxa"/>
            <w:gridSpan w:val="2"/>
          </w:tcPr>
          <w:p>
            <w:pPr>
              <w:pStyle w:val="yTableNAm"/>
            </w:pPr>
            <w:r>
              <w:t>35.</w:t>
            </w:r>
            <w:r>
              <w:tab/>
              <w:t>regulation 44</w:t>
            </w:r>
          </w:p>
        </w:tc>
        <w:tc>
          <w:tcPr>
            <w:tcW w:w="1843" w:type="dxa"/>
            <w:gridSpan w:val="2"/>
          </w:tcPr>
          <w:p>
            <w:pPr>
              <w:pStyle w:val="yTableNAm"/>
              <w:jc w:val="center"/>
            </w:pPr>
            <w:r>
              <w:t>250</w:t>
            </w:r>
          </w:p>
        </w:tc>
        <w:tc>
          <w:tcPr>
            <w:tcW w:w="2410" w:type="dxa"/>
          </w:tcPr>
          <w:p>
            <w:pPr>
              <w:pStyle w:val="yTableNAm"/>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gridAfter w:val="1"/>
          <w:wAfter w:w="7" w:type="dxa"/>
        </w:trPr>
        <w:tc>
          <w:tcPr>
            <w:tcW w:w="2977" w:type="dxa"/>
            <w:gridSpan w:val="2"/>
          </w:tcPr>
          <w:p>
            <w:pPr>
              <w:pStyle w:val="yTableNAm"/>
            </w:pPr>
            <w:r>
              <w:t>36.</w:t>
            </w:r>
            <w:r>
              <w:tab/>
              <w:t>regulation 45</w:t>
            </w:r>
          </w:p>
        </w:tc>
        <w:tc>
          <w:tcPr>
            <w:tcW w:w="1843" w:type="dxa"/>
            <w:gridSpan w:val="2"/>
          </w:tcPr>
          <w:p>
            <w:pPr>
              <w:pStyle w:val="yTableNAm"/>
              <w:jc w:val="center"/>
            </w:pPr>
            <w:r>
              <w:t>250</w:t>
            </w:r>
          </w:p>
        </w:tc>
        <w:tc>
          <w:tcPr>
            <w:tcW w:w="2410" w:type="dxa"/>
          </w:tcPr>
          <w:p>
            <w:pPr>
              <w:pStyle w:val="yTableNAm"/>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gridAfter w:val="1"/>
          <w:wAfter w:w="7" w:type="dxa"/>
        </w:trPr>
        <w:tc>
          <w:tcPr>
            <w:tcW w:w="2977" w:type="dxa"/>
            <w:gridSpan w:val="2"/>
          </w:tcPr>
          <w:p>
            <w:pPr>
              <w:pStyle w:val="yTableNAm"/>
            </w:pPr>
            <w:r>
              <w:t>38.</w:t>
            </w:r>
            <w:r>
              <w:tab/>
              <w:t>regulation 47</w:t>
            </w:r>
          </w:p>
        </w:tc>
        <w:tc>
          <w:tcPr>
            <w:tcW w:w="1843" w:type="dxa"/>
            <w:gridSpan w:val="2"/>
          </w:tcPr>
          <w:p>
            <w:pPr>
              <w:pStyle w:val="yTableNAm"/>
              <w:jc w:val="center"/>
            </w:pPr>
            <w:r>
              <w:t>250</w:t>
            </w:r>
          </w:p>
        </w:tc>
        <w:tc>
          <w:tcPr>
            <w:tcW w:w="2410" w:type="dxa"/>
          </w:tcPr>
          <w:p>
            <w:pPr>
              <w:pStyle w:val="yTableNAm"/>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gridAfter w:val="1"/>
          <w:wAfter w:w="7" w:type="dxa"/>
        </w:trPr>
        <w:tc>
          <w:tcPr>
            <w:tcW w:w="2977" w:type="dxa"/>
            <w:gridSpan w:val="2"/>
          </w:tcPr>
          <w:p>
            <w:pPr>
              <w:pStyle w:val="yTableNAm"/>
            </w:pPr>
            <w:r>
              <w:t>39.</w:t>
            </w:r>
            <w:r>
              <w:tab/>
              <w:t>regulation 50</w:t>
            </w:r>
          </w:p>
        </w:tc>
        <w:tc>
          <w:tcPr>
            <w:tcW w:w="1843" w:type="dxa"/>
            <w:gridSpan w:val="2"/>
          </w:tcPr>
          <w:p>
            <w:pPr>
              <w:pStyle w:val="yTableNAm"/>
              <w:jc w:val="center"/>
            </w:pPr>
            <w:r>
              <w:t>250</w:t>
            </w:r>
          </w:p>
        </w:tc>
        <w:tc>
          <w:tcPr>
            <w:tcW w:w="2410" w:type="dxa"/>
          </w:tcPr>
          <w:p>
            <w:pPr>
              <w:pStyle w:val="yTableNAm"/>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gridAfter w:val="1"/>
          <w:wAfter w:w="7" w:type="dxa"/>
        </w:trPr>
        <w:tc>
          <w:tcPr>
            <w:tcW w:w="2977" w:type="dxa"/>
            <w:gridSpan w:val="2"/>
          </w:tcPr>
          <w:p>
            <w:pPr>
              <w:pStyle w:val="yTableNAm"/>
            </w:pPr>
            <w:r>
              <w:t>40.</w:t>
            </w:r>
            <w:r>
              <w:tab/>
              <w:t>regulation 51(2)</w:t>
            </w:r>
          </w:p>
        </w:tc>
        <w:tc>
          <w:tcPr>
            <w:tcW w:w="1843" w:type="dxa"/>
            <w:gridSpan w:val="2"/>
          </w:tcPr>
          <w:p>
            <w:pPr>
              <w:pStyle w:val="yTableNAm"/>
              <w:jc w:val="center"/>
            </w:pPr>
            <w:r>
              <w:t>250</w:t>
            </w:r>
          </w:p>
        </w:tc>
        <w:tc>
          <w:tcPr>
            <w:tcW w:w="2410" w:type="dxa"/>
          </w:tcPr>
          <w:p>
            <w:pPr>
              <w:pStyle w:val="yTableNAm"/>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gridAfter w:val="1"/>
          <w:wAfter w:w="7" w:type="dxa"/>
        </w:trPr>
        <w:tc>
          <w:tcPr>
            <w:tcW w:w="2977" w:type="dxa"/>
            <w:gridSpan w:val="2"/>
          </w:tcPr>
          <w:p>
            <w:pPr>
              <w:pStyle w:val="yTableNAm"/>
              <w:rPr>
                <w:i/>
                <w:szCs w:val="22"/>
              </w:rPr>
            </w:pPr>
            <w:r>
              <w:rPr>
                <w:i/>
                <w:iCs/>
              </w:rPr>
              <w:t>Environmental Protection (NEPM</w:t>
            </w:r>
            <w:r>
              <w:rPr>
                <w:i/>
                <w:iCs/>
              </w:rPr>
              <w:noBreakHyphen/>
              <w:t>NPI) Regulations 1998</w:t>
            </w:r>
          </w:p>
        </w:tc>
        <w:tc>
          <w:tcPr>
            <w:tcW w:w="1843" w:type="dxa"/>
            <w:gridSpan w:val="2"/>
          </w:tcPr>
          <w:p>
            <w:pPr>
              <w:pStyle w:val="THeadingNAm"/>
              <w:keepNext w:val="0"/>
              <w:tabs>
                <w:tab w:val="left" w:pos="567"/>
              </w:tabs>
              <w:spacing w:before="120" w:after="0" w:line="240" w:lineRule="auto"/>
              <w:ind w:left="0" w:right="0"/>
              <w:rPr>
                <w:b w:val="0"/>
                <w:sz w:val="22"/>
                <w:szCs w:val="22"/>
              </w:rPr>
            </w:pPr>
          </w:p>
        </w:tc>
        <w:tc>
          <w:tcPr>
            <w:tcW w:w="2410" w:type="dxa"/>
          </w:tcPr>
          <w:p>
            <w:pPr>
              <w:pStyle w:val="THeadingNAm"/>
              <w:keepNext w:val="0"/>
              <w:tabs>
                <w:tab w:val="left" w:pos="567"/>
              </w:tabs>
              <w:spacing w:before="120" w:after="0" w:line="240" w:lineRule="auto"/>
              <w:ind w:left="0" w:right="0"/>
              <w:rPr>
                <w:sz w:val="22"/>
                <w:szCs w:val="22"/>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gridAfter w:val="1"/>
          <w:wAfter w:w="7" w:type="dxa"/>
        </w:trPr>
        <w:tc>
          <w:tcPr>
            <w:tcW w:w="2977" w:type="dxa"/>
            <w:gridSpan w:val="2"/>
          </w:tcPr>
          <w:p>
            <w:pPr>
              <w:pStyle w:val="yTableNAm"/>
            </w:pPr>
            <w:r>
              <w:t>1.</w:t>
            </w:r>
            <w:r>
              <w:tab/>
              <w:t>regulation 5(2)(a)</w:t>
            </w:r>
          </w:p>
        </w:tc>
        <w:tc>
          <w:tcPr>
            <w:tcW w:w="1843" w:type="dxa"/>
            <w:gridSpan w:val="2"/>
          </w:tcPr>
          <w:p>
            <w:pPr>
              <w:pStyle w:val="yTableNAm"/>
              <w:jc w:val="center"/>
            </w:pPr>
            <w:r>
              <w:t>250</w:t>
            </w:r>
          </w:p>
        </w:tc>
        <w:tc>
          <w:tcPr>
            <w:tcW w:w="2410" w:type="dxa"/>
          </w:tcPr>
          <w:p>
            <w:pPr>
              <w:pStyle w:val="yTableNAm"/>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gridAfter w:val="1"/>
          <w:wAfter w:w="7" w:type="dxa"/>
        </w:trPr>
        <w:tc>
          <w:tcPr>
            <w:tcW w:w="2977" w:type="dxa"/>
            <w:gridSpan w:val="2"/>
          </w:tcPr>
          <w:p>
            <w:pPr>
              <w:pStyle w:val="yTableNAm"/>
            </w:pPr>
            <w:r>
              <w:t>2.</w:t>
            </w:r>
            <w:r>
              <w:tab/>
              <w:t>regulation 6(2)</w:t>
            </w:r>
          </w:p>
        </w:tc>
        <w:tc>
          <w:tcPr>
            <w:tcW w:w="1843" w:type="dxa"/>
            <w:gridSpan w:val="2"/>
          </w:tcPr>
          <w:p>
            <w:pPr>
              <w:pStyle w:val="yTableNAm"/>
              <w:jc w:val="center"/>
            </w:pPr>
            <w:r>
              <w:t>250</w:t>
            </w:r>
          </w:p>
        </w:tc>
        <w:tc>
          <w:tcPr>
            <w:tcW w:w="2410" w:type="dxa"/>
          </w:tcPr>
          <w:p>
            <w:pPr>
              <w:pStyle w:val="yTableNAm"/>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tblHeader/>
        </w:trPr>
        <w:tc>
          <w:tcPr>
            <w:tcW w:w="2953" w:type="dxa"/>
            <w:tcBorders>
              <w:top w:val="single" w:sz="4" w:space="0" w:color="auto"/>
              <w:bottom w:val="single" w:sz="4" w:space="0" w:color="auto"/>
            </w:tcBorders>
          </w:tcPr>
          <w:p>
            <w:pPr>
              <w:pStyle w:val="yTableNAm"/>
              <w:rPr>
                <w:i/>
                <w:iCs/>
              </w:rPr>
            </w:pPr>
            <w:r>
              <w:rPr>
                <w:i/>
                <w:iCs/>
              </w:rPr>
              <w:t>Environmental Protection (NEPM-UPM) Regulations 2007</w:t>
            </w:r>
          </w:p>
        </w:tc>
        <w:tc>
          <w:tcPr>
            <w:tcW w:w="1848" w:type="dxa"/>
            <w:gridSpan w:val="2"/>
            <w:tcBorders>
              <w:top w:val="single" w:sz="4" w:space="0" w:color="auto"/>
              <w:bottom w:val="single" w:sz="4" w:space="0" w:color="auto"/>
            </w:tcBorders>
          </w:tcPr>
          <w:p>
            <w:pPr>
              <w:pStyle w:val="yTableNAm"/>
              <w:rPr>
                <w:i/>
                <w:iCs/>
              </w:rPr>
            </w:pPr>
          </w:p>
        </w:tc>
        <w:tc>
          <w:tcPr>
            <w:tcW w:w="2436" w:type="dxa"/>
            <w:gridSpan w:val="3"/>
            <w:tcBorders>
              <w:top w:val="single" w:sz="4" w:space="0" w:color="auto"/>
              <w:bottom w:val="single" w:sz="4" w:space="0" w:color="auto"/>
            </w:tcBorders>
          </w:tcPr>
          <w:p>
            <w:pPr>
              <w:pStyle w:val="yTableNAm"/>
              <w:rPr>
                <w:i/>
                <w:iCs/>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53" w:type="dxa"/>
          </w:tcPr>
          <w:p>
            <w:pPr>
              <w:pStyle w:val="yTableNAm"/>
            </w:pPr>
            <w:r>
              <w:t>1.</w:t>
            </w:r>
            <w:r>
              <w:tab/>
              <w:t>regulation 5(1)(a)</w:t>
            </w:r>
          </w:p>
        </w:tc>
        <w:tc>
          <w:tcPr>
            <w:tcW w:w="1848" w:type="dxa"/>
            <w:gridSpan w:val="2"/>
          </w:tcPr>
          <w:p>
            <w:pPr>
              <w:pStyle w:val="yTableNAm"/>
              <w:jc w:val="center"/>
            </w:pPr>
            <w:r>
              <w:t>250</w:t>
            </w:r>
          </w:p>
        </w:tc>
        <w:tc>
          <w:tcPr>
            <w:tcW w:w="2436" w:type="dxa"/>
            <w:gridSpan w:val="3"/>
          </w:tcPr>
          <w:p>
            <w:pPr>
              <w:pStyle w:val="yTableNAm"/>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53" w:type="dxa"/>
          </w:tcPr>
          <w:p>
            <w:pPr>
              <w:pStyle w:val="yTableNAm"/>
            </w:pPr>
            <w:r>
              <w:t>2.</w:t>
            </w:r>
            <w:r>
              <w:tab/>
              <w:t>regulation 5(1)(b)</w:t>
            </w:r>
          </w:p>
        </w:tc>
        <w:tc>
          <w:tcPr>
            <w:tcW w:w="1848" w:type="dxa"/>
            <w:gridSpan w:val="2"/>
          </w:tcPr>
          <w:p>
            <w:pPr>
              <w:pStyle w:val="yTableNAm"/>
              <w:jc w:val="center"/>
            </w:pPr>
            <w:r>
              <w:t>250</w:t>
            </w:r>
          </w:p>
        </w:tc>
        <w:tc>
          <w:tcPr>
            <w:tcW w:w="2436" w:type="dxa"/>
            <w:gridSpan w:val="3"/>
          </w:tcPr>
          <w:p>
            <w:pPr>
              <w:pStyle w:val="yTableNAm"/>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53" w:type="dxa"/>
          </w:tcPr>
          <w:p>
            <w:pPr>
              <w:pStyle w:val="yTableNAm"/>
            </w:pPr>
            <w:r>
              <w:t>3.</w:t>
            </w:r>
            <w:r>
              <w:tab/>
              <w:t>regulation 8(1)</w:t>
            </w:r>
          </w:p>
        </w:tc>
        <w:tc>
          <w:tcPr>
            <w:tcW w:w="1848" w:type="dxa"/>
            <w:gridSpan w:val="2"/>
          </w:tcPr>
          <w:p>
            <w:pPr>
              <w:pStyle w:val="yTableNAm"/>
              <w:jc w:val="center"/>
            </w:pPr>
            <w:r>
              <w:t>250</w:t>
            </w:r>
          </w:p>
        </w:tc>
        <w:tc>
          <w:tcPr>
            <w:tcW w:w="2436" w:type="dxa"/>
            <w:gridSpan w:val="3"/>
          </w:tcPr>
          <w:p>
            <w:pPr>
              <w:pStyle w:val="yTableNAm"/>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53" w:type="dxa"/>
          </w:tcPr>
          <w:p>
            <w:pPr>
              <w:pStyle w:val="yTableNAm"/>
            </w:pPr>
            <w:r>
              <w:t>4.</w:t>
            </w:r>
            <w:r>
              <w:tab/>
              <w:t>regulation 8(2)</w:t>
            </w:r>
          </w:p>
        </w:tc>
        <w:tc>
          <w:tcPr>
            <w:tcW w:w="1848" w:type="dxa"/>
            <w:gridSpan w:val="2"/>
          </w:tcPr>
          <w:p>
            <w:pPr>
              <w:pStyle w:val="yTableNAm"/>
              <w:jc w:val="center"/>
            </w:pPr>
            <w:r>
              <w:t>250</w:t>
            </w:r>
          </w:p>
        </w:tc>
        <w:tc>
          <w:tcPr>
            <w:tcW w:w="2436" w:type="dxa"/>
            <w:gridSpan w:val="3"/>
          </w:tcPr>
          <w:p>
            <w:pPr>
              <w:pStyle w:val="yTableNAm"/>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53" w:type="dxa"/>
          </w:tcPr>
          <w:p>
            <w:pPr>
              <w:pStyle w:val="yTableNAm"/>
            </w:pPr>
            <w:r>
              <w:t>5.</w:t>
            </w:r>
            <w:r>
              <w:tab/>
              <w:t>regulation 9(1)</w:t>
            </w:r>
          </w:p>
        </w:tc>
        <w:tc>
          <w:tcPr>
            <w:tcW w:w="1848" w:type="dxa"/>
            <w:gridSpan w:val="2"/>
          </w:tcPr>
          <w:p>
            <w:pPr>
              <w:pStyle w:val="yTableNAm"/>
              <w:jc w:val="center"/>
            </w:pPr>
            <w:r>
              <w:t>250</w:t>
            </w:r>
          </w:p>
        </w:tc>
        <w:tc>
          <w:tcPr>
            <w:tcW w:w="2436" w:type="dxa"/>
            <w:gridSpan w:val="3"/>
          </w:tcPr>
          <w:p>
            <w:pPr>
              <w:pStyle w:val="yTableNAm"/>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53" w:type="dxa"/>
            <w:tcBorders>
              <w:bottom w:val="single" w:sz="4" w:space="0" w:color="auto"/>
            </w:tcBorders>
          </w:tcPr>
          <w:p>
            <w:pPr>
              <w:pStyle w:val="yTableNAm"/>
            </w:pPr>
            <w:r>
              <w:t>6.</w:t>
            </w:r>
            <w:r>
              <w:tab/>
              <w:t>regulation 9(2)</w:t>
            </w:r>
          </w:p>
        </w:tc>
        <w:tc>
          <w:tcPr>
            <w:tcW w:w="1848" w:type="dxa"/>
            <w:gridSpan w:val="2"/>
            <w:tcBorders>
              <w:bottom w:val="single" w:sz="4" w:space="0" w:color="auto"/>
            </w:tcBorders>
          </w:tcPr>
          <w:p>
            <w:pPr>
              <w:pStyle w:val="yTableNAm"/>
              <w:jc w:val="center"/>
            </w:pPr>
            <w:r>
              <w:t>250</w:t>
            </w:r>
          </w:p>
        </w:tc>
        <w:tc>
          <w:tcPr>
            <w:tcW w:w="2436" w:type="dxa"/>
            <w:gridSpan w:val="3"/>
            <w:tcBorders>
              <w:bottom w:val="single" w:sz="4" w:space="0" w:color="auto"/>
            </w:tcBorders>
          </w:tcPr>
          <w:p>
            <w:pPr>
              <w:pStyle w:val="yTableNAm"/>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tblHeader/>
        </w:trPr>
        <w:tc>
          <w:tcPr>
            <w:tcW w:w="2953" w:type="dxa"/>
            <w:tcBorders>
              <w:top w:val="single" w:sz="4" w:space="0" w:color="auto"/>
              <w:bottom w:val="single" w:sz="4" w:space="0" w:color="auto"/>
            </w:tcBorders>
          </w:tcPr>
          <w:p>
            <w:pPr>
              <w:pStyle w:val="yTableNAm"/>
              <w:rPr>
                <w:i/>
                <w:iCs/>
              </w:rPr>
            </w:pPr>
            <w:r>
              <w:rPr>
                <w:i/>
                <w:iCs/>
              </w:rPr>
              <w:t>Environmental Protection (Packaged Fertiliser) Regulations 2010</w:t>
            </w:r>
          </w:p>
        </w:tc>
        <w:tc>
          <w:tcPr>
            <w:tcW w:w="1848" w:type="dxa"/>
            <w:gridSpan w:val="2"/>
            <w:tcBorders>
              <w:top w:val="single" w:sz="4" w:space="0" w:color="auto"/>
              <w:bottom w:val="single" w:sz="4" w:space="0" w:color="auto"/>
            </w:tcBorders>
          </w:tcPr>
          <w:p>
            <w:pPr>
              <w:pStyle w:val="yTableNAm"/>
              <w:rPr>
                <w:i/>
                <w:iCs/>
              </w:rPr>
            </w:pPr>
          </w:p>
        </w:tc>
        <w:tc>
          <w:tcPr>
            <w:tcW w:w="2436" w:type="dxa"/>
            <w:gridSpan w:val="3"/>
            <w:tcBorders>
              <w:top w:val="single" w:sz="4" w:space="0" w:color="auto"/>
              <w:bottom w:val="single" w:sz="4" w:space="0" w:color="auto"/>
            </w:tcBorders>
          </w:tcPr>
          <w:p>
            <w:pPr>
              <w:pStyle w:val="yTableNAm"/>
              <w:rPr>
                <w:i/>
                <w:iCs/>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53" w:type="dxa"/>
          </w:tcPr>
          <w:p>
            <w:pPr>
              <w:pStyle w:val="yTableNAm"/>
            </w:pPr>
            <w:r>
              <w:t>1.</w:t>
            </w:r>
            <w:r>
              <w:tab/>
              <w:t>regulation 7(5)</w:t>
            </w:r>
          </w:p>
        </w:tc>
        <w:tc>
          <w:tcPr>
            <w:tcW w:w="1848" w:type="dxa"/>
            <w:gridSpan w:val="2"/>
          </w:tcPr>
          <w:p>
            <w:pPr>
              <w:pStyle w:val="yTableNAm"/>
              <w:jc w:val="center"/>
            </w:pPr>
            <w:r>
              <w:t>250</w:t>
            </w:r>
          </w:p>
        </w:tc>
        <w:tc>
          <w:tcPr>
            <w:tcW w:w="2436" w:type="dxa"/>
            <w:gridSpan w:val="3"/>
          </w:tcPr>
          <w:p>
            <w:pPr>
              <w:pStyle w:val="yTableNAm"/>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53" w:type="dxa"/>
          </w:tcPr>
          <w:p>
            <w:pPr>
              <w:pStyle w:val="yTableNAm"/>
            </w:pPr>
            <w:r>
              <w:t>2.</w:t>
            </w:r>
            <w:r>
              <w:tab/>
              <w:t>regulation 7(6)</w:t>
            </w:r>
          </w:p>
        </w:tc>
        <w:tc>
          <w:tcPr>
            <w:tcW w:w="1848" w:type="dxa"/>
            <w:gridSpan w:val="2"/>
          </w:tcPr>
          <w:p>
            <w:pPr>
              <w:pStyle w:val="yTableNAm"/>
              <w:jc w:val="center"/>
            </w:pPr>
            <w:r>
              <w:t>250</w:t>
            </w:r>
          </w:p>
        </w:tc>
        <w:tc>
          <w:tcPr>
            <w:tcW w:w="2436" w:type="dxa"/>
            <w:gridSpan w:val="3"/>
          </w:tcPr>
          <w:p>
            <w:pPr>
              <w:pStyle w:val="yTableNAm"/>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53" w:type="dxa"/>
          </w:tcPr>
          <w:p>
            <w:pPr>
              <w:pStyle w:val="yTableNAm"/>
            </w:pPr>
            <w:r>
              <w:t>3.</w:t>
            </w:r>
            <w:r>
              <w:tab/>
              <w:t>regulation 8(3)</w:t>
            </w:r>
          </w:p>
        </w:tc>
        <w:tc>
          <w:tcPr>
            <w:tcW w:w="1848" w:type="dxa"/>
            <w:gridSpan w:val="2"/>
          </w:tcPr>
          <w:p>
            <w:pPr>
              <w:pStyle w:val="yTableNAm"/>
              <w:jc w:val="center"/>
            </w:pPr>
            <w:r>
              <w:t>250</w:t>
            </w:r>
          </w:p>
        </w:tc>
        <w:tc>
          <w:tcPr>
            <w:tcW w:w="2436" w:type="dxa"/>
            <w:gridSpan w:val="3"/>
          </w:tcPr>
          <w:p>
            <w:pPr>
              <w:pStyle w:val="yTableNAm"/>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53" w:type="dxa"/>
          </w:tcPr>
          <w:p>
            <w:pPr>
              <w:pStyle w:val="yTableNAm"/>
            </w:pPr>
            <w:r>
              <w:t>4.</w:t>
            </w:r>
            <w:r>
              <w:tab/>
              <w:t>regulation 8(4)</w:t>
            </w:r>
          </w:p>
        </w:tc>
        <w:tc>
          <w:tcPr>
            <w:tcW w:w="1848" w:type="dxa"/>
            <w:gridSpan w:val="2"/>
          </w:tcPr>
          <w:p>
            <w:pPr>
              <w:pStyle w:val="yTableNAm"/>
              <w:jc w:val="center"/>
            </w:pPr>
            <w:r>
              <w:t>250</w:t>
            </w:r>
          </w:p>
        </w:tc>
        <w:tc>
          <w:tcPr>
            <w:tcW w:w="2436" w:type="dxa"/>
            <w:gridSpan w:val="3"/>
          </w:tcPr>
          <w:p>
            <w:pPr>
              <w:pStyle w:val="yTableNAm"/>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53" w:type="dxa"/>
          </w:tcPr>
          <w:p>
            <w:pPr>
              <w:pStyle w:val="yTableNAm"/>
            </w:pPr>
            <w:r>
              <w:t>5.</w:t>
            </w:r>
            <w:r>
              <w:tab/>
              <w:t>regulation 9(5)</w:t>
            </w:r>
          </w:p>
        </w:tc>
        <w:tc>
          <w:tcPr>
            <w:tcW w:w="1848" w:type="dxa"/>
            <w:gridSpan w:val="2"/>
          </w:tcPr>
          <w:p>
            <w:pPr>
              <w:pStyle w:val="yTableNAm"/>
              <w:jc w:val="center"/>
            </w:pPr>
            <w:r>
              <w:t>250</w:t>
            </w:r>
          </w:p>
        </w:tc>
        <w:tc>
          <w:tcPr>
            <w:tcW w:w="2436" w:type="dxa"/>
            <w:gridSpan w:val="3"/>
          </w:tcPr>
          <w:p>
            <w:pPr>
              <w:pStyle w:val="yTableNAm"/>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53" w:type="dxa"/>
          </w:tcPr>
          <w:p>
            <w:pPr>
              <w:pStyle w:val="yTableNAm"/>
            </w:pPr>
            <w:r>
              <w:t>6.</w:t>
            </w:r>
            <w:r>
              <w:tab/>
              <w:t>regulation 9(6)</w:t>
            </w:r>
          </w:p>
        </w:tc>
        <w:tc>
          <w:tcPr>
            <w:tcW w:w="1848" w:type="dxa"/>
            <w:gridSpan w:val="2"/>
          </w:tcPr>
          <w:p>
            <w:pPr>
              <w:pStyle w:val="yTableNAm"/>
              <w:jc w:val="center"/>
            </w:pPr>
            <w:r>
              <w:t>250</w:t>
            </w:r>
          </w:p>
        </w:tc>
        <w:tc>
          <w:tcPr>
            <w:tcW w:w="2436" w:type="dxa"/>
            <w:gridSpan w:val="3"/>
          </w:tcPr>
          <w:p>
            <w:pPr>
              <w:pStyle w:val="yTableNAm"/>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53" w:type="dxa"/>
          </w:tcPr>
          <w:p>
            <w:pPr>
              <w:pStyle w:val="yTableNAm"/>
            </w:pPr>
            <w:r>
              <w:t>7.</w:t>
            </w:r>
            <w:r>
              <w:tab/>
              <w:t>regulation 10(3)</w:t>
            </w:r>
          </w:p>
        </w:tc>
        <w:tc>
          <w:tcPr>
            <w:tcW w:w="1848" w:type="dxa"/>
            <w:gridSpan w:val="2"/>
          </w:tcPr>
          <w:p>
            <w:pPr>
              <w:pStyle w:val="yTableNAm"/>
              <w:jc w:val="center"/>
            </w:pPr>
            <w:r>
              <w:t>250</w:t>
            </w:r>
          </w:p>
        </w:tc>
        <w:tc>
          <w:tcPr>
            <w:tcW w:w="2436" w:type="dxa"/>
            <w:gridSpan w:val="3"/>
          </w:tcPr>
          <w:p>
            <w:pPr>
              <w:pStyle w:val="yTableNAm"/>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53" w:type="dxa"/>
          </w:tcPr>
          <w:p>
            <w:pPr>
              <w:pStyle w:val="yTableNAm"/>
            </w:pPr>
            <w:r>
              <w:t>8.</w:t>
            </w:r>
            <w:r>
              <w:tab/>
              <w:t>regulation 10(4)</w:t>
            </w:r>
          </w:p>
        </w:tc>
        <w:tc>
          <w:tcPr>
            <w:tcW w:w="1848" w:type="dxa"/>
            <w:gridSpan w:val="2"/>
          </w:tcPr>
          <w:p>
            <w:pPr>
              <w:pStyle w:val="yTableNAm"/>
              <w:jc w:val="center"/>
            </w:pPr>
            <w:r>
              <w:t>250</w:t>
            </w:r>
          </w:p>
        </w:tc>
        <w:tc>
          <w:tcPr>
            <w:tcW w:w="2436" w:type="dxa"/>
            <w:gridSpan w:val="3"/>
          </w:tcPr>
          <w:p>
            <w:pPr>
              <w:pStyle w:val="yTableNAm"/>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53" w:type="dxa"/>
          </w:tcPr>
          <w:p>
            <w:pPr>
              <w:pStyle w:val="yTableNAm"/>
            </w:pPr>
            <w:r>
              <w:t>9.</w:t>
            </w:r>
            <w:r>
              <w:tab/>
              <w:t>regulation 11(3)</w:t>
            </w:r>
          </w:p>
        </w:tc>
        <w:tc>
          <w:tcPr>
            <w:tcW w:w="1848" w:type="dxa"/>
            <w:gridSpan w:val="2"/>
          </w:tcPr>
          <w:p>
            <w:pPr>
              <w:pStyle w:val="yTableNAm"/>
              <w:jc w:val="center"/>
            </w:pPr>
            <w:r>
              <w:t>250</w:t>
            </w:r>
          </w:p>
        </w:tc>
        <w:tc>
          <w:tcPr>
            <w:tcW w:w="2436" w:type="dxa"/>
            <w:gridSpan w:val="3"/>
          </w:tcPr>
          <w:p>
            <w:pPr>
              <w:pStyle w:val="yTableNAm"/>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53" w:type="dxa"/>
          </w:tcPr>
          <w:p>
            <w:pPr>
              <w:pStyle w:val="yTableNAm"/>
            </w:pPr>
            <w:r>
              <w:t>10.</w:t>
            </w:r>
            <w:r>
              <w:tab/>
              <w:t>regulation 11(4)</w:t>
            </w:r>
          </w:p>
        </w:tc>
        <w:tc>
          <w:tcPr>
            <w:tcW w:w="1848" w:type="dxa"/>
            <w:gridSpan w:val="2"/>
          </w:tcPr>
          <w:p>
            <w:pPr>
              <w:pStyle w:val="yTableNAm"/>
              <w:jc w:val="center"/>
            </w:pPr>
            <w:r>
              <w:t>250</w:t>
            </w:r>
          </w:p>
        </w:tc>
        <w:tc>
          <w:tcPr>
            <w:tcW w:w="2436" w:type="dxa"/>
            <w:gridSpan w:val="3"/>
          </w:tcPr>
          <w:p>
            <w:pPr>
              <w:pStyle w:val="yTableNAm"/>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53" w:type="dxa"/>
          </w:tcPr>
          <w:p>
            <w:pPr>
              <w:pStyle w:val="yTableNAm"/>
            </w:pPr>
            <w:r>
              <w:t>11.</w:t>
            </w:r>
            <w:r>
              <w:tab/>
              <w:t>regulation 12(3)</w:t>
            </w:r>
          </w:p>
        </w:tc>
        <w:tc>
          <w:tcPr>
            <w:tcW w:w="1848" w:type="dxa"/>
            <w:gridSpan w:val="2"/>
          </w:tcPr>
          <w:p>
            <w:pPr>
              <w:pStyle w:val="yTableNAm"/>
              <w:jc w:val="center"/>
            </w:pPr>
            <w:r>
              <w:t>250</w:t>
            </w:r>
          </w:p>
        </w:tc>
        <w:tc>
          <w:tcPr>
            <w:tcW w:w="2436" w:type="dxa"/>
            <w:gridSpan w:val="3"/>
          </w:tcPr>
          <w:p>
            <w:pPr>
              <w:pStyle w:val="yTableNAm"/>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53" w:type="dxa"/>
          </w:tcPr>
          <w:p>
            <w:pPr>
              <w:pStyle w:val="yTableNAm"/>
            </w:pPr>
            <w:r>
              <w:t>12.</w:t>
            </w:r>
            <w:r>
              <w:tab/>
              <w:t>regulation 12(4)</w:t>
            </w:r>
          </w:p>
        </w:tc>
        <w:tc>
          <w:tcPr>
            <w:tcW w:w="1848" w:type="dxa"/>
            <w:gridSpan w:val="2"/>
          </w:tcPr>
          <w:p>
            <w:pPr>
              <w:pStyle w:val="yTableNAm"/>
              <w:jc w:val="center"/>
            </w:pPr>
            <w:r>
              <w:t>250</w:t>
            </w:r>
          </w:p>
        </w:tc>
        <w:tc>
          <w:tcPr>
            <w:tcW w:w="2436" w:type="dxa"/>
            <w:gridSpan w:val="3"/>
          </w:tcPr>
          <w:p>
            <w:pPr>
              <w:pStyle w:val="yTableNAm"/>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53" w:type="dxa"/>
          </w:tcPr>
          <w:p>
            <w:pPr>
              <w:pStyle w:val="yTableNAm"/>
            </w:pPr>
            <w:r>
              <w:t>13.</w:t>
            </w:r>
            <w:r>
              <w:tab/>
              <w:t>regulation 16(1)</w:t>
            </w:r>
          </w:p>
        </w:tc>
        <w:tc>
          <w:tcPr>
            <w:tcW w:w="1848" w:type="dxa"/>
            <w:gridSpan w:val="2"/>
          </w:tcPr>
          <w:p>
            <w:pPr>
              <w:pStyle w:val="yTableNAm"/>
              <w:jc w:val="center"/>
            </w:pPr>
            <w:r>
              <w:t>250</w:t>
            </w:r>
          </w:p>
        </w:tc>
        <w:tc>
          <w:tcPr>
            <w:tcW w:w="2436" w:type="dxa"/>
            <w:gridSpan w:val="3"/>
          </w:tcPr>
          <w:p>
            <w:pPr>
              <w:pStyle w:val="yTableNAm"/>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53" w:type="dxa"/>
          </w:tcPr>
          <w:p>
            <w:pPr>
              <w:pStyle w:val="yTableNAm"/>
            </w:pPr>
            <w:r>
              <w:t>14.</w:t>
            </w:r>
            <w:r>
              <w:tab/>
              <w:t>regulation 16(2)</w:t>
            </w:r>
          </w:p>
        </w:tc>
        <w:tc>
          <w:tcPr>
            <w:tcW w:w="1848" w:type="dxa"/>
            <w:gridSpan w:val="2"/>
          </w:tcPr>
          <w:p>
            <w:pPr>
              <w:pStyle w:val="yTableNAm"/>
              <w:jc w:val="center"/>
            </w:pPr>
            <w:r>
              <w:t>250</w:t>
            </w:r>
          </w:p>
        </w:tc>
        <w:tc>
          <w:tcPr>
            <w:tcW w:w="2436" w:type="dxa"/>
            <w:gridSpan w:val="3"/>
          </w:tcPr>
          <w:p>
            <w:pPr>
              <w:pStyle w:val="yTableNAm"/>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53" w:type="dxa"/>
          </w:tcPr>
          <w:p>
            <w:pPr>
              <w:pStyle w:val="yTableNAm"/>
            </w:pPr>
            <w:r>
              <w:t>15.</w:t>
            </w:r>
            <w:r>
              <w:tab/>
              <w:t>regulation 17(4)</w:t>
            </w:r>
          </w:p>
        </w:tc>
        <w:tc>
          <w:tcPr>
            <w:tcW w:w="1848" w:type="dxa"/>
            <w:gridSpan w:val="2"/>
          </w:tcPr>
          <w:p>
            <w:pPr>
              <w:pStyle w:val="yTableNAm"/>
              <w:jc w:val="center"/>
            </w:pPr>
            <w:r>
              <w:t>250</w:t>
            </w:r>
          </w:p>
        </w:tc>
        <w:tc>
          <w:tcPr>
            <w:tcW w:w="2436" w:type="dxa"/>
            <w:gridSpan w:val="3"/>
          </w:tcPr>
          <w:p>
            <w:pPr>
              <w:pStyle w:val="yTableNAm"/>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53" w:type="dxa"/>
            <w:tcBorders>
              <w:bottom w:val="single" w:sz="4" w:space="0" w:color="auto"/>
            </w:tcBorders>
          </w:tcPr>
          <w:p>
            <w:pPr>
              <w:pStyle w:val="yTableNAm"/>
            </w:pPr>
            <w:r>
              <w:t>16.</w:t>
            </w:r>
            <w:r>
              <w:tab/>
              <w:t>regulation 17(5)</w:t>
            </w:r>
          </w:p>
        </w:tc>
        <w:tc>
          <w:tcPr>
            <w:tcW w:w="1848" w:type="dxa"/>
            <w:gridSpan w:val="2"/>
            <w:tcBorders>
              <w:bottom w:val="single" w:sz="4" w:space="0" w:color="auto"/>
            </w:tcBorders>
          </w:tcPr>
          <w:p>
            <w:pPr>
              <w:pStyle w:val="yTableNAm"/>
              <w:jc w:val="center"/>
            </w:pPr>
            <w:r>
              <w:t>250</w:t>
            </w:r>
          </w:p>
        </w:tc>
        <w:tc>
          <w:tcPr>
            <w:tcW w:w="2436" w:type="dxa"/>
            <w:gridSpan w:val="3"/>
            <w:tcBorders>
              <w:bottom w:val="single" w:sz="4" w:space="0" w:color="auto"/>
            </w:tcBorders>
          </w:tcPr>
          <w:p>
            <w:pPr>
              <w:pStyle w:val="yTableNAm"/>
              <w:jc w:val="center"/>
            </w:pPr>
            <w:r>
              <w:t>500</w:t>
            </w:r>
          </w:p>
        </w:tc>
      </w:tr>
    </w:tbl>
    <w:p>
      <w:pPr>
        <w:pStyle w:val="yFootnotesection"/>
        <w:keepLines w:val="0"/>
      </w:pPr>
      <w:r>
        <w:tab/>
        <w:t>[Schedule 6 inserted in Gazette 11 Dec 1998 p. 6605</w:t>
      </w:r>
      <w:r>
        <w:noBreakHyphen/>
        <w:t>8; amended in Gazette 15 Aug 2000 p. 4718; 19 Dec 2000 p. 7284; 5 Jan 2001 p. 119; 30 Mar 2001 p. 1809, p. 1828 and 1867</w:t>
      </w:r>
      <w:r>
        <w:noBreakHyphen/>
        <w:t>8; 12 Apr 2001 p. 2097; 30 Nov 2001 p. 6071; 14 Jun 2002 p. 2794</w:t>
      </w:r>
      <w:r>
        <w:noBreakHyphen/>
        <w:t>5; 20 Dec 2002 p. 6020; 23 Jul 2003 p. 3173; 12 Mar 2004 p. 748</w:t>
      </w:r>
      <w:r>
        <w:noBreakHyphen/>
        <w:t>9; 1 Jul 2004 p. 2664</w:t>
      </w:r>
      <w:r>
        <w:noBreakHyphen/>
        <w:t>6; 29 Sep 2006 p. 4267; 27 Apr 2007 p. 1812; 31 Dec 2010 p. 6883</w:t>
      </w:r>
      <w:r>
        <w:noBreakHyphen/>
        <w:t>4; 2 Mar 2012 p. 855</w:t>
      </w:r>
      <w:ins w:id="1432" w:author="Master Repository Process" w:date="2021-08-01T12:45:00Z">
        <w:r>
          <w:t>; 8 May 2012 p. 1893</w:t>
        </w:r>
      </w:ins>
      <w:r>
        <w:t>.]</w:t>
      </w:r>
    </w:p>
    <w:p>
      <w:pPr>
        <w:pStyle w:val="yScheduleHeading"/>
      </w:pPr>
      <w:bookmarkStart w:id="1433" w:name="_Toc12952257"/>
      <w:bookmarkStart w:id="1434" w:name="_Toc94331093"/>
      <w:bookmarkStart w:id="1435" w:name="_Toc122159486"/>
      <w:bookmarkStart w:id="1436" w:name="_Toc122232985"/>
      <w:bookmarkStart w:id="1437" w:name="_Toc147220622"/>
      <w:bookmarkStart w:id="1438" w:name="_Toc147223973"/>
      <w:bookmarkStart w:id="1439" w:name="_Toc165445008"/>
      <w:bookmarkStart w:id="1440" w:name="_Toc170557788"/>
      <w:bookmarkStart w:id="1441" w:name="_Toc170795179"/>
      <w:bookmarkStart w:id="1442" w:name="_Toc172709286"/>
      <w:bookmarkStart w:id="1443" w:name="_Toc172964770"/>
      <w:bookmarkStart w:id="1444" w:name="_Toc174158487"/>
      <w:bookmarkStart w:id="1445" w:name="_Toc174359040"/>
      <w:bookmarkStart w:id="1446" w:name="_Toc174518631"/>
      <w:bookmarkStart w:id="1447" w:name="_Toc176170576"/>
      <w:bookmarkStart w:id="1448" w:name="_Toc181431135"/>
      <w:bookmarkStart w:id="1449" w:name="_Toc181497591"/>
      <w:bookmarkStart w:id="1450" w:name="_Toc202254258"/>
      <w:bookmarkStart w:id="1451" w:name="_Toc267572173"/>
      <w:bookmarkStart w:id="1452" w:name="_Toc281461082"/>
      <w:bookmarkStart w:id="1453" w:name="_Toc318383400"/>
      <w:bookmarkStart w:id="1454" w:name="_Toc318383520"/>
      <w:bookmarkStart w:id="1455" w:name="_Toc324153635"/>
      <w:r>
        <w:rPr>
          <w:rStyle w:val="CharSchNo"/>
        </w:rPr>
        <w:t>Schedule 7</w:t>
      </w:r>
      <w:r>
        <w:t xml:space="preserve"> — </w:t>
      </w:r>
      <w:r>
        <w:rPr>
          <w:rStyle w:val="CharSchText"/>
        </w:rPr>
        <w:t>Forms</w:t>
      </w:r>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p>
    <w:p>
      <w:pPr>
        <w:pStyle w:val="yShoulderClause"/>
      </w:pPr>
      <w:r>
        <w:t>[r. 37, 38, 42, 43]</w:t>
      </w:r>
    </w:p>
    <w:p>
      <w:pPr>
        <w:pStyle w:val="yFootnoteheading"/>
      </w:pPr>
      <w:r>
        <w:tab/>
        <w:t>[Heading inserted in Gazette 11 Dec 1998 p. 6608.]</w:t>
      </w:r>
    </w:p>
    <w:p>
      <w:pPr>
        <w:pStyle w:val="yTable"/>
        <w:jc w:val="center"/>
        <w:rPr>
          <w:b/>
        </w:rPr>
      </w:pPr>
      <w:r>
        <w:rPr>
          <w:b/>
        </w:rPr>
        <w:t>Form 1</w:t>
      </w:r>
    </w:p>
    <w:p>
      <w:pPr>
        <w:pStyle w:val="yTable"/>
        <w:jc w:val="center"/>
        <w:rPr>
          <w:b/>
          <w:i/>
        </w:rPr>
      </w:pPr>
      <w:r>
        <w:rPr>
          <w:b/>
          <w:i/>
        </w:rPr>
        <w:t>Environmental Protection Act 1986</w:t>
      </w:r>
      <w:r>
        <w:rPr>
          <w:b/>
        </w:rPr>
        <w:t xml:space="preserve"> (Section 99B)</w:t>
      </w:r>
    </w:p>
    <w:p>
      <w:pPr>
        <w:pStyle w:val="yTable"/>
        <w:jc w:val="center"/>
      </w:pPr>
      <w:r>
        <w:rPr>
          <w:b/>
        </w:rPr>
        <w:t>Modified penalty notice</w:t>
      </w:r>
    </w:p>
    <w:p>
      <w:pPr>
        <w:pStyle w:val="yTable"/>
        <w:tabs>
          <w:tab w:val="right" w:pos="6237"/>
        </w:tabs>
      </w:pPr>
      <w:r>
        <w:tab/>
        <w:t>No. of Notice:</w:t>
      </w:r>
    </w:p>
    <w:p>
      <w:pPr>
        <w:pStyle w:val="yTable"/>
        <w:tabs>
          <w:tab w:val="right" w:pos="6237"/>
        </w:tabs>
        <w:spacing w:after="240"/>
      </w:pPr>
      <w:r>
        <w:tab/>
        <w:t>Certificate (s. 99A(2)(a)) No.:</w:t>
      </w:r>
    </w:p>
    <w:tbl>
      <w:tblPr>
        <w:tblW w:w="0" w:type="auto"/>
        <w:tblInd w:w="108" w:type="dxa"/>
        <w:tblLayout w:type="fixed"/>
        <w:tblLook w:val="0000" w:firstRow="0" w:lastRow="0" w:firstColumn="0" w:lastColumn="0" w:noHBand="0" w:noVBand="0"/>
      </w:tblPr>
      <w:tblGrid>
        <w:gridCol w:w="3686"/>
        <w:gridCol w:w="3260"/>
      </w:tblGrid>
      <w:tr>
        <w:tc>
          <w:tcPr>
            <w:tcW w:w="3686" w:type="dxa"/>
          </w:tcPr>
          <w:p>
            <w:pPr>
              <w:pStyle w:val="yTable"/>
            </w:pPr>
            <w:r>
              <w:t>To: ..................................................</w:t>
            </w:r>
          </w:p>
        </w:tc>
        <w:tc>
          <w:tcPr>
            <w:tcW w:w="3260" w:type="dxa"/>
          </w:tcPr>
          <w:p>
            <w:pPr>
              <w:pStyle w:val="yTable"/>
              <w:tabs>
                <w:tab w:val="left" w:pos="1451"/>
              </w:tabs>
            </w:pPr>
            <w:r>
              <w:t>Sex:</w:t>
            </w:r>
            <w:r>
              <w:tab/>
              <w:t>M/F</w:t>
            </w:r>
          </w:p>
        </w:tc>
      </w:tr>
      <w:tr>
        <w:tc>
          <w:tcPr>
            <w:tcW w:w="3686" w:type="dxa"/>
          </w:tcPr>
          <w:p>
            <w:pPr>
              <w:pStyle w:val="yTable"/>
              <w:tabs>
                <w:tab w:val="left" w:pos="382"/>
              </w:tabs>
            </w:pPr>
            <w:r>
              <w:tab/>
              <w:t>...................................................</w:t>
            </w:r>
          </w:p>
        </w:tc>
        <w:tc>
          <w:tcPr>
            <w:tcW w:w="3260" w:type="dxa"/>
          </w:tcPr>
          <w:p>
            <w:pPr>
              <w:pStyle w:val="yTable"/>
            </w:pPr>
            <w:r>
              <w:t>DoB: .......... / .......... / ..............</w:t>
            </w:r>
          </w:p>
        </w:tc>
      </w:tr>
      <w:tr>
        <w:tc>
          <w:tcPr>
            <w:tcW w:w="3686" w:type="dxa"/>
          </w:tcPr>
          <w:p>
            <w:pPr>
              <w:pStyle w:val="yTable"/>
            </w:pPr>
            <w:r>
              <w:t>...........................  Postcode: ............</w:t>
            </w:r>
          </w:p>
        </w:tc>
        <w:tc>
          <w:tcPr>
            <w:tcW w:w="3260" w:type="dxa"/>
          </w:tcPr>
          <w:p>
            <w:pPr>
              <w:pStyle w:val="yTable"/>
            </w:pPr>
            <w:r>
              <w:t>or ACN: ...................................</w:t>
            </w:r>
          </w:p>
        </w:tc>
      </w:tr>
    </w:tbl>
    <w:p>
      <w:pPr>
        <w:pStyle w:val="yTable"/>
      </w:pPr>
      <w:r>
        <w:t>It is alleged that you committed an offence:</w:t>
      </w:r>
    </w:p>
    <w:tbl>
      <w:tblPr>
        <w:tblW w:w="0" w:type="auto"/>
        <w:tblInd w:w="392" w:type="dxa"/>
        <w:tblLayout w:type="fixed"/>
        <w:tblLook w:val="0000" w:firstRow="0" w:lastRow="0" w:firstColumn="0" w:lastColumn="0" w:noHBand="0" w:noVBand="0"/>
      </w:tblPr>
      <w:tblGrid>
        <w:gridCol w:w="1701"/>
        <w:gridCol w:w="4961"/>
      </w:tblGrid>
      <w:tr>
        <w:trPr>
          <w:cantSplit/>
        </w:trPr>
        <w:tc>
          <w:tcPr>
            <w:tcW w:w="1701" w:type="dxa"/>
            <w:vMerge w:val="restart"/>
          </w:tcPr>
          <w:p>
            <w:pPr>
              <w:pStyle w:val="yTable"/>
            </w:pPr>
            <w:r>
              <w:t>When and where</w:t>
            </w:r>
          </w:p>
        </w:tc>
        <w:tc>
          <w:tcPr>
            <w:tcW w:w="4961" w:type="dxa"/>
          </w:tcPr>
          <w:p>
            <w:pPr>
              <w:pStyle w:val="yTable"/>
            </w:pPr>
            <w:r>
              <w:t>When:           a.m./p.m. on the      day of</w:t>
            </w:r>
          </w:p>
        </w:tc>
      </w:tr>
      <w:tr>
        <w:trPr>
          <w:cantSplit/>
        </w:trPr>
        <w:tc>
          <w:tcPr>
            <w:tcW w:w="1701" w:type="dxa"/>
            <w:vMerge/>
          </w:tcPr>
          <w:p>
            <w:pPr>
              <w:pStyle w:val="yTable"/>
            </w:pPr>
          </w:p>
        </w:tc>
        <w:tc>
          <w:tcPr>
            <w:tcW w:w="4961" w:type="dxa"/>
          </w:tcPr>
          <w:p>
            <w:pPr>
              <w:pStyle w:val="yTable"/>
            </w:pPr>
            <w:r>
              <w:t>Where:</w:t>
            </w:r>
          </w:p>
        </w:tc>
      </w:tr>
    </w:tbl>
    <w:p>
      <w:pPr>
        <w:pStyle w:val="yTable"/>
      </w:pPr>
      <w:r>
        <w:t>Details of the offence and modified penalty:</w:t>
      </w:r>
    </w:p>
    <w:tbl>
      <w:tblPr>
        <w:tblW w:w="0" w:type="auto"/>
        <w:tblInd w:w="108" w:type="dxa"/>
        <w:tblLayout w:type="fixed"/>
        <w:tblLook w:val="0000" w:firstRow="0" w:lastRow="0" w:firstColumn="0" w:lastColumn="0" w:noHBand="0" w:noVBand="0"/>
      </w:tblPr>
      <w:tblGrid>
        <w:gridCol w:w="1985"/>
        <w:gridCol w:w="3260"/>
        <w:gridCol w:w="1701"/>
      </w:tblGrid>
      <w:tr>
        <w:tc>
          <w:tcPr>
            <w:tcW w:w="1985" w:type="dxa"/>
          </w:tcPr>
          <w:p>
            <w:pPr>
              <w:pStyle w:val="yTable"/>
              <w:jc w:val="center"/>
              <w:rPr>
                <w:b/>
              </w:rPr>
            </w:pPr>
            <w:r>
              <w:rPr>
                <w:b/>
              </w:rPr>
              <w:t>Section of</w:t>
            </w:r>
          </w:p>
          <w:p>
            <w:pPr>
              <w:pStyle w:val="yTable"/>
              <w:spacing w:before="0"/>
              <w:jc w:val="center"/>
              <w:rPr>
                <w:b/>
              </w:rPr>
            </w:pPr>
            <w:r>
              <w:rPr>
                <w:b/>
              </w:rPr>
              <w:t>the Act</w:t>
            </w:r>
          </w:p>
        </w:tc>
        <w:tc>
          <w:tcPr>
            <w:tcW w:w="3260" w:type="dxa"/>
          </w:tcPr>
          <w:p>
            <w:pPr>
              <w:pStyle w:val="yTable"/>
              <w:jc w:val="center"/>
              <w:rPr>
                <w:b/>
              </w:rPr>
            </w:pPr>
            <w:r>
              <w:rPr>
                <w:b/>
              </w:rPr>
              <w:t>Description of the offence</w:t>
            </w:r>
          </w:p>
        </w:tc>
        <w:tc>
          <w:tcPr>
            <w:tcW w:w="1701" w:type="dxa"/>
          </w:tcPr>
          <w:p>
            <w:pPr>
              <w:pStyle w:val="yTable"/>
              <w:spacing w:before="0"/>
              <w:jc w:val="center"/>
              <w:rPr>
                <w:b/>
              </w:rPr>
            </w:pPr>
            <w:r>
              <w:rPr>
                <w:b/>
              </w:rPr>
              <w:t>Modified penalty</w:t>
            </w:r>
          </w:p>
          <w:p>
            <w:pPr>
              <w:pStyle w:val="yTable"/>
              <w:spacing w:before="0"/>
              <w:jc w:val="center"/>
              <w:rPr>
                <w:b/>
              </w:rPr>
            </w:pPr>
            <w:r>
              <w:rPr>
                <w:b/>
              </w:rPr>
              <w:t>$</w:t>
            </w:r>
          </w:p>
        </w:tc>
      </w:tr>
      <w:tr>
        <w:tc>
          <w:tcPr>
            <w:tcW w:w="1985" w:type="dxa"/>
          </w:tcPr>
          <w:p>
            <w:pPr>
              <w:pStyle w:val="yTable"/>
            </w:pPr>
          </w:p>
        </w:tc>
        <w:tc>
          <w:tcPr>
            <w:tcW w:w="3260" w:type="dxa"/>
          </w:tcPr>
          <w:p>
            <w:pPr>
              <w:pStyle w:val="yTable"/>
            </w:pPr>
          </w:p>
        </w:tc>
        <w:tc>
          <w:tcPr>
            <w:tcW w:w="1701" w:type="dxa"/>
          </w:tcPr>
          <w:p>
            <w:pPr>
              <w:pStyle w:val="yTable"/>
            </w:pPr>
          </w:p>
        </w:tc>
      </w:tr>
    </w:tbl>
    <w:p>
      <w:pPr>
        <w:pStyle w:val="yTable"/>
      </w:pPr>
      <w:r>
        <w:t>Information about this notice:</w:t>
      </w:r>
    </w:p>
    <w:tbl>
      <w:tblPr>
        <w:tblW w:w="0" w:type="auto"/>
        <w:tblInd w:w="108" w:type="dxa"/>
        <w:tblLayout w:type="fixed"/>
        <w:tblLook w:val="0000" w:firstRow="0" w:lastRow="0" w:firstColumn="0" w:lastColumn="0" w:noHBand="0" w:noVBand="0"/>
      </w:tblPr>
      <w:tblGrid>
        <w:gridCol w:w="1985"/>
        <w:gridCol w:w="4961"/>
      </w:tblGrid>
      <w:tr>
        <w:tc>
          <w:tcPr>
            <w:tcW w:w="1985" w:type="dxa"/>
          </w:tcPr>
          <w:p>
            <w:pPr>
              <w:pStyle w:val="yTable"/>
            </w:pPr>
            <w:r>
              <w:t>Date:</w:t>
            </w:r>
          </w:p>
        </w:tc>
        <w:tc>
          <w:tcPr>
            <w:tcW w:w="4961" w:type="dxa"/>
          </w:tcPr>
          <w:p>
            <w:pPr>
              <w:pStyle w:val="yTable"/>
            </w:pPr>
            <w:r>
              <w:t>.............................................................................</w:t>
            </w:r>
          </w:p>
        </w:tc>
      </w:tr>
      <w:tr>
        <w:tc>
          <w:tcPr>
            <w:tcW w:w="1985" w:type="dxa"/>
          </w:tcPr>
          <w:p>
            <w:pPr>
              <w:pStyle w:val="yTable"/>
            </w:pPr>
            <w:r>
              <w:t>Issued at:</w:t>
            </w:r>
          </w:p>
        </w:tc>
        <w:tc>
          <w:tcPr>
            <w:tcW w:w="4961" w:type="dxa"/>
          </w:tcPr>
          <w:p>
            <w:pPr>
              <w:pStyle w:val="yTable"/>
            </w:pPr>
            <w:r>
              <w:t>.............................................................................</w:t>
            </w:r>
          </w:p>
        </w:tc>
      </w:tr>
      <w:tr>
        <w:tc>
          <w:tcPr>
            <w:tcW w:w="1985" w:type="dxa"/>
          </w:tcPr>
          <w:p>
            <w:pPr>
              <w:pStyle w:val="yTable"/>
              <w:ind w:right="-391"/>
            </w:pPr>
            <w:r>
              <w:t>By:</w:t>
            </w:r>
          </w:p>
        </w:tc>
        <w:tc>
          <w:tcPr>
            <w:tcW w:w="4961" w:type="dxa"/>
          </w:tcPr>
          <w:p>
            <w:pPr>
              <w:pStyle w:val="yTable"/>
            </w:pPr>
            <w:r>
              <w:t>.............................................................................</w:t>
            </w:r>
          </w:p>
        </w:tc>
      </w:tr>
      <w:tr>
        <w:tc>
          <w:tcPr>
            <w:tcW w:w="1985" w:type="dxa"/>
          </w:tcPr>
          <w:p>
            <w:pPr>
              <w:pStyle w:val="yTable"/>
            </w:pPr>
            <w:r>
              <w:t>Signature:</w:t>
            </w:r>
          </w:p>
        </w:tc>
        <w:tc>
          <w:tcPr>
            <w:tcW w:w="4961" w:type="dxa"/>
          </w:tcPr>
          <w:p>
            <w:pPr>
              <w:pStyle w:val="yTable"/>
            </w:pPr>
            <w:r>
              <w:t>.............................................................................</w:t>
            </w:r>
          </w:p>
        </w:tc>
      </w:tr>
    </w:tbl>
    <w:p>
      <w:pPr>
        <w:pStyle w:val="yTable"/>
        <w:tabs>
          <w:tab w:val="left" w:pos="567"/>
          <w:tab w:val="left" w:pos="709"/>
        </w:tabs>
        <w:ind w:left="709" w:hanging="709"/>
      </w:pPr>
      <w:r>
        <w:tab/>
        <w:t>*</w:t>
      </w:r>
      <w:r>
        <w:tab/>
      </w:r>
      <w:r>
        <w:rPr>
          <w:b/>
          <w:spacing w:val="-4"/>
        </w:rPr>
        <w:t>At the discretion of the Department of Environmental Protection</w:t>
      </w:r>
      <w:r>
        <w:rPr>
          <w:spacing w:val="-4"/>
          <w:vertAlign w:val="superscript"/>
        </w:rPr>
        <w:t> 5</w:t>
      </w:r>
      <w:r>
        <w:rPr>
          <w:b/>
          <w:spacing w:val="-4"/>
        </w:rPr>
        <w:t>, this Modified Penalty Notice may be withdrawn and other action taken.</w:t>
      </w:r>
    </w:p>
    <w:p>
      <w:pPr>
        <w:pStyle w:val="yTable"/>
        <w:rPr>
          <w:sz w:val="18"/>
        </w:rPr>
      </w:pPr>
      <w:r>
        <w:rPr>
          <w:sz w:val="18"/>
        </w:rPr>
        <w:t>WHAT YOU MUST DO:</w:t>
      </w:r>
    </w:p>
    <w:p>
      <w:pPr>
        <w:pStyle w:val="yTable"/>
        <w:tabs>
          <w:tab w:val="left" w:pos="567"/>
        </w:tabs>
        <w:ind w:left="567" w:hanging="567"/>
        <w:rPr>
          <w:sz w:val="18"/>
        </w:rPr>
      </w:pPr>
      <w:r>
        <w:rPr>
          <w:sz w:val="18"/>
        </w:rPr>
        <w:t>1.</w:t>
      </w:r>
      <w:r>
        <w:rPr>
          <w:sz w:val="18"/>
        </w:rPr>
        <w:tab/>
        <w:t>You may dispose of this matter by paying the modified penalty within a period of 28 days after the service of this notice:</w:t>
      </w:r>
    </w:p>
    <w:p>
      <w:pPr>
        <w:pStyle w:val="yTable"/>
        <w:keepNext/>
        <w:rPr>
          <w:sz w:val="18"/>
        </w:rPr>
      </w:pPr>
      <w:r>
        <w:rPr>
          <w:sz w:val="18"/>
        </w:rPr>
        <w:t>PAY THE MODIFIED PENALTY TO:</w:t>
      </w:r>
    </w:p>
    <w:p>
      <w:pPr>
        <w:pStyle w:val="yTable"/>
        <w:keepNext/>
        <w:tabs>
          <w:tab w:val="left" w:pos="567"/>
        </w:tabs>
        <w:spacing w:before="40"/>
        <w:rPr>
          <w:sz w:val="18"/>
        </w:rPr>
      </w:pPr>
      <w:r>
        <w:rPr>
          <w:sz w:val="18"/>
        </w:rPr>
        <w:tab/>
        <w:t>The Accountant</w:t>
      </w:r>
    </w:p>
    <w:p>
      <w:pPr>
        <w:pStyle w:val="yTable"/>
        <w:keepNext/>
        <w:tabs>
          <w:tab w:val="left" w:pos="567"/>
        </w:tabs>
        <w:spacing w:before="40"/>
        <w:rPr>
          <w:sz w:val="18"/>
          <w:vertAlign w:val="superscript"/>
        </w:rPr>
      </w:pPr>
      <w:r>
        <w:rPr>
          <w:sz w:val="18"/>
        </w:rPr>
        <w:tab/>
        <w:t>Department of Environmental Protection</w:t>
      </w:r>
      <w:r>
        <w:rPr>
          <w:sz w:val="18"/>
          <w:vertAlign w:val="superscript"/>
        </w:rPr>
        <w:t> 5</w:t>
      </w:r>
    </w:p>
    <w:p>
      <w:pPr>
        <w:pStyle w:val="yTable"/>
        <w:keepNext/>
        <w:tabs>
          <w:tab w:val="left" w:pos="567"/>
        </w:tabs>
        <w:spacing w:before="40"/>
        <w:rPr>
          <w:sz w:val="18"/>
        </w:rPr>
      </w:pPr>
      <w:r>
        <w:rPr>
          <w:sz w:val="18"/>
        </w:rPr>
        <w:tab/>
        <w:t xml:space="preserve">GPO </w:t>
      </w:r>
      <w:smartTag w:uri="urn:schemas-microsoft-com:office:smarttags" w:element="address">
        <w:smartTag w:uri="urn:schemas-microsoft-com:office:smarttags" w:element="Street">
          <w:r>
            <w:rPr>
              <w:sz w:val="18"/>
            </w:rPr>
            <w:t>Box</w:t>
          </w:r>
        </w:smartTag>
        <w:r>
          <w:rPr>
            <w:sz w:val="18"/>
          </w:rPr>
          <w:t xml:space="preserve"> K822</w:t>
        </w:r>
      </w:smartTag>
    </w:p>
    <w:p>
      <w:pPr>
        <w:pStyle w:val="yTable"/>
        <w:tabs>
          <w:tab w:val="left" w:pos="567"/>
        </w:tabs>
        <w:spacing w:before="40"/>
        <w:rPr>
          <w:sz w:val="18"/>
        </w:rPr>
      </w:pPr>
      <w:r>
        <w:rPr>
          <w:sz w:val="18"/>
        </w:rPr>
        <w:tab/>
      </w:r>
      <w:smartTag w:uri="urn:schemas-microsoft-com:office:smarttags" w:element="place">
        <w:smartTag w:uri="urn:schemas-microsoft-com:office:smarttags" w:element="City">
          <w:r>
            <w:rPr>
              <w:sz w:val="18"/>
            </w:rPr>
            <w:t>PERTH</w:t>
          </w:r>
        </w:smartTag>
      </w:smartTag>
      <w:r>
        <w:rPr>
          <w:sz w:val="18"/>
        </w:rPr>
        <w:t xml:space="preserve">  WA  6842</w:t>
      </w:r>
    </w:p>
    <w:p>
      <w:pPr>
        <w:pStyle w:val="yTable"/>
      </w:pPr>
      <w:r>
        <w:rPr>
          <w:sz w:val="18"/>
        </w:rPr>
        <w:t>If you wish to do so but are unable to make payment within 28 days you may apply to the Chief Executive Officer of the Department of Environmental Protection</w:t>
      </w:r>
      <w:r>
        <w:rPr>
          <w:sz w:val="18"/>
          <w:vertAlign w:val="superscript"/>
        </w:rPr>
        <w:t> 5</w:t>
      </w:r>
      <w:r>
        <w:rPr>
          <w:sz w:val="18"/>
        </w:rPr>
        <w:t xml:space="preserve"> for an extension of time within which the modified penalty may be paid.</w:t>
      </w:r>
    </w:p>
    <w:p>
      <w:pPr>
        <w:pStyle w:val="yTable"/>
        <w:rPr>
          <w:sz w:val="18"/>
        </w:rPr>
      </w:pPr>
      <w:r>
        <w:rPr>
          <w:sz w:val="18"/>
        </w:rPr>
        <w:t>OR</w:t>
      </w:r>
    </w:p>
    <w:p>
      <w:pPr>
        <w:pStyle w:val="yTable"/>
        <w:tabs>
          <w:tab w:val="left" w:pos="567"/>
        </w:tabs>
        <w:rPr>
          <w:sz w:val="18"/>
        </w:rPr>
      </w:pPr>
      <w:r>
        <w:rPr>
          <w:sz w:val="18"/>
        </w:rPr>
        <w:t>2.</w:t>
      </w:r>
      <w:r>
        <w:rPr>
          <w:sz w:val="18"/>
        </w:rPr>
        <w:tab/>
        <w:t>Elect to have the matter dealt with by a COURT.</w:t>
      </w:r>
    </w:p>
    <w:p>
      <w:pPr>
        <w:pStyle w:val="yTable"/>
        <w:rPr>
          <w:sz w:val="18"/>
        </w:rPr>
      </w:pPr>
      <w:r>
        <w:rPr>
          <w:sz w:val="18"/>
        </w:rPr>
        <w:t>If you do not take one of the above options within the time specified above, this matter will be dealt with before a COURT.</w:t>
      </w:r>
    </w:p>
    <w:p>
      <w:pPr>
        <w:pStyle w:val="yFootnotesection"/>
      </w:pPr>
      <w:r>
        <w:tab/>
        <w:t>[Form 1 inserted in Gazette 11 Dec 1998 p. 6608</w:t>
      </w:r>
      <w:r>
        <w:noBreakHyphen/>
        <w:t>9.]</w:t>
      </w:r>
    </w:p>
    <w:p>
      <w:pPr>
        <w:pStyle w:val="yTable"/>
        <w:pageBreakBefore/>
        <w:jc w:val="center"/>
        <w:rPr>
          <w:b/>
        </w:rPr>
      </w:pPr>
      <w:r>
        <w:rPr>
          <w:b/>
        </w:rPr>
        <w:t>Form 2</w:t>
      </w:r>
    </w:p>
    <w:p>
      <w:pPr>
        <w:pStyle w:val="yTable"/>
        <w:jc w:val="center"/>
        <w:rPr>
          <w:b/>
          <w:i/>
        </w:rPr>
      </w:pPr>
      <w:r>
        <w:rPr>
          <w:b/>
          <w:i/>
        </w:rPr>
        <w:t>Environmental Protection Act 1986</w:t>
      </w:r>
      <w:r>
        <w:rPr>
          <w:b/>
        </w:rPr>
        <w:t xml:space="preserve"> (Section 99D)</w:t>
      </w:r>
    </w:p>
    <w:p>
      <w:pPr>
        <w:pStyle w:val="yTable"/>
        <w:spacing w:after="240"/>
        <w:jc w:val="center"/>
      </w:pPr>
      <w:r>
        <w:rPr>
          <w:b/>
        </w:rPr>
        <w:t>Withdrawal of modified penalty notice</w:t>
      </w:r>
    </w:p>
    <w:tbl>
      <w:tblPr>
        <w:tblW w:w="0" w:type="auto"/>
        <w:tblInd w:w="108" w:type="dxa"/>
        <w:tblLayout w:type="fixed"/>
        <w:tblLook w:val="0000" w:firstRow="0" w:lastRow="0" w:firstColumn="0" w:lastColumn="0" w:noHBand="0" w:noVBand="0"/>
      </w:tblPr>
      <w:tblGrid>
        <w:gridCol w:w="3686"/>
        <w:gridCol w:w="3260"/>
      </w:tblGrid>
      <w:tr>
        <w:tc>
          <w:tcPr>
            <w:tcW w:w="3686" w:type="dxa"/>
          </w:tcPr>
          <w:p>
            <w:pPr>
              <w:pStyle w:val="yTable"/>
            </w:pPr>
            <w:r>
              <w:t>To: ..................................................</w:t>
            </w:r>
          </w:p>
        </w:tc>
        <w:tc>
          <w:tcPr>
            <w:tcW w:w="3260" w:type="dxa"/>
          </w:tcPr>
          <w:p>
            <w:pPr>
              <w:pStyle w:val="yTable"/>
              <w:tabs>
                <w:tab w:val="left" w:pos="1451"/>
              </w:tabs>
            </w:pPr>
            <w:r>
              <w:t>Sex:</w:t>
            </w:r>
            <w:r>
              <w:tab/>
              <w:t>M/F</w:t>
            </w:r>
          </w:p>
        </w:tc>
      </w:tr>
      <w:tr>
        <w:tc>
          <w:tcPr>
            <w:tcW w:w="3686" w:type="dxa"/>
          </w:tcPr>
          <w:p>
            <w:pPr>
              <w:pStyle w:val="yTable"/>
              <w:tabs>
                <w:tab w:val="left" w:pos="382"/>
              </w:tabs>
            </w:pPr>
            <w:r>
              <w:tab/>
              <w:t>...................................................</w:t>
            </w:r>
          </w:p>
        </w:tc>
        <w:tc>
          <w:tcPr>
            <w:tcW w:w="3260" w:type="dxa"/>
          </w:tcPr>
          <w:p>
            <w:pPr>
              <w:pStyle w:val="yTable"/>
            </w:pPr>
            <w:r>
              <w:t>DoB: .......... / .......... / ..............</w:t>
            </w:r>
          </w:p>
        </w:tc>
      </w:tr>
      <w:tr>
        <w:tc>
          <w:tcPr>
            <w:tcW w:w="3686" w:type="dxa"/>
          </w:tcPr>
          <w:p>
            <w:pPr>
              <w:pStyle w:val="yTable"/>
            </w:pPr>
            <w:r>
              <w:t>...........................  Postcode: ............</w:t>
            </w:r>
          </w:p>
        </w:tc>
        <w:tc>
          <w:tcPr>
            <w:tcW w:w="3260" w:type="dxa"/>
          </w:tcPr>
          <w:p>
            <w:pPr>
              <w:pStyle w:val="yTable"/>
            </w:pPr>
            <w:r>
              <w:t>or ACN: ...................................</w:t>
            </w:r>
          </w:p>
        </w:tc>
      </w:tr>
    </w:tbl>
    <w:p>
      <w:pPr>
        <w:pStyle w:val="yTable"/>
      </w:pPr>
      <w:r>
        <w:rPr>
          <w:sz w:val="20"/>
        </w:rPr>
        <w:t>A MODIFIED PENALTY NOTICE SERVED ON YOU HAS BEEN WITHDRAWN AND NO FURTHER ACTION WILL BE TAKEN*/A SUMMONS WILL BE ISSUED*</w:t>
      </w:r>
    </w:p>
    <w:p>
      <w:pPr>
        <w:pStyle w:val="yTable"/>
      </w:pPr>
      <w:r>
        <w:t>Details of the withdrawn notice:</w:t>
      </w:r>
    </w:p>
    <w:tbl>
      <w:tblPr>
        <w:tblW w:w="0" w:type="auto"/>
        <w:tblInd w:w="108" w:type="dxa"/>
        <w:tblLayout w:type="fixed"/>
        <w:tblLook w:val="0000" w:firstRow="0" w:lastRow="0" w:firstColumn="0" w:lastColumn="0" w:noHBand="0" w:noVBand="0"/>
      </w:tblPr>
      <w:tblGrid>
        <w:gridCol w:w="2410"/>
        <w:gridCol w:w="4678"/>
      </w:tblGrid>
      <w:tr>
        <w:tc>
          <w:tcPr>
            <w:tcW w:w="2410" w:type="dxa"/>
          </w:tcPr>
          <w:p>
            <w:pPr>
              <w:pStyle w:val="yTable"/>
            </w:pPr>
            <w:r>
              <w:t>Date of issue:</w:t>
            </w:r>
          </w:p>
        </w:tc>
        <w:tc>
          <w:tcPr>
            <w:tcW w:w="4678" w:type="dxa"/>
          </w:tcPr>
          <w:p>
            <w:pPr>
              <w:pStyle w:val="yTable"/>
            </w:pPr>
            <w:r>
              <w:t>.............................................................................</w:t>
            </w:r>
          </w:p>
        </w:tc>
      </w:tr>
      <w:tr>
        <w:tc>
          <w:tcPr>
            <w:tcW w:w="2410" w:type="dxa"/>
          </w:tcPr>
          <w:p>
            <w:pPr>
              <w:pStyle w:val="yTable"/>
            </w:pPr>
            <w:r>
              <w:t>Alleged offence.</w:t>
            </w:r>
          </w:p>
        </w:tc>
        <w:tc>
          <w:tcPr>
            <w:tcW w:w="4678" w:type="dxa"/>
          </w:tcPr>
          <w:p>
            <w:pPr>
              <w:pStyle w:val="yTable"/>
            </w:pPr>
            <w:r>
              <w:t>.............................................................................</w:t>
            </w:r>
          </w:p>
        </w:tc>
      </w:tr>
      <w:tr>
        <w:tc>
          <w:tcPr>
            <w:tcW w:w="2410" w:type="dxa"/>
          </w:tcPr>
          <w:p>
            <w:pPr>
              <w:pStyle w:val="yTable"/>
            </w:pPr>
            <w:r>
              <w:t>Notice No.:</w:t>
            </w:r>
          </w:p>
        </w:tc>
        <w:tc>
          <w:tcPr>
            <w:tcW w:w="4678" w:type="dxa"/>
          </w:tcPr>
          <w:p>
            <w:pPr>
              <w:pStyle w:val="yTable"/>
            </w:pPr>
            <w:r>
              <w:t>.............................................................................</w:t>
            </w:r>
          </w:p>
        </w:tc>
      </w:tr>
    </w:tbl>
    <w:p>
      <w:pPr>
        <w:pStyle w:val="yTable"/>
      </w:pPr>
      <w:r>
        <w:t>Information about this notice:</w:t>
      </w:r>
    </w:p>
    <w:tbl>
      <w:tblPr>
        <w:tblW w:w="0" w:type="auto"/>
        <w:tblInd w:w="108" w:type="dxa"/>
        <w:tblLayout w:type="fixed"/>
        <w:tblLook w:val="0000" w:firstRow="0" w:lastRow="0" w:firstColumn="0" w:lastColumn="0" w:noHBand="0" w:noVBand="0"/>
      </w:tblPr>
      <w:tblGrid>
        <w:gridCol w:w="2410"/>
        <w:gridCol w:w="4678"/>
      </w:tblGrid>
      <w:tr>
        <w:tc>
          <w:tcPr>
            <w:tcW w:w="2410" w:type="dxa"/>
          </w:tcPr>
          <w:p>
            <w:pPr>
              <w:pStyle w:val="yTable"/>
            </w:pPr>
            <w:r>
              <w:t>Date:</w:t>
            </w:r>
          </w:p>
        </w:tc>
        <w:tc>
          <w:tcPr>
            <w:tcW w:w="4678" w:type="dxa"/>
          </w:tcPr>
          <w:p>
            <w:pPr>
              <w:pStyle w:val="yTable"/>
            </w:pPr>
            <w:r>
              <w:t>.............................................................................</w:t>
            </w:r>
          </w:p>
        </w:tc>
      </w:tr>
      <w:tr>
        <w:tc>
          <w:tcPr>
            <w:tcW w:w="2410" w:type="dxa"/>
          </w:tcPr>
          <w:p>
            <w:pPr>
              <w:pStyle w:val="yTable"/>
            </w:pPr>
            <w:r>
              <w:t>Issued at:</w:t>
            </w:r>
          </w:p>
        </w:tc>
        <w:tc>
          <w:tcPr>
            <w:tcW w:w="4678" w:type="dxa"/>
          </w:tcPr>
          <w:p>
            <w:pPr>
              <w:pStyle w:val="yTable"/>
            </w:pPr>
            <w:r>
              <w:t>.............................................................................</w:t>
            </w:r>
          </w:p>
        </w:tc>
      </w:tr>
      <w:tr>
        <w:tc>
          <w:tcPr>
            <w:tcW w:w="2410" w:type="dxa"/>
          </w:tcPr>
          <w:p>
            <w:pPr>
              <w:pStyle w:val="yTable"/>
            </w:pPr>
            <w:r>
              <w:t>by:</w:t>
            </w:r>
          </w:p>
        </w:tc>
        <w:tc>
          <w:tcPr>
            <w:tcW w:w="4678" w:type="dxa"/>
          </w:tcPr>
          <w:p>
            <w:pPr>
              <w:pStyle w:val="yTable"/>
            </w:pPr>
            <w:r>
              <w:t>.............................................................................</w:t>
            </w:r>
          </w:p>
        </w:tc>
      </w:tr>
      <w:tr>
        <w:tc>
          <w:tcPr>
            <w:tcW w:w="2410" w:type="dxa"/>
          </w:tcPr>
          <w:p>
            <w:pPr>
              <w:pStyle w:val="yTable"/>
            </w:pPr>
            <w:r>
              <w:t>Signature:</w:t>
            </w:r>
          </w:p>
        </w:tc>
        <w:tc>
          <w:tcPr>
            <w:tcW w:w="4678" w:type="dxa"/>
          </w:tcPr>
          <w:p>
            <w:pPr>
              <w:pStyle w:val="yTable"/>
            </w:pPr>
            <w:r>
              <w:t>.............................................................................</w:t>
            </w:r>
          </w:p>
        </w:tc>
      </w:tr>
    </w:tbl>
    <w:p>
      <w:pPr>
        <w:pStyle w:val="yTable"/>
      </w:pPr>
      <w:r>
        <w:t>*  Delete where not applicable.</w:t>
      </w:r>
    </w:p>
    <w:p>
      <w:pPr>
        <w:pStyle w:val="yFootnotesection"/>
      </w:pPr>
      <w:r>
        <w:tab/>
        <w:t>[Form 2 inserted in Gazette 11 Dec 1998 p. 6609.]</w:t>
      </w:r>
    </w:p>
    <w:p>
      <w:pPr>
        <w:pStyle w:val="yTable"/>
        <w:pageBreakBefore/>
        <w:jc w:val="center"/>
        <w:rPr>
          <w:b/>
        </w:rPr>
      </w:pPr>
      <w:r>
        <w:rPr>
          <w:b/>
        </w:rPr>
        <w:t>Form 3</w:t>
      </w:r>
    </w:p>
    <w:p>
      <w:pPr>
        <w:pStyle w:val="yTable"/>
        <w:jc w:val="center"/>
        <w:rPr>
          <w:b/>
          <w:i/>
        </w:rPr>
      </w:pPr>
      <w:r>
        <w:rPr>
          <w:b/>
          <w:i/>
        </w:rPr>
        <w:t>Environmental Protection Act 1986</w:t>
      </w:r>
      <w:r>
        <w:rPr>
          <w:b/>
        </w:rPr>
        <w:t xml:space="preserve"> (Section 99K)</w:t>
      </w:r>
    </w:p>
    <w:p>
      <w:pPr>
        <w:pStyle w:val="yTable"/>
        <w:jc w:val="center"/>
        <w:rPr>
          <w:b/>
        </w:rPr>
      </w:pPr>
      <w:r>
        <w:rPr>
          <w:b/>
        </w:rPr>
        <w:t>Infringement notice</w:t>
      </w:r>
    </w:p>
    <w:p>
      <w:pPr>
        <w:pStyle w:val="yTable"/>
        <w:tabs>
          <w:tab w:val="left" w:pos="3969"/>
        </w:tabs>
        <w:spacing w:after="240"/>
      </w:pPr>
      <w:r>
        <w:tab/>
        <w:t>No. of Notice:</w:t>
      </w:r>
    </w:p>
    <w:tbl>
      <w:tblPr>
        <w:tblW w:w="0" w:type="auto"/>
        <w:tblInd w:w="108" w:type="dxa"/>
        <w:tblLayout w:type="fixed"/>
        <w:tblLook w:val="0000" w:firstRow="0" w:lastRow="0" w:firstColumn="0" w:lastColumn="0" w:noHBand="0" w:noVBand="0"/>
      </w:tblPr>
      <w:tblGrid>
        <w:gridCol w:w="3686"/>
        <w:gridCol w:w="3402"/>
      </w:tblGrid>
      <w:tr>
        <w:tc>
          <w:tcPr>
            <w:tcW w:w="3686" w:type="dxa"/>
          </w:tcPr>
          <w:p>
            <w:pPr>
              <w:pStyle w:val="yTable"/>
            </w:pPr>
            <w:r>
              <w:t>To: ..................................................</w:t>
            </w:r>
          </w:p>
        </w:tc>
        <w:tc>
          <w:tcPr>
            <w:tcW w:w="3402" w:type="dxa"/>
          </w:tcPr>
          <w:p>
            <w:pPr>
              <w:pStyle w:val="yTable"/>
              <w:tabs>
                <w:tab w:val="left" w:pos="1451"/>
              </w:tabs>
            </w:pPr>
            <w:r>
              <w:t>Sex:</w:t>
            </w:r>
            <w:r>
              <w:tab/>
              <w:t>M/F</w:t>
            </w:r>
          </w:p>
        </w:tc>
      </w:tr>
      <w:tr>
        <w:tc>
          <w:tcPr>
            <w:tcW w:w="3686" w:type="dxa"/>
          </w:tcPr>
          <w:p>
            <w:pPr>
              <w:pStyle w:val="yTable"/>
              <w:tabs>
                <w:tab w:val="left" w:pos="382"/>
              </w:tabs>
            </w:pPr>
            <w:r>
              <w:tab/>
              <w:t>...................................................</w:t>
            </w:r>
          </w:p>
        </w:tc>
        <w:tc>
          <w:tcPr>
            <w:tcW w:w="3402" w:type="dxa"/>
          </w:tcPr>
          <w:p>
            <w:pPr>
              <w:pStyle w:val="yTable"/>
            </w:pPr>
            <w:r>
              <w:t>DoB: .......... / .......... / ...............</w:t>
            </w:r>
          </w:p>
        </w:tc>
      </w:tr>
      <w:tr>
        <w:tc>
          <w:tcPr>
            <w:tcW w:w="3686" w:type="dxa"/>
          </w:tcPr>
          <w:p>
            <w:pPr>
              <w:pStyle w:val="yTable"/>
            </w:pPr>
            <w:r>
              <w:t>...........................  Postcode: ............</w:t>
            </w:r>
          </w:p>
        </w:tc>
        <w:tc>
          <w:tcPr>
            <w:tcW w:w="3402" w:type="dxa"/>
          </w:tcPr>
          <w:p>
            <w:pPr>
              <w:pStyle w:val="yTable"/>
            </w:pPr>
            <w:r>
              <w:t>or ACN: ....................................</w:t>
            </w:r>
          </w:p>
        </w:tc>
      </w:tr>
    </w:tbl>
    <w:p>
      <w:pPr>
        <w:pStyle w:val="yTable"/>
      </w:pPr>
      <w:r>
        <w:t>It is alleged that you committed an offence:</w:t>
      </w:r>
    </w:p>
    <w:tbl>
      <w:tblPr>
        <w:tblW w:w="0" w:type="auto"/>
        <w:tblInd w:w="28" w:type="dxa"/>
        <w:tblLayout w:type="fixed"/>
        <w:tblCellMar>
          <w:left w:w="28" w:type="dxa"/>
          <w:right w:w="28" w:type="dxa"/>
        </w:tblCellMar>
        <w:tblLook w:val="0000" w:firstRow="0" w:lastRow="0" w:firstColumn="0" w:lastColumn="0" w:noHBand="0" w:noVBand="0"/>
      </w:tblPr>
      <w:tblGrid>
        <w:gridCol w:w="1418"/>
        <w:gridCol w:w="5750"/>
      </w:tblGrid>
      <w:tr>
        <w:trPr>
          <w:cantSplit/>
        </w:trPr>
        <w:tc>
          <w:tcPr>
            <w:tcW w:w="1418" w:type="dxa"/>
            <w:vMerge w:val="restart"/>
          </w:tcPr>
          <w:p>
            <w:pPr>
              <w:pStyle w:val="yTable"/>
              <w:rPr>
                <w:b/>
              </w:rPr>
            </w:pPr>
            <w:r>
              <w:rPr>
                <w:b/>
              </w:rPr>
              <w:t xml:space="preserve">When and </w:t>
            </w:r>
          </w:p>
          <w:p>
            <w:pPr>
              <w:pStyle w:val="yTable"/>
              <w:spacing w:before="0"/>
            </w:pPr>
            <w:r>
              <w:rPr>
                <w:b/>
              </w:rPr>
              <w:t>where</w:t>
            </w:r>
          </w:p>
        </w:tc>
        <w:tc>
          <w:tcPr>
            <w:tcW w:w="5750" w:type="dxa"/>
          </w:tcPr>
          <w:p>
            <w:pPr>
              <w:pStyle w:val="yTable"/>
            </w:pPr>
            <w:r>
              <w:t>When: ........ a.m./p.m. on the ............. day of ....................</w:t>
            </w:r>
          </w:p>
        </w:tc>
      </w:tr>
      <w:tr>
        <w:trPr>
          <w:cantSplit/>
        </w:trPr>
        <w:tc>
          <w:tcPr>
            <w:tcW w:w="1418" w:type="dxa"/>
            <w:vMerge/>
          </w:tcPr>
          <w:p>
            <w:pPr>
              <w:pStyle w:val="yTable"/>
            </w:pPr>
          </w:p>
        </w:tc>
        <w:tc>
          <w:tcPr>
            <w:tcW w:w="5750" w:type="dxa"/>
          </w:tcPr>
          <w:p>
            <w:pPr>
              <w:pStyle w:val="yTable"/>
            </w:pPr>
            <w:r>
              <w:t>Where: .................................................................................</w:t>
            </w:r>
          </w:p>
        </w:tc>
      </w:tr>
    </w:tbl>
    <w:p>
      <w:pPr>
        <w:pStyle w:val="yTable"/>
      </w:pPr>
      <w:r>
        <w:t>Details of the offence and modified penalty:</w:t>
      </w:r>
    </w:p>
    <w:tbl>
      <w:tblPr>
        <w:tblW w:w="0" w:type="auto"/>
        <w:tblInd w:w="108" w:type="dxa"/>
        <w:tblLayout w:type="fixed"/>
        <w:tblLook w:val="0000" w:firstRow="0" w:lastRow="0" w:firstColumn="0" w:lastColumn="0" w:noHBand="0" w:noVBand="0"/>
      </w:tblPr>
      <w:tblGrid>
        <w:gridCol w:w="2127"/>
        <w:gridCol w:w="3402"/>
        <w:gridCol w:w="1559"/>
      </w:tblGrid>
      <w:tr>
        <w:tc>
          <w:tcPr>
            <w:tcW w:w="2127" w:type="dxa"/>
          </w:tcPr>
          <w:p>
            <w:pPr>
              <w:pStyle w:val="yTable"/>
              <w:jc w:val="center"/>
              <w:rPr>
                <w:b/>
              </w:rPr>
            </w:pPr>
            <w:r>
              <w:rPr>
                <w:b/>
              </w:rPr>
              <w:t>Section or regulation</w:t>
            </w:r>
          </w:p>
        </w:tc>
        <w:tc>
          <w:tcPr>
            <w:tcW w:w="3402" w:type="dxa"/>
          </w:tcPr>
          <w:p>
            <w:pPr>
              <w:pStyle w:val="yTable"/>
              <w:jc w:val="center"/>
              <w:rPr>
                <w:b/>
              </w:rPr>
            </w:pPr>
            <w:r>
              <w:rPr>
                <w:b/>
              </w:rPr>
              <w:t>Description of the offence</w:t>
            </w:r>
          </w:p>
        </w:tc>
        <w:tc>
          <w:tcPr>
            <w:tcW w:w="1559" w:type="dxa"/>
          </w:tcPr>
          <w:p>
            <w:pPr>
              <w:pStyle w:val="yTable"/>
              <w:jc w:val="center"/>
              <w:rPr>
                <w:b/>
              </w:rPr>
            </w:pPr>
            <w:r>
              <w:rPr>
                <w:b/>
              </w:rPr>
              <w:t>Modified penalty</w:t>
            </w:r>
          </w:p>
          <w:p>
            <w:pPr>
              <w:pStyle w:val="yTable"/>
              <w:spacing w:before="0"/>
              <w:jc w:val="center"/>
              <w:rPr>
                <w:b/>
              </w:rPr>
            </w:pPr>
            <w:r>
              <w:rPr>
                <w:b/>
              </w:rPr>
              <w:t>$</w:t>
            </w:r>
          </w:p>
        </w:tc>
      </w:tr>
      <w:tr>
        <w:tc>
          <w:tcPr>
            <w:tcW w:w="2127" w:type="dxa"/>
          </w:tcPr>
          <w:p>
            <w:pPr>
              <w:pStyle w:val="yTable"/>
              <w:spacing w:after="200"/>
            </w:pPr>
          </w:p>
        </w:tc>
        <w:tc>
          <w:tcPr>
            <w:tcW w:w="3402" w:type="dxa"/>
          </w:tcPr>
          <w:p>
            <w:pPr>
              <w:pStyle w:val="yTable"/>
            </w:pPr>
          </w:p>
        </w:tc>
        <w:tc>
          <w:tcPr>
            <w:tcW w:w="1559" w:type="dxa"/>
          </w:tcPr>
          <w:p>
            <w:pPr>
              <w:pStyle w:val="yTable"/>
            </w:pPr>
          </w:p>
        </w:tc>
      </w:tr>
    </w:tbl>
    <w:p>
      <w:pPr>
        <w:pStyle w:val="yTable"/>
      </w:pPr>
      <w:r>
        <w:t>Information about this notice:</w:t>
      </w:r>
    </w:p>
    <w:tbl>
      <w:tblPr>
        <w:tblW w:w="0" w:type="auto"/>
        <w:tblInd w:w="108" w:type="dxa"/>
        <w:tblLayout w:type="fixed"/>
        <w:tblLook w:val="0000" w:firstRow="0" w:lastRow="0" w:firstColumn="0" w:lastColumn="0" w:noHBand="0" w:noVBand="0"/>
      </w:tblPr>
      <w:tblGrid>
        <w:gridCol w:w="2268"/>
        <w:gridCol w:w="4820"/>
      </w:tblGrid>
      <w:tr>
        <w:tc>
          <w:tcPr>
            <w:tcW w:w="2268" w:type="dxa"/>
          </w:tcPr>
          <w:p>
            <w:pPr>
              <w:pStyle w:val="yTable"/>
            </w:pPr>
            <w:r>
              <w:t>Date:</w:t>
            </w:r>
          </w:p>
        </w:tc>
        <w:tc>
          <w:tcPr>
            <w:tcW w:w="4820" w:type="dxa"/>
          </w:tcPr>
          <w:p>
            <w:pPr>
              <w:pStyle w:val="yTable"/>
            </w:pPr>
            <w:r>
              <w:t>............................................................................</w:t>
            </w:r>
          </w:p>
        </w:tc>
      </w:tr>
      <w:tr>
        <w:tc>
          <w:tcPr>
            <w:tcW w:w="2268" w:type="dxa"/>
          </w:tcPr>
          <w:p>
            <w:pPr>
              <w:pStyle w:val="yTable"/>
            </w:pPr>
            <w:r>
              <w:t>Issued at:</w:t>
            </w:r>
          </w:p>
        </w:tc>
        <w:tc>
          <w:tcPr>
            <w:tcW w:w="4820" w:type="dxa"/>
          </w:tcPr>
          <w:p>
            <w:pPr>
              <w:pStyle w:val="yTable"/>
            </w:pPr>
            <w:r>
              <w:t>............................................................................</w:t>
            </w:r>
          </w:p>
        </w:tc>
      </w:tr>
      <w:tr>
        <w:tc>
          <w:tcPr>
            <w:tcW w:w="2268" w:type="dxa"/>
          </w:tcPr>
          <w:p>
            <w:pPr>
              <w:pStyle w:val="yTable"/>
            </w:pPr>
            <w:r>
              <w:t>by:</w:t>
            </w:r>
          </w:p>
        </w:tc>
        <w:tc>
          <w:tcPr>
            <w:tcW w:w="4820" w:type="dxa"/>
          </w:tcPr>
          <w:p>
            <w:pPr>
              <w:pStyle w:val="yTable"/>
            </w:pPr>
            <w:r>
              <w:t>............................................................................</w:t>
            </w:r>
          </w:p>
        </w:tc>
      </w:tr>
      <w:tr>
        <w:tc>
          <w:tcPr>
            <w:tcW w:w="2268" w:type="dxa"/>
          </w:tcPr>
          <w:p>
            <w:pPr>
              <w:pStyle w:val="yTable"/>
            </w:pPr>
            <w:r>
              <w:t>Inspector No.:</w:t>
            </w:r>
          </w:p>
        </w:tc>
        <w:tc>
          <w:tcPr>
            <w:tcW w:w="4820" w:type="dxa"/>
          </w:tcPr>
          <w:p>
            <w:pPr>
              <w:pStyle w:val="yTable"/>
            </w:pPr>
            <w:r>
              <w:t>............................................................................</w:t>
            </w:r>
          </w:p>
        </w:tc>
      </w:tr>
      <w:tr>
        <w:tc>
          <w:tcPr>
            <w:tcW w:w="2268" w:type="dxa"/>
          </w:tcPr>
          <w:p>
            <w:pPr>
              <w:pStyle w:val="yTable"/>
            </w:pPr>
            <w:r>
              <w:t>Signature:</w:t>
            </w:r>
          </w:p>
        </w:tc>
        <w:tc>
          <w:tcPr>
            <w:tcW w:w="4820" w:type="dxa"/>
          </w:tcPr>
          <w:p>
            <w:pPr>
              <w:pStyle w:val="yTable"/>
            </w:pPr>
            <w:r>
              <w:t>............................................................................</w:t>
            </w:r>
          </w:p>
        </w:tc>
      </w:tr>
    </w:tbl>
    <w:p>
      <w:pPr>
        <w:pStyle w:val="yTable"/>
        <w:tabs>
          <w:tab w:val="left" w:pos="567"/>
          <w:tab w:val="left" w:pos="709"/>
        </w:tabs>
        <w:ind w:left="709" w:hanging="709"/>
        <w:rPr>
          <w:b/>
        </w:rPr>
      </w:pPr>
      <w:r>
        <w:rPr>
          <w:b/>
        </w:rPr>
        <w:tab/>
        <w:t>*At the discretion of the Department of Environmental Protection </w:t>
      </w:r>
      <w:r>
        <w:rPr>
          <w:spacing w:val="-4"/>
          <w:vertAlign w:val="superscript"/>
        </w:rPr>
        <w:t>5</w:t>
      </w:r>
      <w:r>
        <w:rPr>
          <w:b/>
        </w:rPr>
        <w:t>, this Infringement Notice may be withdrawn and other action taken.</w:t>
      </w:r>
    </w:p>
    <w:p>
      <w:pPr>
        <w:pStyle w:val="yTable"/>
        <w:rPr>
          <w:sz w:val="18"/>
        </w:rPr>
      </w:pPr>
      <w:r>
        <w:rPr>
          <w:sz w:val="18"/>
        </w:rPr>
        <w:t>WHAT YOU MUST DO:</w:t>
      </w:r>
    </w:p>
    <w:p>
      <w:pPr>
        <w:pStyle w:val="yTable"/>
        <w:rPr>
          <w:sz w:val="18"/>
        </w:rPr>
      </w:pPr>
      <w:r>
        <w:rPr>
          <w:sz w:val="18"/>
        </w:rPr>
        <w:t>If you do not wish to have a complaint of the alleged offence heard and determined by a court, you may dispose of this matter by paying the modified penalty within a period of 28 days after the service of this notice:</w:t>
      </w:r>
    </w:p>
    <w:p>
      <w:pPr>
        <w:pStyle w:val="yTable"/>
        <w:rPr>
          <w:sz w:val="18"/>
        </w:rPr>
      </w:pPr>
      <w:r>
        <w:rPr>
          <w:sz w:val="18"/>
        </w:rPr>
        <w:t>PAY THE MODIFIED PENALTY TO:</w:t>
      </w:r>
    </w:p>
    <w:p>
      <w:pPr>
        <w:pStyle w:val="yTable"/>
        <w:tabs>
          <w:tab w:val="left" w:pos="567"/>
        </w:tabs>
        <w:rPr>
          <w:sz w:val="18"/>
        </w:rPr>
      </w:pPr>
      <w:r>
        <w:rPr>
          <w:sz w:val="18"/>
        </w:rPr>
        <w:tab/>
        <w:t>The Accountant</w:t>
      </w:r>
    </w:p>
    <w:p>
      <w:pPr>
        <w:pStyle w:val="yTable"/>
        <w:tabs>
          <w:tab w:val="left" w:pos="567"/>
        </w:tabs>
        <w:rPr>
          <w:sz w:val="18"/>
          <w:vertAlign w:val="superscript"/>
        </w:rPr>
      </w:pPr>
      <w:r>
        <w:rPr>
          <w:sz w:val="18"/>
        </w:rPr>
        <w:tab/>
        <w:t>Department of Environmental Protection</w:t>
      </w:r>
      <w:r>
        <w:rPr>
          <w:sz w:val="18"/>
          <w:vertAlign w:val="superscript"/>
        </w:rPr>
        <w:t> 5</w:t>
      </w:r>
    </w:p>
    <w:p>
      <w:pPr>
        <w:pStyle w:val="yTable"/>
        <w:tabs>
          <w:tab w:val="left" w:pos="567"/>
        </w:tabs>
        <w:rPr>
          <w:sz w:val="18"/>
        </w:rPr>
      </w:pPr>
      <w:r>
        <w:rPr>
          <w:sz w:val="18"/>
        </w:rPr>
        <w:tab/>
        <w:t xml:space="preserve">GPO </w:t>
      </w:r>
      <w:smartTag w:uri="urn:schemas-microsoft-com:office:smarttags" w:element="address">
        <w:smartTag w:uri="urn:schemas-microsoft-com:office:smarttags" w:element="Street">
          <w:r>
            <w:rPr>
              <w:sz w:val="18"/>
            </w:rPr>
            <w:t>Box</w:t>
          </w:r>
        </w:smartTag>
        <w:r>
          <w:rPr>
            <w:sz w:val="18"/>
          </w:rPr>
          <w:t xml:space="preserve"> K822</w:t>
        </w:r>
      </w:smartTag>
    </w:p>
    <w:p>
      <w:pPr>
        <w:pStyle w:val="yTable"/>
        <w:tabs>
          <w:tab w:val="left" w:pos="567"/>
        </w:tabs>
        <w:rPr>
          <w:sz w:val="18"/>
        </w:rPr>
      </w:pPr>
      <w:r>
        <w:rPr>
          <w:sz w:val="18"/>
        </w:rPr>
        <w:tab/>
      </w:r>
      <w:smartTag w:uri="urn:schemas-microsoft-com:office:smarttags" w:element="place">
        <w:smartTag w:uri="urn:schemas-microsoft-com:office:smarttags" w:element="City">
          <w:r>
            <w:rPr>
              <w:sz w:val="18"/>
            </w:rPr>
            <w:t>PERTH</w:t>
          </w:r>
        </w:smartTag>
      </w:smartTag>
      <w:r>
        <w:rPr>
          <w:sz w:val="18"/>
        </w:rPr>
        <w:t xml:space="preserve"> WA  6842</w:t>
      </w:r>
    </w:p>
    <w:p>
      <w:pPr>
        <w:pStyle w:val="yTable"/>
        <w:rPr>
          <w:sz w:val="18"/>
        </w:rPr>
      </w:pPr>
      <w:r>
        <w:rPr>
          <w:sz w:val="18"/>
        </w:rPr>
        <w:t>If you wish to do so but are unable to make payment within 28 days you may apply to the Chief Executive Officer of the Department of Environmental Protection</w:t>
      </w:r>
      <w:r>
        <w:rPr>
          <w:sz w:val="18"/>
          <w:vertAlign w:val="superscript"/>
        </w:rPr>
        <w:t> 5</w:t>
      </w:r>
      <w:r>
        <w:rPr>
          <w:sz w:val="18"/>
        </w:rPr>
        <w:t xml:space="preserve"> for an extension of time within which the modified penalty may be paid.</w:t>
      </w:r>
    </w:p>
    <w:p>
      <w:pPr>
        <w:pStyle w:val="yTable"/>
        <w:spacing w:before="240"/>
        <w:rPr>
          <w:sz w:val="18"/>
        </w:rPr>
      </w:pPr>
      <w:r>
        <w:rPr>
          <w:sz w:val="18"/>
        </w:rPr>
        <w:t>WHAT MIGHT HAPPEN IF YOU DO NOT PAY THE MODIFIED PENALTY</w:t>
      </w:r>
    </w:p>
    <w:p>
      <w:pPr>
        <w:pStyle w:val="yTable"/>
        <w:rPr>
          <w:sz w:val="18"/>
        </w:rPr>
      </w:pPr>
      <w:r>
        <w:rPr>
          <w:sz w:val="18"/>
        </w:rPr>
        <w:t>If you do not pay the modified penalty, a complaint may be issued against you for the alleged offence, in which case the matter will be dealt with by a COURT.</w:t>
      </w:r>
    </w:p>
    <w:p>
      <w:pPr>
        <w:pStyle w:val="yTable"/>
        <w:rPr>
          <w:sz w:val="18"/>
        </w:rPr>
      </w:pPr>
      <w:r>
        <w:rPr>
          <w:sz w:val="18"/>
        </w:rPr>
        <w:t>OR</w:t>
      </w:r>
    </w:p>
    <w:p>
      <w:pPr>
        <w:pStyle w:val="yTable"/>
        <w:rPr>
          <w:sz w:val="18"/>
        </w:rPr>
      </w:pPr>
      <w:r>
        <w:rPr>
          <w:sz w:val="18"/>
        </w:rPr>
        <w:t>The modified penalty may be recovered by the Fines Enforcement Registry, in which case —</w:t>
      </w:r>
    </w:p>
    <w:p>
      <w:pPr>
        <w:pStyle w:val="yTable"/>
        <w:tabs>
          <w:tab w:val="left" w:pos="567"/>
        </w:tabs>
        <w:rPr>
          <w:sz w:val="18"/>
        </w:rPr>
      </w:pPr>
      <w:r>
        <w:rPr>
          <w:sz w:val="18"/>
        </w:rPr>
        <w:t>(a)</w:t>
      </w:r>
      <w:r>
        <w:rPr>
          <w:sz w:val="18"/>
        </w:rPr>
        <w:tab/>
        <w:t>additional administrative charges may be incurred;</w:t>
      </w:r>
    </w:p>
    <w:p>
      <w:pPr>
        <w:pStyle w:val="yTable"/>
        <w:tabs>
          <w:tab w:val="left" w:pos="567"/>
        </w:tabs>
        <w:ind w:left="567" w:hanging="567"/>
        <w:rPr>
          <w:sz w:val="18"/>
        </w:rPr>
      </w:pPr>
      <w:r>
        <w:rPr>
          <w:sz w:val="18"/>
        </w:rPr>
        <w:t>(b)</w:t>
      </w:r>
      <w:r>
        <w:rPr>
          <w:sz w:val="18"/>
        </w:rPr>
        <w:tab/>
        <w:t>action may be taken to suspend your Motor Driver’s Licence or Vehicle Licence until you have paid in full the modified penalty and any additional charges; and</w:t>
      </w:r>
    </w:p>
    <w:p>
      <w:pPr>
        <w:pStyle w:val="yTable"/>
        <w:tabs>
          <w:tab w:val="left" w:pos="567"/>
        </w:tabs>
        <w:ind w:left="567" w:hanging="567"/>
        <w:rPr>
          <w:sz w:val="18"/>
        </w:rPr>
      </w:pPr>
      <w:r>
        <w:rPr>
          <w:sz w:val="18"/>
        </w:rPr>
        <w:t>(c)</w:t>
      </w:r>
      <w:r>
        <w:rPr>
          <w:sz w:val="18"/>
        </w:rPr>
        <w:tab/>
        <w:t>you will be given an opportunity to elect to have a complaint for the alleged offence dealt with by a COURT.</w:t>
      </w:r>
    </w:p>
    <w:p>
      <w:pPr>
        <w:pStyle w:val="yTable"/>
        <w:spacing w:before="240"/>
      </w:pPr>
      <w:r>
        <w:rPr>
          <w:sz w:val="18"/>
        </w:rPr>
        <w:t>PAYMENTS AFTER THE DUE DATE CAN ONLY BE MADE WITH A FINAL DEMAND LETTER WHICH INCURS AN ADDITIONAL ENFORCEMENT FEE.</w:t>
      </w:r>
    </w:p>
    <w:p>
      <w:pPr>
        <w:pStyle w:val="yFootnotesection"/>
      </w:pPr>
      <w:r>
        <w:tab/>
        <w:t>[Form 3 inserted in Gazette 11 Dec 1998 p. 6610</w:t>
      </w:r>
      <w:r>
        <w:noBreakHyphen/>
        <w:t>11.]</w:t>
      </w:r>
    </w:p>
    <w:p>
      <w:pPr>
        <w:pStyle w:val="yTable"/>
        <w:pageBreakBefore/>
        <w:jc w:val="center"/>
        <w:rPr>
          <w:b/>
        </w:rPr>
      </w:pPr>
      <w:r>
        <w:rPr>
          <w:b/>
        </w:rPr>
        <w:t>Form 4</w:t>
      </w:r>
    </w:p>
    <w:p>
      <w:pPr>
        <w:pStyle w:val="yTable"/>
        <w:jc w:val="center"/>
        <w:rPr>
          <w:b/>
          <w:i/>
        </w:rPr>
      </w:pPr>
      <w:r>
        <w:rPr>
          <w:b/>
          <w:i/>
        </w:rPr>
        <w:t>Environmental Protection Act 1986</w:t>
      </w:r>
      <w:r>
        <w:rPr>
          <w:b/>
        </w:rPr>
        <w:t xml:space="preserve"> (Section 99N)</w:t>
      </w:r>
    </w:p>
    <w:p>
      <w:pPr>
        <w:pStyle w:val="yTable"/>
        <w:spacing w:after="240"/>
        <w:jc w:val="center"/>
      </w:pPr>
      <w:r>
        <w:rPr>
          <w:b/>
        </w:rPr>
        <w:t>Withdrawal of infringement notice</w:t>
      </w:r>
    </w:p>
    <w:tbl>
      <w:tblPr>
        <w:tblW w:w="0" w:type="auto"/>
        <w:tblInd w:w="108" w:type="dxa"/>
        <w:tblLayout w:type="fixed"/>
        <w:tblLook w:val="0000" w:firstRow="0" w:lastRow="0" w:firstColumn="0" w:lastColumn="0" w:noHBand="0" w:noVBand="0"/>
      </w:tblPr>
      <w:tblGrid>
        <w:gridCol w:w="3686"/>
        <w:gridCol w:w="3402"/>
      </w:tblGrid>
      <w:tr>
        <w:tc>
          <w:tcPr>
            <w:tcW w:w="3686" w:type="dxa"/>
          </w:tcPr>
          <w:p>
            <w:pPr>
              <w:pStyle w:val="yTable"/>
            </w:pPr>
            <w:r>
              <w:t>To: ..................................................</w:t>
            </w:r>
          </w:p>
        </w:tc>
        <w:tc>
          <w:tcPr>
            <w:tcW w:w="3402" w:type="dxa"/>
          </w:tcPr>
          <w:p>
            <w:pPr>
              <w:pStyle w:val="yTable"/>
              <w:tabs>
                <w:tab w:val="left" w:pos="1451"/>
              </w:tabs>
            </w:pPr>
            <w:r>
              <w:t>Sex:</w:t>
            </w:r>
            <w:r>
              <w:tab/>
              <w:t>M/F</w:t>
            </w:r>
          </w:p>
        </w:tc>
      </w:tr>
      <w:tr>
        <w:tc>
          <w:tcPr>
            <w:tcW w:w="3686" w:type="dxa"/>
          </w:tcPr>
          <w:p>
            <w:pPr>
              <w:pStyle w:val="yTable"/>
              <w:tabs>
                <w:tab w:val="left" w:pos="382"/>
              </w:tabs>
            </w:pPr>
            <w:r>
              <w:tab/>
              <w:t>...................................................</w:t>
            </w:r>
          </w:p>
        </w:tc>
        <w:tc>
          <w:tcPr>
            <w:tcW w:w="3402" w:type="dxa"/>
          </w:tcPr>
          <w:p>
            <w:pPr>
              <w:pStyle w:val="yTable"/>
            </w:pPr>
            <w:r>
              <w:t>DoB: .......... / .......... / ...............</w:t>
            </w:r>
          </w:p>
        </w:tc>
      </w:tr>
      <w:tr>
        <w:tc>
          <w:tcPr>
            <w:tcW w:w="3686" w:type="dxa"/>
          </w:tcPr>
          <w:p>
            <w:pPr>
              <w:pStyle w:val="yTable"/>
            </w:pPr>
            <w:r>
              <w:t>...........................  Postcode: ............</w:t>
            </w:r>
          </w:p>
        </w:tc>
        <w:tc>
          <w:tcPr>
            <w:tcW w:w="3402" w:type="dxa"/>
          </w:tcPr>
          <w:p>
            <w:pPr>
              <w:pStyle w:val="yTable"/>
            </w:pPr>
            <w:r>
              <w:t>or ACN: ....................................</w:t>
            </w:r>
          </w:p>
        </w:tc>
      </w:tr>
    </w:tbl>
    <w:p>
      <w:pPr>
        <w:pStyle w:val="yTable"/>
      </w:pPr>
      <w:r>
        <w:rPr>
          <w:sz w:val="20"/>
        </w:rPr>
        <w:t>AN INFRINGEMENT NOTICE SERVED ON YOU HAS BEEN WITHDRAWN AND NO FURTHER ACTION WILL BE TAKEN*/A SUMMONS WILL BE ISSUED*</w:t>
      </w:r>
    </w:p>
    <w:p>
      <w:pPr>
        <w:pStyle w:val="yTable"/>
      </w:pPr>
      <w:r>
        <w:t>Details of the withdrawn notice:</w:t>
      </w:r>
    </w:p>
    <w:tbl>
      <w:tblPr>
        <w:tblW w:w="0" w:type="auto"/>
        <w:tblInd w:w="108" w:type="dxa"/>
        <w:tblLayout w:type="fixed"/>
        <w:tblLook w:val="0000" w:firstRow="0" w:lastRow="0" w:firstColumn="0" w:lastColumn="0" w:noHBand="0" w:noVBand="0"/>
      </w:tblPr>
      <w:tblGrid>
        <w:gridCol w:w="2410"/>
        <w:gridCol w:w="4678"/>
      </w:tblGrid>
      <w:tr>
        <w:tc>
          <w:tcPr>
            <w:tcW w:w="2410" w:type="dxa"/>
          </w:tcPr>
          <w:p>
            <w:pPr>
              <w:pStyle w:val="yTable"/>
            </w:pPr>
            <w:r>
              <w:t>Date of issue:</w:t>
            </w:r>
          </w:p>
        </w:tc>
        <w:tc>
          <w:tcPr>
            <w:tcW w:w="4678" w:type="dxa"/>
          </w:tcPr>
          <w:p>
            <w:pPr>
              <w:pStyle w:val="yTable"/>
            </w:pPr>
            <w:r>
              <w:t>..........................................................................</w:t>
            </w:r>
          </w:p>
        </w:tc>
      </w:tr>
      <w:tr>
        <w:tc>
          <w:tcPr>
            <w:tcW w:w="2410" w:type="dxa"/>
          </w:tcPr>
          <w:p>
            <w:pPr>
              <w:pStyle w:val="yTable"/>
            </w:pPr>
            <w:r>
              <w:t>Alleged offence:</w:t>
            </w:r>
          </w:p>
        </w:tc>
        <w:tc>
          <w:tcPr>
            <w:tcW w:w="4678" w:type="dxa"/>
          </w:tcPr>
          <w:p>
            <w:pPr>
              <w:pStyle w:val="yTable"/>
            </w:pPr>
            <w:r>
              <w:t>..........................................................................</w:t>
            </w:r>
          </w:p>
        </w:tc>
      </w:tr>
      <w:tr>
        <w:tc>
          <w:tcPr>
            <w:tcW w:w="2410" w:type="dxa"/>
          </w:tcPr>
          <w:p>
            <w:pPr>
              <w:pStyle w:val="yTable"/>
            </w:pPr>
            <w:r>
              <w:t>Notice No.:</w:t>
            </w:r>
          </w:p>
        </w:tc>
        <w:tc>
          <w:tcPr>
            <w:tcW w:w="4678" w:type="dxa"/>
          </w:tcPr>
          <w:p>
            <w:pPr>
              <w:pStyle w:val="yTable"/>
            </w:pPr>
            <w:r>
              <w:t>..........................................................................</w:t>
            </w:r>
          </w:p>
        </w:tc>
      </w:tr>
    </w:tbl>
    <w:p>
      <w:pPr>
        <w:pStyle w:val="yTable"/>
      </w:pPr>
      <w:r>
        <w:t>Information about this notice:</w:t>
      </w:r>
    </w:p>
    <w:tbl>
      <w:tblPr>
        <w:tblW w:w="0" w:type="auto"/>
        <w:tblInd w:w="108" w:type="dxa"/>
        <w:tblLayout w:type="fixed"/>
        <w:tblLook w:val="0000" w:firstRow="0" w:lastRow="0" w:firstColumn="0" w:lastColumn="0" w:noHBand="0" w:noVBand="0"/>
      </w:tblPr>
      <w:tblGrid>
        <w:gridCol w:w="2410"/>
        <w:gridCol w:w="4678"/>
      </w:tblGrid>
      <w:tr>
        <w:tc>
          <w:tcPr>
            <w:tcW w:w="2410" w:type="dxa"/>
          </w:tcPr>
          <w:p>
            <w:pPr>
              <w:pStyle w:val="yTable"/>
            </w:pPr>
            <w:r>
              <w:t>Date:</w:t>
            </w:r>
          </w:p>
        </w:tc>
        <w:tc>
          <w:tcPr>
            <w:tcW w:w="4678" w:type="dxa"/>
          </w:tcPr>
          <w:p>
            <w:pPr>
              <w:pStyle w:val="yTable"/>
            </w:pPr>
            <w:r>
              <w:t>..........................................................................</w:t>
            </w:r>
          </w:p>
        </w:tc>
      </w:tr>
      <w:tr>
        <w:tc>
          <w:tcPr>
            <w:tcW w:w="2410" w:type="dxa"/>
          </w:tcPr>
          <w:p>
            <w:pPr>
              <w:pStyle w:val="yTable"/>
            </w:pPr>
            <w:r>
              <w:t>Issued at:</w:t>
            </w:r>
          </w:p>
        </w:tc>
        <w:tc>
          <w:tcPr>
            <w:tcW w:w="4678" w:type="dxa"/>
          </w:tcPr>
          <w:p>
            <w:pPr>
              <w:pStyle w:val="yTable"/>
            </w:pPr>
            <w:r>
              <w:t>..........................................................................</w:t>
            </w:r>
          </w:p>
        </w:tc>
      </w:tr>
      <w:tr>
        <w:tc>
          <w:tcPr>
            <w:tcW w:w="2410" w:type="dxa"/>
          </w:tcPr>
          <w:p>
            <w:pPr>
              <w:pStyle w:val="yTable"/>
            </w:pPr>
            <w:r>
              <w:t>by:</w:t>
            </w:r>
          </w:p>
        </w:tc>
        <w:tc>
          <w:tcPr>
            <w:tcW w:w="4678" w:type="dxa"/>
          </w:tcPr>
          <w:p>
            <w:pPr>
              <w:pStyle w:val="yTable"/>
            </w:pPr>
            <w:r>
              <w:t>..........................................................................</w:t>
            </w:r>
          </w:p>
        </w:tc>
      </w:tr>
      <w:tr>
        <w:tc>
          <w:tcPr>
            <w:tcW w:w="2410" w:type="dxa"/>
          </w:tcPr>
          <w:p>
            <w:pPr>
              <w:pStyle w:val="yTable"/>
            </w:pPr>
            <w:r>
              <w:t>Signature:</w:t>
            </w:r>
          </w:p>
        </w:tc>
        <w:tc>
          <w:tcPr>
            <w:tcW w:w="4678" w:type="dxa"/>
          </w:tcPr>
          <w:p>
            <w:pPr>
              <w:pStyle w:val="yTable"/>
            </w:pPr>
            <w:r>
              <w:t>..........................................................................</w:t>
            </w:r>
          </w:p>
        </w:tc>
      </w:tr>
    </w:tbl>
    <w:p>
      <w:pPr>
        <w:pStyle w:val="yTable"/>
      </w:pPr>
      <w:r>
        <w:t>*  Delete where not applicable.</w:t>
      </w:r>
    </w:p>
    <w:p>
      <w:pPr>
        <w:pStyle w:val="yFootnotesection"/>
      </w:pPr>
      <w:r>
        <w:tab/>
        <w:t>[Form 4 inserted in Gazette 11 Dec 1998 p. 6611.]</w:t>
      </w:r>
    </w:p>
    <w:p>
      <w:pPr>
        <w:sectPr>
          <w:headerReference w:type="even" r:id="rId21"/>
          <w:headerReference w:type="default" r:id="rId22"/>
          <w:pgSz w:w="11906" w:h="16838" w:code="9"/>
          <w:pgMar w:top="2376" w:right="2405" w:bottom="3542" w:left="2405" w:header="706" w:footer="3380" w:gutter="0"/>
          <w:cols w:space="720"/>
          <w:noEndnote/>
          <w:docGrid w:linePitch="326"/>
        </w:sectPr>
      </w:pPr>
      <w:bookmarkStart w:id="1456" w:name="_Toc81736966"/>
      <w:bookmarkStart w:id="1457" w:name="_Toc82486894"/>
      <w:bookmarkStart w:id="1458" w:name="_Toc82504446"/>
      <w:bookmarkStart w:id="1459" w:name="_Toc86642705"/>
      <w:bookmarkStart w:id="1460" w:name="_Toc87241784"/>
      <w:bookmarkStart w:id="1461" w:name="_Toc97455669"/>
      <w:bookmarkStart w:id="1462" w:name="_Toc97457460"/>
      <w:bookmarkStart w:id="1463" w:name="_Toc97630257"/>
    </w:p>
    <w:p>
      <w:pPr>
        <w:pStyle w:val="nHeading2"/>
      </w:pPr>
      <w:bookmarkStart w:id="1464" w:name="_Toc98053402"/>
      <w:bookmarkStart w:id="1465" w:name="_Toc99962388"/>
      <w:bookmarkStart w:id="1466" w:name="_Toc122159487"/>
      <w:bookmarkStart w:id="1467" w:name="_Toc122232810"/>
      <w:bookmarkStart w:id="1468" w:name="_Toc122232986"/>
      <w:bookmarkStart w:id="1469" w:name="_Toc147220623"/>
      <w:bookmarkStart w:id="1470" w:name="_Toc147223974"/>
      <w:bookmarkStart w:id="1471" w:name="_Toc165445009"/>
      <w:bookmarkStart w:id="1472" w:name="_Toc170557789"/>
      <w:bookmarkStart w:id="1473" w:name="_Toc170795180"/>
      <w:bookmarkStart w:id="1474" w:name="_Toc172709287"/>
      <w:bookmarkStart w:id="1475" w:name="_Toc172964771"/>
      <w:bookmarkStart w:id="1476" w:name="_Toc174158488"/>
      <w:bookmarkStart w:id="1477" w:name="_Toc174359041"/>
      <w:bookmarkStart w:id="1478" w:name="_Toc174518632"/>
      <w:bookmarkStart w:id="1479" w:name="_Toc176170577"/>
      <w:bookmarkStart w:id="1480" w:name="_Toc181431136"/>
      <w:bookmarkStart w:id="1481" w:name="_Toc181497592"/>
      <w:bookmarkStart w:id="1482" w:name="_Toc202254259"/>
      <w:bookmarkStart w:id="1483" w:name="_Toc267572174"/>
      <w:bookmarkStart w:id="1484" w:name="_Toc281461083"/>
      <w:bookmarkStart w:id="1485" w:name="_Toc318383401"/>
      <w:bookmarkStart w:id="1486" w:name="_Toc318383521"/>
      <w:bookmarkStart w:id="1487" w:name="_Toc324153636"/>
      <w:r>
        <w:t>Notes</w:t>
      </w:r>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p>
    <w:p>
      <w:pPr>
        <w:pStyle w:val="nSubsection"/>
        <w:rPr>
          <w:snapToGrid w:val="0"/>
        </w:rPr>
      </w:pPr>
      <w:r>
        <w:rPr>
          <w:snapToGrid w:val="0"/>
          <w:vertAlign w:val="superscript"/>
        </w:rPr>
        <w:t>1</w:t>
      </w:r>
      <w:r>
        <w:rPr>
          <w:snapToGrid w:val="0"/>
        </w:rPr>
        <w:tab/>
        <w:t xml:space="preserve">This is a compilation of the </w:t>
      </w:r>
      <w:r>
        <w:rPr>
          <w:i/>
          <w:noProof/>
          <w:snapToGrid w:val="0"/>
        </w:rPr>
        <w:t>Environmental Protection Regulations 1987</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488" w:name="_Toc324153637"/>
      <w:bookmarkStart w:id="1489" w:name="_Toc318383522"/>
      <w:r>
        <w:rPr>
          <w:snapToGrid w:val="0"/>
        </w:rPr>
        <w:t>Compilation table</w:t>
      </w:r>
      <w:bookmarkEnd w:id="1488"/>
      <w:bookmarkEnd w:id="1489"/>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8" w:type="dxa"/>
          </w:tcPr>
          <w:p>
            <w:pPr>
              <w:pStyle w:val="nTable"/>
              <w:spacing w:after="40"/>
              <w:ind w:right="113"/>
              <w:rPr>
                <w:i/>
                <w:sz w:val="19"/>
              </w:rPr>
            </w:pPr>
            <w:r>
              <w:rPr>
                <w:i/>
                <w:sz w:val="19"/>
              </w:rPr>
              <w:t xml:space="preserve">Environmental Protection Regulations 1987 </w:t>
            </w:r>
          </w:p>
        </w:tc>
        <w:tc>
          <w:tcPr>
            <w:tcW w:w="1276" w:type="dxa"/>
          </w:tcPr>
          <w:p>
            <w:pPr>
              <w:pStyle w:val="nTable"/>
              <w:spacing w:after="40"/>
              <w:rPr>
                <w:sz w:val="19"/>
              </w:rPr>
            </w:pPr>
            <w:r>
              <w:rPr>
                <w:sz w:val="19"/>
              </w:rPr>
              <w:t>20 Feb 1987 p. 444</w:t>
            </w:r>
            <w:r>
              <w:rPr>
                <w:sz w:val="19"/>
              </w:rPr>
              <w:noBreakHyphen/>
              <w:t>9</w:t>
            </w:r>
          </w:p>
        </w:tc>
        <w:tc>
          <w:tcPr>
            <w:tcW w:w="2693" w:type="dxa"/>
          </w:tcPr>
          <w:p>
            <w:pPr>
              <w:pStyle w:val="nTable"/>
              <w:spacing w:after="40"/>
              <w:rPr>
                <w:sz w:val="19"/>
              </w:rPr>
            </w:pPr>
            <w:r>
              <w:rPr>
                <w:sz w:val="19"/>
              </w:rPr>
              <w:t xml:space="preserve">20 Feb 1987 (see r. 2 and </w:t>
            </w:r>
            <w:r>
              <w:rPr>
                <w:i/>
                <w:sz w:val="19"/>
              </w:rPr>
              <w:t>Gazette</w:t>
            </w:r>
            <w:r>
              <w:rPr>
                <w:sz w:val="19"/>
              </w:rPr>
              <w:t xml:space="preserve"> 20 Feb 1987 p. 440)</w:t>
            </w:r>
          </w:p>
        </w:tc>
      </w:tr>
      <w:tr>
        <w:trPr>
          <w:cantSplit/>
        </w:trPr>
        <w:tc>
          <w:tcPr>
            <w:tcW w:w="3118" w:type="dxa"/>
          </w:tcPr>
          <w:p>
            <w:pPr>
              <w:pStyle w:val="nTable"/>
              <w:spacing w:after="40"/>
              <w:rPr>
                <w:sz w:val="19"/>
                <w:vertAlign w:val="superscript"/>
              </w:rPr>
            </w:pPr>
            <w:r>
              <w:rPr>
                <w:i/>
                <w:sz w:val="19"/>
              </w:rPr>
              <w:t xml:space="preserve">Environmental Protection Amendment Regulations 1988 </w:t>
            </w:r>
          </w:p>
        </w:tc>
        <w:tc>
          <w:tcPr>
            <w:tcW w:w="1276" w:type="dxa"/>
          </w:tcPr>
          <w:p>
            <w:pPr>
              <w:pStyle w:val="nTable"/>
              <w:spacing w:after="40"/>
              <w:rPr>
                <w:sz w:val="19"/>
              </w:rPr>
            </w:pPr>
            <w:r>
              <w:rPr>
                <w:sz w:val="19"/>
              </w:rPr>
              <w:t>14 Jun 1988 p. 1945</w:t>
            </w:r>
            <w:r>
              <w:rPr>
                <w:sz w:val="19"/>
              </w:rPr>
              <w:noBreakHyphen/>
              <w:t xml:space="preserve">6 </w:t>
            </w:r>
            <w:r>
              <w:rPr>
                <w:sz w:val="19"/>
              </w:rPr>
              <w:br/>
              <w:t>(as amended 24 Jun 1988 p. 2006 r. 2)</w:t>
            </w:r>
          </w:p>
        </w:tc>
        <w:tc>
          <w:tcPr>
            <w:tcW w:w="2693" w:type="dxa"/>
          </w:tcPr>
          <w:p>
            <w:pPr>
              <w:pStyle w:val="nTable"/>
              <w:spacing w:after="40"/>
              <w:rPr>
                <w:sz w:val="19"/>
              </w:rPr>
            </w:pPr>
            <w:r>
              <w:rPr>
                <w:sz w:val="19"/>
              </w:rPr>
              <w:t>1 Aug 1988 (see r. 2)</w:t>
            </w:r>
          </w:p>
        </w:tc>
      </w:tr>
      <w:tr>
        <w:trPr>
          <w:cantSplit/>
        </w:trPr>
        <w:tc>
          <w:tcPr>
            <w:tcW w:w="3118" w:type="dxa"/>
          </w:tcPr>
          <w:p>
            <w:pPr>
              <w:pStyle w:val="nTable"/>
              <w:spacing w:after="40"/>
              <w:rPr>
                <w:i/>
                <w:sz w:val="19"/>
              </w:rPr>
            </w:pPr>
            <w:r>
              <w:rPr>
                <w:i/>
                <w:sz w:val="19"/>
              </w:rPr>
              <w:t>Environmental Protection Amendment Regulations 1989</w:t>
            </w:r>
          </w:p>
        </w:tc>
        <w:tc>
          <w:tcPr>
            <w:tcW w:w="1276" w:type="dxa"/>
          </w:tcPr>
          <w:p>
            <w:pPr>
              <w:pStyle w:val="nTable"/>
              <w:spacing w:after="40"/>
              <w:rPr>
                <w:sz w:val="19"/>
              </w:rPr>
            </w:pPr>
            <w:r>
              <w:rPr>
                <w:sz w:val="19"/>
              </w:rPr>
              <w:t>5 May 1989 p. 1379</w:t>
            </w:r>
          </w:p>
        </w:tc>
        <w:tc>
          <w:tcPr>
            <w:tcW w:w="2693" w:type="dxa"/>
          </w:tcPr>
          <w:p>
            <w:pPr>
              <w:pStyle w:val="nTable"/>
              <w:spacing w:after="40"/>
              <w:rPr>
                <w:sz w:val="19"/>
              </w:rPr>
            </w:pPr>
            <w:r>
              <w:rPr>
                <w:sz w:val="19"/>
              </w:rPr>
              <w:t>5 May 1989</w:t>
            </w:r>
          </w:p>
        </w:tc>
      </w:tr>
      <w:tr>
        <w:trPr>
          <w:cantSplit/>
        </w:trPr>
        <w:tc>
          <w:tcPr>
            <w:tcW w:w="3118" w:type="dxa"/>
          </w:tcPr>
          <w:p>
            <w:pPr>
              <w:pStyle w:val="nTable"/>
              <w:spacing w:after="40"/>
              <w:rPr>
                <w:i/>
                <w:sz w:val="19"/>
              </w:rPr>
            </w:pPr>
            <w:r>
              <w:rPr>
                <w:i/>
                <w:sz w:val="19"/>
              </w:rPr>
              <w:t>Environmental Protection Amendment Regulations (No. 2) 1989</w:t>
            </w:r>
          </w:p>
        </w:tc>
        <w:tc>
          <w:tcPr>
            <w:tcW w:w="1276" w:type="dxa"/>
          </w:tcPr>
          <w:p>
            <w:pPr>
              <w:pStyle w:val="nTable"/>
              <w:spacing w:after="40"/>
              <w:rPr>
                <w:sz w:val="19"/>
              </w:rPr>
            </w:pPr>
            <w:r>
              <w:rPr>
                <w:sz w:val="19"/>
              </w:rPr>
              <w:t>18 Aug 1989 p. 2752</w:t>
            </w:r>
          </w:p>
        </w:tc>
        <w:tc>
          <w:tcPr>
            <w:tcW w:w="2693" w:type="dxa"/>
          </w:tcPr>
          <w:p>
            <w:pPr>
              <w:pStyle w:val="nTable"/>
              <w:spacing w:after="40"/>
              <w:rPr>
                <w:sz w:val="19"/>
              </w:rPr>
            </w:pPr>
            <w:r>
              <w:rPr>
                <w:sz w:val="19"/>
              </w:rPr>
              <w:t>17 Oct 1989 (see r. 2)</w:t>
            </w:r>
          </w:p>
        </w:tc>
      </w:tr>
      <w:tr>
        <w:trPr>
          <w:cantSplit/>
        </w:trPr>
        <w:tc>
          <w:tcPr>
            <w:tcW w:w="3118" w:type="dxa"/>
          </w:tcPr>
          <w:p>
            <w:pPr>
              <w:pStyle w:val="nTable"/>
              <w:spacing w:after="40"/>
              <w:rPr>
                <w:i/>
                <w:sz w:val="19"/>
              </w:rPr>
            </w:pPr>
            <w:r>
              <w:rPr>
                <w:i/>
                <w:sz w:val="19"/>
              </w:rPr>
              <w:t>Environmental Protection Amendment Regulations (No. 2) 1991</w:t>
            </w:r>
          </w:p>
        </w:tc>
        <w:tc>
          <w:tcPr>
            <w:tcW w:w="1276" w:type="dxa"/>
          </w:tcPr>
          <w:p>
            <w:pPr>
              <w:pStyle w:val="nTable"/>
              <w:spacing w:after="40"/>
              <w:rPr>
                <w:sz w:val="19"/>
              </w:rPr>
            </w:pPr>
            <w:r>
              <w:rPr>
                <w:sz w:val="19"/>
              </w:rPr>
              <w:t>30 Aug 1991 p. 4553</w:t>
            </w:r>
            <w:r>
              <w:rPr>
                <w:sz w:val="19"/>
              </w:rPr>
              <w:noBreakHyphen/>
              <w:t>4</w:t>
            </w:r>
          </w:p>
        </w:tc>
        <w:tc>
          <w:tcPr>
            <w:tcW w:w="2693" w:type="dxa"/>
          </w:tcPr>
          <w:p>
            <w:pPr>
              <w:pStyle w:val="nTable"/>
              <w:spacing w:after="40"/>
              <w:rPr>
                <w:sz w:val="19"/>
              </w:rPr>
            </w:pPr>
            <w:r>
              <w:rPr>
                <w:sz w:val="19"/>
              </w:rPr>
              <w:t>30 Aug 1991</w:t>
            </w:r>
          </w:p>
        </w:tc>
      </w:tr>
      <w:tr>
        <w:trPr>
          <w:cantSplit/>
        </w:trPr>
        <w:tc>
          <w:tcPr>
            <w:tcW w:w="3118" w:type="dxa"/>
          </w:tcPr>
          <w:p>
            <w:pPr>
              <w:pStyle w:val="nTable"/>
              <w:spacing w:after="40"/>
              <w:rPr>
                <w:i/>
                <w:sz w:val="19"/>
              </w:rPr>
            </w:pPr>
            <w:r>
              <w:rPr>
                <w:i/>
                <w:sz w:val="19"/>
              </w:rPr>
              <w:t>Environmental Protection Amendment Regulations (No. 3) 1991</w:t>
            </w:r>
          </w:p>
        </w:tc>
        <w:tc>
          <w:tcPr>
            <w:tcW w:w="1276" w:type="dxa"/>
          </w:tcPr>
          <w:p>
            <w:pPr>
              <w:pStyle w:val="nTable"/>
              <w:spacing w:after="40"/>
              <w:rPr>
                <w:sz w:val="19"/>
              </w:rPr>
            </w:pPr>
            <w:r>
              <w:rPr>
                <w:sz w:val="19"/>
              </w:rPr>
              <w:t>30 Aug 1991 p. 4554</w:t>
            </w:r>
            <w:r>
              <w:rPr>
                <w:sz w:val="19"/>
              </w:rPr>
              <w:noBreakHyphen/>
              <w:t>6</w:t>
            </w:r>
          </w:p>
        </w:tc>
        <w:tc>
          <w:tcPr>
            <w:tcW w:w="2693" w:type="dxa"/>
          </w:tcPr>
          <w:p>
            <w:pPr>
              <w:pStyle w:val="nTable"/>
              <w:spacing w:after="40"/>
              <w:rPr>
                <w:sz w:val="19"/>
              </w:rPr>
            </w:pPr>
            <w:r>
              <w:rPr>
                <w:sz w:val="19"/>
              </w:rPr>
              <w:t>30 Aug 1991 (see r. 2)</w:t>
            </w:r>
          </w:p>
        </w:tc>
      </w:tr>
      <w:tr>
        <w:trPr>
          <w:cantSplit/>
        </w:trPr>
        <w:tc>
          <w:tcPr>
            <w:tcW w:w="3118" w:type="dxa"/>
          </w:tcPr>
          <w:p>
            <w:pPr>
              <w:pStyle w:val="nTable"/>
              <w:spacing w:after="40"/>
              <w:rPr>
                <w:i/>
                <w:sz w:val="19"/>
              </w:rPr>
            </w:pPr>
            <w:r>
              <w:rPr>
                <w:i/>
                <w:sz w:val="19"/>
              </w:rPr>
              <w:t>Environmental Protection Amendment Regulations 1992</w:t>
            </w:r>
          </w:p>
        </w:tc>
        <w:tc>
          <w:tcPr>
            <w:tcW w:w="1276" w:type="dxa"/>
          </w:tcPr>
          <w:p>
            <w:pPr>
              <w:pStyle w:val="nTable"/>
              <w:spacing w:after="40"/>
              <w:rPr>
                <w:sz w:val="19"/>
              </w:rPr>
            </w:pPr>
            <w:r>
              <w:rPr>
                <w:sz w:val="19"/>
              </w:rPr>
              <w:t>24 Jan 1992 p. 362</w:t>
            </w:r>
          </w:p>
        </w:tc>
        <w:tc>
          <w:tcPr>
            <w:tcW w:w="2693" w:type="dxa"/>
          </w:tcPr>
          <w:p>
            <w:pPr>
              <w:pStyle w:val="nTable"/>
              <w:spacing w:after="40"/>
              <w:rPr>
                <w:sz w:val="19"/>
              </w:rPr>
            </w:pPr>
            <w:r>
              <w:rPr>
                <w:sz w:val="19"/>
              </w:rPr>
              <w:t>28 Jan 1992 (see r. 2)</w:t>
            </w:r>
          </w:p>
        </w:tc>
      </w:tr>
      <w:tr>
        <w:trPr>
          <w:cantSplit/>
        </w:trPr>
        <w:tc>
          <w:tcPr>
            <w:tcW w:w="3118" w:type="dxa"/>
          </w:tcPr>
          <w:p>
            <w:pPr>
              <w:pStyle w:val="nTable"/>
              <w:spacing w:after="40"/>
              <w:rPr>
                <w:i/>
                <w:sz w:val="19"/>
              </w:rPr>
            </w:pPr>
            <w:r>
              <w:rPr>
                <w:i/>
                <w:sz w:val="19"/>
              </w:rPr>
              <w:t>Environmental Protection Amendment Regulations (No. 2) 1992</w:t>
            </w:r>
          </w:p>
        </w:tc>
        <w:tc>
          <w:tcPr>
            <w:tcW w:w="1276" w:type="dxa"/>
          </w:tcPr>
          <w:p>
            <w:pPr>
              <w:pStyle w:val="nTable"/>
              <w:spacing w:after="40"/>
              <w:rPr>
                <w:sz w:val="19"/>
              </w:rPr>
            </w:pPr>
            <w:r>
              <w:rPr>
                <w:sz w:val="19"/>
              </w:rPr>
              <w:t>10 Apr 1992 p. 1588</w:t>
            </w:r>
            <w:r>
              <w:rPr>
                <w:sz w:val="19"/>
              </w:rPr>
              <w:noBreakHyphen/>
              <w:t>9</w:t>
            </w:r>
          </w:p>
        </w:tc>
        <w:tc>
          <w:tcPr>
            <w:tcW w:w="2693" w:type="dxa"/>
          </w:tcPr>
          <w:p>
            <w:pPr>
              <w:pStyle w:val="nTable"/>
              <w:spacing w:after="40"/>
              <w:rPr>
                <w:sz w:val="19"/>
              </w:rPr>
            </w:pPr>
            <w:r>
              <w:rPr>
                <w:sz w:val="19"/>
              </w:rPr>
              <w:t>10 Apr 1992</w:t>
            </w:r>
          </w:p>
        </w:tc>
      </w:tr>
      <w:tr>
        <w:trPr>
          <w:cantSplit/>
        </w:trPr>
        <w:tc>
          <w:tcPr>
            <w:tcW w:w="3118" w:type="dxa"/>
          </w:tcPr>
          <w:p>
            <w:pPr>
              <w:pStyle w:val="nTable"/>
              <w:spacing w:after="40"/>
              <w:rPr>
                <w:i/>
                <w:sz w:val="19"/>
              </w:rPr>
            </w:pPr>
            <w:r>
              <w:rPr>
                <w:i/>
                <w:sz w:val="19"/>
              </w:rPr>
              <w:t>Environmental Protection Amendment Regulations (No. 3) 1992</w:t>
            </w:r>
          </w:p>
        </w:tc>
        <w:tc>
          <w:tcPr>
            <w:tcW w:w="1276" w:type="dxa"/>
          </w:tcPr>
          <w:p>
            <w:pPr>
              <w:pStyle w:val="nTable"/>
              <w:spacing w:after="40"/>
              <w:rPr>
                <w:sz w:val="19"/>
              </w:rPr>
            </w:pPr>
            <w:r>
              <w:rPr>
                <w:sz w:val="19"/>
              </w:rPr>
              <w:t>4 Dec 1992 p. 5889</w:t>
            </w:r>
          </w:p>
        </w:tc>
        <w:tc>
          <w:tcPr>
            <w:tcW w:w="2693" w:type="dxa"/>
          </w:tcPr>
          <w:p>
            <w:pPr>
              <w:pStyle w:val="nTable"/>
              <w:spacing w:after="40"/>
              <w:rPr>
                <w:sz w:val="19"/>
              </w:rPr>
            </w:pPr>
            <w:r>
              <w:rPr>
                <w:sz w:val="19"/>
              </w:rPr>
              <w:t>4 Dec 1992</w:t>
            </w:r>
          </w:p>
        </w:tc>
      </w:tr>
      <w:tr>
        <w:trPr>
          <w:cantSplit/>
        </w:trPr>
        <w:tc>
          <w:tcPr>
            <w:tcW w:w="3118" w:type="dxa"/>
          </w:tcPr>
          <w:p>
            <w:pPr>
              <w:pStyle w:val="nTable"/>
              <w:spacing w:after="40"/>
              <w:rPr>
                <w:i/>
                <w:sz w:val="19"/>
              </w:rPr>
            </w:pPr>
            <w:r>
              <w:rPr>
                <w:i/>
                <w:sz w:val="19"/>
              </w:rPr>
              <w:t>Environmental Protection Amendment Regulations 1993</w:t>
            </w:r>
          </w:p>
        </w:tc>
        <w:tc>
          <w:tcPr>
            <w:tcW w:w="1276" w:type="dxa"/>
          </w:tcPr>
          <w:p>
            <w:pPr>
              <w:pStyle w:val="nTable"/>
              <w:spacing w:after="40"/>
              <w:rPr>
                <w:sz w:val="19"/>
              </w:rPr>
            </w:pPr>
            <w:r>
              <w:rPr>
                <w:sz w:val="19"/>
              </w:rPr>
              <w:t>13 Jul 1993 p. 3705</w:t>
            </w:r>
          </w:p>
        </w:tc>
        <w:tc>
          <w:tcPr>
            <w:tcW w:w="2693" w:type="dxa"/>
          </w:tcPr>
          <w:p>
            <w:pPr>
              <w:pStyle w:val="nTable"/>
              <w:spacing w:after="40"/>
              <w:rPr>
                <w:sz w:val="19"/>
              </w:rPr>
            </w:pPr>
            <w:r>
              <w:rPr>
                <w:sz w:val="19"/>
              </w:rPr>
              <w:t>13 Jul 1993</w:t>
            </w:r>
          </w:p>
        </w:tc>
      </w:tr>
      <w:tr>
        <w:trPr>
          <w:cantSplit/>
        </w:trPr>
        <w:tc>
          <w:tcPr>
            <w:tcW w:w="3118" w:type="dxa"/>
          </w:tcPr>
          <w:p>
            <w:pPr>
              <w:pStyle w:val="nTable"/>
              <w:spacing w:after="40"/>
              <w:rPr>
                <w:i/>
                <w:sz w:val="19"/>
              </w:rPr>
            </w:pPr>
            <w:r>
              <w:rPr>
                <w:i/>
                <w:sz w:val="19"/>
              </w:rPr>
              <w:t>Environmental Protection Amendment Regulations (No. 2) 1993</w:t>
            </w:r>
          </w:p>
        </w:tc>
        <w:tc>
          <w:tcPr>
            <w:tcW w:w="1276" w:type="dxa"/>
          </w:tcPr>
          <w:p>
            <w:pPr>
              <w:pStyle w:val="nTable"/>
              <w:spacing w:after="40"/>
              <w:rPr>
                <w:sz w:val="19"/>
              </w:rPr>
            </w:pPr>
            <w:r>
              <w:rPr>
                <w:sz w:val="19"/>
              </w:rPr>
              <w:t>24 Sep 1993 p. 5252</w:t>
            </w:r>
            <w:r>
              <w:rPr>
                <w:sz w:val="19"/>
              </w:rPr>
              <w:noBreakHyphen/>
              <w:t>8</w:t>
            </w:r>
          </w:p>
        </w:tc>
        <w:tc>
          <w:tcPr>
            <w:tcW w:w="2693" w:type="dxa"/>
          </w:tcPr>
          <w:p>
            <w:pPr>
              <w:pStyle w:val="nTable"/>
              <w:spacing w:after="40"/>
              <w:rPr>
                <w:sz w:val="19"/>
              </w:rPr>
            </w:pPr>
            <w:r>
              <w:rPr>
                <w:sz w:val="19"/>
              </w:rPr>
              <w:t>24 Sep 1993</w:t>
            </w:r>
          </w:p>
        </w:tc>
      </w:tr>
      <w:tr>
        <w:trPr>
          <w:cantSplit/>
        </w:trPr>
        <w:tc>
          <w:tcPr>
            <w:tcW w:w="3118" w:type="dxa"/>
          </w:tcPr>
          <w:p>
            <w:pPr>
              <w:pStyle w:val="nTable"/>
              <w:spacing w:after="40"/>
              <w:rPr>
                <w:i/>
                <w:sz w:val="19"/>
              </w:rPr>
            </w:pPr>
            <w:r>
              <w:rPr>
                <w:i/>
                <w:sz w:val="19"/>
              </w:rPr>
              <w:t>Environmental Protection Amendment Regulations (No. 3) 1993</w:t>
            </w:r>
          </w:p>
        </w:tc>
        <w:tc>
          <w:tcPr>
            <w:tcW w:w="1276" w:type="dxa"/>
          </w:tcPr>
          <w:p>
            <w:pPr>
              <w:pStyle w:val="nTable"/>
              <w:spacing w:after="40"/>
              <w:rPr>
                <w:sz w:val="19"/>
              </w:rPr>
            </w:pPr>
            <w:r>
              <w:rPr>
                <w:sz w:val="19"/>
              </w:rPr>
              <w:t>19 Nov 1993 p. 6259</w:t>
            </w:r>
            <w:r>
              <w:rPr>
                <w:sz w:val="19"/>
              </w:rPr>
              <w:noBreakHyphen/>
              <w:t>60</w:t>
            </w:r>
          </w:p>
        </w:tc>
        <w:tc>
          <w:tcPr>
            <w:tcW w:w="2693" w:type="dxa"/>
          </w:tcPr>
          <w:p>
            <w:pPr>
              <w:pStyle w:val="nTable"/>
              <w:spacing w:after="40"/>
              <w:rPr>
                <w:sz w:val="19"/>
              </w:rPr>
            </w:pPr>
            <w:r>
              <w:rPr>
                <w:sz w:val="19"/>
              </w:rPr>
              <w:t>19 Nov 1993</w:t>
            </w:r>
          </w:p>
        </w:tc>
      </w:tr>
      <w:tr>
        <w:trPr>
          <w:cantSplit/>
        </w:trPr>
        <w:tc>
          <w:tcPr>
            <w:tcW w:w="3118" w:type="dxa"/>
          </w:tcPr>
          <w:p>
            <w:pPr>
              <w:pStyle w:val="nTable"/>
              <w:spacing w:after="40"/>
              <w:rPr>
                <w:i/>
                <w:sz w:val="19"/>
              </w:rPr>
            </w:pPr>
            <w:r>
              <w:rPr>
                <w:i/>
                <w:sz w:val="19"/>
              </w:rPr>
              <w:t>Environmental Protection Amendment Regulations (No. 4) 1993</w:t>
            </w:r>
          </w:p>
        </w:tc>
        <w:tc>
          <w:tcPr>
            <w:tcW w:w="1276" w:type="dxa"/>
          </w:tcPr>
          <w:p>
            <w:pPr>
              <w:pStyle w:val="nTable"/>
              <w:spacing w:after="40"/>
              <w:rPr>
                <w:sz w:val="19"/>
              </w:rPr>
            </w:pPr>
            <w:r>
              <w:rPr>
                <w:sz w:val="19"/>
              </w:rPr>
              <w:t>31 Dec 1993 p. 6878</w:t>
            </w:r>
          </w:p>
        </w:tc>
        <w:tc>
          <w:tcPr>
            <w:tcW w:w="2693" w:type="dxa"/>
          </w:tcPr>
          <w:p>
            <w:pPr>
              <w:pStyle w:val="nTable"/>
              <w:spacing w:after="40"/>
              <w:rPr>
                <w:sz w:val="19"/>
              </w:rPr>
            </w:pPr>
            <w:r>
              <w:rPr>
                <w:sz w:val="19"/>
              </w:rPr>
              <w:t>31 Dec 1993</w:t>
            </w:r>
          </w:p>
        </w:tc>
      </w:tr>
      <w:tr>
        <w:trPr>
          <w:cantSplit/>
        </w:trPr>
        <w:tc>
          <w:tcPr>
            <w:tcW w:w="3118" w:type="dxa"/>
          </w:tcPr>
          <w:p>
            <w:pPr>
              <w:pStyle w:val="nTable"/>
              <w:spacing w:after="40"/>
              <w:rPr>
                <w:i/>
                <w:sz w:val="19"/>
              </w:rPr>
            </w:pPr>
            <w:r>
              <w:rPr>
                <w:i/>
                <w:sz w:val="19"/>
              </w:rPr>
              <w:t>Environmental Protection Amendment Regulations (No. 5) 1993</w:t>
            </w:r>
          </w:p>
        </w:tc>
        <w:tc>
          <w:tcPr>
            <w:tcW w:w="1276" w:type="dxa"/>
          </w:tcPr>
          <w:p>
            <w:pPr>
              <w:pStyle w:val="nTable"/>
              <w:spacing w:after="40"/>
              <w:rPr>
                <w:sz w:val="19"/>
              </w:rPr>
            </w:pPr>
            <w:r>
              <w:rPr>
                <w:sz w:val="19"/>
              </w:rPr>
              <w:t>31 Dec 1993 p. 6878</w:t>
            </w:r>
            <w:r>
              <w:rPr>
                <w:sz w:val="19"/>
              </w:rPr>
              <w:noBreakHyphen/>
              <w:t>9</w:t>
            </w:r>
          </w:p>
        </w:tc>
        <w:tc>
          <w:tcPr>
            <w:tcW w:w="2693" w:type="dxa"/>
          </w:tcPr>
          <w:p>
            <w:pPr>
              <w:pStyle w:val="nTable"/>
              <w:spacing w:after="40"/>
              <w:rPr>
                <w:sz w:val="19"/>
              </w:rPr>
            </w:pPr>
            <w:r>
              <w:rPr>
                <w:sz w:val="19"/>
              </w:rPr>
              <w:t>1 Jan 1994 (see r. 2)</w:t>
            </w:r>
          </w:p>
        </w:tc>
      </w:tr>
      <w:tr>
        <w:trPr>
          <w:cantSplit/>
        </w:trPr>
        <w:tc>
          <w:tcPr>
            <w:tcW w:w="3118" w:type="dxa"/>
          </w:tcPr>
          <w:p>
            <w:pPr>
              <w:pStyle w:val="nTable"/>
              <w:spacing w:after="40"/>
              <w:rPr>
                <w:i/>
                <w:sz w:val="19"/>
              </w:rPr>
            </w:pPr>
            <w:r>
              <w:rPr>
                <w:i/>
                <w:sz w:val="19"/>
              </w:rPr>
              <w:t>Environmental Protection Amendment Regulations 1994</w:t>
            </w:r>
          </w:p>
        </w:tc>
        <w:tc>
          <w:tcPr>
            <w:tcW w:w="1276" w:type="dxa"/>
          </w:tcPr>
          <w:p>
            <w:pPr>
              <w:pStyle w:val="nTable"/>
              <w:spacing w:after="40"/>
              <w:rPr>
                <w:sz w:val="19"/>
              </w:rPr>
            </w:pPr>
            <w:r>
              <w:rPr>
                <w:sz w:val="19"/>
              </w:rPr>
              <w:t>10 Jun 1994 p. 2374</w:t>
            </w:r>
            <w:r>
              <w:rPr>
                <w:sz w:val="19"/>
              </w:rPr>
              <w:noBreakHyphen/>
              <w:t>6</w:t>
            </w:r>
          </w:p>
        </w:tc>
        <w:tc>
          <w:tcPr>
            <w:tcW w:w="2693" w:type="dxa"/>
          </w:tcPr>
          <w:p>
            <w:pPr>
              <w:pStyle w:val="nTable"/>
              <w:spacing w:after="40"/>
              <w:rPr>
                <w:sz w:val="19"/>
              </w:rPr>
            </w:pPr>
            <w:r>
              <w:rPr>
                <w:sz w:val="19"/>
              </w:rPr>
              <w:t>10 Jun 1994</w:t>
            </w:r>
          </w:p>
        </w:tc>
      </w:tr>
      <w:tr>
        <w:trPr>
          <w:cantSplit/>
        </w:trPr>
        <w:tc>
          <w:tcPr>
            <w:tcW w:w="3118" w:type="dxa"/>
          </w:tcPr>
          <w:p>
            <w:pPr>
              <w:pStyle w:val="nTable"/>
              <w:spacing w:after="40"/>
              <w:rPr>
                <w:i/>
                <w:sz w:val="19"/>
              </w:rPr>
            </w:pPr>
            <w:r>
              <w:rPr>
                <w:i/>
                <w:sz w:val="19"/>
              </w:rPr>
              <w:t>Environmental Protection Amendment Regulations 1995</w:t>
            </w:r>
          </w:p>
        </w:tc>
        <w:tc>
          <w:tcPr>
            <w:tcW w:w="1276" w:type="dxa"/>
          </w:tcPr>
          <w:p>
            <w:pPr>
              <w:pStyle w:val="nTable"/>
              <w:spacing w:after="40"/>
              <w:rPr>
                <w:sz w:val="19"/>
              </w:rPr>
            </w:pPr>
            <w:r>
              <w:rPr>
                <w:sz w:val="19"/>
              </w:rPr>
              <w:t>5 May 1995 p. 1701</w:t>
            </w:r>
            <w:r>
              <w:rPr>
                <w:sz w:val="19"/>
              </w:rPr>
              <w:noBreakHyphen/>
              <w:t>2</w:t>
            </w:r>
          </w:p>
        </w:tc>
        <w:tc>
          <w:tcPr>
            <w:tcW w:w="2693" w:type="dxa"/>
          </w:tcPr>
          <w:p>
            <w:pPr>
              <w:pStyle w:val="nTable"/>
              <w:spacing w:after="40"/>
              <w:rPr>
                <w:sz w:val="19"/>
              </w:rPr>
            </w:pPr>
            <w:r>
              <w:rPr>
                <w:sz w:val="19"/>
              </w:rPr>
              <w:t>5 May 1995</w:t>
            </w:r>
          </w:p>
        </w:tc>
      </w:tr>
      <w:tr>
        <w:trPr>
          <w:cantSplit/>
        </w:trPr>
        <w:tc>
          <w:tcPr>
            <w:tcW w:w="7087" w:type="dxa"/>
            <w:gridSpan w:val="3"/>
          </w:tcPr>
          <w:p>
            <w:pPr>
              <w:pStyle w:val="nTable"/>
              <w:spacing w:after="40"/>
              <w:rPr>
                <w:sz w:val="19"/>
              </w:rPr>
            </w:pPr>
            <w:r>
              <w:rPr>
                <w:b/>
                <w:sz w:val="19"/>
              </w:rPr>
              <w:t xml:space="preserve">Reprint of the </w:t>
            </w:r>
            <w:r>
              <w:rPr>
                <w:b/>
                <w:i/>
                <w:sz w:val="19"/>
              </w:rPr>
              <w:t xml:space="preserve">Environmental Protection Regulations 1987 </w:t>
            </w:r>
            <w:r>
              <w:rPr>
                <w:b/>
                <w:sz w:val="19"/>
              </w:rPr>
              <w:t>as at 4 Dec 1995</w:t>
            </w:r>
            <w:r>
              <w:rPr>
                <w:b/>
                <w:sz w:val="19"/>
              </w:rPr>
              <w:br/>
            </w:r>
            <w:r>
              <w:rPr>
                <w:sz w:val="19"/>
              </w:rPr>
              <w:t>(includes amendments listed above)</w:t>
            </w:r>
          </w:p>
        </w:tc>
      </w:tr>
      <w:tr>
        <w:trPr>
          <w:cantSplit/>
        </w:trPr>
        <w:tc>
          <w:tcPr>
            <w:tcW w:w="3118" w:type="dxa"/>
          </w:tcPr>
          <w:p>
            <w:pPr>
              <w:pStyle w:val="nTable"/>
              <w:spacing w:after="40"/>
              <w:ind w:right="113"/>
              <w:rPr>
                <w:i/>
                <w:sz w:val="19"/>
              </w:rPr>
            </w:pPr>
            <w:r>
              <w:rPr>
                <w:i/>
                <w:sz w:val="19"/>
              </w:rPr>
              <w:t>Environmental Protection Amendment Regulations (No. 3) 1996 </w:t>
            </w:r>
            <w:r>
              <w:rPr>
                <w:sz w:val="19"/>
                <w:vertAlign w:val="superscript"/>
              </w:rPr>
              <w:t>6</w:t>
            </w:r>
          </w:p>
        </w:tc>
        <w:tc>
          <w:tcPr>
            <w:tcW w:w="1276" w:type="dxa"/>
          </w:tcPr>
          <w:p>
            <w:pPr>
              <w:pStyle w:val="nTable"/>
              <w:spacing w:after="40"/>
              <w:rPr>
                <w:sz w:val="19"/>
              </w:rPr>
            </w:pPr>
            <w:r>
              <w:rPr>
                <w:sz w:val="19"/>
              </w:rPr>
              <w:t>13 Sep 1996 p. 4545</w:t>
            </w:r>
            <w:r>
              <w:rPr>
                <w:sz w:val="19"/>
              </w:rPr>
              <w:noBreakHyphen/>
              <w:t xml:space="preserve">67 </w:t>
            </w:r>
            <w:r>
              <w:rPr>
                <w:sz w:val="19"/>
              </w:rPr>
              <w:br/>
              <w:t>(as amended 10 Dec 1996 p. 6879)</w:t>
            </w:r>
          </w:p>
        </w:tc>
        <w:tc>
          <w:tcPr>
            <w:tcW w:w="2693" w:type="dxa"/>
          </w:tcPr>
          <w:p>
            <w:pPr>
              <w:pStyle w:val="nTable"/>
              <w:spacing w:after="40"/>
              <w:rPr>
                <w:sz w:val="19"/>
              </w:rPr>
            </w:pPr>
            <w:r>
              <w:rPr>
                <w:sz w:val="19"/>
              </w:rPr>
              <w:t>1 Oct 1996 (see r. 2)</w:t>
            </w:r>
          </w:p>
        </w:tc>
      </w:tr>
      <w:tr>
        <w:trPr>
          <w:cantSplit/>
        </w:trPr>
        <w:tc>
          <w:tcPr>
            <w:tcW w:w="3118" w:type="dxa"/>
          </w:tcPr>
          <w:p>
            <w:pPr>
              <w:pStyle w:val="nTable"/>
              <w:spacing w:after="40"/>
              <w:ind w:right="113"/>
              <w:rPr>
                <w:i/>
                <w:sz w:val="19"/>
              </w:rPr>
            </w:pPr>
            <w:r>
              <w:rPr>
                <w:i/>
                <w:sz w:val="19"/>
              </w:rPr>
              <w:t>Environmental Protection Amendment Regulations (No. 5) 1996</w:t>
            </w:r>
          </w:p>
        </w:tc>
        <w:tc>
          <w:tcPr>
            <w:tcW w:w="1276" w:type="dxa"/>
          </w:tcPr>
          <w:p>
            <w:pPr>
              <w:pStyle w:val="nTable"/>
              <w:spacing w:after="40"/>
              <w:rPr>
                <w:sz w:val="19"/>
              </w:rPr>
            </w:pPr>
            <w:r>
              <w:rPr>
                <w:sz w:val="19"/>
              </w:rPr>
              <w:t>11 Oct 1996 p. 5395</w:t>
            </w:r>
          </w:p>
        </w:tc>
        <w:tc>
          <w:tcPr>
            <w:tcW w:w="2693" w:type="dxa"/>
          </w:tcPr>
          <w:p>
            <w:pPr>
              <w:pStyle w:val="nTable"/>
              <w:spacing w:after="40"/>
              <w:rPr>
                <w:sz w:val="19"/>
              </w:rPr>
            </w:pPr>
            <w:r>
              <w:rPr>
                <w:sz w:val="19"/>
              </w:rPr>
              <w:t xml:space="preserve">4 Aug 1996 (see r. 2 and </w:t>
            </w:r>
            <w:r>
              <w:rPr>
                <w:i/>
                <w:sz w:val="19"/>
              </w:rPr>
              <w:t>Gazette</w:t>
            </w:r>
            <w:r>
              <w:rPr>
                <w:sz w:val="19"/>
              </w:rPr>
              <w:t xml:space="preserve"> 2 Aug 1996 p. 3615)</w:t>
            </w:r>
          </w:p>
        </w:tc>
      </w:tr>
      <w:tr>
        <w:trPr>
          <w:cantSplit/>
        </w:trPr>
        <w:tc>
          <w:tcPr>
            <w:tcW w:w="3118" w:type="dxa"/>
          </w:tcPr>
          <w:p>
            <w:pPr>
              <w:pStyle w:val="nTable"/>
              <w:spacing w:after="40"/>
              <w:ind w:right="113"/>
              <w:rPr>
                <w:i/>
                <w:sz w:val="19"/>
              </w:rPr>
            </w:pPr>
            <w:r>
              <w:rPr>
                <w:i/>
                <w:sz w:val="19"/>
              </w:rPr>
              <w:t>Environmental Protection Amendment Regulations (No. 4) 1996</w:t>
            </w:r>
          </w:p>
        </w:tc>
        <w:tc>
          <w:tcPr>
            <w:tcW w:w="1276" w:type="dxa"/>
          </w:tcPr>
          <w:p>
            <w:pPr>
              <w:pStyle w:val="nTable"/>
              <w:spacing w:after="40"/>
              <w:rPr>
                <w:sz w:val="19"/>
              </w:rPr>
            </w:pPr>
            <w:r>
              <w:rPr>
                <w:sz w:val="19"/>
              </w:rPr>
              <w:t>12 Nov 1996 p. 6303</w:t>
            </w:r>
            <w:r>
              <w:rPr>
                <w:sz w:val="19"/>
              </w:rPr>
              <w:noBreakHyphen/>
              <w:t>5</w:t>
            </w:r>
          </w:p>
        </w:tc>
        <w:tc>
          <w:tcPr>
            <w:tcW w:w="2693" w:type="dxa"/>
          </w:tcPr>
          <w:p>
            <w:pPr>
              <w:pStyle w:val="nTable"/>
              <w:spacing w:after="40"/>
              <w:rPr>
                <w:sz w:val="19"/>
              </w:rPr>
            </w:pPr>
            <w:r>
              <w:rPr>
                <w:sz w:val="19"/>
              </w:rPr>
              <w:t>12 Nov 1996</w:t>
            </w:r>
          </w:p>
        </w:tc>
      </w:tr>
      <w:tr>
        <w:trPr>
          <w:cantSplit/>
        </w:trPr>
        <w:tc>
          <w:tcPr>
            <w:tcW w:w="3118" w:type="dxa"/>
          </w:tcPr>
          <w:p>
            <w:pPr>
              <w:pStyle w:val="nTable"/>
              <w:spacing w:after="40"/>
              <w:ind w:right="113"/>
              <w:rPr>
                <w:i/>
                <w:sz w:val="19"/>
              </w:rPr>
            </w:pPr>
            <w:r>
              <w:rPr>
                <w:i/>
                <w:sz w:val="19"/>
              </w:rPr>
              <w:t>Environmental Protection Amendment Regulations (No. 6) 1996</w:t>
            </w:r>
          </w:p>
        </w:tc>
        <w:tc>
          <w:tcPr>
            <w:tcW w:w="1276" w:type="dxa"/>
          </w:tcPr>
          <w:p>
            <w:pPr>
              <w:pStyle w:val="nTable"/>
              <w:spacing w:after="40"/>
              <w:rPr>
                <w:sz w:val="19"/>
              </w:rPr>
            </w:pPr>
            <w:r>
              <w:rPr>
                <w:sz w:val="19"/>
              </w:rPr>
              <w:t>10 Dec 1996 p. 6876</w:t>
            </w:r>
            <w:r>
              <w:rPr>
                <w:sz w:val="19"/>
              </w:rPr>
              <w:noBreakHyphen/>
              <w:t>9</w:t>
            </w:r>
          </w:p>
        </w:tc>
        <w:tc>
          <w:tcPr>
            <w:tcW w:w="2693" w:type="dxa"/>
          </w:tcPr>
          <w:p>
            <w:pPr>
              <w:pStyle w:val="nTable"/>
              <w:spacing w:after="40"/>
              <w:rPr>
                <w:sz w:val="19"/>
              </w:rPr>
            </w:pPr>
            <w:r>
              <w:rPr>
                <w:sz w:val="19"/>
              </w:rPr>
              <w:t>10 Dec 1996</w:t>
            </w:r>
          </w:p>
        </w:tc>
      </w:tr>
      <w:tr>
        <w:trPr>
          <w:cantSplit/>
        </w:trPr>
        <w:tc>
          <w:tcPr>
            <w:tcW w:w="3118" w:type="dxa"/>
          </w:tcPr>
          <w:p>
            <w:pPr>
              <w:pStyle w:val="nTable"/>
              <w:spacing w:after="40"/>
              <w:ind w:right="113"/>
              <w:rPr>
                <w:i/>
                <w:sz w:val="19"/>
              </w:rPr>
            </w:pPr>
            <w:r>
              <w:rPr>
                <w:i/>
                <w:sz w:val="19"/>
              </w:rPr>
              <w:t>Environmental Protection Amendment Regulations (No. 2) 1997</w:t>
            </w:r>
          </w:p>
        </w:tc>
        <w:tc>
          <w:tcPr>
            <w:tcW w:w="1276" w:type="dxa"/>
          </w:tcPr>
          <w:p>
            <w:pPr>
              <w:pStyle w:val="nTable"/>
              <w:spacing w:after="40"/>
              <w:rPr>
                <w:sz w:val="19"/>
              </w:rPr>
            </w:pPr>
            <w:r>
              <w:rPr>
                <w:sz w:val="19"/>
              </w:rPr>
              <w:t>12 Sep 1997 p. 5149</w:t>
            </w:r>
            <w:r>
              <w:rPr>
                <w:sz w:val="19"/>
              </w:rPr>
              <w:noBreakHyphen/>
              <w:t>51</w:t>
            </w:r>
          </w:p>
        </w:tc>
        <w:tc>
          <w:tcPr>
            <w:tcW w:w="2693" w:type="dxa"/>
          </w:tcPr>
          <w:p>
            <w:pPr>
              <w:pStyle w:val="nTable"/>
              <w:spacing w:after="40"/>
              <w:rPr>
                <w:sz w:val="19"/>
              </w:rPr>
            </w:pPr>
            <w:r>
              <w:rPr>
                <w:sz w:val="19"/>
              </w:rPr>
              <w:t>12 Sep 1997</w:t>
            </w:r>
          </w:p>
        </w:tc>
      </w:tr>
      <w:tr>
        <w:trPr>
          <w:cantSplit/>
        </w:trPr>
        <w:tc>
          <w:tcPr>
            <w:tcW w:w="3118" w:type="dxa"/>
          </w:tcPr>
          <w:p>
            <w:pPr>
              <w:pStyle w:val="nTable"/>
              <w:spacing w:after="40"/>
              <w:ind w:right="113"/>
              <w:rPr>
                <w:i/>
                <w:sz w:val="19"/>
              </w:rPr>
            </w:pPr>
            <w:r>
              <w:rPr>
                <w:i/>
                <w:sz w:val="19"/>
              </w:rPr>
              <w:t>Environmental Protection Amendment Regulations 1998</w:t>
            </w:r>
          </w:p>
        </w:tc>
        <w:tc>
          <w:tcPr>
            <w:tcW w:w="1276" w:type="dxa"/>
          </w:tcPr>
          <w:p>
            <w:pPr>
              <w:pStyle w:val="nTable"/>
              <w:spacing w:after="40"/>
              <w:rPr>
                <w:sz w:val="19"/>
              </w:rPr>
            </w:pPr>
            <w:r>
              <w:rPr>
                <w:sz w:val="19"/>
              </w:rPr>
              <w:t>3 Apr 1998 p. 1972</w:t>
            </w:r>
            <w:r>
              <w:rPr>
                <w:sz w:val="19"/>
              </w:rPr>
              <w:noBreakHyphen/>
              <w:t>3</w:t>
            </w:r>
          </w:p>
        </w:tc>
        <w:tc>
          <w:tcPr>
            <w:tcW w:w="2693" w:type="dxa"/>
          </w:tcPr>
          <w:p>
            <w:pPr>
              <w:pStyle w:val="nTable"/>
              <w:spacing w:after="40"/>
              <w:rPr>
                <w:sz w:val="19"/>
              </w:rPr>
            </w:pPr>
            <w:r>
              <w:rPr>
                <w:sz w:val="19"/>
              </w:rPr>
              <w:t xml:space="preserve">25 Jul 1998 (see r. 2 and </w:t>
            </w:r>
            <w:r>
              <w:rPr>
                <w:i/>
                <w:sz w:val="19"/>
              </w:rPr>
              <w:t>Gazette</w:t>
            </w:r>
            <w:r>
              <w:rPr>
                <w:sz w:val="19"/>
              </w:rPr>
              <w:t xml:space="preserve"> 24 Jul 1998 p. 3887)</w:t>
            </w:r>
          </w:p>
        </w:tc>
      </w:tr>
      <w:tr>
        <w:trPr>
          <w:cantSplit/>
        </w:trPr>
        <w:tc>
          <w:tcPr>
            <w:tcW w:w="3118" w:type="dxa"/>
          </w:tcPr>
          <w:p>
            <w:pPr>
              <w:pStyle w:val="nTable"/>
              <w:spacing w:after="40"/>
              <w:ind w:right="113"/>
              <w:rPr>
                <w:i/>
                <w:sz w:val="19"/>
              </w:rPr>
            </w:pPr>
            <w:r>
              <w:rPr>
                <w:i/>
                <w:sz w:val="19"/>
              </w:rPr>
              <w:t>Environmental Protection Amendment Regulations (No. 2) 1998</w:t>
            </w:r>
          </w:p>
        </w:tc>
        <w:tc>
          <w:tcPr>
            <w:tcW w:w="1276" w:type="dxa"/>
          </w:tcPr>
          <w:p>
            <w:pPr>
              <w:pStyle w:val="nTable"/>
              <w:spacing w:after="40"/>
              <w:rPr>
                <w:sz w:val="19"/>
              </w:rPr>
            </w:pPr>
            <w:r>
              <w:rPr>
                <w:sz w:val="19"/>
              </w:rPr>
              <w:t>26 Jun 1998 p. 3370</w:t>
            </w:r>
            <w:r>
              <w:rPr>
                <w:sz w:val="19"/>
              </w:rPr>
              <w:noBreakHyphen/>
              <w:t>4</w:t>
            </w:r>
          </w:p>
        </w:tc>
        <w:tc>
          <w:tcPr>
            <w:tcW w:w="2693" w:type="dxa"/>
          </w:tcPr>
          <w:p>
            <w:pPr>
              <w:pStyle w:val="nTable"/>
              <w:spacing w:after="40"/>
              <w:rPr>
                <w:sz w:val="19"/>
              </w:rPr>
            </w:pPr>
            <w:r>
              <w:rPr>
                <w:sz w:val="19"/>
              </w:rPr>
              <w:t xml:space="preserve">1 Jul 1998 (see r. 2 and </w:t>
            </w:r>
            <w:r>
              <w:rPr>
                <w:i/>
                <w:sz w:val="19"/>
              </w:rPr>
              <w:t>Gazette</w:t>
            </w:r>
            <w:r>
              <w:rPr>
                <w:sz w:val="19"/>
              </w:rPr>
              <w:t xml:space="preserve"> 26 Jun 1998 p. 3369)</w:t>
            </w:r>
          </w:p>
        </w:tc>
      </w:tr>
      <w:tr>
        <w:trPr>
          <w:cantSplit/>
        </w:trPr>
        <w:tc>
          <w:tcPr>
            <w:tcW w:w="3118" w:type="dxa"/>
          </w:tcPr>
          <w:p>
            <w:pPr>
              <w:pStyle w:val="nTable"/>
              <w:spacing w:after="40"/>
              <w:ind w:right="113"/>
              <w:rPr>
                <w:i/>
                <w:sz w:val="19"/>
              </w:rPr>
            </w:pPr>
            <w:r>
              <w:rPr>
                <w:i/>
                <w:sz w:val="19"/>
              </w:rPr>
              <w:t xml:space="preserve">Environmental Protection (Miscellaneous Amendments) Regulations 1998 </w:t>
            </w:r>
            <w:r>
              <w:rPr>
                <w:sz w:val="19"/>
              </w:rPr>
              <w:t>Pt. 2</w:t>
            </w:r>
          </w:p>
        </w:tc>
        <w:tc>
          <w:tcPr>
            <w:tcW w:w="1276" w:type="dxa"/>
          </w:tcPr>
          <w:p>
            <w:pPr>
              <w:pStyle w:val="nTable"/>
              <w:spacing w:after="40"/>
              <w:rPr>
                <w:sz w:val="19"/>
              </w:rPr>
            </w:pPr>
            <w:r>
              <w:rPr>
                <w:sz w:val="19"/>
              </w:rPr>
              <w:t>11 Dec 1998 p. 6597</w:t>
            </w:r>
            <w:r>
              <w:rPr>
                <w:sz w:val="19"/>
              </w:rPr>
              <w:noBreakHyphen/>
              <w:t>614</w:t>
            </w:r>
          </w:p>
        </w:tc>
        <w:tc>
          <w:tcPr>
            <w:tcW w:w="2693" w:type="dxa"/>
          </w:tcPr>
          <w:p>
            <w:pPr>
              <w:pStyle w:val="nTable"/>
              <w:spacing w:after="40"/>
              <w:rPr>
                <w:sz w:val="19"/>
              </w:rPr>
            </w:pPr>
            <w:r>
              <w:rPr>
                <w:sz w:val="19"/>
              </w:rPr>
              <w:t>8 Jan 1999 (see r. 2)</w:t>
            </w:r>
          </w:p>
        </w:tc>
      </w:tr>
      <w:tr>
        <w:trPr>
          <w:cantSplit/>
        </w:trPr>
        <w:tc>
          <w:tcPr>
            <w:tcW w:w="7087" w:type="dxa"/>
            <w:gridSpan w:val="3"/>
          </w:tcPr>
          <w:p>
            <w:pPr>
              <w:pStyle w:val="nTable"/>
              <w:spacing w:after="40"/>
              <w:rPr>
                <w:b/>
                <w:sz w:val="19"/>
              </w:rPr>
            </w:pPr>
            <w:r>
              <w:rPr>
                <w:b/>
                <w:sz w:val="19"/>
              </w:rPr>
              <w:t xml:space="preserve">Reprint of the </w:t>
            </w:r>
            <w:r>
              <w:rPr>
                <w:b/>
                <w:i/>
                <w:sz w:val="19"/>
              </w:rPr>
              <w:t xml:space="preserve">Environmental Protection Regulations 1987 </w:t>
            </w:r>
            <w:r>
              <w:rPr>
                <w:b/>
                <w:sz w:val="19"/>
              </w:rPr>
              <w:t>as at 2 Apr 1999</w:t>
            </w:r>
            <w:r>
              <w:rPr>
                <w:b/>
                <w:sz w:val="19"/>
              </w:rPr>
              <w:br/>
            </w:r>
            <w:r>
              <w:rPr>
                <w:sz w:val="19"/>
              </w:rPr>
              <w:t>(includes amendments listed above)</w:t>
            </w:r>
          </w:p>
        </w:tc>
      </w:tr>
      <w:tr>
        <w:trPr>
          <w:cantSplit/>
        </w:trPr>
        <w:tc>
          <w:tcPr>
            <w:tcW w:w="3118" w:type="dxa"/>
          </w:tcPr>
          <w:p>
            <w:pPr>
              <w:pStyle w:val="nTable"/>
              <w:spacing w:after="40"/>
              <w:ind w:right="113"/>
              <w:rPr>
                <w:i/>
                <w:sz w:val="19"/>
              </w:rPr>
            </w:pPr>
            <w:r>
              <w:rPr>
                <w:i/>
                <w:sz w:val="19"/>
              </w:rPr>
              <w:t xml:space="preserve">Environmental Protection (Diesel and Petrol) Regulations 1999 </w:t>
            </w:r>
            <w:r>
              <w:rPr>
                <w:sz w:val="19"/>
              </w:rPr>
              <w:t>r. 22</w:t>
            </w:r>
          </w:p>
        </w:tc>
        <w:tc>
          <w:tcPr>
            <w:tcW w:w="1276" w:type="dxa"/>
          </w:tcPr>
          <w:p>
            <w:pPr>
              <w:pStyle w:val="nTable"/>
              <w:spacing w:after="40"/>
              <w:rPr>
                <w:sz w:val="19"/>
              </w:rPr>
            </w:pPr>
            <w:r>
              <w:rPr>
                <w:sz w:val="19"/>
              </w:rPr>
              <w:t>17 Dec 1999 p. 6305</w:t>
            </w:r>
            <w:r>
              <w:rPr>
                <w:sz w:val="19"/>
              </w:rPr>
              <w:noBreakHyphen/>
              <w:t>25</w:t>
            </w:r>
          </w:p>
        </w:tc>
        <w:tc>
          <w:tcPr>
            <w:tcW w:w="2693" w:type="dxa"/>
          </w:tcPr>
          <w:p>
            <w:pPr>
              <w:pStyle w:val="nTable"/>
              <w:spacing w:after="40"/>
              <w:rPr>
                <w:sz w:val="19"/>
              </w:rPr>
            </w:pPr>
            <w:r>
              <w:rPr>
                <w:sz w:val="19"/>
              </w:rPr>
              <w:t>1 Jan 2000 (see r. 2)</w:t>
            </w:r>
          </w:p>
        </w:tc>
      </w:tr>
      <w:tr>
        <w:trPr>
          <w:cantSplit/>
        </w:trPr>
        <w:tc>
          <w:tcPr>
            <w:tcW w:w="3118" w:type="dxa"/>
          </w:tcPr>
          <w:p>
            <w:pPr>
              <w:pStyle w:val="nTable"/>
              <w:spacing w:after="40"/>
              <w:ind w:right="113"/>
              <w:rPr>
                <w:i/>
                <w:sz w:val="19"/>
              </w:rPr>
            </w:pPr>
            <w:r>
              <w:rPr>
                <w:i/>
                <w:sz w:val="19"/>
              </w:rPr>
              <w:t>Environmental Protection Amendment Regulations 2000</w:t>
            </w:r>
          </w:p>
        </w:tc>
        <w:tc>
          <w:tcPr>
            <w:tcW w:w="1276" w:type="dxa"/>
          </w:tcPr>
          <w:p>
            <w:pPr>
              <w:pStyle w:val="nTable"/>
              <w:spacing w:after="40"/>
              <w:rPr>
                <w:sz w:val="19"/>
              </w:rPr>
            </w:pPr>
            <w:r>
              <w:rPr>
                <w:sz w:val="19"/>
              </w:rPr>
              <w:t>7 Jul 2000 p. 3677</w:t>
            </w:r>
            <w:r>
              <w:rPr>
                <w:sz w:val="19"/>
              </w:rPr>
              <w:noBreakHyphen/>
              <w:t>83</w:t>
            </w:r>
          </w:p>
        </w:tc>
        <w:tc>
          <w:tcPr>
            <w:tcW w:w="2693" w:type="dxa"/>
          </w:tcPr>
          <w:p>
            <w:pPr>
              <w:pStyle w:val="nTable"/>
              <w:spacing w:after="40"/>
              <w:rPr>
                <w:sz w:val="19"/>
              </w:rPr>
            </w:pPr>
            <w:r>
              <w:rPr>
                <w:sz w:val="19"/>
              </w:rPr>
              <w:t>7 Jul 2000</w:t>
            </w:r>
          </w:p>
        </w:tc>
      </w:tr>
      <w:tr>
        <w:trPr>
          <w:cantSplit/>
        </w:trPr>
        <w:tc>
          <w:tcPr>
            <w:tcW w:w="3118" w:type="dxa"/>
          </w:tcPr>
          <w:p>
            <w:pPr>
              <w:pStyle w:val="nTable"/>
              <w:spacing w:after="40"/>
              <w:ind w:right="113"/>
              <w:rPr>
                <w:i/>
                <w:sz w:val="19"/>
              </w:rPr>
            </w:pPr>
            <w:r>
              <w:rPr>
                <w:i/>
                <w:sz w:val="19"/>
              </w:rPr>
              <w:t>Environmental Protection Amendment Regulations (No. 4) 2000</w:t>
            </w:r>
          </w:p>
        </w:tc>
        <w:tc>
          <w:tcPr>
            <w:tcW w:w="1276" w:type="dxa"/>
          </w:tcPr>
          <w:p>
            <w:pPr>
              <w:pStyle w:val="nTable"/>
              <w:spacing w:after="40"/>
              <w:rPr>
                <w:sz w:val="19"/>
              </w:rPr>
            </w:pPr>
            <w:r>
              <w:rPr>
                <w:sz w:val="19"/>
              </w:rPr>
              <w:t>4 Aug 2000 p. 4199</w:t>
            </w:r>
            <w:r>
              <w:rPr>
                <w:sz w:val="19"/>
              </w:rPr>
              <w:noBreakHyphen/>
              <w:t>202</w:t>
            </w:r>
          </w:p>
        </w:tc>
        <w:tc>
          <w:tcPr>
            <w:tcW w:w="2693" w:type="dxa"/>
          </w:tcPr>
          <w:p>
            <w:pPr>
              <w:pStyle w:val="nTable"/>
              <w:spacing w:after="40"/>
              <w:rPr>
                <w:sz w:val="19"/>
              </w:rPr>
            </w:pPr>
            <w:r>
              <w:rPr>
                <w:sz w:val="19"/>
              </w:rPr>
              <w:t>1 Oct 2000 (see r. 2)</w:t>
            </w:r>
          </w:p>
        </w:tc>
      </w:tr>
      <w:tr>
        <w:trPr>
          <w:cantSplit/>
        </w:trPr>
        <w:tc>
          <w:tcPr>
            <w:tcW w:w="3118" w:type="dxa"/>
          </w:tcPr>
          <w:p>
            <w:pPr>
              <w:pStyle w:val="nTable"/>
              <w:spacing w:after="40"/>
              <w:ind w:right="113"/>
              <w:rPr>
                <w:i/>
                <w:sz w:val="19"/>
              </w:rPr>
            </w:pPr>
            <w:r>
              <w:rPr>
                <w:i/>
                <w:sz w:val="19"/>
              </w:rPr>
              <w:t>Environmental Protection Amendment Regulations (No. 3) 2000</w:t>
            </w:r>
          </w:p>
        </w:tc>
        <w:tc>
          <w:tcPr>
            <w:tcW w:w="1276" w:type="dxa"/>
          </w:tcPr>
          <w:p>
            <w:pPr>
              <w:pStyle w:val="nTable"/>
              <w:spacing w:after="40"/>
              <w:rPr>
                <w:sz w:val="19"/>
              </w:rPr>
            </w:pPr>
            <w:r>
              <w:rPr>
                <w:sz w:val="19"/>
              </w:rPr>
              <w:t>15 Aug 2000 p. 4711</w:t>
            </w:r>
            <w:r>
              <w:rPr>
                <w:sz w:val="19"/>
              </w:rPr>
              <w:noBreakHyphen/>
              <w:t>19</w:t>
            </w:r>
          </w:p>
        </w:tc>
        <w:tc>
          <w:tcPr>
            <w:tcW w:w="2693" w:type="dxa"/>
          </w:tcPr>
          <w:p>
            <w:pPr>
              <w:pStyle w:val="nTable"/>
              <w:spacing w:after="40"/>
              <w:rPr>
                <w:sz w:val="19"/>
              </w:rPr>
            </w:pPr>
            <w:r>
              <w:rPr>
                <w:sz w:val="19"/>
              </w:rPr>
              <w:t>15 Aug 2000</w:t>
            </w:r>
          </w:p>
        </w:tc>
      </w:tr>
      <w:tr>
        <w:trPr>
          <w:cantSplit/>
        </w:trPr>
        <w:tc>
          <w:tcPr>
            <w:tcW w:w="3118" w:type="dxa"/>
          </w:tcPr>
          <w:p>
            <w:pPr>
              <w:pStyle w:val="nTable"/>
              <w:spacing w:after="40"/>
              <w:ind w:right="113"/>
              <w:rPr>
                <w:i/>
                <w:sz w:val="19"/>
              </w:rPr>
            </w:pPr>
            <w:r>
              <w:rPr>
                <w:i/>
                <w:sz w:val="19"/>
              </w:rPr>
              <w:t>Environmental Protection Amendment Regulations (No. 2) 2000</w:t>
            </w:r>
          </w:p>
        </w:tc>
        <w:tc>
          <w:tcPr>
            <w:tcW w:w="1276" w:type="dxa"/>
          </w:tcPr>
          <w:p>
            <w:pPr>
              <w:pStyle w:val="nTable"/>
              <w:spacing w:after="40"/>
              <w:rPr>
                <w:sz w:val="19"/>
              </w:rPr>
            </w:pPr>
            <w:r>
              <w:rPr>
                <w:sz w:val="19"/>
              </w:rPr>
              <w:t>19 Dec 2000 p. 7283</w:t>
            </w:r>
            <w:r>
              <w:rPr>
                <w:sz w:val="19"/>
              </w:rPr>
              <w:noBreakHyphen/>
              <w:t>4</w:t>
            </w:r>
          </w:p>
        </w:tc>
        <w:tc>
          <w:tcPr>
            <w:tcW w:w="2693" w:type="dxa"/>
          </w:tcPr>
          <w:p>
            <w:pPr>
              <w:pStyle w:val="nTable"/>
              <w:spacing w:after="40"/>
              <w:rPr>
                <w:sz w:val="19"/>
              </w:rPr>
            </w:pPr>
            <w:r>
              <w:rPr>
                <w:sz w:val="19"/>
              </w:rPr>
              <w:t>19 Dec 2000</w:t>
            </w:r>
          </w:p>
        </w:tc>
      </w:tr>
      <w:tr>
        <w:trPr>
          <w:cantSplit/>
        </w:trPr>
        <w:tc>
          <w:tcPr>
            <w:tcW w:w="3118" w:type="dxa"/>
          </w:tcPr>
          <w:p>
            <w:pPr>
              <w:pStyle w:val="nTable"/>
              <w:spacing w:after="40"/>
              <w:ind w:right="113"/>
              <w:rPr>
                <w:sz w:val="19"/>
              </w:rPr>
            </w:pPr>
            <w:r>
              <w:rPr>
                <w:i/>
                <w:sz w:val="19"/>
              </w:rPr>
              <w:t>Environmental Protection Amendment Regulations (No. 5) 2000</w:t>
            </w:r>
            <w:r>
              <w:rPr>
                <w:sz w:val="19"/>
              </w:rPr>
              <w:t> </w:t>
            </w:r>
            <w:r>
              <w:rPr>
                <w:sz w:val="19"/>
                <w:vertAlign w:val="superscript"/>
              </w:rPr>
              <w:t>7</w:t>
            </w:r>
          </w:p>
        </w:tc>
        <w:tc>
          <w:tcPr>
            <w:tcW w:w="1276" w:type="dxa"/>
          </w:tcPr>
          <w:p>
            <w:pPr>
              <w:pStyle w:val="nTable"/>
              <w:spacing w:after="40"/>
              <w:rPr>
                <w:sz w:val="19"/>
              </w:rPr>
            </w:pPr>
            <w:r>
              <w:rPr>
                <w:sz w:val="19"/>
              </w:rPr>
              <w:t>5 Jan 2001 p. 114</w:t>
            </w:r>
            <w:r>
              <w:rPr>
                <w:sz w:val="19"/>
              </w:rPr>
              <w:noBreakHyphen/>
              <w:t>19</w:t>
            </w:r>
          </w:p>
        </w:tc>
        <w:tc>
          <w:tcPr>
            <w:tcW w:w="2693" w:type="dxa"/>
          </w:tcPr>
          <w:p>
            <w:pPr>
              <w:pStyle w:val="nTable"/>
              <w:spacing w:after="40"/>
              <w:rPr>
                <w:sz w:val="19"/>
                <w:lang w:val="en-US"/>
              </w:rPr>
            </w:pPr>
            <w:r>
              <w:rPr>
                <w:sz w:val="19"/>
              </w:rPr>
              <w:t>5 Jan 2001</w:t>
            </w:r>
          </w:p>
        </w:tc>
      </w:tr>
      <w:tr>
        <w:trPr>
          <w:cantSplit/>
        </w:trPr>
        <w:tc>
          <w:tcPr>
            <w:tcW w:w="7087" w:type="dxa"/>
            <w:gridSpan w:val="3"/>
          </w:tcPr>
          <w:p>
            <w:pPr>
              <w:pStyle w:val="nTable"/>
              <w:spacing w:after="40"/>
              <w:rPr>
                <w:b/>
                <w:sz w:val="19"/>
              </w:rPr>
            </w:pPr>
            <w:r>
              <w:rPr>
                <w:b/>
                <w:sz w:val="19"/>
              </w:rPr>
              <w:t xml:space="preserve">Reprint of the </w:t>
            </w:r>
            <w:r>
              <w:rPr>
                <w:b/>
                <w:i/>
                <w:sz w:val="19"/>
              </w:rPr>
              <w:t xml:space="preserve">Environmental Protection Regulations 1987 </w:t>
            </w:r>
            <w:r>
              <w:rPr>
                <w:b/>
                <w:sz w:val="19"/>
              </w:rPr>
              <w:t>as at 9 Feb 2001</w:t>
            </w:r>
            <w:r>
              <w:rPr>
                <w:b/>
                <w:sz w:val="19"/>
              </w:rPr>
              <w:br/>
            </w:r>
            <w:r>
              <w:rPr>
                <w:sz w:val="19"/>
              </w:rPr>
              <w:t>(includes amendments listed above)</w:t>
            </w:r>
          </w:p>
        </w:tc>
      </w:tr>
      <w:tr>
        <w:trPr>
          <w:cantSplit/>
        </w:trPr>
        <w:tc>
          <w:tcPr>
            <w:tcW w:w="3118" w:type="dxa"/>
          </w:tcPr>
          <w:p>
            <w:pPr>
              <w:pStyle w:val="nTable"/>
              <w:spacing w:after="40"/>
              <w:ind w:right="113"/>
              <w:rPr>
                <w:i/>
                <w:sz w:val="19"/>
                <w:lang w:val="fr-FR"/>
              </w:rPr>
            </w:pPr>
            <w:r>
              <w:rPr>
                <w:i/>
                <w:sz w:val="19"/>
                <w:lang w:val="fr-FR"/>
              </w:rPr>
              <w:t xml:space="preserve">Environmental Protection (Abattoirs) Regulations 2001 </w:t>
            </w:r>
            <w:r>
              <w:rPr>
                <w:sz w:val="19"/>
                <w:lang w:val="fr-FR"/>
              </w:rPr>
              <w:t>r. 17</w:t>
            </w:r>
          </w:p>
        </w:tc>
        <w:tc>
          <w:tcPr>
            <w:tcW w:w="1276" w:type="dxa"/>
          </w:tcPr>
          <w:p>
            <w:pPr>
              <w:pStyle w:val="nTable"/>
              <w:spacing w:after="40"/>
              <w:rPr>
                <w:sz w:val="19"/>
              </w:rPr>
            </w:pPr>
            <w:r>
              <w:rPr>
                <w:sz w:val="19"/>
              </w:rPr>
              <w:t>30 Mar 2001 p. 1797</w:t>
            </w:r>
            <w:r>
              <w:rPr>
                <w:sz w:val="19"/>
              </w:rPr>
              <w:noBreakHyphen/>
              <w:t>810</w:t>
            </w:r>
          </w:p>
        </w:tc>
        <w:tc>
          <w:tcPr>
            <w:tcW w:w="2693" w:type="dxa"/>
          </w:tcPr>
          <w:p>
            <w:pPr>
              <w:pStyle w:val="nTable"/>
              <w:spacing w:after="40"/>
              <w:rPr>
                <w:sz w:val="19"/>
              </w:rPr>
            </w:pPr>
            <w:r>
              <w:rPr>
                <w:sz w:val="19"/>
              </w:rPr>
              <w:t>30 Mar 2001</w:t>
            </w:r>
          </w:p>
        </w:tc>
      </w:tr>
      <w:tr>
        <w:trPr>
          <w:cantSplit/>
        </w:trPr>
        <w:tc>
          <w:tcPr>
            <w:tcW w:w="3118" w:type="dxa"/>
          </w:tcPr>
          <w:p>
            <w:pPr>
              <w:pStyle w:val="nTable"/>
              <w:spacing w:after="40"/>
              <w:ind w:right="113"/>
              <w:rPr>
                <w:i/>
                <w:sz w:val="19"/>
              </w:rPr>
            </w:pPr>
            <w:r>
              <w:rPr>
                <w:i/>
                <w:sz w:val="19"/>
              </w:rPr>
              <w:t xml:space="preserve">Environmental Protection (Liquid Waste) Amendment Regulations 2001 </w:t>
            </w:r>
            <w:r>
              <w:rPr>
                <w:sz w:val="19"/>
              </w:rPr>
              <w:t>r. 34</w:t>
            </w:r>
          </w:p>
        </w:tc>
        <w:tc>
          <w:tcPr>
            <w:tcW w:w="1276" w:type="dxa"/>
          </w:tcPr>
          <w:p>
            <w:pPr>
              <w:pStyle w:val="nTable"/>
              <w:spacing w:after="40"/>
              <w:rPr>
                <w:sz w:val="19"/>
              </w:rPr>
            </w:pPr>
            <w:r>
              <w:rPr>
                <w:sz w:val="19"/>
              </w:rPr>
              <w:t>30 Mar 2001 p. 1811</w:t>
            </w:r>
            <w:r>
              <w:rPr>
                <w:sz w:val="19"/>
              </w:rPr>
              <w:noBreakHyphen/>
              <w:t>30</w:t>
            </w:r>
          </w:p>
        </w:tc>
        <w:tc>
          <w:tcPr>
            <w:tcW w:w="2693" w:type="dxa"/>
          </w:tcPr>
          <w:p>
            <w:pPr>
              <w:pStyle w:val="nTable"/>
              <w:spacing w:after="40"/>
              <w:rPr>
                <w:sz w:val="19"/>
              </w:rPr>
            </w:pPr>
            <w:r>
              <w:rPr>
                <w:sz w:val="19"/>
              </w:rPr>
              <w:t>1 Apr 2001 (see r. 2)</w:t>
            </w:r>
          </w:p>
        </w:tc>
      </w:tr>
      <w:tr>
        <w:trPr>
          <w:cantSplit/>
        </w:trPr>
        <w:tc>
          <w:tcPr>
            <w:tcW w:w="3118" w:type="dxa"/>
          </w:tcPr>
          <w:p>
            <w:pPr>
              <w:pStyle w:val="nTable"/>
              <w:spacing w:after="40"/>
              <w:ind w:right="113"/>
              <w:rPr>
                <w:i/>
                <w:sz w:val="19"/>
              </w:rPr>
            </w:pPr>
            <w:r>
              <w:rPr>
                <w:i/>
                <w:sz w:val="19"/>
              </w:rPr>
              <w:t xml:space="preserve">Environmental Protection (Controlled Waste) Regulations 2001 </w:t>
            </w:r>
            <w:r>
              <w:rPr>
                <w:sz w:val="19"/>
              </w:rPr>
              <w:t>r. 55</w:t>
            </w:r>
          </w:p>
        </w:tc>
        <w:tc>
          <w:tcPr>
            <w:tcW w:w="1276" w:type="dxa"/>
          </w:tcPr>
          <w:p>
            <w:pPr>
              <w:pStyle w:val="nTable"/>
              <w:spacing w:after="40"/>
              <w:rPr>
                <w:sz w:val="19"/>
              </w:rPr>
            </w:pPr>
            <w:r>
              <w:rPr>
                <w:sz w:val="19"/>
              </w:rPr>
              <w:t>30 Mar 2001 p. 1831</w:t>
            </w:r>
            <w:r>
              <w:rPr>
                <w:sz w:val="19"/>
              </w:rPr>
              <w:noBreakHyphen/>
              <w:t>79</w:t>
            </w:r>
          </w:p>
        </w:tc>
        <w:tc>
          <w:tcPr>
            <w:tcW w:w="2693" w:type="dxa"/>
          </w:tcPr>
          <w:p>
            <w:pPr>
              <w:pStyle w:val="nTable"/>
              <w:spacing w:after="40"/>
              <w:rPr>
                <w:sz w:val="19"/>
              </w:rPr>
            </w:pPr>
            <w:r>
              <w:rPr>
                <w:sz w:val="19"/>
              </w:rPr>
              <w:t>1 Apr 2001 (see r. 2)</w:t>
            </w:r>
          </w:p>
        </w:tc>
      </w:tr>
      <w:tr>
        <w:trPr>
          <w:cantSplit/>
        </w:trPr>
        <w:tc>
          <w:tcPr>
            <w:tcW w:w="3118" w:type="dxa"/>
          </w:tcPr>
          <w:p>
            <w:pPr>
              <w:pStyle w:val="nTable"/>
              <w:spacing w:after="40"/>
              <w:ind w:right="113"/>
              <w:rPr>
                <w:i/>
                <w:sz w:val="19"/>
              </w:rPr>
            </w:pPr>
            <w:r>
              <w:rPr>
                <w:i/>
                <w:sz w:val="19"/>
              </w:rPr>
              <w:t>Environmental Protection Amendment Regulations 2001</w:t>
            </w:r>
          </w:p>
        </w:tc>
        <w:tc>
          <w:tcPr>
            <w:tcW w:w="1276" w:type="dxa"/>
          </w:tcPr>
          <w:p>
            <w:pPr>
              <w:pStyle w:val="nTable"/>
              <w:spacing w:after="40"/>
              <w:rPr>
                <w:sz w:val="19"/>
              </w:rPr>
            </w:pPr>
            <w:r>
              <w:rPr>
                <w:sz w:val="19"/>
              </w:rPr>
              <w:t>12 Apr 2001 p. 2097</w:t>
            </w:r>
            <w:r>
              <w:rPr>
                <w:sz w:val="19"/>
              </w:rPr>
              <w:noBreakHyphen/>
              <w:t>8</w:t>
            </w:r>
          </w:p>
        </w:tc>
        <w:tc>
          <w:tcPr>
            <w:tcW w:w="2693" w:type="dxa"/>
          </w:tcPr>
          <w:p>
            <w:pPr>
              <w:pStyle w:val="nTable"/>
              <w:spacing w:after="40"/>
              <w:rPr>
                <w:sz w:val="19"/>
              </w:rPr>
            </w:pPr>
            <w:r>
              <w:rPr>
                <w:sz w:val="19"/>
              </w:rPr>
              <w:t>12 Apr 2001</w:t>
            </w:r>
          </w:p>
        </w:tc>
      </w:tr>
      <w:tr>
        <w:trPr>
          <w:cantSplit/>
        </w:trPr>
        <w:tc>
          <w:tcPr>
            <w:tcW w:w="3118" w:type="dxa"/>
          </w:tcPr>
          <w:p>
            <w:pPr>
              <w:pStyle w:val="nTable"/>
              <w:spacing w:after="40"/>
              <w:ind w:right="113"/>
              <w:rPr>
                <w:i/>
                <w:sz w:val="19"/>
              </w:rPr>
            </w:pPr>
            <w:r>
              <w:rPr>
                <w:i/>
                <w:sz w:val="19"/>
              </w:rPr>
              <w:t xml:space="preserve">Environmental Protection (Metal Coating) Regulations 2001 </w:t>
            </w:r>
            <w:r>
              <w:rPr>
                <w:sz w:val="19"/>
              </w:rPr>
              <w:t>r. 14</w:t>
            </w:r>
          </w:p>
        </w:tc>
        <w:tc>
          <w:tcPr>
            <w:tcW w:w="1276" w:type="dxa"/>
          </w:tcPr>
          <w:p>
            <w:pPr>
              <w:pStyle w:val="nTable"/>
              <w:spacing w:after="40"/>
              <w:rPr>
                <w:sz w:val="19"/>
              </w:rPr>
            </w:pPr>
            <w:r>
              <w:rPr>
                <w:sz w:val="19"/>
              </w:rPr>
              <w:t>30 Nov 2001 p. 6068</w:t>
            </w:r>
            <w:r>
              <w:rPr>
                <w:sz w:val="19"/>
              </w:rPr>
              <w:noBreakHyphen/>
              <w:t>71</w:t>
            </w:r>
          </w:p>
        </w:tc>
        <w:tc>
          <w:tcPr>
            <w:tcW w:w="2693" w:type="dxa"/>
          </w:tcPr>
          <w:p>
            <w:pPr>
              <w:pStyle w:val="nTable"/>
              <w:spacing w:after="40"/>
              <w:rPr>
                <w:sz w:val="19"/>
              </w:rPr>
            </w:pPr>
            <w:r>
              <w:rPr>
                <w:sz w:val="19"/>
              </w:rPr>
              <w:t>30 Nov 2001</w:t>
            </w:r>
          </w:p>
        </w:tc>
      </w:tr>
      <w:tr>
        <w:trPr>
          <w:cantSplit/>
        </w:trPr>
        <w:tc>
          <w:tcPr>
            <w:tcW w:w="3118" w:type="dxa"/>
          </w:tcPr>
          <w:p>
            <w:pPr>
              <w:pStyle w:val="nTable"/>
              <w:spacing w:after="40"/>
              <w:ind w:right="113"/>
              <w:rPr>
                <w:i/>
                <w:sz w:val="19"/>
              </w:rPr>
            </w:pPr>
            <w:r>
              <w:rPr>
                <w:i/>
                <w:sz w:val="19"/>
              </w:rPr>
              <w:t>Environmental Protection Amendment Regulations 2002</w:t>
            </w:r>
          </w:p>
        </w:tc>
        <w:tc>
          <w:tcPr>
            <w:tcW w:w="1276" w:type="dxa"/>
          </w:tcPr>
          <w:p>
            <w:pPr>
              <w:pStyle w:val="nTable"/>
              <w:spacing w:after="40"/>
              <w:rPr>
                <w:sz w:val="19"/>
              </w:rPr>
            </w:pPr>
            <w:r>
              <w:rPr>
                <w:sz w:val="19"/>
              </w:rPr>
              <w:t>14 Jun 2002 p. 2793</w:t>
            </w:r>
            <w:r>
              <w:rPr>
                <w:sz w:val="19"/>
              </w:rPr>
              <w:noBreakHyphen/>
              <w:t>5</w:t>
            </w:r>
          </w:p>
        </w:tc>
        <w:tc>
          <w:tcPr>
            <w:tcW w:w="2693" w:type="dxa"/>
          </w:tcPr>
          <w:p>
            <w:pPr>
              <w:pStyle w:val="nTable"/>
              <w:spacing w:after="40"/>
              <w:rPr>
                <w:sz w:val="19"/>
              </w:rPr>
            </w:pPr>
            <w:r>
              <w:rPr>
                <w:sz w:val="19"/>
              </w:rPr>
              <w:t xml:space="preserve">1 Jul 2002 (see r. 2 and </w:t>
            </w:r>
            <w:r>
              <w:rPr>
                <w:i/>
                <w:sz w:val="19"/>
              </w:rPr>
              <w:t xml:space="preserve">Gazette </w:t>
            </w:r>
            <w:r>
              <w:rPr>
                <w:sz w:val="19"/>
              </w:rPr>
              <w:t>14 Jun 2002 p. 2781)</w:t>
            </w:r>
          </w:p>
        </w:tc>
      </w:tr>
      <w:tr>
        <w:trPr>
          <w:cantSplit/>
        </w:trPr>
        <w:tc>
          <w:tcPr>
            <w:tcW w:w="7087" w:type="dxa"/>
            <w:gridSpan w:val="3"/>
          </w:tcPr>
          <w:p>
            <w:pPr>
              <w:pStyle w:val="nTable"/>
              <w:spacing w:after="40"/>
              <w:rPr>
                <w:sz w:val="19"/>
              </w:rPr>
            </w:pPr>
            <w:r>
              <w:rPr>
                <w:b/>
                <w:sz w:val="19"/>
              </w:rPr>
              <w:t xml:space="preserve">Reprint of the </w:t>
            </w:r>
            <w:r>
              <w:rPr>
                <w:b/>
                <w:i/>
                <w:noProof/>
                <w:snapToGrid w:val="0"/>
                <w:sz w:val="19"/>
              </w:rPr>
              <w:t>Environmental Protection Regulations 1987</w:t>
            </w:r>
            <w:r>
              <w:rPr>
                <w:i/>
                <w:noProof/>
                <w:snapToGrid w:val="0"/>
                <w:sz w:val="19"/>
              </w:rPr>
              <w:t xml:space="preserve"> </w:t>
            </w:r>
            <w:r>
              <w:rPr>
                <w:b/>
                <w:sz w:val="19"/>
              </w:rPr>
              <w:t xml:space="preserve">as at 29 Nov 2002 </w:t>
            </w:r>
            <w:r>
              <w:rPr>
                <w:b/>
                <w:sz w:val="19"/>
              </w:rPr>
              <w:br/>
            </w:r>
            <w:r>
              <w:rPr>
                <w:sz w:val="19"/>
              </w:rPr>
              <w:t>(includes amendments listed above)</w:t>
            </w:r>
          </w:p>
        </w:tc>
      </w:tr>
      <w:tr>
        <w:trPr>
          <w:cantSplit/>
        </w:trPr>
        <w:tc>
          <w:tcPr>
            <w:tcW w:w="3118" w:type="dxa"/>
          </w:tcPr>
          <w:p>
            <w:pPr>
              <w:pStyle w:val="nTable"/>
              <w:spacing w:after="40"/>
              <w:ind w:right="113"/>
              <w:rPr>
                <w:i/>
                <w:sz w:val="19"/>
              </w:rPr>
            </w:pPr>
            <w:r>
              <w:rPr>
                <w:i/>
                <w:sz w:val="19"/>
              </w:rPr>
              <w:t>Environmental Protection Amendment Regulations (No. 3) 2001</w:t>
            </w:r>
          </w:p>
        </w:tc>
        <w:tc>
          <w:tcPr>
            <w:tcW w:w="1276" w:type="dxa"/>
          </w:tcPr>
          <w:p>
            <w:pPr>
              <w:pStyle w:val="nTable"/>
              <w:spacing w:after="40"/>
              <w:rPr>
                <w:sz w:val="19"/>
              </w:rPr>
            </w:pPr>
            <w:r>
              <w:rPr>
                <w:sz w:val="19"/>
              </w:rPr>
              <w:t>20 Dec 2002 p. 6019</w:t>
            </w:r>
            <w:r>
              <w:rPr>
                <w:sz w:val="19"/>
              </w:rPr>
              <w:noBreakHyphen/>
              <w:t>20</w:t>
            </w:r>
          </w:p>
        </w:tc>
        <w:tc>
          <w:tcPr>
            <w:tcW w:w="2693" w:type="dxa"/>
          </w:tcPr>
          <w:p>
            <w:pPr>
              <w:pStyle w:val="nTable"/>
              <w:spacing w:after="40"/>
              <w:rPr>
                <w:sz w:val="19"/>
              </w:rPr>
            </w:pPr>
            <w:r>
              <w:rPr>
                <w:sz w:val="19"/>
              </w:rPr>
              <w:t xml:space="preserve">20 Dec 2002 </w:t>
            </w:r>
          </w:p>
        </w:tc>
      </w:tr>
      <w:tr>
        <w:trPr>
          <w:cantSplit/>
        </w:trPr>
        <w:tc>
          <w:tcPr>
            <w:tcW w:w="3118" w:type="dxa"/>
          </w:tcPr>
          <w:p>
            <w:pPr>
              <w:pStyle w:val="nTable"/>
              <w:spacing w:after="40"/>
              <w:ind w:right="113"/>
              <w:rPr>
                <w:sz w:val="19"/>
              </w:rPr>
            </w:pPr>
            <w:r>
              <w:rPr>
                <w:i/>
                <w:sz w:val="19"/>
              </w:rPr>
              <w:t>Environmental Protection (NEPM </w:t>
            </w:r>
            <w:r>
              <w:rPr>
                <w:i/>
                <w:sz w:val="19"/>
              </w:rPr>
              <w:noBreakHyphen/>
              <w:t> UPM) Regulations 2003</w:t>
            </w:r>
            <w:r>
              <w:rPr>
                <w:sz w:val="19"/>
              </w:rPr>
              <w:t xml:space="preserve"> Pt. 6 </w:t>
            </w:r>
            <w:r>
              <w:rPr>
                <w:sz w:val="19"/>
                <w:vertAlign w:val="superscript"/>
              </w:rPr>
              <w:t>4</w:t>
            </w:r>
          </w:p>
        </w:tc>
        <w:tc>
          <w:tcPr>
            <w:tcW w:w="1276" w:type="dxa"/>
          </w:tcPr>
          <w:p>
            <w:pPr>
              <w:pStyle w:val="nTable"/>
              <w:spacing w:after="40"/>
              <w:rPr>
                <w:sz w:val="19"/>
              </w:rPr>
            </w:pPr>
            <w:r>
              <w:rPr>
                <w:sz w:val="19"/>
              </w:rPr>
              <w:t>23 Jul 2003 p. 3157</w:t>
            </w:r>
            <w:r>
              <w:rPr>
                <w:sz w:val="19"/>
              </w:rPr>
              <w:noBreakHyphen/>
              <w:t>73</w:t>
            </w:r>
          </w:p>
        </w:tc>
        <w:tc>
          <w:tcPr>
            <w:tcW w:w="2693" w:type="dxa"/>
          </w:tcPr>
          <w:p>
            <w:pPr>
              <w:pStyle w:val="nTable"/>
              <w:spacing w:after="40"/>
              <w:rPr>
                <w:sz w:val="19"/>
              </w:rPr>
            </w:pPr>
            <w:r>
              <w:rPr>
                <w:sz w:val="19"/>
              </w:rPr>
              <w:t>23 Jul 2003</w:t>
            </w:r>
          </w:p>
        </w:tc>
      </w:tr>
      <w:tr>
        <w:trPr>
          <w:cantSplit/>
        </w:trPr>
        <w:tc>
          <w:tcPr>
            <w:tcW w:w="3118" w:type="dxa"/>
          </w:tcPr>
          <w:p>
            <w:pPr>
              <w:pStyle w:val="nTable"/>
              <w:spacing w:after="40"/>
              <w:ind w:right="113"/>
              <w:rPr>
                <w:i/>
                <w:sz w:val="19"/>
              </w:rPr>
            </w:pPr>
            <w:r>
              <w:rPr>
                <w:i/>
                <w:sz w:val="19"/>
              </w:rPr>
              <w:t>Environmental Protection Amendment Regulations 2003</w:t>
            </w:r>
          </w:p>
        </w:tc>
        <w:tc>
          <w:tcPr>
            <w:tcW w:w="1276" w:type="dxa"/>
          </w:tcPr>
          <w:p>
            <w:pPr>
              <w:pStyle w:val="nTable"/>
              <w:spacing w:after="40"/>
              <w:rPr>
                <w:sz w:val="19"/>
              </w:rPr>
            </w:pPr>
            <w:r>
              <w:rPr>
                <w:sz w:val="19"/>
              </w:rPr>
              <w:t>9 Sep 2003 p. 4052</w:t>
            </w:r>
            <w:r>
              <w:rPr>
                <w:sz w:val="19"/>
              </w:rPr>
              <w:noBreakHyphen/>
              <w:t>6</w:t>
            </w:r>
          </w:p>
        </w:tc>
        <w:tc>
          <w:tcPr>
            <w:tcW w:w="2693" w:type="dxa"/>
          </w:tcPr>
          <w:p>
            <w:pPr>
              <w:pStyle w:val="nTable"/>
              <w:spacing w:after="40"/>
              <w:rPr>
                <w:sz w:val="19"/>
              </w:rPr>
            </w:pPr>
            <w:r>
              <w:rPr>
                <w:sz w:val="19"/>
              </w:rPr>
              <w:t>9 Sep 2003</w:t>
            </w:r>
          </w:p>
        </w:tc>
      </w:tr>
      <w:tr>
        <w:trPr>
          <w:cantSplit/>
        </w:trPr>
        <w:tc>
          <w:tcPr>
            <w:tcW w:w="3118" w:type="dxa"/>
          </w:tcPr>
          <w:p>
            <w:pPr>
              <w:pStyle w:val="nTable"/>
              <w:spacing w:after="40"/>
              <w:ind w:right="113"/>
              <w:rPr>
                <w:sz w:val="19"/>
              </w:rPr>
            </w:pPr>
            <w:r>
              <w:rPr>
                <w:i/>
                <w:sz w:val="19"/>
              </w:rPr>
              <w:t>Environmental Protection (Unauthorised Discharges) Regulations 2004</w:t>
            </w:r>
            <w:r>
              <w:rPr>
                <w:sz w:val="19"/>
              </w:rPr>
              <w:t xml:space="preserve"> r. 6</w:t>
            </w:r>
          </w:p>
        </w:tc>
        <w:tc>
          <w:tcPr>
            <w:tcW w:w="1276" w:type="dxa"/>
          </w:tcPr>
          <w:p>
            <w:pPr>
              <w:pStyle w:val="nTable"/>
              <w:spacing w:after="40"/>
              <w:rPr>
                <w:sz w:val="19"/>
              </w:rPr>
            </w:pPr>
            <w:r>
              <w:rPr>
                <w:sz w:val="19"/>
              </w:rPr>
              <w:t>12 Mar 2004 p. 747</w:t>
            </w:r>
            <w:r>
              <w:rPr>
                <w:sz w:val="19"/>
              </w:rPr>
              <w:noBreakHyphen/>
              <w:t>50</w:t>
            </w:r>
          </w:p>
        </w:tc>
        <w:tc>
          <w:tcPr>
            <w:tcW w:w="2693" w:type="dxa"/>
          </w:tcPr>
          <w:p>
            <w:pPr>
              <w:pStyle w:val="nTable"/>
              <w:spacing w:after="40"/>
              <w:rPr>
                <w:sz w:val="19"/>
              </w:rPr>
            </w:pPr>
            <w:r>
              <w:rPr>
                <w:sz w:val="19"/>
              </w:rPr>
              <w:t>12 Mar 2004</w:t>
            </w:r>
          </w:p>
        </w:tc>
      </w:tr>
      <w:tr>
        <w:trPr>
          <w:cantSplit/>
        </w:trPr>
        <w:tc>
          <w:tcPr>
            <w:tcW w:w="3118" w:type="dxa"/>
          </w:tcPr>
          <w:p>
            <w:pPr>
              <w:pStyle w:val="nTable"/>
              <w:spacing w:after="40"/>
              <w:ind w:right="113"/>
              <w:rPr>
                <w:i/>
                <w:sz w:val="19"/>
              </w:rPr>
            </w:pPr>
            <w:r>
              <w:rPr>
                <w:i/>
                <w:sz w:val="19"/>
              </w:rPr>
              <w:t>Environmental Protection Amendment Regulations 2004</w:t>
            </w:r>
          </w:p>
        </w:tc>
        <w:tc>
          <w:tcPr>
            <w:tcW w:w="1276" w:type="dxa"/>
          </w:tcPr>
          <w:p>
            <w:pPr>
              <w:pStyle w:val="nTable"/>
              <w:spacing w:after="40"/>
              <w:rPr>
                <w:sz w:val="19"/>
              </w:rPr>
            </w:pPr>
            <w:r>
              <w:rPr>
                <w:sz w:val="19"/>
              </w:rPr>
              <w:t>22 Jun 2004 p. 2143</w:t>
            </w:r>
            <w:r>
              <w:rPr>
                <w:sz w:val="19"/>
              </w:rPr>
              <w:noBreakHyphen/>
              <w:t>50</w:t>
            </w:r>
          </w:p>
        </w:tc>
        <w:tc>
          <w:tcPr>
            <w:tcW w:w="2693" w:type="dxa"/>
          </w:tcPr>
          <w:p>
            <w:pPr>
              <w:pStyle w:val="nTable"/>
              <w:spacing w:after="40"/>
              <w:rPr>
                <w:sz w:val="19"/>
              </w:rPr>
            </w:pPr>
            <w:r>
              <w:rPr>
                <w:sz w:val="19"/>
              </w:rPr>
              <w:t>22 Jun 2004</w:t>
            </w:r>
          </w:p>
        </w:tc>
      </w:tr>
      <w:tr>
        <w:trPr>
          <w:cantSplit/>
        </w:trPr>
        <w:tc>
          <w:tcPr>
            <w:tcW w:w="3118" w:type="dxa"/>
          </w:tcPr>
          <w:p>
            <w:pPr>
              <w:pStyle w:val="nTable"/>
              <w:spacing w:after="40"/>
              <w:ind w:right="113"/>
              <w:rPr>
                <w:sz w:val="19"/>
              </w:rPr>
            </w:pPr>
            <w:r>
              <w:rPr>
                <w:i/>
                <w:sz w:val="19"/>
              </w:rPr>
              <w:t>Environmental Protection (Controlled Waste) Regulations 2004</w:t>
            </w:r>
            <w:r>
              <w:rPr>
                <w:sz w:val="19"/>
              </w:rPr>
              <w:t xml:space="preserve"> r. 57</w:t>
            </w:r>
          </w:p>
        </w:tc>
        <w:tc>
          <w:tcPr>
            <w:tcW w:w="1276" w:type="dxa"/>
          </w:tcPr>
          <w:p>
            <w:pPr>
              <w:pStyle w:val="nTable"/>
              <w:spacing w:after="40"/>
              <w:rPr>
                <w:sz w:val="19"/>
              </w:rPr>
            </w:pPr>
            <w:r>
              <w:rPr>
                <w:sz w:val="19"/>
              </w:rPr>
              <w:t>1 Jul 2004 p. 2627</w:t>
            </w:r>
            <w:r>
              <w:rPr>
                <w:sz w:val="19"/>
              </w:rPr>
              <w:noBreakHyphen/>
              <w:t>73</w:t>
            </w:r>
          </w:p>
        </w:tc>
        <w:tc>
          <w:tcPr>
            <w:tcW w:w="2693" w:type="dxa"/>
          </w:tcPr>
          <w:p>
            <w:pPr>
              <w:pStyle w:val="nTable"/>
              <w:spacing w:after="40"/>
              <w:rPr>
                <w:sz w:val="19"/>
              </w:rPr>
            </w:pPr>
            <w:r>
              <w:rPr>
                <w:sz w:val="19"/>
              </w:rPr>
              <w:t>1 Jul 2004</w:t>
            </w:r>
          </w:p>
        </w:tc>
      </w:tr>
      <w:tr>
        <w:trPr>
          <w:cantSplit/>
        </w:trPr>
        <w:tc>
          <w:tcPr>
            <w:tcW w:w="3118" w:type="dxa"/>
          </w:tcPr>
          <w:p>
            <w:pPr>
              <w:pStyle w:val="nTable"/>
              <w:spacing w:after="40"/>
              <w:ind w:right="113"/>
              <w:rPr>
                <w:i/>
                <w:sz w:val="19"/>
              </w:rPr>
            </w:pPr>
            <w:r>
              <w:rPr>
                <w:i/>
                <w:sz w:val="19"/>
              </w:rPr>
              <w:t>Environmental Protection Amendment Regulations (No. 3) 2004</w:t>
            </w:r>
          </w:p>
        </w:tc>
        <w:tc>
          <w:tcPr>
            <w:tcW w:w="1276" w:type="dxa"/>
          </w:tcPr>
          <w:p>
            <w:pPr>
              <w:pStyle w:val="nTable"/>
              <w:spacing w:after="40"/>
              <w:rPr>
                <w:sz w:val="19"/>
              </w:rPr>
            </w:pPr>
            <w:r>
              <w:rPr>
                <w:sz w:val="19"/>
              </w:rPr>
              <w:t>12 Oct 2004 p. 4754</w:t>
            </w:r>
            <w:r>
              <w:rPr>
                <w:sz w:val="19"/>
              </w:rPr>
              <w:noBreakHyphen/>
              <w:t>5</w:t>
            </w:r>
          </w:p>
        </w:tc>
        <w:tc>
          <w:tcPr>
            <w:tcW w:w="2693" w:type="dxa"/>
          </w:tcPr>
          <w:p>
            <w:pPr>
              <w:pStyle w:val="nTable"/>
              <w:spacing w:after="40"/>
              <w:rPr>
                <w:sz w:val="19"/>
              </w:rPr>
            </w:pPr>
            <w:r>
              <w:rPr>
                <w:sz w:val="19"/>
              </w:rPr>
              <w:t>12 Oct 2004</w:t>
            </w:r>
          </w:p>
        </w:tc>
      </w:tr>
      <w:tr>
        <w:trPr>
          <w:cantSplit/>
        </w:trPr>
        <w:tc>
          <w:tcPr>
            <w:tcW w:w="3118" w:type="dxa"/>
          </w:tcPr>
          <w:p>
            <w:pPr>
              <w:pStyle w:val="nTable"/>
              <w:spacing w:after="40"/>
              <w:ind w:right="113"/>
              <w:rPr>
                <w:i/>
                <w:sz w:val="19"/>
              </w:rPr>
            </w:pPr>
            <w:r>
              <w:rPr>
                <w:i/>
                <w:sz w:val="19"/>
              </w:rPr>
              <w:t>Environmental Protection Amendment Regulations (No. 2) 2004</w:t>
            </w:r>
          </w:p>
        </w:tc>
        <w:tc>
          <w:tcPr>
            <w:tcW w:w="1276" w:type="dxa"/>
          </w:tcPr>
          <w:p>
            <w:pPr>
              <w:pStyle w:val="nTable"/>
              <w:spacing w:after="40"/>
              <w:rPr>
                <w:sz w:val="19"/>
              </w:rPr>
            </w:pPr>
            <w:r>
              <w:rPr>
                <w:sz w:val="19"/>
              </w:rPr>
              <w:t>23 Nov 2004 p. 5222</w:t>
            </w:r>
            <w:r>
              <w:rPr>
                <w:sz w:val="19"/>
              </w:rPr>
              <w:noBreakHyphen/>
              <w:t>3</w:t>
            </w:r>
          </w:p>
        </w:tc>
        <w:tc>
          <w:tcPr>
            <w:tcW w:w="2693" w:type="dxa"/>
          </w:tcPr>
          <w:p>
            <w:pPr>
              <w:pStyle w:val="nTable"/>
              <w:spacing w:after="40"/>
              <w:rPr>
                <w:sz w:val="19"/>
              </w:rPr>
            </w:pPr>
            <w:r>
              <w:rPr>
                <w:sz w:val="19"/>
              </w:rPr>
              <w:t>23 Nov 2004</w:t>
            </w:r>
          </w:p>
        </w:tc>
      </w:tr>
      <w:tr>
        <w:trPr>
          <w:cantSplit/>
        </w:trPr>
        <w:tc>
          <w:tcPr>
            <w:tcW w:w="7087" w:type="dxa"/>
            <w:gridSpan w:val="3"/>
          </w:tcPr>
          <w:p>
            <w:pPr>
              <w:pStyle w:val="nTable"/>
              <w:spacing w:after="40"/>
              <w:rPr>
                <w:sz w:val="19"/>
              </w:rPr>
            </w:pPr>
            <w:r>
              <w:rPr>
                <w:b/>
                <w:sz w:val="19"/>
              </w:rPr>
              <w:t xml:space="preserve">Reprint 5: The </w:t>
            </w:r>
            <w:r>
              <w:rPr>
                <w:b/>
                <w:i/>
                <w:noProof/>
                <w:snapToGrid w:val="0"/>
                <w:sz w:val="19"/>
              </w:rPr>
              <w:t>Environmental Protection Regulations 1987</w:t>
            </w:r>
            <w:r>
              <w:rPr>
                <w:i/>
                <w:noProof/>
                <w:snapToGrid w:val="0"/>
                <w:sz w:val="19"/>
              </w:rPr>
              <w:t xml:space="preserve"> </w:t>
            </w:r>
            <w:r>
              <w:rPr>
                <w:b/>
                <w:sz w:val="19"/>
              </w:rPr>
              <w:t xml:space="preserve">as at 11 Mar 2005 </w:t>
            </w:r>
            <w:r>
              <w:rPr>
                <w:b/>
                <w:sz w:val="19"/>
              </w:rPr>
              <w:br/>
            </w:r>
            <w:r>
              <w:rPr>
                <w:sz w:val="19"/>
              </w:rPr>
              <w:t>(includes amendments listed above)</w:t>
            </w:r>
          </w:p>
        </w:tc>
      </w:tr>
      <w:tr>
        <w:trPr>
          <w:cantSplit/>
        </w:trPr>
        <w:tc>
          <w:tcPr>
            <w:tcW w:w="3118" w:type="dxa"/>
          </w:tcPr>
          <w:p>
            <w:pPr>
              <w:pStyle w:val="nTable"/>
              <w:spacing w:after="40"/>
              <w:ind w:right="113"/>
              <w:rPr>
                <w:i/>
                <w:sz w:val="19"/>
              </w:rPr>
            </w:pPr>
            <w:r>
              <w:rPr>
                <w:i/>
                <w:sz w:val="19"/>
              </w:rPr>
              <w:t>Environmental Protection Amendment Regulations 2005</w:t>
            </w:r>
          </w:p>
        </w:tc>
        <w:tc>
          <w:tcPr>
            <w:tcW w:w="1276" w:type="dxa"/>
          </w:tcPr>
          <w:p>
            <w:pPr>
              <w:pStyle w:val="nTable"/>
              <w:spacing w:after="40"/>
              <w:rPr>
                <w:sz w:val="19"/>
              </w:rPr>
            </w:pPr>
            <w:r>
              <w:rPr>
                <w:sz w:val="19"/>
              </w:rPr>
              <w:t>13 Dec 2005 p. 5982-4</w:t>
            </w:r>
          </w:p>
        </w:tc>
        <w:tc>
          <w:tcPr>
            <w:tcW w:w="2693" w:type="dxa"/>
          </w:tcPr>
          <w:p>
            <w:pPr>
              <w:pStyle w:val="nTable"/>
              <w:spacing w:after="40"/>
              <w:rPr>
                <w:sz w:val="19"/>
              </w:rPr>
            </w:pPr>
            <w:r>
              <w:rPr>
                <w:sz w:val="19"/>
              </w:rPr>
              <w:t>13 Dec 2005</w:t>
            </w:r>
          </w:p>
        </w:tc>
      </w:tr>
      <w:tr>
        <w:trPr>
          <w:cantSplit/>
        </w:trPr>
        <w:tc>
          <w:tcPr>
            <w:tcW w:w="3118" w:type="dxa"/>
          </w:tcPr>
          <w:p>
            <w:pPr>
              <w:pStyle w:val="nTable"/>
              <w:spacing w:after="40"/>
              <w:ind w:right="113"/>
              <w:rPr>
                <w:i/>
                <w:sz w:val="19"/>
              </w:rPr>
            </w:pPr>
            <w:r>
              <w:rPr>
                <w:i/>
                <w:sz w:val="19"/>
              </w:rPr>
              <w:t>Environmental Protection Amendment Regulations 2006</w:t>
            </w:r>
          </w:p>
        </w:tc>
        <w:tc>
          <w:tcPr>
            <w:tcW w:w="1276" w:type="dxa"/>
          </w:tcPr>
          <w:p>
            <w:pPr>
              <w:pStyle w:val="nTable"/>
              <w:spacing w:after="40"/>
              <w:rPr>
                <w:sz w:val="19"/>
              </w:rPr>
            </w:pPr>
            <w:r>
              <w:rPr>
                <w:sz w:val="19"/>
              </w:rPr>
              <w:t>29 Sep 2006 p. 4260-7</w:t>
            </w:r>
          </w:p>
        </w:tc>
        <w:tc>
          <w:tcPr>
            <w:tcW w:w="2693" w:type="dxa"/>
          </w:tcPr>
          <w:p>
            <w:pPr>
              <w:pStyle w:val="nTable"/>
              <w:spacing w:after="40"/>
              <w:rPr>
                <w:sz w:val="19"/>
              </w:rPr>
            </w:pPr>
            <w:r>
              <w:rPr>
                <w:sz w:val="19"/>
              </w:rPr>
              <w:t>1 Oct 2006 (see r. 2)</w:t>
            </w:r>
          </w:p>
        </w:tc>
      </w:tr>
      <w:tr>
        <w:trPr>
          <w:cantSplit/>
        </w:trPr>
        <w:tc>
          <w:tcPr>
            <w:tcW w:w="3118" w:type="dxa"/>
          </w:tcPr>
          <w:p>
            <w:pPr>
              <w:pStyle w:val="nTable"/>
              <w:spacing w:after="40"/>
              <w:ind w:right="113"/>
              <w:rPr>
                <w:iCs/>
                <w:sz w:val="19"/>
              </w:rPr>
            </w:pPr>
            <w:r>
              <w:rPr>
                <w:i/>
                <w:sz w:val="19"/>
              </w:rPr>
              <w:t>Environmental Protection (NEPM</w:t>
            </w:r>
            <w:r>
              <w:rPr>
                <w:i/>
                <w:sz w:val="19"/>
              </w:rPr>
              <w:noBreakHyphen/>
              <w:t>UPM) Regulations 2007</w:t>
            </w:r>
            <w:r>
              <w:rPr>
                <w:iCs/>
                <w:sz w:val="19"/>
              </w:rPr>
              <w:t xml:space="preserve"> Pt. 6</w:t>
            </w:r>
          </w:p>
        </w:tc>
        <w:tc>
          <w:tcPr>
            <w:tcW w:w="1276" w:type="dxa"/>
          </w:tcPr>
          <w:p>
            <w:pPr>
              <w:pStyle w:val="nTable"/>
              <w:spacing w:after="40"/>
              <w:rPr>
                <w:sz w:val="19"/>
              </w:rPr>
            </w:pPr>
            <w:r>
              <w:rPr>
                <w:sz w:val="19"/>
              </w:rPr>
              <w:t>27 Apr 2007 p. 1793-812</w:t>
            </w:r>
          </w:p>
        </w:tc>
        <w:tc>
          <w:tcPr>
            <w:tcW w:w="2693" w:type="dxa"/>
          </w:tcPr>
          <w:p>
            <w:pPr>
              <w:pStyle w:val="nTable"/>
              <w:spacing w:after="40"/>
              <w:rPr>
                <w:sz w:val="19"/>
              </w:rPr>
            </w:pPr>
            <w:r>
              <w:rPr>
                <w:sz w:val="19"/>
              </w:rPr>
              <w:t>27 Apr 2007</w:t>
            </w:r>
          </w:p>
        </w:tc>
      </w:tr>
      <w:tr>
        <w:trPr>
          <w:cantSplit/>
        </w:trPr>
        <w:tc>
          <w:tcPr>
            <w:tcW w:w="3118" w:type="dxa"/>
          </w:tcPr>
          <w:p>
            <w:pPr>
              <w:pStyle w:val="nTable"/>
              <w:spacing w:after="40"/>
              <w:ind w:right="113"/>
              <w:rPr>
                <w:i/>
                <w:sz w:val="19"/>
              </w:rPr>
            </w:pPr>
            <w:r>
              <w:rPr>
                <w:i/>
                <w:sz w:val="19"/>
              </w:rPr>
              <w:t>Environmental Protection Amendment Regulations 2007</w:t>
            </w:r>
          </w:p>
        </w:tc>
        <w:tc>
          <w:tcPr>
            <w:tcW w:w="1276" w:type="dxa"/>
          </w:tcPr>
          <w:p>
            <w:pPr>
              <w:pStyle w:val="nTable"/>
              <w:spacing w:after="40"/>
              <w:rPr>
                <w:sz w:val="19"/>
              </w:rPr>
            </w:pPr>
            <w:r>
              <w:rPr>
                <w:sz w:val="19"/>
              </w:rPr>
              <w:t>22 Jun 2007 p. 2839</w:t>
            </w:r>
            <w:r>
              <w:rPr>
                <w:sz w:val="19"/>
              </w:rPr>
              <w:noBreakHyphen/>
              <w:t>44</w:t>
            </w:r>
          </w:p>
        </w:tc>
        <w:tc>
          <w:tcPr>
            <w:tcW w:w="2693" w:type="dxa"/>
          </w:tcPr>
          <w:p>
            <w:pPr>
              <w:pStyle w:val="nTable"/>
              <w:spacing w:after="40"/>
              <w:rPr>
                <w:sz w:val="19"/>
              </w:rPr>
            </w:pPr>
            <w:r>
              <w:rPr>
                <w:snapToGrid w:val="0"/>
                <w:sz w:val="19"/>
                <w:lang w:val="en-US"/>
              </w:rPr>
              <w:t>r. 1 and 2: 22 Jun 2007 (see r. 2(a));</w:t>
            </w:r>
            <w:r>
              <w:rPr>
                <w:snapToGrid w:val="0"/>
                <w:sz w:val="19"/>
                <w:lang w:val="en-US"/>
              </w:rPr>
              <w:br/>
              <w:t>Regulations other than r. 1 and 2: 1 Jul 2007 (see r. 2(b))</w:t>
            </w:r>
          </w:p>
        </w:tc>
      </w:tr>
      <w:tr>
        <w:trPr>
          <w:cantSplit/>
        </w:trPr>
        <w:tc>
          <w:tcPr>
            <w:tcW w:w="7087" w:type="dxa"/>
            <w:gridSpan w:val="3"/>
          </w:tcPr>
          <w:p>
            <w:pPr>
              <w:pStyle w:val="nTable"/>
              <w:spacing w:after="40"/>
              <w:rPr>
                <w:snapToGrid w:val="0"/>
                <w:sz w:val="19"/>
                <w:lang w:val="en-US"/>
              </w:rPr>
            </w:pPr>
            <w:r>
              <w:rPr>
                <w:b/>
                <w:sz w:val="19"/>
              </w:rPr>
              <w:t xml:space="preserve">Reprint 6: The </w:t>
            </w:r>
            <w:r>
              <w:rPr>
                <w:b/>
                <w:i/>
                <w:noProof/>
                <w:snapToGrid w:val="0"/>
                <w:sz w:val="19"/>
              </w:rPr>
              <w:t>Environmental Protection Regulations 1987</w:t>
            </w:r>
            <w:r>
              <w:rPr>
                <w:i/>
                <w:noProof/>
                <w:snapToGrid w:val="0"/>
                <w:sz w:val="19"/>
              </w:rPr>
              <w:t xml:space="preserve"> </w:t>
            </w:r>
            <w:r>
              <w:rPr>
                <w:b/>
                <w:sz w:val="19"/>
              </w:rPr>
              <w:t>as at 17 Aug 2007</w:t>
            </w:r>
            <w:r>
              <w:rPr>
                <w:b/>
                <w:sz w:val="19"/>
              </w:rPr>
              <w:br/>
            </w:r>
            <w:r>
              <w:rPr>
                <w:sz w:val="19"/>
              </w:rPr>
              <w:t>(includes amendments listed above)</w:t>
            </w:r>
          </w:p>
        </w:tc>
      </w:tr>
      <w:tr>
        <w:trPr>
          <w:cantSplit/>
        </w:trPr>
        <w:tc>
          <w:tcPr>
            <w:tcW w:w="3118" w:type="dxa"/>
          </w:tcPr>
          <w:p>
            <w:pPr>
              <w:pStyle w:val="nTable"/>
              <w:spacing w:after="40"/>
              <w:ind w:right="113"/>
              <w:rPr>
                <w:i/>
                <w:sz w:val="19"/>
              </w:rPr>
            </w:pPr>
            <w:r>
              <w:rPr>
                <w:i/>
                <w:sz w:val="19"/>
              </w:rPr>
              <w:t>Environmental Protection Amendment Regulations (No. 2) 2007</w:t>
            </w:r>
          </w:p>
        </w:tc>
        <w:tc>
          <w:tcPr>
            <w:tcW w:w="1276" w:type="dxa"/>
          </w:tcPr>
          <w:p>
            <w:pPr>
              <w:pStyle w:val="nTable"/>
              <w:spacing w:after="40"/>
              <w:rPr>
                <w:sz w:val="19"/>
              </w:rPr>
            </w:pPr>
            <w:r>
              <w:rPr>
                <w:sz w:val="19"/>
              </w:rPr>
              <w:t>30 Oct 2007 p. 5877</w:t>
            </w:r>
            <w:r>
              <w:rPr>
                <w:sz w:val="19"/>
              </w:rPr>
              <w:noBreakHyphen/>
              <w:t>8</w:t>
            </w:r>
          </w:p>
        </w:tc>
        <w:tc>
          <w:tcPr>
            <w:tcW w:w="2693" w:type="dxa"/>
          </w:tcPr>
          <w:p>
            <w:pPr>
              <w:pStyle w:val="nTable"/>
              <w:spacing w:after="40"/>
              <w:rPr>
                <w:sz w:val="19"/>
              </w:rPr>
            </w:pPr>
            <w:r>
              <w:rPr>
                <w:sz w:val="19"/>
              </w:rPr>
              <w:t>r. 1 and 2: 30 Oct 2007 (see r. 2(a));</w:t>
            </w:r>
            <w:r>
              <w:rPr>
                <w:sz w:val="19"/>
              </w:rPr>
              <w:br/>
              <w:t>Regulations other than r. 1 and 2: 1 Nov 2007 (see r. 2(b))</w:t>
            </w:r>
          </w:p>
        </w:tc>
      </w:tr>
      <w:tr>
        <w:trPr>
          <w:cantSplit/>
        </w:trPr>
        <w:tc>
          <w:tcPr>
            <w:tcW w:w="3118" w:type="dxa"/>
          </w:tcPr>
          <w:p>
            <w:pPr>
              <w:pStyle w:val="nTable"/>
              <w:spacing w:after="40"/>
              <w:ind w:right="113"/>
              <w:rPr>
                <w:sz w:val="19"/>
              </w:rPr>
            </w:pPr>
            <w:r>
              <w:rPr>
                <w:i/>
                <w:sz w:val="19"/>
              </w:rPr>
              <w:t>Waste Avoidance and Resource Recovery Regulations 2008</w:t>
            </w:r>
            <w:r>
              <w:rPr>
                <w:sz w:val="19"/>
              </w:rPr>
              <w:t xml:space="preserve"> r. 22</w:t>
            </w:r>
          </w:p>
        </w:tc>
        <w:tc>
          <w:tcPr>
            <w:tcW w:w="1276" w:type="dxa"/>
          </w:tcPr>
          <w:p>
            <w:pPr>
              <w:pStyle w:val="nTable"/>
              <w:spacing w:after="40"/>
              <w:rPr>
                <w:sz w:val="19"/>
              </w:rPr>
            </w:pPr>
            <w:r>
              <w:rPr>
                <w:sz w:val="19"/>
              </w:rPr>
              <w:t>20 Jun 2008 p. 2665-84</w:t>
            </w:r>
          </w:p>
        </w:tc>
        <w:tc>
          <w:tcPr>
            <w:tcW w:w="2693" w:type="dxa"/>
          </w:tcPr>
          <w:p>
            <w:pPr>
              <w:pStyle w:val="nTable"/>
              <w:spacing w:after="40"/>
              <w:rPr>
                <w:sz w:val="19"/>
              </w:rPr>
            </w:pPr>
            <w:r>
              <w:rPr>
                <w:sz w:val="19"/>
              </w:rPr>
              <w:t>1 Jul 2008 (see r. 2(b))</w:t>
            </w:r>
          </w:p>
        </w:tc>
      </w:tr>
      <w:tr>
        <w:trPr>
          <w:cantSplit/>
        </w:trPr>
        <w:tc>
          <w:tcPr>
            <w:tcW w:w="3118" w:type="dxa"/>
          </w:tcPr>
          <w:p>
            <w:pPr>
              <w:pStyle w:val="nTable"/>
              <w:spacing w:after="40"/>
              <w:ind w:right="113"/>
              <w:rPr>
                <w:i/>
                <w:sz w:val="19"/>
              </w:rPr>
            </w:pPr>
            <w:r>
              <w:rPr>
                <w:i/>
                <w:sz w:val="19"/>
              </w:rPr>
              <w:t>Environmental Protection Amendment Regulations 2010</w:t>
            </w:r>
          </w:p>
        </w:tc>
        <w:tc>
          <w:tcPr>
            <w:tcW w:w="1276" w:type="dxa"/>
          </w:tcPr>
          <w:p>
            <w:pPr>
              <w:pStyle w:val="nTable"/>
              <w:spacing w:after="40"/>
              <w:rPr>
                <w:sz w:val="19"/>
              </w:rPr>
            </w:pPr>
            <w:r>
              <w:rPr>
                <w:sz w:val="19"/>
              </w:rPr>
              <w:t>23 Jul 2010 p. 3401</w:t>
            </w:r>
          </w:p>
        </w:tc>
        <w:tc>
          <w:tcPr>
            <w:tcW w:w="2693" w:type="dxa"/>
          </w:tcPr>
          <w:p>
            <w:pPr>
              <w:pStyle w:val="nTable"/>
              <w:spacing w:after="40"/>
              <w:rPr>
                <w:sz w:val="19"/>
              </w:rPr>
            </w:pPr>
            <w:r>
              <w:rPr>
                <w:sz w:val="19"/>
              </w:rPr>
              <w:t>r. 1 and 2: 23 Jul 2010 (see r. 2(a));</w:t>
            </w:r>
            <w:r>
              <w:rPr>
                <w:sz w:val="19"/>
              </w:rPr>
              <w:br/>
              <w:t>Regulations other than r. 1 and 2: 24 Jul 2010 (see r. 2(b))</w:t>
            </w:r>
          </w:p>
        </w:tc>
      </w:tr>
      <w:tr>
        <w:trPr>
          <w:cantSplit/>
        </w:trPr>
        <w:tc>
          <w:tcPr>
            <w:tcW w:w="3118" w:type="dxa"/>
          </w:tcPr>
          <w:p>
            <w:pPr>
              <w:pStyle w:val="nTable"/>
              <w:spacing w:after="40"/>
              <w:ind w:right="113"/>
              <w:rPr>
                <w:i/>
                <w:sz w:val="19"/>
              </w:rPr>
            </w:pPr>
            <w:r>
              <w:rPr>
                <w:i/>
                <w:sz w:val="19"/>
              </w:rPr>
              <w:t xml:space="preserve">Environmental Protection (Packaged Fertiliser) Regulations 2010 </w:t>
            </w:r>
            <w:r>
              <w:rPr>
                <w:iCs/>
                <w:sz w:val="19"/>
              </w:rPr>
              <w:t>r. 18</w:t>
            </w:r>
          </w:p>
        </w:tc>
        <w:tc>
          <w:tcPr>
            <w:tcW w:w="1276" w:type="dxa"/>
          </w:tcPr>
          <w:p>
            <w:pPr>
              <w:pStyle w:val="nTable"/>
              <w:spacing w:after="40"/>
              <w:rPr>
                <w:sz w:val="19"/>
              </w:rPr>
            </w:pPr>
            <w:r>
              <w:rPr>
                <w:sz w:val="19"/>
              </w:rPr>
              <w:t>31 Dec 2010 p. 6883</w:t>
            </w:r>
            <w:r>
              <w:rPr>
                <w:sz w:val="19"/>
              </w:rPr>
              <w:noBreakHyphen/>
              <w:t>4</w:t>
            </w:r>
          </w:p>
        </w:tc>
        <w:tc>
          <w:tcPr>
            <w:tcW w:w="2693" w:type="dxa"/>
          </w:tcPr>
          <w:p>
            <w:pPr>
              <w:pStyle w:val="nTable"/>
              <w:spacing w:after="40"/>
              <w:rPr>
                <w:sz w:val="19"/>
              </w:rPr>
            </w:pPr>
            <w:r>
              <w:rPr>
                <w:sz w:val="19"/>
              </w:rPr>
              <w:t>1 Jan 2011 (see r. 2(c))</w:t>
            </w:r>
          </w:p>
        </w:tc>
      </w:tr>
      <w:tr>
        <w:trPr>
          <w:cantSplit/>
        </w:trPr>
        <w:tc>
          <w:tcPr>
            <w:tcW w:w="3118" w:type="dxa"/>
          </w:tcPr>
          <w:p>
            <w:pPr>
              <w:pStyle w:val="nTable"/>
              <w:spacing w:after="40"/>
              <w:ind w:right="113"/>
              <w:rPr>
                <w:i/>
                <w:sz w:val="19"/>
              </w:rPr>
            </w:pPr>
            <w:r>
              <w:rPr>
                <w:i/>
                <w:sz w:val="19"/>
              </w:rPr>
              <w:t>Environmental Protection Amendment Regulations 2012</w:t>
            </w:r>
          </w:p>
        </w:tc>
        <w:tc>
          <w:tcPr>
            <w:tcW w:w="1276" w:type="dxa"/>
          </w:tcPr>
          <w:p>
            <w:pPr>
              <w:pStyle w:val="nTable"/>
              <w:spacing w:after="40"/>
              <w:rPr>
                <w:sz w:val="19"/>
              </w:rPr>
            </w:pPr>
            <w:r>
              <w:rPr>
                <w:sz w:val="19"/>
              </w:rPr>
              <w:t>2 Mar 2012 p. 855</w:t>
            </w:r>
          </w:p>
        </w:tc>
        <w:tc>
          <w:tcPr>
            <w:tcW w:w="2693" w:type="dxa"/>
          </w:tcPr>
          <w:p>
            <w:pPr>
              <w:pStyle w:val="nTable"/>
              <w:spacing w:after="40"/>
              <w:rPr>
                <w:sz w:val="19"/>
              </w:rPr>
            </w:pPr>
            <w:r>
              <w:rPr>
                <w:sz w:val="19"/>
              </w:rPr>
              <w:t>r. 1 and 2: 2 Mar 2012 (see r. 2(a));</w:t>
            </w:r>
            <w:r>
              <w:rPr>
                <w:sz w:val="19"/>
              </w:rPr>
              <w:br/>
              <w:t>Regulations other than r. 1 and 2: 3 Mar 2012 (see r. 2(b))</w:t>
            </w:r>
          </w:p>
        </w:tc>
      </w:tr>
      <w:tr>
        <w:trPr>
          <w:cantSplit/>
          <w:ins w:id="1490" w:author="Master Repository Process" w:date="2021-08-01T12:45:00Z"/>
        </w:trPr>
        <w:tc>
          <w:tcPr>
            <w:tcW w:w="3118" w:type="dxa"/>
            <w:tcBorders>
              <w:bottom w:val="single" w:sz="8" w:space="0" w:color="auto"/>
            </w:tcBorders>
          </w:tcPr>
          <w:p>
            <w:pPr>
              <w:pStyle w:val="nTable"/>
              <w:spacing w:after="40"/>
              <w:ind w:right="113"/>
              <w:rPr>
                <w:ins w:id="1491" w:author="Master Repository Process" w:date="2021-08-01T12:45:00Z"/>
                <w:i/>
                <w:sz w:val="19"/>
              </w:rPr>
            </w:pPr>
            <w:ins w:id="1492" w:author="Master Repository Process" w:date="2021-08-01T12:45:00Z">
              <w:r>
                <w:rPr>
                  <w:i/>
                  <w:sz w:val="19"/>
                </w:rPr>
                <w:t>Environmental Protection Amendment Regulations (No. 2) 2012</w:t>
              </w:r>
            </w:ins>
          </w:p>
        </w:tc>
        <w:tc>
          <w:tcPr>
            <w:tcW w:w="1276" w:type="dxa"/>
            <w:tcBorders>
              <w:bottom w:val="single" w:sz="8" w:space="0" w:color="auto"/>
            </w:tcBorders>
          </w:tcPr>
          <w:p>
            <w:pPr>
              <w:pStyle w:val="nTable"/>
              <w:spacing w:after="40"/>
              <w:rPr>
                <w:ins w:id="1493" w:author="Master Repository Process" w:date="2021-08-01T12:45:00Z"/>
                <w:sz w:val="19"/>
              </w:rPr>
            </w:pPr>
            <w:ins w:id="1494" w:author="Master Repository Process" w:date="2021-08-01T12:45:00Z">
              <w:r>
                <w:rPr>
                  <w:sz w:val="19"/>
                </w:rPr>
                <w:t>8 May 2012 p. 1892-3</w:t>
              </w:r>
            </w:ins>
          </w:p>
        </w:tc>
        <w:tc>
          <w:tcPr>
            <w:tcW w:w="2693" w:type="dxa"/>
            <w:tcBorders>
              <w:bottom w:val="single" w:sz="8" w:space="0" w:color="auto"/>
            </w:tcBorders>
          </w:tcPr>
          <w:p>
            <w:pPr>
              <w:pStyle w:val="nTable"/>
              <w:spacing w:after="40"/>
              <w:rPr>
                <w:ins w:id="1495" w:author="Master Repository Process" w:date="2021-08-01T12:45:00Z"/>
                <w:sz w:val="19"/>
              </w:rPr>
            </w:pPr>
            <w:ins w:id="1496" w:author="Master Repository Process" w:date="2021-08-01T12:45:00Z">
              <w:r>
                <w:rPr>
                  <w:sz w:val="19"/>
                </w:rPr>
                <w:t>r. 1 and 2: 8 May 2012 (see r. 2(a));</w:t>
              </w:r>
              <w:r>
                <w:rPr>
                  <w:sz w:val="19"/>
                </w:rPr>
                <w:br/>
                <w:t>Regulations other than r. 1 and 2: 9 May 2012 (see r. 2(b))</w:t>
              </w:r>
            </w:ins>
          </w:p>
        </w:tc>
      </w:tr>
    </w:tbl>
    <w:p>
      <w:pPr>
        <w:pStyle w:val="nSubsection"/>
        <w:keepNext/>
        <w:keepLines/>
        <w:rPr>
          <w:snapToGrid w:val="0"/>
        </w:rPr>
      </w:pPr>
      <w:r>
        <w:rPr>
          <w:snapToGrid w:val="0"/>
          <w:vertAlign w:val="superscript"/>
        </w:rPr>
        <w:t>2</w:t>
      </w:r>
      <w:r>
        <w:rPr>
          <w:snapToGrid w:val="0"/>
        </w:rPr>
        <w:tab/>
        <w:t xml:space="preserve">Published in </w:t>
      </w:r>
      <w:r>
        <w:rPr>
          <w:i/>
          <w:snapToGrid w:val="0"/>
        </w:rPr>
        <w:t>Gazette</w:t>
      </w:r>
      <w:r>
        <w:rPr>
          <w:snapToGrid w:val="0"/>
        </w:rPr>
        <w:t xml:space="preserve"> 18 December 1992 p. 6099.</w:t>
      </w:r>
    </w:p>
    <w:p>
      <w:pPr>
        <w:pStyle w:val="nSubsection"/>
        <w:keepNext/>
        <w:keepLines/>
        <w:rPr>
          <w:snapToGrid w:val="0"/>
        </w:rPr>
      </w:pPr>
      <w:r>
        <w:rPr>
          <w:snapToGrid w:val="0"/>
          <w:vertAlign w:val="superscript"/>
        </w:rPr>
        <w:t>3</w:t>
      </w:r>
      <w:r>
        <w:rPr>
          <w:snapToGrid w:val="0"/>
        </w:rPr>
        <w:tab/>
        <w:t xml:space="preserve">Proclaimed 1 July 1988 in </w:t>
      </w:r>
      <w:r>
        <w:rPr>
          <w:i/>
          <w:snapToGrid w:val="0"/>
        </w:rPr>
        <w:t xml:space="preserve">Gazette </w:t>
      </w:r>
      <w:r>
        <w:rPr>
          <w:snapToGrid w:val="0"/>
        </w:rPr>
        <w:t>26 June 1998 p. 3369.</w:t>
      </w:r>
    </w:p>
    <w:p>
      <w:pPr>
        <w:pStyle w:val="nSubsection"/>
        <w:keepNext/>
        <w:keepLines/>
        <w:rPr>
          <w:snapToGrid w:val="0"/>
        </w:rPr>
      </w:pPr>
      <w:r>
        <w:rPr>
          <w:snapToGrid w:val="0"/>
          <w:vertAlign w:val="superscript"/>
        </w:rPr>
        <w:t>4</w:t>
      </w:r>
      <w:r>
        <w:rPr>
          <w:snapToGrid w:val="0"/>
        </w:rPr>
        <w:tab/>
        <w:t xml:space="preserve">Expired on 1 July 2004; see </w:t>
      </w:r>
      <w:r>
        <w:rPr>
          <w:i/>
          <w:iCs/>
          <w:snapToGrid w:val="0"/>
        </w:rPr>
        <w:t>Gazette</w:t>
      </w:r>
      <w:r>
        <w:rPr>
          <w:snapToGrid w:val="0"/>
        </w:rPr>
        <w:t xml:space="preserve"> 23 July 2003 p. 3172. </w:t>
      </w:r>
    </w:p>
    <w:p>
      <w:pPr>
        <w:pStyle w:val="nSubsection"/>
        <w:keepNext/>
        <w:keepLines/>
        <w:rPr>
          <w:snapToGrid w:val="0"/>
        </w:rPr>
      </w:pPr>
      <w:r>
        <w:rPr>
          <w:snapToGrid w:val="0"/>
          <w:vertAlign w:val="superscript"/>
        </w:rPr>
        <w:t>5</w:t>
      </w:r>
      <w:r>
        <w:rPr>
          <w:snapToGrid w:val="0"/>
        </w:rPr>
        <w:tab/>
        <w:t xml:space="preserve">Under the </w:t>
      </w:r>
      <w:r>
        <w:rPr>
          <w:i/>
          <w:iCs/>
          <w:snapToGrid w:val="0"/>
        </w:rPr>
        <w:t>Alteration of Statutory Designations Order (No. 2) 2006</w:t>
      </w:r>
      <w:r>
        <w:rPr>
          <w:snapToGrid w:val="0"/>
        </w:rPr>
        <w:t xml:space="preserve"> a reference in a written law to the Department of Environmental Protection is, unless the contrary is intended, to be read and construed as a reference to the Department of Environment and Conservation.</w:t>
      </w:r>
    </w:p>
    <w:p>
      <w:pPr>
        <w:pStyle w:val="nSubsection"/>
        <w:keepNext/>
        <w:keepLines/>
        <w:rPr>
          <w:snapToGrid w:val="0"/>
        </w:rPr>
      </w:pPr>
      <w:r>
        <w:rPr>
          <w:snapToGrid w:val="0"/>
          <w:vertAlign w:val="superscript"/>
        </w:rPr>
        <w:t>6</w:t>
      </w:r>
      <w:r>
        <w:rPr>
          <w:snapToGrid w:val="0"/>
        </w:rPr>
        <w:tab/>
        <w:t xml:space="preserve">The </w:t>
      </w:r>
      <w:r>
        <w:rPr>
          <w:i/>
          <w:snapToGrid w:val="0"/>
        </w:rPr>
        <w:t xml:space="preserve">Environmental Protection Amendment Regulations (No. 3) 1996 </w:t>
      </w:r>
      <w:r>
        <w:rPr>
          <w:snapToGrid w:val="0"/>
        </w:rPr>
        <w:t xml:space="preserve">r. 7 (as amended by the </w:t>
      </w:r>
      <w:r>
        <w:rPr>
          <w:i/>
          <w:snapToGrid w:val="0"/>
        </w:rPr>
        <w:t>Environmental Protection Amendment Regulation (No. 6) 1996</w:t>
      </w:r>
      <w:r>
        <w:rPr>
          <w:snapToGrid w:val="0"/>
        </w:rPr>
        <w:t xml:space="preserve"> r. 10) is a transitional provision that is of no further effect.</w:t>
      </w:r>
    </w:p>
    <w:p>
      <w:pPr>
        <w:pStyle w:val="nSubsection"/>
        <w:rPr>
          <w:snapToGrid w:val="0"/>
        </w:rPr>
      </w:pPr>
      <w:r>
        <w:rPr>
          <w:vertAlign w:val="superscript"/>
        </w:rPr>
        <w:t>7</w:t>
      </w:r>
      <w:r>
        <w:tab/>
        <w:t xml:space="preserve">The amendment in regulation 12 referring to items 8 and 9 of Schedule 6 is not included because these items were previously deleted in </w:t>
      </w:r>
      <w:r>
        <w:rPr>
          <w:i/>
        </w:rPr>
        <w:t xml:space="preserve">Gazette </w:t>
      </w:r>
      <w:r>
        <w:t>19 December 2000 p. 7284.</w:t>
      </w:r>
    </w:p>
    <w:p/>
    <w:p>
      <w:pPr>
        <w:sectPr>
          <w:headerReference w:type="even" r:id="rId23"/>
          <w:headerReference w:type="default" r:id="rId24"/>
          <w:headerReference w:type="first" r:id="rId25"/>
          <w:pgSz w:w="11906" w:h="16838" w:code="9"/>
          <w:pgMar w:top="2376" w:right="2404" w:bottom="3544" w:left="2404" w:header="720" w:footer="3380" w:gutter="0"/>
          <w:cols w:space="720"/>
          <w:noEndnote/>
          <w:docGrid w:linePitch="326"/>
        </w:sectPr>
      </w:pPr>
    </w:p>
    <w:p/>
    <w:sectPr>
      <w:headerReference w:type="even" r:id="rId26"/>
      <w:headerReference w:type="default" r:id="rId27"/>
      <w:headerReference w:type="first" r:id="rId28"/>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03 Mar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06-f0-02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May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06-g0-02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Mar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06-f0-02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May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06-g0-02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Mar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06-f0-02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May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06-g0-02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Environmental Protection Regulations 1987</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fldSimple w:instr=" STYLEREF CharPartNo ">
            <w:r>
              <w:rPr>
                <w:noProof/>
              </w:rPr>
              <w:instrText>Part 2</w:instrText>
            </w:r>
          </w:fldSimple>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separate"/>
          </w:r>
          <w:r>
            <w:rPr>
              <w:noProof/>
            </w:rPr>
            <w:t>Part 2</w:t>
          </w:r>
          <w:r>
            <w:fldChar w:fldCharType="end"/>
          </w:r>
        </w:p>
      </w:tc>
      <w:tc>
        <w:tcPr>
          <w:tcW w:w="5715" w:type="dxa"/>
        </w:tcPr>
        <w:p>
          <w:pPr>
            <w:pStyle w:val="HeaderTextLeft"/>
          </w:pPr>
          <w:fldSimple w:instr=" styleref CharPartText ">
            <w:r>
              <w:rPr>
                <w:noProof/>
              </w:rPr>
              <w:t>Administrative matters</w:t>
            </w:r>
          </w:fldSimple>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2A</w:instrText>
            </w:r>
          </w:fldSimple>
          <w:r>
            <w:instrText>" "</w:instrText>
          </w:r>
          <w:fldSimple w:instr=" STYLEREF CharSectNo \n ">
            <w:r>
              <w:rPr>
                <w:noProof/>
              </w:rPr>
              <w:instrText>0</w:instrText>
            </w:r>
          </w:fldSimple>
          <w:r>
            <w:instrText>"</w:instrText>
          </w:r>
          <w:r>
            <w:fldChar w:fldCharType="separate"/>
          </w:r>
          <w:r>
            <w:rPr>
              <w:noProof/>
            </w:rPr>
            <w:t>2A</w:t>
          </w:r>
          <w:r>
            <w:fldChar w:fldCharType="end"/>
          </w:r>
        </w:p>
      </w:tc>
    </w:tr>
  </w:tbl>
  <w:p>
    <w:pPr>
      <w:pStyle w:val="Header"/>
      <w:pBdr>
        <w:top w:val="single" w:sz="4" w:space="1" w:color="auto"/>
      </w:pBd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Environmental Protection Regulations 1987</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rPr>
              <w:noProof/>
            </w:rP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r>
    <w:tr>
      <w:trPr>
        <w:cantSplit/>
      </w:trPr>
      <w:tc>
        <w:tcPr>
          <w:tcW w:w="7258" w:type="dxa"/>
          <w:gridSpan w:val="2"/>
        </w:tcPr>
        <w:p>
          <w:pPr>
            <w:pStyle w:val="HeaderSectionRight"/>
            <w:ind w:right="17"/>
          </w:pPr>
          <w:r>
            <w:t xml:space="preserve">r.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Environmental Protection Regulations 1987</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rPr>
              <w:noProof/>
            </w:rP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rPr>
              <w:noProof/>
            </w:rPr>
            <w:fldChar w:fldCharType="end"/>
          </w:r>
          <w:r>
            <w:instrText>" "</w:instrText>
          </w:r>
          <w:fldSimple w:instr=" STYLEREF CharSDivNo ">
            <w:r>
              <w:rPr>
                <w:noProof/>
              </w:rPr>
              <w:instrText>Part 1</w:instrText>
            </w:r>
          </w:fldSimple>
          <w:r>
            <w:instrText xml:space="preserve"> </w:instrText>
          </w:r>
          <w:fldSimple w:instr=" STYLEREF CharS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ActNameRight"/>
            <w:ind w:right="17"/>
          </w:pPr>
          <w:fldSimple w:instr=" STYLEREF &quot;Name of Act/Reg&quot; \* MERGEFORMAT ">
            <w:r>
              <w:rPr>
                <w:noProof/>
              </w:rPr>
              <w:t>Environmental Protection Regulations 1987</w:t>
            </w:r>
          </w:fldSimple>
        </w:p>
      </w:tc>
    </w:tr>
    <w:tr>
      <w:tc>
        <w:tcPr>
          <w:tcW w:w="5715" w:type="dxa"/>
        </w:tcPr>
        <w:p>
          <w:pPr>
            <w:pStyle w:val="HeaderTextRight"/>
          </w:pPr>
          <w:r>
            <w:fldChar w:fldCharType="begin"/>
          </w:r>
          <w:r>
            <w:instrText xml:space="preserve"> styleref CharSchText </w:instrText>
          </w:r>
          <w:r>
            <w:rPr>
              <w:noProof/>
            </w:rPr>
            <w:fldChar w:fldCharType="end"/>
          </w:r>
        </w:p>
      </w:tc>
      <w:tc>
        <w:tcPr>
          <w:tcW w:w="1557"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rPr>
              <w:noProof/>
            </w:rP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57"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separate"/>
          </w:r>
          <w:r>
            <w:rPr>
              <w:bCs/>
              <w:noProof/>
            </w:rPr>
            <w:instrText>Part 1</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w:instrText>
          </w:r>
          <w:r>
            <w:rPr>
              <w:bCs/>
            </w:rPr>
            <w:fldChar w:fldCharType="end"/>
          </w:r>
        </w:p>
      </w:tc>
    </w:tr>
    <w:tr>
      <w:tc>
        <w:tcPr>
          <w:tcW w:w="5715" w:type="dxa"/>
        </w:tcPr>
        <w:p>
          <w:pPr>
            <w:pStyle w:val="HeaderTextLeft"/>
            <w:jc w:val="right"/>
          </w:pPr>
        </w:p>
      </w:tc>
      <w:tc>
        <w:tcPr>
          <w:tcW w:w="1557" w:type="dxa"/>
        </w:tcPr>
        <w:p>
          <w:pPr>
            <w:pStyle w:val="HeaderNumberRight"/>
            <w:ind w:right="17"/>
          </w:pP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Environmental Protection Regulations 1987</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c>
        <w:tcPr>
          <w:tcW w:w="5715" w:type="dxa"/>
        </w:tcPr>
        <w:p>
          <w:pPr>
            <w:pStyle w:val="HeaderTextLeft"/>
          </w:pPr>
          <w:fldSimple w:instr=" styleref CharSchText ">
            <w:r>
              <w:rPr>
                <w:noProof/>
              </w:rPr>
              <w:t>Tyre landfill exclusion zone</w:t>
            </w:r>
          </w:fldSimple>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Part 2</w:instrText>
            </w:r>
          </w:fldSimple>
          <w:r>
            <w:instrText>" "</w:instrText>
          </w:r>
          <w:fldSimple w:instr=" STYLEREF CharSDivNo ">
            <w:r>
              <w:rPr>
                <w:noProof/>
              </w:rPr>
              <w:instrText>Part 1</w:instrText>
            </w:r>
          </w:fldSimple>
          <w:r>
            <w:instrText xml:space="preserve"> </w:instrText>
          </w:r>
          <w:fldSimple w:instr=" STYLEREF CharSDivNo \n ">
            <w:r>
              <w:rPr>
                <w:noProof/>
              </w:rPr>
              <w:instrText>0</w:instrText>
            </w:r>
          </w:fldSimple>
          <w:r>
            <w:instrText>"</w:instrText>
          </w:r>
          <w:r>
            <w:fldChar w:fldCharType="separate"/>
          </w:r>
          <w:r>
            <w:rPr>
              <w:noProof/>
            </w:rPr>
            <w:t>Part 2</w:t>
          </w:r>
          <w:r>
            <w:fldChar w:fldCharType="end"/>
          </w:r>
        </w:p>
      </w:tc>
      <w:tc>
        <w:tcPr>
          <w:tcW w:w="5715" w:type="dxa"/>
        </w:tcPr>
        <w:p>
          <w:pPr>
            <w:pStyle w:val="HeaderTextLeft"/>
          </w:pPr>
          <w:fldSimple w:instr=" styleref CharSDivText ">
            <w:r>
              <w:rPr>
                <w:noProof/>
              </w:rPr>
              <w:t>Country</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Environmental Protection Regulations 1987</w:t>
            </w:r>
          </w:fldSimple>
        </w:p>
      </w:tc>
    </w:tr>
    <w:tr>
      <w:tc>
        <w:tcPr>
          <w:tcW w:w="5715" w:type="dxa"/>
          <w:vAlign w:val="bottom"/>
        </w:tcPr>
        <w:p>
          <w:pPr>
            <w:pStyle w:val="HeaderTextRight"/>
          </w:pPr>
          <w:fldSimple w:instr=" styleref CharSchText ">
            <w:r>
              <w:rPr>
                <w:noProof/>
              </w:rPr>
              <w:t>Tyre landfill exclusion zone</w:t>
            </w:r>
          </w:fldSimple>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fldSimple w:instr=" styleref CharSDivText ">
            <w:r>
              <w:rPr>
                <w:noProof/>
              </w:rPr>
              <w:t>Country</w:t>
            </w:r>
          </w:fldSimple>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separate"/>
          </w:r>
          <w:r>
            <w:rPr>
              <w:bCs/>
              <w:noProof/>
            </w:rPr>
            <w:t>Part 2</w: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Environmental Protection Regulations 1987</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fldSimple w:instr=" styleref CharSchText ">
            <w:r>
              <w:rPr>
                <w:noProof/>
              </w:rPr>
              <w:t>Areas where burning matter on or from development sites is prohibited</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Environmental Protection Regulations 1987</w:t>
            </w:r>
          </w:fldSimple>
        </w:p>
      </w:tc>
    </w:tr>
    <w:tr>
      <w:tc>
        <w:tcPr>
          <w:tcW w:w="5715" w:type="dxa"/>
          <w:vAlign w:val="bottom"/>
        </w:tcPr>
        <w:p>
          <w:pPr>
            <w:pStyle w:val="HeaderTextRight"/>
          </w:pPr>
          <w:fldSimple w:instr=" styleref CharSchText ">
            <w:r>
              <w:rPr>
                <w:noProof/>
              </w:rPr>
              <w:t>Areas where burning matter on or from development sites is prohibited</w:t>
            </w:r>
          </w:fldSimple>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Environmental Protection Regulations 1987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Environmental Protection Regulations 1987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ActNameLeft"/>
          </w:pPr>
          <w:fldSimple w:instr=" Styleref &quot;Name of Act/Reg&quot; ">
            <w:r>
              <w:rPr>
                <w:noProof/>
              </w:rPr>
              <w:t>Environmental Protection Regulations 1987</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7263" w:type="dxa"/>
          <w:gridSpan w:val="2"/>
        </w:tcPr>
        <w:p>
          <w:pPr>
            <w:pStyle w:val="HeaderSectionRight"/>
            <w:ind w:right="17"/>
            <w:jc w:val="left"/>
            <w:rPr>
              <w:bCs/>
            </w:rPr>
          </w:pPr>
          <w:r>
            <w:t>Defined Terms</w:t>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Environmental Protection Regulations 1987</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7263" w:type="dxa"/>
          <w:gridSpan w:val="2"/>
        </w:tcPr>
        <w:p>
          <w:pPr>
            <w:pStyle w:val="HeaderSectionRight"/>
            <w:ind w:right="17"/>
          </w:pPr>
          <w:r>
            <w:rPr>
              <w:bCs/>
            </w:rPr>
            <w:t>Defined Terms</w:t>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4E405450"/>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3CE8F6A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B1721822"/>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09D23A7A"/>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5922C83E"/>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F401F20"/>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3668A760"/>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66A8AAC8"/>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7438241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1DEC2F6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ABD0C8B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15:restartNumberingAfterBreak="0">
    <w:nsid w:val="3C2808C0"/>
    <w:multiLevelType w:val="singleLevel"/>
    <w:tmpl w:val="0C30F470"/>
    <w:lvl w:ilvl="0">
      <w:start w:val="1"/>
      <w:numFmt w:val="bullet"/>
      <w:pStyle w:val="NotesPerm2"/>
      <w:lvlText w:val=""/>
      <w:lvlJc w:val="left"/>
      <w:pPr>
        <w:tabs>
          <w:tab w:val="num" w:pos="1446"/>
        </w:tabs>
        <w:ind w:left="1446" w:hanging="567"/>
      </w:pPr>
      <w:rPr>
        <w:rFonts w:ascii="Symbol" w:hAnsi="Symbol" w:hint="default"/>
      </w:rPr>
    </w:lvl>
  </w:abstractNum>
  <w:abstractNum w:abstractNumId="22"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4"/>
  </w:num>
  <w:num w:numId="2">
    <w:abstractNumId w:val="27"/>
  </w:num>
  <w:num w:numId="3">
    <w:abstractNumId w:val="16"/>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21"/>
  </w:num>
  <w:num w:numId="15">
    <w:abstractNumId w:val="16"/>
  </w:num>
  <w:num w:numId="16">
    <w:abstractNumId w:val="9"/>
  </w:num>
  <w:num w:numId="17">
    <w:abstractNumId w:val="7"/>
  </w:num>
  <w:num w:numId="18">
    <w:abstractNumId w:val="6"/>
  </w:num>
  <w:num w:numId="19">
    <w:abstractNumId w:val="5"/>
  </w:num>
  <w:num w:numId="20">
    <w:abstractNumId w:val="4"/>
  </w:num>
  <w:num w:numId="21">
    <w:abstractNumId w:val="8"/>
  </w:num>
  <w:num w:numId="22">
    <w:abstractNumId w:val="3"/>
  </w:num>
  <w:num w:numId="23">
    <w:abstractNumId w:val="2"/>
  </w:num>
  <w:num w:numId="24">
    <w:abstractNumId w:val="1"/>
  </w:num>
  <w:num w:numId="25">
    <w:abstractNumId w:val="0"/>
  </w:num>
  <w:num w:numId="26">
    <w:abstractNumId w:val="2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567"/>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7171614"/>
    <w:docVar w:name="WAFER_20151207171614" w:val="RemoveTrackChanges"/>
    <w:docVar w:name="WAFER_20151207171614_GUID" w:val="79c1864b-0291-404d-8d97-3f55755b507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address"/>
  <w:smartTagType w:namespaceuri="urn:schemas-microsoft-com:office:smarttags" w:name="Street"/>
  <w:smartTagType w:namespaceuri="urn:schemas-microsoft-com:office:smarttags" w:name="PlaceType"/>
  <w:smartTagType w:namespaceuri="urn:schemas-microsoft-com:office:smarttags" w:name="PlaceName"/>
  <w:smartTagType w:namespaceuri="urn:schemas-microsoft-com:office:smarttags" w:name="City"/>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15:docId w15:val="{C643BC17-727F-4DB7-8619-2FE466BFCA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5"/>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6"/>
      </w:numPr>
    </w:pPr>
  </w:style>
  <w:style w:type="paragraph" w:styleId="ListBullet2">
    <w:name w:val="List Bullet 2"/>
    <w:basedOn w:val="Normal"/>
    <w:autoRedefine/>
    <w:pPr>
      <w:numPr>
        <w:numId w:val="17"/>
      </w:numPr>
      <w:tabs>
        <w:tab w:val="clear" w:pos="643"/>
        <w:tab w:val="num" w:pos="720"/>
      </w:tabs>
      <w:ind w:left="720"/>
    </w:pPr>
  </w:style>
  <w:style w:type="paragraph" w:styleId="ListBullet3">
    <w:name w:val="List Bullet 3"/>
    <w:basedOn w:val="Normal"/>
    <w:autoRedefine/>
    <w:pPr>
      <w:numPr>
        <w:numId w:val="18"/>
      </w:numPr>
      <w:tabs>
        <w:tab w:val="clear" w:pos="926"/>
        <w:tab w:val="num" w:pos="1080"/>
      </w:tabs>
      <w:ind w:left="1080"/>
    </w:pPr>
  </w:style>
  <w:style w:type="paragraph" w:styleId="ListBullet4">
    <w:name w:val="List Bullet 4"/>
    <w:basedOn w:val="Normal"/>
    <w:autoRedefine/>
    <w:pPr>
      <w:numPr>
        <w:numId w:val="19"/>
      </w:numPr>
      <w:tabs>
        <w:tab w:val="clear" w:pos="1209"/>
        <w:tab w:val="num" w:pos="1440"/>
      </w:tabs>
      <w:ind w:left="1440"/>
    </w:pPr>
  </w:style>
  <w:style w:type="paragraph" w:styleId="ListBullet5">
    <w:name w:val="List Bullet 5"/>
    <w:basedOn w:val="Normal"/>
    <w:autoRedefine/>
    <w:pPr>
      <w:numPr>
        <w:numId w:val="2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1"/>
      </w:numPr>
    </w:pPr>
  </w:style>
  <w:style w:type="paragraph" w:styleId="ListNumber2">
    <w:name w:val="List Number 2"/>
    <w:basedOn w:val="Normal"/>
    <w:pPr>
      <w:numPr>
        <w:numId w:val="22"/>
      </w:numPr>
      <w:tabs>
        <w:tab w:val="clear" w:pos="643"/>
        <w:tab w:val="num" w:pos="720"/>
      </w:tabs>
      <w:ind w:left="720"/>
    </w:pPr>
  </w:style>
  <w:style w:type="paragraph" w:styleId="ListNumber3">
    <w:name w:val="List Number 3"/>
    <w:basedOn w:val="Normal"/>
    <w:pPr>
      <w:numPr>
        <w:numId w:val="23"/>
      </w:numPr>
      <w:tabs>
        <w:tab w:val="clear" w:pos="926"/>
        <w:tab w:val="num" w:pos="1080"/>
      </w:tabs>
      <w:ind w:left="1080"/>
    </w:pPr>
  </w:style>
  <w:style w:type="paragraph" w:styleId="ListNumber4">
    <w:name w:val="List Number 4"/>
    <w:basedOn w:val="Normal"/>
    <w:pPr>
      <w:numPr>
        <w:numId w:val="24"/>
      </w:numPr>
      <w:tabs>
        <w:tab w:val="clear" w:pos="1209"/>
        <w:tab w:val="num" w:pos="1440"/>
      </w:tabs>
      <w:ind w:left="1440"/>
    </w:pPr>
  </w:style>
  <w:style w:type="paragraph" w:styleId="ListNumber5">
    <w:name w:val="List Number 5"/>
    <w:basedOn w:val="Normal"/>
    <w:pPr>
      <w:numPr>
        <w:numId w:val="25"/>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DefinedTerms">
    <w:name w:val="Defined Terms"/>
    <w:pPr>
      <w:tabs>
        <w:tab w:val="right" w:leader="dot" w:pos="7070"/>
      </w:tabs>
      <w:ind w:left="578" w:right="578"/>
    </w:pPr>
    <w:rPr>
      <w:lang w:eastAsia="en-US"/>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6"/>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wmf"/><Relationship Id="rId13" Type="http://schemas.openxmlformats.org/officeDocument/2006/relationships/footer" Target="footer2.xml"/><Relationship Id="rId18" Type="http://schemas.openxmlformats.org/officeDocument/2006/relationships/header" Target="header6.xml"/><Relationship Id="rId26" Type="http://schemas.openxmlformats.org/officeDocument/2006/relationships/header" Target="header14.xml"/><Relationship Id="rId3" Type="http://schemas.openxmlformats.org/officeDocument/2006/relationships/settings" Target="settings.xml"/><Relationship Id="rId21" Type="http://schemas.openxmlformats.org/officeDocument/2006/relationships/header" Target="header9.xml"/><Relationship Id="rId7" Type="http://schemas.openxmlformats.org/officeDocument/2006/relationships/image" Target="media/image1.png"/><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13.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8.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24" Type="http://schemas.openxmlformats.org/officeDocument/2006/relationships/header" Target="header12.xml"/><Relationship Id="rId5" Type="http://schemas.openxmlformats.org/officeDocument/2006/relationships/footnotes" Target="footnotes.xml"/><Relationship Id="rId15" Type="http://schemas.openxmlformats.org/officeDocument/2006/relationships/footer" Target="footer3.xml"/><Relationship Id="rId23" Type="http://schemas.openxmlformats.org/officeDocument/2006/relationships/header" Target="header11.xml"/><Relationship Id="rId28" Type="http://schemas.openxmlformats.org/officeDocument/2006/relationships/header" Target="header16.xml"/><Relationship Id="rId10" Type="http://schemas.openxmlformats.org/officeDocument/2006/relationships/header" Target="header1.xml"/><Relationship Id="rId19" Type="http://schemas.openxmlformats.org/officeDocument/2006/relationships/header" Target="header7.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3.wmf"/><Relationship Id="rId14" Type="http://schemas.openxmlformats.org/officeDocument/2006/relationships/header" Target="header3.xml"/><Relationship Id="rId22" Type="http://schemas.openxmlformats.org/officeDocument/2006/relationships/header" Target="header10.xml"/><Relationship Id="rId27" Type="http://schemas.openxmlformats.org/officeDocument/2006/relationships/header" Target="header15.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24867</Words>
  <Characters>119367</Characters>
  <Application>Microsoft Office Word</Application>
  <DocSecurity>0</DocSecurity>
  <Lines>4973</Lines>
  <Paragraphs>3278</Paragraphs>
  <ScaleCrop>false</ScaleCrop>
  <HeadingPairs>
    <vt:vector size="2" baseType="variant">
      <vt:variant>
        <vt:lpstr>Title</vt:lpstr>
      </vt:variant>
      <vt:variant>
        <vt:i4>1</vt:i4>
      </vt:variant>
    </vt:vector>
  </HeadingPairs>
  <TitlesOfParts>
    <vt:vector size="1" baseType="lpstr">
      <vt:lpstr>Environmental Protection Regulations 1987</vt:lpstr>
    </vt:vector>
  </TitlesOfParts>
  <Manager/>
  <Company/>
  <LinksUpToDate>false</LinksUpToDate>
  <CharactersWithSpaces>140956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Environmental Protection Regulations 1987 06-f0-02 - 06-g0-02</dc:title>
  <dc:subject/>
  <dc:creator/>
  <cp:keywords/>
  <dc:description/>
  <cp:lastModifiedBy>Master Repository Process</cp:lastModifiedBy>
  <cp:revision>2</cp:revision>
  <cp:lastPrinted>2007-08-13T01:29:00Z</cp:lastPrinted>
  <dcterms:created xsi:type="dcterms:W3CDTF">2021-08-01T04:44:00Z</dcterms:created>
  <dcterms:modified xsi:type="dcterms:W3CDTF">2021-08-01T04:45:00Z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20 February 1987 pp.444-9</vt:lpwstr>
  </property>
  <property fmtid="{D5CDD505-2E9C-101B-9397-08002B2CF9AE}" pid="3" name="CommencementDate">
    <vt:lpwstr>20120509</vt:lpwstr>
  </property>
  <property fmtid="{D5CDD505-2E9C-101B-9397-08002B2CF9AE}" pid="4" name="DocumentType">
    <vt:lpwstr>Reg</vt:lpwstr>
  </property>
  <property fmtid="{D5CDD505-2E9C-101B-9397-08002B2CF9AE}" pid="5" name="OwlsUID">
    <vt:i4>4421</vt:i4>
  </property>
  <property fmtid="{D5CDD505-2E9C-101B-9397-08002B2CF9AE}" pid="6" name="ReprintNo">
    <vt:lpwstr>6</vt:lpwstr>
  </property>
  <property fmtid="{D5CDD505-2E9C-101B-9397-08002B2CF9AE}" pid="7" name="FromSuffix">
    <vt:lpwstr>06-f0-02</vt:lpwstr>
  </property>
  <property fmtid="{D5CDD505-2E9C-101B-9397-08002B2CF9AE}" pid="8" name="FromAsAtDate">
    <vt:lpwstr>03 Mar 2012</vt:lpwstr>
  </property>
  <property fmtid="{D5CDD505-2E9C-101B-9397-08002B2CF9AE}" pid="9" name="ToSuffix">
    <vt:lpwstr>06-g0-02</vt:lpwstr>
  </property>
  <property fmtid="{D5CDD505-2E9C-101B-9397-08002B2CF9AE}" pid="10" name="ToAsAtDate">
    <vt:lpwstr>09 May 2012</vt:lpwstr>
  </property>
</Properties>
</file>