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2012</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25 Jul 2012</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rPr>
          <w:del w:id="0" w:author="Master Repository Process" w:date="2021-08-01T11:57:00Z"/>
        </w:rPr>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bookmarkStart w:id="10" w:name="_Toc257298695"/>
      <w:bookmarkStart w:id="11" w:name="_Toc257298847"/>
      <w:bookmarkStart w:id="12" w:name="_Toc299707797"/>
      <w:bookmarkStart w:id="13" w:name="_Toc299707870"/>
      <w:bookmarkStart w:id="14" w:name="_Toc300302297"/>
      <w:bookmarkStart w:id="15" w:name="_Toc323644310"/>
      <w:bookmarkStart w:id="16" w:name="_GoBack"/>
      <w:bookmarkEnd w:id="16"/>
      <w:del w:id="17" w:author="Master Repository Process" w:date="2021-08-01T11:57:00Z">
        <w:r>
          <w:rPr>
            <w:rStyle w:val="CharPartNo"/>
          </w:rPr>
          <w:delText>Part 1</w:delText>
        </w:r>
        <w:r>
          <w:rPr>
            <w:rStyle w:val="CharDivNo"/>
          </w:rPr>
          <w:delText xml:space="preserve"> </w:delText>
        </w:r>
        <w:r>
          <w:delText>—</w:delText>
        </w:r>
        <w:r>
          <w:rPr>
            <w:rStyle w:val="CharDivText"/>
          </w:rPr>
          <w:delText xml:space="preserve"> </w:delText>
        </w:r>
        <w:r>
          <w:rPr>
            <w:rStyle w:val="CharPartText"/>
          </w:rPr>
          <w:delText>Preliminary</w:delText>
        </w:r>
      </w:del>
    </w:p>
    <w:p>
      <w:pPr>
        <w:pStyle w:val="Ednotepart"/>
        <w:rPr>
          <w:ins w:id="18" w:author="Master Repository Process" w:date="2021-08-01T11:57:00Z"/>
        </w:rPr>
      </w:pPr>
      <w:ins w:id="19" w:author="Master Repository Process" w:date="2021-08-01T11:57:00Z">
        <w:r>
          <w:t>[Heading deleted in Gazette 24 Jul 2012 p. 3392.]</w:t>
        </w:r>
      </w:ins>
    </w:p>
    <w:p>
      <w:pPr>
        <w:pStyle w:val="Heading5"/>
      </w:pPr>
      <w:bookmarkStart w:id="20" w:name="_Toc484947032"/>
      <w:bookmarkStart w:id="21" w:name="_Toc22697744"/>
      <w:bookmarkStart w:id="22" w:name="_Toc22697819"/>
      <w:bookmarkStart w:id="23" w:name="_Toc234139441"/>
      <w:bookmarkStart w:id="24" w:name="_Toc330806240"/>
      <w:bookmarkStart w:id="25" w:name="_Toc3236443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Sectno"/>
        </w:rPr>
        <w:t>1</w:t>
      </w:r>
      <w:r>
        <w:t>.</w:t>
      </w:r>
      <w:r>
        <w:tab/>
      </w:r>
      <w:bookmarkStart w:id="26" w:name="Start_Cursor"/>
      <w:bookmarkEnd w:id="26"/>
      <w:r>
        <w:t>Citation</w:t>
      </w:r>
      <w:bookmarkEnd w:id="20"/>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7" w:name="_Toc484947033"/>
      <w:bookmarkStart w:id="28" w:name="_Toc22697745"/>
      <w:bookmarkStart w:id="29" w:name="_Toc22697820"/>
      <w:bookmarkStart w:id="30" w:name="_Toc234139442"/>
      <w:bookmarkStart w:id="31" w:name="_Toc330806241"/>
      <w:bookmarkStart w:id="32" w:name="_Toc323644312"/>
      <w:r>
        <w:rPr>
          <w:rStyle w:val="CharSectno"/>
        </w:rPr>
        <w:t>2</w:t>
      </w:r>
      <w:r>
        <w:rPr>
          <w:spacing w:val="-2"/>
        </w:rPr>
        <w:t>.</w:t>
      </w:r>
      <w:r>
        <w:rPr>
          <w:spacing w:val="-2"/>
        </w:rPr>
        <w:tab/>
        <w:t>Commencement</w:t>
      </w:r>
      <w:bookmarkEnd w:id="27"/>
      <w:bookmarkEnd w:id="28"/>
      <w:bookmarkEnd w:id="29"/>
      <w:bookmarkEnd w:id="30"/>
      <w:bookmarkEnd w:id="31"/>
      <w:bookmarkEnd w:id="32"/>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33" w:name="_Toc484947034"/>
      <w:bookmarkStart w:id="34" w:name="_Toc22697746"/>
      <w:bookmarkStart w:id="35" w:name="_Toc22697821"/>
      <w:bookmarkStart w:id="36" w:name="_Toc234139443"/>
      <w:bookmarkStart w:id="37" w:name="_Toc330806242"/>
      <w:bookmarkStart w:id="38" w:name="_Toc323644313"/>
      <w:r>
        <w:rPr>
          <w:rStyle w:val="CharSectno"/>
        </w:rPr>
        <w:t>3</w:t>
      </w:r>
      <w:r>
        <w:t>.</w:t>
      </w:r>
      <w:r>
        <w:tab/>
        <w:t>Areas to which regulations apply</w:t>
      </w:r>
      <w:bookmarkEnd w:id="33"/>
      <w:bookmarkEnd w:id="34"/>
      <w:bookmarkEnd w:id="35"/>
      <w:bookmarkEnd w:id="36"/>
      <w:bookmarkEnd w:id="37"/>
      <w:bookmarkEnd w:id="38"/>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9" w:name="_Toc484947035"/>
      <w:bookmarkStart w:id="40" w:name="_Toc22697747"/>
      <w:bookmarkStart w:id="41" w:name="_Toc22697822"/>
      <w:bookmarkStart w:id="42" w:name="_Toc234139444"/>
      <w:bookmarkStart w:id="43" w:name="_Toc330806243"/>
      <w:bookmarkStart w:id="44" w:name="_Toc323644314"/>
      <w:r>
        <w:rPr>
          <w:rStyle w:val="CharSectno"/>
        </w:rPr>
        <w:t>4</w:t>
      </w:r>
      <w:r>
        <w:t>.</w:t>
      </w:r>
      <w:r>
        <w:tab/>
      </w:r>
      <w:bookmarkEnd w:id="39"/>
      <w:bookmarkEnd w:id="40"/>
      <w:bookmarkEnd w:id="41"/>
      <w:bookmarkEnd w:id="42"/>
      <w:r>
        <w:t>Terms used</w:t>
      </w:r>
      <w:bookmarkEnd w:id="43"/>
      <w:bookmarkEnd w:id="44"/>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w:t>
      </w:r>
      <w:del w:id="45" w:author="Master Repository Process" w:date="2021-08-01T11:57:00Z">
        <w:r>
          <w:delText>a person who supplies gas</w:delText>
        </w:r>
      </w:del>
      <w:ins w:id="46" w:author="Master Repository Process" w:date="2021-08-01T11:57:00Z">
        <w:r>
          <w:t>the holder of a trading licence</w:t>
        </w:r>
      </w:ins>
      <w:r>
        <w:t>;</w:t>
      </w:r>
    </w:p>
    <w:p>
      <w:pPr>
        <w:pStyle w:val="Defstart"/>
      </w:pPr>
      <w:r>
        <w:tab/>
      </w:r>
      <w:r>
        <w:rPr>
          <w:rStyle w:val="CharDefText"/>
        </w:rPr>
        <w:t>supply</w:t>
      </w:r>
      <w:del w:id="47" w:author="Master Repository Process" w:date="2021-08-01T11:57:00Z">
        <w:r>
          <w:delText xml:space="preserve"> has</w:delText>
        </w:r>
      </w:del>
      <w:ins w:id="48" w:author="Master Repository Process" w:date="2021-08-01T11:57:00Z">
        <w:r>
          <w:t xml:space="preserve">, </w:t>
        </w:r>
        <w:r>
          <w:rPr>
            <w:rStyle w:val="CharDefText"/>
            <w:b w:val="0"/>
            <w:i w:val="0"/>
          </w:rPr>
          <w:t>in relation to gas, means</w:t>
        </w:r>
      </w:ins>
      <w:r>
        <w:rPr>
          <w:rStyle w:val="CharDefText"/>
          <w:b w:val="0"/>
          <w:i w:val="0"/>
        </w:rPr>
        <w:t xml:space="preserve"> the </w:t>
      </w:r>
      <w:del w:id="49" w:author="Master Repository Process" w:date="2021-08-01T11:57:00Z">
        <w:r>
          <w:delText>meaning given by paragraph (b)</w:delText>
        </w:r>
      </w:del>
      <w:ins w:id="50" w:author="Master Repository Process" w:date="2021-08-01T11:57:00Z">
        <w:r>
          <w:rPr>
            <w:rStyle w:val="CharDefText"/>
            <w:b w:val="0"/>
            <w:i w:val="0"/>
          </w:rPr>
          <w:t>sale</w:t>
        </w:r>
      </w:ins>
      <w:r>
        <w:rPr>
          <w:rStyle w:val="CharDefText"/>
          <w:b w:val="0"/>
          <w:i w:val="0"/>
        </w:rPr>
        <w:t xml:space="preserve"> of </w:t>
      </w:r>
      <w:del w:id="51" w:author="Master Repository Process" w:date="2021-08-01T11:57:00Z">
        <w:r>
          <w:delText xml:space="preserve">the definition of </w:delText>
        </w:r>
        <w:r>
          <w:rPr>
            <w:b/>
            <w:bCs/>
            <w:i/>
            <w:iCs/>
          </w:rPr>
          <w:delText>supply</w:delText>
        </w:r>
        <w:r>
          <w:delText xml:space="preserve"> in section 3 of the Act</w:delText>
        </w:r>
      </w:del>
      <w:ins w:id="52" w:author="Master Repository Process" w:date="2021-08-01T11:57:00Z">
        <w:r>
          <w:rPr>
            <w:rStyle w:val="CharDefText"/>
            <w:b w:val="0"/>
            <w:i w:val="0"/>
          </w:rPr>
          <w:t>gas transported through a distribution system</w:t>
        </w:r>
      </w:ins>
      <w:r>
        <w:rPr>
          <w:rStyle w:val="CharDefText"/>
          <w:b w:val="0"/>
          <w:i w:val="0"/>
        </w:rPr>
        <w: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rPr>
          <w:ins w:id="53" w:author="Master Repository Process" w:date="2021-08-01T11:57:00Z"/>
        </w:rPr>
      </w:pPr>
      <w:bookmarkStart w:id="54" w:name="_Toc484947036"/>
      <w:bookmarkStart w:id="55" w:name="_Toc22697748"/>
      <w:bookmarkStart w:id="56" w:name="_Toc22697823"/>
      <w:bookmarkStart w:id="57" w:name="_Toc234139445"/>
      <w:ins w:id="58" w:author="Master Repository Process" w:date="2021-08-01T11:57:00Z">
        <w:r>
          <w:tab/>
          <w:t>[Regulation 4 amended in Gazette 24 Jul 2012 p. 3392.]</w:t>
        </w:r>
      </w:ins>
    </w:p>
    <w:p>
      <w:pPr>
        <w:pStyle w:val="Heading5"/>
      </w:pPr>
      <w:bookmarkStart w:id="59" w:name="_Toc330806244"/>
      <w:bookmarkStart w:id="60" w:name="_Toc323644315"/>
      <w:r>
        <w:rPr>
          <w:rStyle w:val="CharSectno"/>
        </w:rPr>
        <w:t>5</w:t>
      </w:r>
      <w:r>
        <w:t>.</w:t>
      </w:r>
      <w:r>
        <w:tab/>
        <w:t>Supplier to have at least one capped tariff</w:t>
      </w:r>
      <w:bookmarkEnd w:id="54"/>
      <w:bookmarkEnd w:id="55"/>
      <w:bookmarkEnd w:id="56"/>
      <w:bookmarkEnd w:id="57"/>
      <w:bookmarkEnd w:id="59"/>
      <w:bookmarkEnd w:id="60"/>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61" w:name="_Hlt472841165"/>
      <w:bookmarkEnd w:id="61"/>
      <w:r>
        <w:t>(2)</w:t>
      </w:r>
      <w:r>
        <w:tab/>
      </w:r>
      <w:bookmarkStart w:id="62" w:name="_Hlt472841237"/>
      <w:bookmarkEnd w:id="62"/>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63" w:name="_Hlt476566238"/>
      <w:bookmarkEnd w:id="63"/>
      <w:r>
        <w:t>1.</w:t>
      </w:r>
    </w:p>
    <w:p>
      <w:pPr>
        <w:pStyle w:val="Footnotesection"/>
      </w:pPr>
      <w:r>
        <w:tab/>
        <w:t>[Regulation 5 amended in Gazette 18 Oct 2002 p. 5224.]</w:t>
      </w:r>
    </w:p>
    <w:p>
      <w:pPr>
        <w:pStyle w:val="Heading5"/>
      </w:pPr>
      <w:bookmarkStart w:id="64" w:name="_Toc484947037"/>
      <w:bookmarkStart w:id="65" w:name="_Toc22697749"/>
      <w:bookmarkStart w:id="66" w:name="_Toc22697824"/>
      <w:bookmarkStart w:id="67" w:name="_Toc234139446"/>
      <w:bookmarkStart w:id="68" w:name="_Toc330806245"/>
      <w:bookmarkStart w:id="69" w:name="_Toc323644316"/>
      <w:r>
        <w:rPr>
          <w:rStyle w:val="CharSectno"/>
        </w:rPr>
        <w:t>6</w:t>
      </w:r>
      <w:r>
        <w:t>.</w:t>
      </w:r>
      <w:r>
        <w:tab/>
        <w:t xml:space="preserve">Gas to be offered </w:t>
      </w:r>
      <w:del w:id="70" w:author="Master Repository Process" w:date="2021-08-01T11:57:00Z">
        <w:r>
          <w:delText>under standard contract</w:delText>
        </w:r>
      </w:del>
      <w:ins w:id="71" w:author="Master Repository Process" w:date="2021-08-01T11:57:00Z">
        <w:r>
          <w:t>to certain small use customers</w:t>
        </w:r>
      </w:ins>
      <w:r>
        <w:t xml:space="preserve"> at capped tariff</w:t>
      </w:r>
      <w:bookmarkEnd w:id="64"/>
      <w:bookmarkEnd w:id="65"/>
      <w:bookmarkEnd w:id="66"/>
      <w:bookmarkEnd w:id="67"/>
      <w:bookmarkEnd w:id="68"/>
      <w:bookmarkEnd w:id="6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w:t>
      </w:r>
      <w:ins w:id="72" w:author="Master Repository Process" w:date="2021-08-01T11:57:00Z">
        <w:r>
          <w:t xml:space="preserve"> under a standard form contract</w:t>
        </w:r>
      </w:ins>
      <w:r>
        <w:t xml:space="preserve">, a supplier is </w:t>
      </w:r>
      <w:ins w:id="73" w:author="Master Repository Process" w:date="2021-08-01T11:57:00Z">
        <w:r>
          <w:t xml:space="preserve">required </w:t>
        </w:r>
      </w:ins>
      <w:r>
        <w:t>to offer to supply gas</w:t>
      </w:r>
      <w:del w:id="74" w:author="Master Repository Process" w:date="2021-08-01T11:57:00Z">
        <w:r>
          <w:delText xml:space="preserve"> under an approved contract but</w:delText>
        </w:r>
      </w:del>
      <w:r>
        <w:t xml:space="preserve"> at a capped tariff.</w:t>
      </w:r>
    </w:p>
    <w:p>
      <w:pPr>
        <w:pStyle w:val="Subsection"/>
      </w:pPr>
      <w:r>
        <w:tab/>
        <w:t>(5)</w:t>
      </w:r>
      <w:r>
        <w:tab/>
        <w:t>In subregulation</w:t>
      </w:r>
      <w:del w:id="75" w:author="Master Repository Process" w:date="2021-08-01T11:57:00Z">
        <w:r>
          <w:delText xml:space="preserve"> </w:delText>
        </w:r>
      </w:del>
      <w:ins w:id="76" w:author="Master Repository Process" w:date="2021-08-01T11:57:00Z">
        <w:r>
          <w:t> </w:t>
        </w:r>
      </w:ins>
      <w:r>
        <w:t>(4) —</w:t>
      </w:r>
      <w:ins w:id="77" w:author="Master Repository Process" w:date="2021-08-01T11:57:00Z">
        <w:r>
          <w:t xml:space="preserve"> </w:t>
        </w:r>
      </w:ins>
    </w:p>
    <w:p>
      <w:pPr>
        <w:pStyle w:val="Defstart"/>
        <w:rPr>
          <w:del w:id="78" w:author="Master Repository Process" w:date="2021-08-01T11:57:00Z"/>
        </w:rPr>
      </w:pPr>
      <w:del w:id="79" w:author="Master Repository Process" w:date="2021-08-01T11:57:00Z">
        <w:r>
          <w:tab/>
        </w:r>
        <w:r>
          <w:rPr>
            <w:rStyle w:val="CharDefText"/>
          </w:rPr>
          <w:delText>approved contract</w:delText>
        </w:r>
        <w:r>
          <w:delText xml:space="preserve"> means —</w:delText>
        </w:r>
      </w:del>
    </w:p>
    <w:p>
      <w:pPr>
        <w:pStyle w:val="Defpara"/>
        <w:rPr>
          <w:del w:id="80" w:author="Master Repository Process" w:date="2021-08-01T11:57:00Z"/>
        </w:rPr>
      </w:pPr>
      <w:del w:id="81" w:author="Master Repository Process" w:date="2021-08-01T11:57:00Z">
        <w:r>
          <w:tab/>
          <w:delText>(a)</w:delText>
        </w:r>
        <w:r>
          <w:tab/>
          <w:delText>a contract in a form approved under section 26(2)(c) of the Act by the Coordinator; or</w:delText>
        </w:r>
      </w:del>
    </w:p>
    <w:p>
      <w:pPr>
        <w:pStyle w:val="Defpara"/>
        <w:rPr>
          <w:del w:id="82" w:author="Master Repository Process" w:date="2021-08-01T11:57:00Z"/>
        </w:rPr>
      </w:pPr>
      <w:del w:id="83" w:author="Master Repository Process" w:date="2021-08-01T11:57:00Z">
        <w:r>
          <w:tab/>
          <w:delText>(b)</w:delText>
        </w:r>
        <w:r>
          <w:tab/>
          <w:delText>a contract the terms and conditions of which are specified in a trading licence;</w:delText>
        </w:r>
      </w:del>
    </w:p>
    <w:p>
      <w:pPr>
        <w:pStyle w:val="Defstart"/>
      </w:pPr>
      <w:r>
        <w:tab/>
      </w:r>
      <w:r>
        <w:rPr>
          <w:rStyle w:val="CharDefText"/>
        </w:rPr>
        <w:t>new customer</w:t>
      </w:r>
      <w:r>
        <w:t xml:space="preserve"> means a small use customer to whom a supplier offers to supply gas for the supply of which the customer does not already have a contract</w:t>
      </w:r>
      <w:del w:id="84" w:author="Master Repository Process" w:date="2021-08-01T11:57:00Z">
        <w:r>
          <w:delText>.</w:delText>
        </w:r>
      </w:del>
      <w:ins w:id="85" w:author="Master Repository Process" w:date="2021-08-01T11:57:00Z">
        <w:r>
          <w:t>;</w:t>
        </w:r>
      </w:ins>
    </w:p>
    <w:p>
      <w:pPr>
        <w:pStyle w:val="Defstart"/>
        <w:rPr>
          <w:ins w:id="86" w:author="Master Repository Process" w:date="2021-08-01T11:57:00Z"/>
        </w:rPr>
      </w:pPr>
      <w:ins w:id="87" w:author="Master Repository Process" w:date="2021-08-01T11:57:00Z">
        <w:r>
          <w:tab/>
        </w:r>
        <w:r>
          <w:rPr>
            <w:rStyle w:val="CharDefText"/>
          </w:rPr>
          <w:t>standard form contract</w:t>
        </w:r>
        <w:r>
          <w:t xml:space="preserve"> has the meaning given in section 11WB of the Act.</w:t>
        </w:r>
      </w:ins>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ins w:id="88" w:author="Master Repository Process" w:date="2021-08-01T11:57:00Z">
        <w:r>
          <w:t>; 24 Jul 2012 p. 3393</w:t>
        </w:r>
      </w:ins>
      <w:r>
        <w:t>.]</w:t>
      </w:r>
    </w:p>
    <w:p>
      <w:pPr>
        <w:pStyle w:val="Heading5"/>
      </w:pPr>
      <w:bookmarkStart w:id="89" w:name="_Toc484947038"/>
      <w:bookmarkStart w:id="90" w:name="_Toc22697750"/>
      <w:bookmarkStart w:id="91" w:name="_Toc22697825"/>
      <w:bookmarkStart w:id="92" w:name="_Toc234139447"/>
      <w:bookmarkStart w:id="93" w:name="_Toc330806246"/>
      <w:bookmarkStart w:id="94" w:name="_Toc323644317"/>
      <w:r>
        <w:rPr>
          <w:rStyle w:val="CharSectno"/>
        </w:rPr>
        <w:t>7</w:t>
      </w:r>
      <w:r>
        <w:t>.</w:t>
      </w:r>
      <w:r>
        <w:tab/>
        <w:t>Calculation of amounts</w:t>
      </w:r>
      <w:bookmarkEnd w:id="89"/>
      <w:bookmarkEnd w:id="90"/>
      <w:bookmarkEnd w:id="91"/>
      <w:bookmarkEnd w:id="92"/>
      <w:bookmarkEnd w:id="93"/>
      <w:bookmarkEnd w:id="9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5" w:name="_Toc234139448"/>
      <w:bookmarkStart w:id="96" w:name="_Toc238528506"/>
      <w:bookmarkStart w:id="97" w:name="_Toc238528586"/>
      <w:bookmarkStart w:id="98" w:name="_Toc238529198"/>
      <w:bookmarkStart w:id="99" w:name="_Toc238969832"/>
      <w:bookmarkStart w:id="100" w:name="_Toc238973696"/>
      <w:bookmarkStart w:id="101" w:name="_Toc238973809"/>
      <w:bookmarkStart w:id="102" w:name="_Toc240447154"/>
      <w:bookmarkStart w:id="103" w:name="_Toc257298703"/>
      <w:bookmarkStart w:id="104" w:name="_Toc257298855"/>
      <w:bookmarkStart w:id="105" w:name="_Toc299707805"/>
      <w:bookmarkStart w:id="106" w:name="_Toc299707878"/>
      <w:bookmarkStart w:id="107" w:name="_Toc300302305"/>
      <w:bookmarkStart w:id="108" w:name="_Toc323644318"/>
      <w:bookmarkStart w:id="109" w:name="_Toc330804669"/>
      <w:bookmarkStart w:id="110" w:name="_Toc330806247"/>
      <w:r>
        <w:rPr>
          <w:rStyle w:val="CharSchNo"/>
        </w:rPr>
        <w:t>Schedule 1</w:t>
      </w:r>
      <w:r>
        <w:t xml:space="preserve"> — </w:t>
      </w:r>
      <w:r>
        <w:rPr>
          <w:rStyle w:val="CharSchText"/>
        </w:rPr>
        <w:t>Tariff caps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pPr>
      <w:r>
        <w:t>[r. 5(2)]</w:t>
      </w:r>
    </w:p>
    <w:p>
      <w:pPr>
        <w:pStyle w:val="yHeading2"/>
      </w:pPr>
      <w:bookmarkStart w:id="111" w:name="_Toc234139449"/>
      <w:bookmarkStart w:id="112" w:name="_Toc238528507"/>
      <w:bookmarkStart w:id="113" w:name="_Toc238528587"/>
      <w:bookmarkStart w:id="114" w:name="_Toc238529199"/>
      <w:bookmarkStart w:id="115" w:name="_Toc238969833"/>
      <w:bookmarkStart w:id="116" w:name="_Toc238973697"/>
      <w:bookmarkStart w:id="117" w:name="_Toc238973810"/>
      <w:bookmarkStart w:id="118" w:name="_Toc240447155"/>
      <w:bookmarkStart w:id="119" w:name="_Toc257298704"/>
      <w:bookmarkStart w:id="120" w:name="_Toc257298856"/>
      <w:bookmarkStart w:id="121" w:name="_Toc299707806"/>
      <w:bookmarkStart w:id="122" w:name="_Toc299707879"/>
      <w:bookmarkStart w:id="123" w:name="_Toc300302306"/>
      <w:bookmarkStart w:id="124" w:name="_Toc323644319"/>
      <w:bookmarkStart w:id="125" w:name="_Toc330804670"/>
      <w:bookmarkStart w:id="126" w:name="_Toc330806248"/>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Heading5"/>
      </w:pPr>
      <w:bookmarkStart w:id="127" w:name="_Toc484947040"/>
      <w:bookmarkStart w:id="128" w:name="_Toc234139450"/>
      <w:bookmarkStart w:id="129" w:name="_Toc330806249"/>
      <w:bookmarkStart w:id="130" w:name="_Toc323644320"/>
      <w:r>
        <w:rPr>
          <w:rStyle w:val="CharSClsNo"/>
        </w:rPr>
        <w:t>1</w:t>
      </w:r>
      <w:r>
        <w:t>.</w:t>
      </w:r>
      <w:r>
        <w:tab/>
        <w:t>Residential tariff</w:t>
      </w:r>
      <w:bookmarkEnd w:id="127"/>
      <w:bookmarkEnd w:id="128"/>
      <w:bookmarkEnd w:id="129"/>
      <w:bookmarkEnd w:id="130"/>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131" w:name="_Hlt471891727"/>
      <w:bookmarkStart w:id="132" w:name="_Hlt472825911"/>
      <w:bookmarkEnd w:id="131"/>
      <w:r>
        <w:t>4</w:t>
      </w:r>
      <w:bookmarkEnd w:id="132"/>
      <w:r>
        <w:t>.</w:t>
      </w:r>
    </w:p>
    <w:p>
      <w:pPr>
        <w:pStyle w:val="yTHeadingNAm"/>
      </w:pPr>
      <w:bookmarkStart w:id="133"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18.54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r>
              <w:t>12.79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r>
              <w:t>11.54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r>
              <w:t>11.54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 1 May 2012 p. 1841-2.]</w:t>
      </w:r>
    </w:p>
    <w:p>
      <w:pPr>
        <w:pStyle w:val="yHeading5"/>
      </w:pPr>
      <w:bookmarkStart w:id="134" w:name="_Toc234139451"/>
      <w:bookmarkStart w:id="135" w:name="_Toc330806250"/>
      <w:bookmarkStart w:id="136" w:name="_Toc323644321"/>
      <w:r>
        <w:rPr>
          <w:rStyle w:val="CharSClsNo"/>
        </w:rPr>
        <w:t>2</w:t>
      </w:r>
      <w:r>
        <w:t>.</w:t>
      </w:r>
      <w:r>
        <w:tab/>
        <w:t>Non</w:t>
      </w:r>
      <w:r>
        <w:noBreakHyphen/>
        <w:t>residential tariff</w:t>
      </w:r>
      <w:bookmarkEnd w:id="133"/>
      <w:bookmarkEnd w:id="134"/>
      <w:bookmarkEnd w:id="135"/>
      <w:bookmarkEnd w:id="136"/>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16.13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11.66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9.34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w:t>
      </w:r>
    </w:p>
    <w:p>
      <w:pPr>
        <w:pStyle w:val="yHeading2"/>
      </w:pPr>
      <w:bookmarkStart w:id="137" w:name="_Toc234139452"/>
      <w:bookmarkStart w:id="138" w:name="_Toc238528510"/>
      <w:bookmarkStart w:id="139" w:name="_Toc238528590"/>
      <w:bookmarkStart w:id="140" w:name="_Toc238529202"/>
      <w:bookmarkStart w:id="141" w:name="_Toc238969836"/>
      <w:bookmarkStart w:id="142" w:name="_Toc238973700"/>
      <w:bookmarkStart w:id="143" w:name="_Toc238973813"/>
      <w:bookmarkStart w:id="144" w:name="_Toc240447158"/>
      <w:bookmarkStart w:id="145" w:name="_Toc257298707"/>
      <w:bookmarkStart w:id="146" w:name="_Toc257298859"/>
      <w:bookmarkStart w:id="147" w:name="_Toc299707809"/>
      <w:bookmarkStart w:id="148" w:name="_Toc299707882"/>
      <w:bookmarkStart w:id="149" w:name="_Toc300302309"/>
      <w:bookmarkStart w:id="150" w:name="_Toc323644322"/>
      <w:bookmarkStart w:id="151" w:name="_Toc330804673"/>
      <w:bookmarkStart w:id="152" w:name="_Toc330806251"/>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Heading5"/>
      </w:pPr>
      <w:bookmarkStart w:id="153" w:name="_Toc484947042"/>
      <w:bookmarkStart w:id="154" w:name="_Toc234139453"/>
      <w:bookmarkStart w:id="155" w:name="_Toc330806252"/>
      <w:bookmarkStart w:id="156" w:name="_Toc323644323"/>
      <w:r>
        <w:rPr>
          <w:rStyle w:val="CharSClsNo"/>
        </w:rPr>
        <w:t>3</w:t>
      </w:r>
      <w:r>
        <w:t>.</w:t>
      </w:r>
      <w:r>
        <w:tab/>
        <w:t>Residential tariff</w:t>
      </w:r>
      <w:bookmarkEnd w:id="153"/>
      <w:bookmarkEnd w:id="154"/>
      <w:bookmarkEnd w:id="155"/>
      <w:bookmarkEnd w:id="156"/>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57"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for premises other than those described in paragraph (b) — 20.02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t>20.02 cents per day for the first dwelling</w:t>
            </w:r>
          </w:p>
          <w:p>
            <w:pPr>
              <w:pStyle w:val="yTableNAm"/>
              <w:tabs>
                <w:tab w:val="clear" w:pos="567"/>
                <w:tab w:val="left" w:pos="438"/>
                <w:tab w:val="left" w:pos="678"/>
              </w:tabs>
              <w:ind w:left="678" w:hanging="678"/>
            </w:pPr>
            <w:r>
              <w:tab/>
              <w:t>•</w:t>
            </w:r>
            <w:r>
              <w:tab/>
              <w:t>9.99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3 amended in Gazette 18 Oct 2002 p. 5224; 30 Jun 2008 p. 3134; 30 Jun 2009 p. 2672; 26 Mar 2010 p. 1144; 29 Jul 2011 p. 3131; 1 May 2012 p. 1842-3.]</w:t>
      </w:r>
    </w:p>
    <w:p>
      <w:pPr>
        <w:pStyle w:val="yHeading5"/>
      </w:pPr>
      <w:bookmarkStart w:id="158" w:name="_Toc234139454"/>
      <w:bookmarkStart w:id="159" w:name="_Toc330806253"/>
      <w:bookmarkStart w:id="160" w:name="_Toc323644324"/>
      <w:r>
        <w:rPr>
          <w:rStyle w:val="CharSClsNo"/>
        </w:rPr>
        <w:t>4</w:t>
      </w:r>
      <w:r>
        <w:t>.</w:t>
      </w:r>
      <w:r>
        <w:tab/>
        <w:t>Non</w:t>
      </w:r>
      <w:r>
        <w:noBreakHyphen/>
        <w:t>residential tariff</w:t>
      </w:r>
      <w:bookmarkEnd w:id="157"/>
      <w:bookmarkEnd w:id="158"/>
      <w:bookmarkEnd w:id="159"/>
      <w:bookmarkEnd w:id="16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20.02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4 amended in Gazette 18 Oct 2002 p. 5224; 30 Jun 2008 p. 3135; 30 Jun 2009 p. 2672; 26 Mar 2010 p. 1144; 29 Jul 2011 p. 3132; 1 May 2012 p. 1843.]</w:t>
      </w:r>
    </w:p>
    <w:p>
      <w:pPr>
        <w:pStyle w:val="yHeading2"/>
        <w:rPr>
          <w:rStyle w:val="CharPartText"/>
        </w:rPr>
      </w:pPr>
      <w:bookmarkStart w:id="161" w:name="_Toc234139455"/>
      <w:bookmarkStart w:id="162" w:name="_Toc238528513"/>
      <w:bookmarkStart w:id="163" w:name="_Toc238528593"/>
      <w:bookmarkStart w:id="164" w:name="_Toc238529205"/>
      <w:bookmarkStart w:id="165" w:name="_Toc238969839"/>
      <w:bookmarkStart w:id="166" w:name="_Toc238973703"/>
      <w:bookmarkStart w:id="167" w:name="_Toc238973816"/>
      <w:bookmarkStart w:id="168" w:name="_Toc240447161"/>
      <w:bookmarkStart w:id="169" w:name="_Toc257298710"/>
      <w:bookmarkStart w:id="170" w:name="_Toc257298862"/>
      <w:bookmarkStart w:id="171" w:name="_Toc299707812"/>
      <w:bookmarkStart w:id="172" w:name="_Toc299707885"/>
      <w:bookmarkStart w:id="173" w:name="_Toc300302312"/>
      <w:bookmarkStart w:id="174" w:name="_Toc323644325"/>
      <w:bookmarkStart w:id="175" w:name="_Toc330804676"/>
      <w:bookmarkStart w:id="176" w:name="_Toc330806254"/>
      <w:r>
        <w:rPr>
          <w:rStyle w:val="CharSDivNo"/>
          <w:sz w:val="28"/>
        </w:rPr>
        <w:t>Part 3</w:t>
      </w:r>
      <w:r>
        <w:t xml:space="preserve"> — </w:t>
      </w:r>
      <w:r>
        <w:rPr>
          <w:rStyle w:val="CharSDivText"/>
          <w:sz w:val="28"/>
        </w:rPr>
        <w:t>Kalgoorlie</w:t>
      </w:r>
      <w:r>
        <w:rPr>
          <w:rStyle w:val="CharSDivText"/>
          <w:sz w:val="28"/>
        </w:rPr>
        <w:noBreakHyphen/>
        <w:t>Boulder area</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Heading5"/>
      </w:pPr>
      <w:bookmarkStart w:id="177" w:name="_Toc484947044"/>
      <w:bookmarkStart w:id="178" w:name="_Toc234139456"/>
      <w:bookmarkStart w:id="179" w:name="_Toc330806255"/>
      <w:bookmarkStart w:id="180" w:name="_Toc323644326"/>
      <w:r>
        <w:rPr>
          <w:rStyle w:val="CharSClsNo"/>
        </w:rPr>
        <w:t>5</w:t>
      </w:r>
      <w:r>
        <w:t>.</w:t>
      </w:r>
      <w:r>
        <w:tab/>
        <w:t>Residential tariff</w:t>
      </w:r>
      <w:bookmarkEnd w:id="177"/>
      <w:bookmarkEnd w:id="178"/>
      <w:bookmarkEnd w:id="179"/>
      <w:bookmarkEnd w:id="180"/>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81"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41.68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t>11.89 cents per unit</w:t>
            </w:r>
          </w:p>
        </w:tc>
      </w:tr>
    </w:tbl>
    <w:p>
      <w:pPr>
        <w:pStyle w:val="yFootnotesection"/>
      </w:pPr>
      <w:r>
        <w:tab/>
        <w:t>[Clause 5 amended in Gazette 18 Oct 2002 p. 5224</w:t>
      </w:r>
      <w:r>
        <w:noBreakHyphen/>
        <w:t>5; 30 Jun 2008 p. 3135; 30 Jun 2009 p. 2672; 26 Mar 2010 p. 1144; 29 Jul 2011 p. 3132; 1 May 2012 p. 1843.]</w:t>
      </w:r>
    </w:p>
    <w:p>
      <w:pPr>
        <w:pStyle w:val="yHeading5"/>
      </w:pPr>
      <w:bookmarkStart w:id="182" w:name="_Toc234139457"/>
      <w:bookmarkStart w:id="183" w:name="_Toc330806256"/>
      <w:bookmarkStart w:id="184" w:name="_Toc323644327"/>
      <w:r>
        <w:rPr>
          <w:rStyle w:val="CharSClsNo"/>
        </w:rPr>
        <w:t>6</w:t>
      </w:r>
      <w:r>
        <w:t>.</w:t>
      </w:r>
      <w:r>
        <w:tab/>
        <w:t>Non</w:t>
      </w:r>
      <w:r>
        <w:noBreakHyphen/>
        <w:t>residential tariff</w:t>
      </w:r>
      <w:bookmarkEnd w:id="181"/>
      <w:bookmarkEnd w:id="182"/>
      <w:bookmarkEnd w:id="183"/>
      <w:bookmarkEnd w:id="184"/>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85" w:name="_Hlt476483918"/>
      <w:bookmarkStart w:id="186" w:name="_Hlt472154491"/>
      <w:bookmarkStart w:id="187" w:name="endcomma"/>
      <w:bookmarkStart w:id="188" w:name="comma"/>
      <w:bookmarkStart w:id="189" w:name="_Hlt476707899"/>
      <w:bookmarkStart w:id="190" w:name="_Hlt471891715"/>
      <w:bookmarkStart w:id="191" w:name="_Hlt472129258"/>
      <w:bookmarkStart w:id="192" w:name="_Hlt472129337"/>
      <w:bookmarkStart w:id="193" w:name="_Hlt476483916"/>
      <w:bookmarkStart w:id="194" w:name="_Hlt476572447"/>
      <w:bookmarkEnd w:id="185"/>
      <w:bookmarkEnd w:id="186"/>
      <w:bookmarkEnd w:id="187"/>
      <w:bookmarkEnd w:id="188"/>
      <w:bookmarkEnd w:id="189"/>
      <w:bookmarkEnd w:id="190"/>
      <w:bookmarkEnd w:id="191"/>
      <w:bookmarkEnd w:id="192"/>
      <w:bookmarkEnd w:id="193"/>
      <w:bookmarkEnd w:id="194"/>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41.49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10.59 cents per unit</w:t>
            </w:r>
          </w:p>
        </w:tc>
      </w:tr>
    </w:tbl>
    <w:p>
      <w:pPr>
        <w:pStyle w:val="yFootnotesection"/>
      </w:pPr>
      <w:r>
        <w:tab/>
        <w:t>[Clause 6 amended in Gazette 18 Oct 2002 p. 5224</w:t>
      </w:r>
      <w:r>
        <w:noBreakHyphen/>
        <w:t>5; 30 Jun 2008 p. 3135; 30 Jun 2009 p. 2673; 26 Mar 2010 p. 1145; 29 Jul 2011 p. 3132; 1 May 2012 p. 1844.]</w:t>
      </w:r>
    </w:p>
    <w:p>
      <w:pPr>
        <w:pStyle w:val="yHeading2"/>
      </w:pPr>
      <w:bookmarkStart w:id="195" w:name="_Toc234139458"/>
      <w:bookmarkStart w:id="196" w:name="_Toc238528516"/>
      <w:bookmarkStart w:id="197" w:name="_Toc238528596"/>
      <w:bookmarkStart w:id="198" w:name="_Toc238529208"/>
      <w:bookmarkStart w:id="199" w:name="_Toc238969842"/>
      <w:bookmarkStart w:id="200" w:name="_Toc238973706"/>
      <w:bookmarkStart w:id="201" w:name="_Toc238973819"/>
      <w:bookmarkStart w:id="202" w:name="_Toc240447164"/>
      <w:bookmarkStart w:id="203" w:name="_Toc257298713"/>
      <w:bookmarkStart w:id="204" w:name="_Toc257298865"/>
      <w:bookmarkStart w:id="205" w:name="_Toc299707815"/>
      <w:bookmarkStart w:id="206" w:name="_Toc299707888"/>
      <w:bookmarkStart w:id="207" w:name="_Toc300302315"/>
      <w:bookmarkStart w:id="208" w:name="_Toc323644328"/>
      <w:bookmarkStart w:id="209" w:name="_Toc330804679"/>
      <w:bookmarkStart w:id="210" w:name="_Toc330806257"/>
      <w:r>
        <w:rPr>
          <w:rStyle w:val="CharSDivNo"/>
          <w:sz w:val="28"/>
        </w:rPr>
        <w:t>Part 4</w:t>
      </w:r>
      <w:r>
        <w:rPr>
          <w:b w:val="0"/>
        </w:rPr>
        <w:t> </w:t>
      </w:r>
      <w:r>
        <w:t>—</w:t>
      </w:r>
      <w:r>
        <w:rPr>
          <w:b w:val="0"/>
        </w:rPr>
        <w:t> </w:t>
      </w:r>
      <w:r>
        <w:rPr>
          <w:rStyle w:val="CharSDivText"/>
          <w:sz w:val="28"/>
        </w:rPr>
        <w:t>Adjustment of certain tariff caps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Footnoteheading"/>
        <w:keepNext/>
      </w:pPr>
      <w:bookmarkStart w:id="211" w:name="_Toc234139459"/>
      <w:r>
        <w:tab/>
        <w:t>[Heading inserted in Gazette 18 Oct 2002 p. 5225.]</w:t>
      </w:r>
    </w:p>
    <w:p>
      <w:pPr>
        <w:pStyle w:val="yHeading5"/>
      </w:pPr>
      <w:bookmarkStart w:id="212" w:name="_Toc330806258"/>
      <w:bookmarkStart w:id="213" w:name="_Toc323644329"/>
      <w:r>
        <w:rPr>
          <w:rStyle w:val="CharSClsNo"/>
        </w:rPr>
        <w:t>7</w:t>
      </w:r>
      <w:r>
        <w:t>.</w:t>
      </w:r>
      <w:r>
        <w:tab/>
        <w:t>Term used: CPI number</w:t>
      </w:r>
      <w:bookmarkEnd w:id="211"/>
      <w:bookmarkEnd w:id="212"/>
      <w:bookmarkEnd w:id="213"/>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214" w:name="_Toc234139460"/>
      <w:r>
        <w:tab/>
        <w:t>[Clause 7 inserted in Gazette 18 Oct 2002 p. 5225.]</w:t>
      </w:r>
    </w:p>
    <w:p>
      <w:pPr>
        <w:pStyle w:val="yHeading5"/>
      </w:pPr>
      <w:bookmarkStart w:id="215" w:name="_Toc330806259"/>
      <w:bookmarkStart w:id="216" w:name="_Toc323644330"/>
      <w:r>
        <w:rPr>
          <w:rStyle w:val="CharSClsNo"/>
        </w:rPr>
        <w:t>8</w:t>
      </w:r>
      <w:r>
        <w:t>.</w:t>
      </w:r>
      <w:r>
        <w:tab/>
      </w:r>
      <w:bookmarkEnd w:id="214"/>
      <w:r>
        <w:t>General adjustment for 2013/2014 financial year and subsequent financial years</w:t>
      </w:r>
      <w:bookmarkEnd w:id="215"/>
      <w:bookmarkEnd w:id="216"/>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rPr>
          <w:del w:id="217" w:author="Master Repository Process" w:date="2021-08-01T11:57:00Z"/>
        </w:rPr>
      </w:pPr>
      <w:del w:id="218" w:author="Master Repository Process" w:date="2021-08-01T11:57:00Z">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20" o:title=""/>
            </v:shape>
          </w:pict>
        </w:r>
      </w:del>
    </w:p>
    <w:p>
      <w:pPr>
        <w:pStyle w:val="Equation"/>
        <w:spacing w:before="80"/>
        <w:jc w:val="center"/>
        <w:rPr>
          <w:ins w:id="219" w:author="Master Repository Process" w:date="2021-08-01T11:57:00Z"/>
        </w:rPr>
      </w:pPr>
      <w:ins w:id="220" w:author="Master Repository Process" w:date="2021-08-01T11:57:00Z">
        <w:r>
          <w:rPr>
            <w:position w:val="-32"/>
          </w:rPr>
          <w:pict>
            <v:shape id="_x0000_i1026" type="#_x0000_t75" style="width:103.5pt;height:38.25pt">
              <v:imagedata r:id="rId20" o:title=""/>
            </v:shape>
          </w:pict>
        </w:r>
      </w:ins>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 1 May 2012 p. 1844.]</w:t>
      </w:r>
    </w:p>
    <w:p>
      <w:pPr>
        <w:pStyle w:val="yHeading5"/>
      </w:pPr>
      <w:bookmarkStart w:id="221" w:name="_Toc234139461"/>
      <w:bookmarkStart w:id="222" w:name="_Toc330806260"/>
      <w:bookmarkStart w:id="223" w:name="_Toc323644331"/>
      <w:r>
        <w:rPr>
          <w:rStyle w:val="CharSClsNo"/>
        </w:rPr>
        <w:t>9</w:t>
      </w:r>
      <w:r>
        <w:t>.</w:t>
      </w:r>
      <w:r>
        <w:tab/>
        <w:t>Special adjustment for residential tariffs in Mid</w:t>
      </w:r>
      <w:r>
        <w:noBreakHyphen/>
        <w:t>West/South</w:t>
      </w:r>
      <w:r>
        <w:noBreakHyphen/>
        <w:t>West area</w:t>
      </w:r>
      <w:bookmarkEnd w:id="221"/>
      <w:bookmarkEnd w:id="222"/>
      <w:bookmarkEnd w:id="223"/>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pict>
          <v:shape id="_x0000_i1027" type="#_x0000_t75" style="width:135.75pt;height:38.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 1 May 2012 p. 1844.]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4" w:name="_Toc202505226"/>
      <w:bookmarkStart w:id="225" w:name="_Toc234139462"/>
      <w:bookmarkStart w:id="226" w:name="_Toc238528520"/>
      <w:bookmarkStart w:id="227" w:name="_Toc238528600"/>
      <w:bookmarkStart w:id="228" w:name="_Toc238529212"/>
      <w:bookmarkStart w:id="229" w:name="_Toc238969846"/>
      <w:bookmarkStart w:id="230" w:name="_Toc238973710"/>
      <w:bookmarkStart w:id="231" w:name="_Toc238973823"/>
      <w:bookmarkStart w:id="232" w:name="_Toc240447168"/>
      <w:bookmarkStart w:id="233" w:name="_Toc257298717"/>
      <w:bookmarkStart w:id="234" w:name="_Toc257298869"/>
      <w:bookmarkStart w:id="235" w:name="_Toc299707819"/>
      <w:bookmarkStart w:id="236" w:name="_Toc299707892"/>
      <w:bookmarkStart w:id="237" w:name="_Toc300302319"/>
      <w:bookmarkStart w:id="238" w:name="_Toc323644332"/>
      <w:bookmarkStart w:id="239" w:name="_Toc330804683"/>
      <w:bookmarkStart w:id="240" w:name="_Toc330806261"/>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41" w:name="_Toc330806262"/>
      <w:bookmarkStart w:id="242" w:name="_Toc323644333"/>
      <w:r>
        <w:t>Compilation table</w:t>
      </w:r>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Pr>
          <w:p>
            <w:pPr>
              <w:pStyle w:val="nTable"/>
              <w:spacing w:after="40"/>
              <w:rPr>
                <w:i/>
                <w:sz w:val="19"/>
              </w:rPr>
            </w:pPr>
            <w:r>
              <w:rPr>
                <w:i/>
                <w:sz w:val="19"/>
              </w:rPr>
              <w:t>Energy Coordination (Gas Tariffs) Amendment Regulations (No. 2) 2012</w:t>
            </w:r>
          </w:p>
        </w:tc>
        <w:tc>
          <w:tcPr>
            <w:tcW w:w="1276" w:type="dxa"/>
          </w:tcPr>
          <w:p>
            <w:pPr>
              <w:pStyle w:val="nTable"/>
              <w:spacing w:after="40"/>
              <w:rPr>
                <w:sz w:val="19"/>
              </w:rPr>
            </w:pPr>
            <w:r>
              <w:rPr>
                <w:sz w:val="19"/>
              </w:rPr>
              <w:t>1 May 2012 p. 1841-4</w:t>
            </w:r>
          </w:p>
        </w:tc>
        <w:tc>
          <w:tcPr>
            <w:tcW w:w="2693" w:type="dxa"/>
          </w:tcPr>
          <w:p>
            <w:pPr>
              <w:pStyle w:val="nTable"/>
              <w:spacing w:after="40"/>
              <w:rPr>
                <w:sz w:val="19"/>
              </w:rPr>
            </w:pPr>
            <w:r>
              <w:rPr>
                <w:sz w:val="19"/>
              </w:rPr>
              <w:t>r. 1 and 2: 1 May 2012 (see r. 2(a));</w:t>
            </w:r>
            <w:r>
              <w:rPr>
                <w:sz w:val="19"/>
              </w:rPr>
              <w:br/>
              <w:t>Regulations other than r. 1 and 2: 1 May 2012 (see r. 2(b))</w:t>
            </w:r>
          </w:p>
        </w:tc>
      </w:tr>
      <w:tr>
        <w:trPr>
          <w:ins w:id="243" w:author="Master Repository Process" w:date="2021-08-01T11:57:00Z"/>
        </w:trPr>
        <w:tc>
          <w:tcPr>
            <w:tcW w:w="3118" w:type="dxa"/>
            <w:tcBorders>
              <w:bottom w:val="single" w:sz="4" w:space="0" w:color="auto"/>
            </w:tcBorders>
          </w:tcPr>
          <w:p>
            <w:pPr>
              <w:pStyle w:val="nTable"/>
              <w:spacing w:after="40"/>
              <w:rPr>
                <w:ins w:id="244" w:author="Master Repository Process" w:date="2021-08-01T11:57:00Z"/>
                <w:i/>
                <w:sz w:val="19"/>
              </w:rPr>
            </w:pPr>
            <w:ins w:id="245" w:author="Master Repository Process" w:date="2021-08-01T11:57:00Z">
              <w:r>
                <w:rPr>
                  <w:i/>
                  <w:sz w:val="19"/>
                </w:rPr>
                <w:t>Energy Coordination (Gas Tariffs) Amendment Regulations 2012</w:t>
              </w:r>
            </w:ins>
          </w:p>
        </w:tc>
        <w:tc>
          <w:tcPr>
            <w:tcW w:w="1276" w:type="dxa"/>
            <w:tcBorders>
              <w:bottom w:val="single" w:sz="4" w:space="0" w:color="auto"/>
            </w:tcBorders>
          </w:tcPr>
          <w:p>
            <w:pPr>
              <w:pStyle w:val="nTable"/>
              <w:spacing w:after="40"/>
              <w:rPr>
                <w:ins w:id="246" w:author="Master Repository Process" w:date="2021-08-01T11:57:00Z"/>
                <w:sz w:val="19"/>
              </w:rPr>
            </w:pPr>
            <w:ins w:id="247" w:author="Master Repository Process" w:date="2021-08-01T11:57:00Z">
              <w:r>
                <w:rPr>
                  <w:sz w:val="19"/>
                </w:rPr>
                <w:t>24 Jul 2012 p. 3392</w:t>
              </w:r>
              <w:r>
                <w:rPr>
                  <w:sz w:val="19"/>
                </w:rPr>
                <w:noBreakHyphen/>
                <w:t>3</w:t>
              </w:r>
            </w:ins>
          </w:p>
        </w:tc>
        <w:tc>
          <w:tcPr>
            <w:tcW w:w="2693" w:type="dxa"/>
            <w:tcBorders>
              <w:bottom w:val="single" w:sz="4" w:space="0" w:color="auto"/>
            </w:tcBorders>
          </w:tcPr>
          <w:p>
            <w:pPr>
              <w:pStyle w:val="nTable"/>
              <w:spacing w:after="40"/>
              <w:rPr>
                <w:ins w:id="248" w:author="Master Repository Process" w:date="2021-08-01T11:57:00Z"/>
                <w:sz w:val="19"/>
              </w:rPr>
            </w:pPr>
            <w:ins w:id="249" w:author="Master Repository Process" w:date="2021-08-01T11:57:00Z">
              <w:r>
                <w:rPr>
                  <w:sz w:val="19"/>
                </w:rPr>
                <w:t>r. 1 and 2: 24 Jul 2012 (see r. 2(a));</w:t>
              </w:r>
              <w:r>
                <w:rPr>
                  <w:sz w:val="19"/>
                </w:rPr>
                <w:br/>
                <w:t>Regulations other than r. 1 and 2: 25 Jul 2012 (see r. 2(b))</w:t>
              </w:r>
            </w:ins>
          </w:p>
        </w:tc>
      </w:tr>
    </w:tbl>
    <w:p>
      <w:pPr>
        <w:rPr>
          <w:iCs/>
        </w:rPr>
      </w:pPr>
    </w:p>
    <w:p>
      <w:pPr>
        <w:rPr>
          <w:i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116"/>
    <w:docVar w:name="WAFER_20151207123116" w:val="RemoveTrackChanges"/>
    <w:docVar w:name="WAFER_20151207123116_GUID" w:val="050242c4-9d17-494e-af9d-15b16a7f6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9DEA2AE-C329-4811-818F-DCF7D126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2712</Words>
  <Characters>12423</Characters>
  <Application>Microsoft Office Word</Application>
  <DocSecurity>0</DocSecurity>
  <Lines>400</Lines>
  <Paragraphs>240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Energy Coordination (Gas Tariffs) Regulations 2000</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01-d0-02 - 01-e0-02</dc:title>
  <dc:subject/>
  <dc:creator/>
  <cp:keywords/>
  <dc:description/>
  <cp:lastModifiedBy>Master Repository Process</cp:lastModifiedBy>
  <cp:revision>2</cp:revision>
  <cp:lastPrinted>2009-09-11T07:46:00Z</cp:lastPrinted>
  <dcterms:created xsi:type="dcterms:W3CDTF">2021-08-01T03:57:00Z</dcterms:created>
  <dcterms:modified xsi:type="dcterms:W3CDTF">2021-08-01T03:57:00Z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20120725</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01 May 2012</vt:lpwstr>
  </property>
  <property fmtid="{D5CDD505-2E9C-101B-9397-08002B2CF9AE}" pid="9" name="ToSuffix">
    <vt:lpwstr>01-e0-02</vt:lpwstr>
  </property>
  <property fmtid="{D5CDD505-2E9C-101B-9397-08002B2CF9AE}" pid="10" name="ToAsAtDate">
    <vt:lpwstr>25 Jul 2012</vt:lpwstr>
  </property>
</Properties>
</file>