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(Charges) By-laws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06-e0-02</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06-f0-02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Water Agencies (Powers) Act 1984</w:t>
      </w:r>
    </w:p>
    <w:p>
      <w:pPr>
        <w:pStyle w:val="NameofActReg"/>
        <w:spacing w:before="600" w:after="720"/>
      </w:pPr>
      <w:r>
        <w:t>Water Agencies (Charges) By</w:t>
      </w:r>
      <w:r>
        <w:noBreakHyphen/>
        <w:t>laws 1987</w:t>
      </w:r>
    </w:p>
    <w:p>
      <w:pPr>
        <w:pStyle w:val="Heading5"/>
        <w:spacing w:before="160"/>
        <w:rPr>
          <w:snapToGrid w:val="0"/>
        </w:rPr>
      </w:pPr>
      <w:bookmarkStart w:id="0" w:name="_Toc84427924"/>
      <w:bookmarkStart w:id="1" w:name="_Toc487428937"/>
      <w:bookmarkStart w:id="2" w:name="_Toc17278645"/>
      <w:bookmarkStart w:id="3" w:name="_Toc180204742"/>
      <w:bookmarkStart w:id="4" w:name="_Toc328471418"/>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6" w:name="_Toc487428938"/>
      <w:bookmarkStart w:id="7" w:name="_Toc17278646"/>
      <w:bookmarkStart w:id="8" w:name="_Toc84427925"/>
      <w:bookmarkStart w:id="9" w:name="_Toc180204743"/>
      <w:bookmarkStart w:id="10" w:name="_Toc328471419"/>
      <w:r>
        <w:rPr>
          <w:rStyle w:val="CharSectno"/>
        </w:rPr>
        <w:t>2</w:t>
      </w:r>
      <w:r>
        <w:rPr>
          <w:snapToGrid w:val="0"/>
        </w:rPr>
        <w:t>.</w:t>
      </w:r>
      <w:r>
        <w:rPr>
          <w:snapToGrid w:val="0"/>
        </w:rPr>
        <w:tab/>
      </w:r>
      <w:bookmarkEnd w:id="6"/>
      <w:bookmarkEnd w:id="7"/>
      <w:r>
        <w:rPr>
          <w:snapToGrid w:val="0"/>
        </w:rPr>
        <w:t>Terms used</w:t>
      </w:r>
      <w:bookmarkEnd w:id="8"/>
      <w:bookmarkEnd w:id="9"/>
      <w:bookmarkEnd w:id="10"/>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aged home</w:t>
      </w:r>
      <w:r>
        <w:t xml:space="preserve"> means an institution that, in the opinion of the Corporation — </w:t>
      </w:r>
    </w:p>
    <w:p>
      <w:pPr>
        <w:pStyle w:val="Defpara"/>
      </w:pPr>
      <w:r>
        <w:tab/>
        <w:t>(a)</w:t>
      </w:r>
      <w:r>
        <w:tab/>
        <w:t>provides accommodation for aged persons; and</w:t>
      </w:r>
    </w:p>
    <w:p>
      <w:pPr>
        <w:pStyle w:val="Defpara"/>
      </w:pPr>
      <w:r>
        <w:tab/>
        <w:t>(b)</w:t>
      </w:r>
      <w:r>
        <w:tab/>
        <w:t>is not operated for the purpose of profit or gain;</w:t>
      </w:r>
    </w:p>
    <w:p>
      <w:pPr>
        <w:pStyle w:val="Defstart"/>
      </w:pPr>
      <w:r>
        <w:rPr>
          <w:b/>
        </w:rPr>
        <w:tab/>
      </w:r>
      <w:r>
        <w:rPr>
          <w:rStyle w:val="CharDefText"/>
        </w:rPr>
        <w:t>caravan bay</w:t>
      </w:r>
      <w:r>
        <w:t xml:space="preserve"> means </w:t>
      </w:r>
      <w:r>
        <w:rPr>
          <w:rStyle w:val="CharDefText"/>
        </w:rPr>
        <w:t>site</w:t>
      </w:r>
      <w:r>
        <w:t xml:space="preserve"> as that word is defined in the </w:t>
      </w:r>
      <w:r>
        <w:rPr>
          <w:i/>
        </w:rPr>
        <w:t>Caravan Parks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pPr>
      <w:r>
        <w:rPr>
          <w:b/>
        </w:rPr>
        <w:tab/>
      </w:r>
      <w:r>
        <w:rPr>
          <w:rStyle w:val="CharDefText"/>
        </w:rPr>
        <w:t>country sewerage area</w:t>
      </w:r>
      <w:r>
        <w:t xml:space="preserve"> means a sewerage area constituted under the </w:t>
      </w:r>
      <w:r>
        <w:rPr>
          <w:i/>
        </w:rPr>
        <w:t>Country Towns Sewerage Act 1948</w:t>
      </w:r>
      <w:r>
        <w:t>;</w:t>
      </w:r>
    </w:p>
    <w:p>
      <w:pPr>
        <w:pStyle w:val="Defstart"/>
      </w:pPr>
      <w:r>
        <w:rPr>
          <w:b/>
        </w:rPr>
        <w:tab/>
      </w:r>
      <w:r>
        <w:rPr>
          <w:rStyle w:val="CharDefText"/>
        </w:rPr>
        <w:t>current year</w:t>
      </w:r>
      <w:r>
        <w:t xml:space="preserve"> means the current financial year;</w:t>
      </w:r>
    </w:p>
    <w:p>
      <w:pPr>
        <w:pStyle w:val="Defstart"/>
        <w:keepNext/>
      </w:pPr>
      <w:r>
        <w:rPr>
          <w:b/>
        </w:rPr>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keepNext/>
      </w:pPr>
      <w:r>
        <w:rPr>
          <w:b/>
        </w:rPr>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pPr>
      <w:r>
        <w:tab/>
        <w:t>(a)</w:t>
      </w:r>
      <w:r>
        <w:tab/>
        <w:t xml:space="preserve">GoldCorp Australia — constituted under the </w:t>
      </w:r>
      <w:r>
        <w:rPr>
          <w:i/>
        </w:rPr>
        <w:t>Gold Corporation Act 1987</w:t>
      </w:r>
      <w:r>
        <w:t>;</w:t>
      </w:r>
    </w:p>
    <w:p>
      <w:pPr>
        <w:pStyle w:val="Defsubpara"/>
      </w:pPr>
      <w:r>
        <w:tab/>
        <w:t>(b)</w:t>
      </w:r>
      <w:r>
        <w:tab/>
        <w:t xml:space="preserve">Gold Corporation — constituted under the </w:t>
      </w:r>
      <w:r>
        <w:rPr>
          <w:i/>
        </w:rPr>
        <w:t>Gold Corporation Act 1987</w:t>
      </w:r>
      <w:r>
        <w:t>; and</w:t>
      </w:r>
    </w:p>
    <w:p>
      <w:pPr>
        <w:pStyle w:val="Defsubpara"/>
      </w:pPr>
      <w:r>
        <w:tab/>
        <w:t>(c)</w:t>
      </w:r>
      <w:r>
        <w:tab/>
        <w:t xml:space="preserve">the Perth Branch of the Royal Mint — established by proclamation under the </w:t>
      </w:r>
      <w:r>
        <w:rPr>
          <w:i/>
        </w:rPr>
        <w:t>Coinage Act 1870</w:t>
      </w:r>
      <w: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r>
      <w:r>
        <w:rPr>
          <w:rStyle w:val="CharDefText"/>
        </w:rPr>
        <w:t>GRV</w:t>
      </w:r>
      <w:r>
        <w:t>, in relation to land, means the gross rental value of the land;</w:t>
      </w:r>
    </w:p>
    <w:p>
      <w:pPr>
        <w:pStyle w:val="Defstart"/>
        <w:keepNext/>
      </w:pPr>
      <w:r>
        <w:rPr>
          <w:b/>
        </w:rPr>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keepNext/>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r>
      <w:r>
        <w:rPr>
          <w:rStyle w:val="CharDefText"/>
        </w:rPr>
        <w:t>metropolitan area</w:t>
      </w:r>
      <w:r>
        <w:t xml:space="preserve"> means Metropolitan Water, Sewerage, and Drainage Area constituted under the </w:t>
      </w:r>
      <w:r>
        <w:rPr>
          <w:i/>
        </w:rPr>
        <w:t>Metropolitan Water Supply, Sewerage, and Drainage Act 1909</w:t>
      </w:r>
      <w:r>
        <w:t>;</w:t>
      </w:r>
    </w:p>
    <w:p>
      <w:pPr>
        <w:pStyle w:val="Defstart"/>
        <w:keepNext/>
      </w:pPr>
      <w:r>
        <w:rPr>
          <w:b/>
        </w:rPr>
        <w:tab/>
      </w:r>
      <w:r>
        <w:rPr>
          <w:rStyle w:val="CharDefText"/>
        </w:rPr>
        <w:t>non</w:t>
      </w:r>
      <w:r>
        <w:rPr>
          <w:rStyle w:val="CharDefText"/>
        </w:rPr>
        <w:noBreakHyphen/>
        <w:t>commercial Government property</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t>and includes associated buildings and facilities.</w:t>
      </w:r>
    </w:p>
    <w:p>
      <w:pPr>
        <w:pStyle w:val="Defstart"/>
      </w:pPr>
      <w:r>
        <w:rPr>
          <w:b/>
        </w:rPr>
        <w:tab/>
      </w:r>
      <w:r>
        <w:rPr>
          <w:rStyle w:val="CharDefText"/>
        </w:rPr>
        <w:t>previous year</w:t>
      </w:r>
      <w:r>
        <w:t xml:space="preserve"> means the financial year immediately preceding the current year;</w:t>
      </w:r>
    </w:p>
    <w:p>
      <w:pPr>
        <w:pStyle w:val="Defstart"/>
        <w:keepNext/>
      </w:pPr>
      <w:r>
        <w:rPr>
          <w:b/>
        </w:rPr>
        <w:tab/>
      </w:r>
      <w:r>
        <w:rPr>
          <w:rStyle w:val="CharDefText"/>
        </w:rPr>
        <w:t>quantity charge</w:t>
      </w:r>
      <w:r>
        <w:t xml:space="preserve"> means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pPr>
      <w:r>
        <w:rPr>
          <w:b/>
        </w:rPr>
        <w:tab/>
      </w:r>
      <w:r>
        <w:rPr>
          <w:rStyle w:val="CharDefText"/>
        </w:rPr>
        <w:t>UV</w:t>
      </w:r>
      <w:r>
        <w:t>, in relation to land, means the unimproved value of the land;</w:t>
      </w:r>
    </w:p>
    <w:p>
      <w:pPr>
        <w:pStyle w:val="Defstart"/>
      </w:pPr>
      <w:r>
        <w:rPr>
          <w:b/>
        </w:rPr>
        <w:tab/>
      </w:r>
      <w:r>
        <w:rPr>
          <w:rStyle w:val="CharDefText"/>
        </w:rPr>
        <w:t>water supply</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r>
      <w:r>
        <w:rPr>
          <w:rStyle w:val="CharDefText"/>
        </w:rPr>
        <w:t>year</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pPr>
      <w:r>
        <w:tab/>
        <w:t>(i)</w:t>
      </w:r>
      <w:r>
        <w:tab/>
        <w:t xml:space="preserve">that relates to water supplied under the </w:t>
      </w:r>
      <w:r>
        <w:rPr>
          <w:i/>
        </w:rPr>
        <w:t>Country Areas Water Supply Act 1947</w:t>
      </w:r>
      <w: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pPr>
      <w:r>
        <w:tab/>
        <w:t>(ii)</w:t>
      </w:r>
      <w:r>
        <w:tab/>
        <w:t xml:space="preserve">that relates to water supplied under the </w:t>
      </w:r>
      <w:r>
        <w:rPr>
          <w:i/>
        </w:rPr>
        <w:t>Metropolitan Water Supply, Sewerage, and Drainage Act 1909</w:t>
      </w:r>
      <w:r>
        <w:t xml:space="preserve"> or the </w:t>
      </w:r>
      <w:r>
        <w:rPr>
          <w:i/>
        </w:rPr>
        <w:t>Metropolitan Water Authority Act 1982</w:t>
      </w:r>
      <w: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pacing w:val="-2"/>
        </w:rPr>
      </w:pPr>
      <w:r>
        <w:tab/>
        <w:t>(iii)</w:t>
      </w:r>
      <w:r>
        <w:tab/>
      </w:r>
      <w:r>
        <w:rPr>
          <w:spacing w:val="-2"/>
        </w:rPr>
        <w:t xml:space="preserve">that relates to industrial waste discharged under the </w:t>
      </w:r>
      <w:r>
        <w:rPr>
          <w:i/>
          <w:spacing w:val="-2"/>
        </w:rPr>
        <w:t>Metropolitan Water Supply, Sewerage, and Drainage Act 1909</w:t>
      </w:r>
      <w:r>
        <w:rPr>
          <w:spacing w:val="-2"/>
        </w:rPr>
        <w:t xml:space="preserve"> or the </w:t>
      </w:r>
      <w:r>
        <w:rPr>
          <w:i/>
          <w:spacing w:val="-2"/>
        </w:rPr>
        <w:t>Country Towns Sewerage Act 1948</w:t>
      </w:r>
      <w:r>
        <w:rPr>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pPr>
      <w:r>
        <w:tab/>
        <w:t>(iv)</w:t>
      </w:r>
      <w: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bookmarkStart w:id="11" w:name="_Toc91580397"/>
      <w:bookmarkStart w:id="12" w:name="_Toc103667082"/>
      <w:bookmarkStart w:id="13" w:name="_Toc103741601"/>
      <w:bookmarkStart w:id="14" w:name="_Toc107981844"/>
      <w:bookmarkStart w:id="15" w:name="_Toc118800011"/>
      <w:bookmarkStart w:id="16" w:name="_Toc118860019"/>
      <w:bookmarkStart w:id="17" w:name="_Toc121545519"/>
      <w:bookmarkStart w:id="18" w:name="_Toc121801042"/>
      <w:bookmarkStart w:id="19" w:name="_Toc121818155"/>
      <w:bookmarkStart w:id="20" w:name="_Toc121880765"/>
      <w:bookmarkStart w:id="21" w:name="_Toc129481836"/>
      <w:bookmarkStart w:id="22" w:name="_Toc130095205"/>
      <w:bookmarkStart w:id="23"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 20 Jun 2012 p. 2695</w:t>
      </w:r>
      <w:r>
        <w:noBreakHyphen/>
        <w:t>6.]</w:t>
      </w:r>
    </w:p>
    <w:p>
      <w:pPr>
        <w:pStyle w:val="Heading2"/>
      </w:pPr>
      <w:bookmarkStart w:id="24" w:name="_Toc84427926"/>
      <w:bookmarkStart w:id="25" w:name="_Toc139770942"/>
      <w:bookmarkStart w:id="26" w:name="_Toc139771320"/>
      <w:bookmarkStart w:id="27" w:name="_Toc151191535"/>
      <w:bookmarkStart w:id="28" w:name="_Toc151260428"/>
      <w:bookmarkStart w:id="29" w:name="_Toc164158533"/>
      <w:bookmarkStart w:id="30" w:name="_Toc164220905"/>
      <w:bookmarkStart w:id="31" w:name="_Toc170878864"/>
      <w:bookmarkStart w:id="32" w:name="_Toc170894617"/>
      <w:bookmarkStart w:id="33" w:name="_Toc175712583"/>
      <w:bookmarkStart w:id="34" w:name="_Toc175970524"/>
      <w:bookmarkStart w:id="35" w:name="_Toc176335243"/>
      <w:bookmarkStart w:id="36" w:name="_Toc176338818"/>
      <w:bookmarkStart w:id="37" w:name="_Toc178742843"/>
      <w:bookmarkStart w:id="38" w:name="_Toc179363266"/>
      <w:bookmarkStart w:id="39" w:name="_Toc179604335"/>
      <w:bookmarkStart w:id="40" w:name="_Toc180204528"/>
      <w:bookmarkStart w:id="41" w:name="_Toc180204744"/>
      <w:bookmarkStart w:id="42" w:name="_Toc185844489"/>
      <w:bookmarkStart w:id="43" w:name="_Toc185845109"/>
      <w:bookmarkStart w:id="44" w:name="_Toc185927074"/>
      <w:bookmarkStart w:id="45" w:name="_Toc202505821"/>
      <w:bookmarkStart w:id="46" w:name="_Toc202672607"/>
      <w:bookmarkStart w:id="47" w:name="_Toc202691698"/>
      <w:bookmarkStart w:id="48" w:name="_Toc233448320"/>
      <w:bookmarkStart w:id="49" w:name="_Toc233611634"/>
      <w:bookmarkStart w:id="50" w:name="_Toc234730641"/>
      <w:bookmarkStart w:id="51" w:name="_Toc234733167"/>
      <w:bookmarkStart w:id="52" w:name="_Toc235863904"/>
      <w:bookmarkStart w:id="53" w:name="_Toc235933379"/>
      <w:bookmarkStart w:id="54" w:name="_Toc237164367"/>
      <w:bookmarkStart w:id="55" w:name="_Toc237244250"/>
      <w:bookmarkStart w:id="56" w:name="_Toc237245551"/>
      <w:bookmarkStart w:id="57" w:name="_Toc237245682"/>
      <w:bookmarkStart w:id="58" w:name="_Toc237247790"/>
      <w:bookmarkStart w:id="59" w:name="_Toc237254093"/>
      <w:bookmarkStart w:id="60" w:name="_Toc237309512"/>
      <w:bookmarkStart w:id="61" w:name="_Toc265743451"/>
      <w:bookmarkStart w:id="62" w:name="_Toc297540709"/>
      <w:bookmarkStart w:id="63" w:name="_Toc297541137"/>
      <w:bookmarkStart w:id="64" w:name="_Toc328403371"/>
      <w:bookmarkStart w:id="65" w:name="_Toc328471420"/>
      <w:r>
        <w:rPr>
          <w:rStyle w:val="CharPartNo"/>
        </w:rPr>
        <w:t>Part 1</w:t>
      </w:r>
      <w:r>
        <w:rPr>
          <w:rStyle w:val="CharDivNo"/>
        </w:rPr>
        <w:t> </w:t>
      </w:r>
      <w:r>
        <w:t>—</w:t>
      </w:r>
      <w:r>
        <w:rPr>
          <w:rStyle w:val="CharDivText"/>
        </w:rPr>
        <w:t> </w:t>
      </w:r>
      <w:r>
        <w:rPr>
          <w:rStyle w:val="CharPartText"/>
        </w:rPr>
        <w:t>General</w:t>
      </w:r>
      <w:bookmarkEnd w:id="24"/>
      <w:bookmarkEnd w:id="11"/>
      <w:bookmarkEnd w:id="12"/>
      <w:bookmarkEnd w:id="13"/>
      <w:bookmarkEnd w:id="14"/>
      <w:bookmarkEnd w:id="15"/>
      <w:bookmarkEnd w:id="16"/>
      <w:bookmarkEnd w:id="17"/>
      <w:bookmarkEnd w:id="18"/>
      <w:bookmarkEnd w:id="19"/>
      <w:bookmarkEnd w:id="20"/>
      <w:bookmarkEnd w:id="21"/>
      <w:bookmarkEnd w:id="22"/>
      <w:bookmarkEnd w:id="23"/>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rPr>
          <w:snapToGrid w:val="0"/>
        </w:rPr>
      </w:pPr>
      <w:bookmarkStart w:id="66" w:name="_Toc84427927"/>
      <w:bookmarkStart w:id="67" w:name="_Toc487428939"/>
      <w:bookmarkStart w:id="68" w:name="_Toc17278647"/>
      <w:bookmarkStart w:id="69" w:name="_Toc180204745"/>
      <w:bookmarkStart w:id="70" w:name="_Toc328471421"/>
      <w:r>
        <w:rPr>
          <w:rStyle w:val="CharSectno"/>
        </w:rPr>
        <w:t>3</w:t>
      </w:r>
      <w:r>
        <w:rPr>
          <w:snapToGrid w:val="0"/>
        </w:rPr>
        <w:t>.</w:t>
      </w:r>
      <w:r>
        <w:rPr>
          <w:snapToGrid w:val="0"/>
        </w:rPr>
        <w:tab/>
        <w:t>Proportionate charges for part of year</w:t>
      </w:r>
      <w:bookmarkEnd w:id="66"/>
      <w:bookmarkEnd w:id="67"/>
      <w:bookmarkEnd w:id="68"/>
      <w:bookmarkEnd w:id="69"/>
      <w:bookmarkEnd w:id="70"/>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71" w:name="_Toc84427928"/>
      <w:bookmarkStart w:id="72" w:name="_Toc487428940"/>
      <w:bookmarkStart w:id="73" w:name="_Toc17278648"/>
      <w:bookmarkStart w:id="74" w:name="_Toc180204746"/>
      <w:bookmarkStart w:id="75" w:name="_Toc328471422"/>
      <w:r>
        <w:rPr>
          <w:rStyle w:val="CharSectno"/>
        </w:rPr>
        <w:t>3A</w:t>
      </w:r>
      <w:r>
        <w:rPr>
          <w:snapToGrid w:val="0"/>
        </w:rPr>
        <w:t>.</w:t>
      </w:r>
      <w:r>
        <w:rPr>
          <w:snapToGrid w:val="0"/>
        </w:rPr>
        <w:tab/>
        <w:t>Minimum charge prior to revaluation</w:t>
      </w:r>
      <w:bookmarkEnd w:id="71"/>
      <w:bookmarkEnd w:id="72"/>
      <w:bookmarkEnd w:id="73"/>
      <w:bookmarkEnd w:id="74"/>
      <w:bookmarkEnd w:id="75"/>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76" w:name="_Toc84427929"/>
      <w:bookmarkStart w:id="77" w:name="_Toc487428941"/>
      <w:bookmarkStart w:id="78" w:name="_Toc17278649"/>
      <w:bookmarkStart w:id="79" w:name="_Toc180204747"/>
      <w:bookmarkStart w:id="80" w:name="_Toc328471423"/>
      <w:r>
        <w:rPr>
          <w:rStyle w:val="CharSectno"/>
        </w:rPr>
        <w:t>4</w:t>
      </w:r>
      <w:r>
        <w:rPr>
          <w:snapToGrid w:val="0"/>
        </w:rPr>
        <w:t>.</w:t>
      </w:r>
      <w:r>
        <w:rPr>
          <w:snapToGrid w:val="0"/>
        </w:rPr>
        <w:tab/>
        <w:t>Exempt land</w:t>
      </w:r>
      <w:bookmarkEnd w:id="76"/>
      <w:bookmarkEnd w:id="77"/>
      <w:bookmarkEnd w:id="78"/>
      <w:bookmarkEnd w:id="79"/>
      <w:bookmarkEnd w:id="80"/>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or leased by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THeadingNAm"/>
        <w:rPr>
          <w:snapToGrid w:val="0"/>
        </w:rPr>
      </w:pPr>
      <w:r>
        <w:rPr>
          <w:snapToGrid w:val="0"/>
        </w:rPr>
        <w:t>Table</w:t>
      </w:r>
    </w:p>
    <w:tbl>
      <w:tblPr>
        <w:tblW w:w="0" w:type="auto"/>
        <w:tblInd w:w="2432" w:type="dxa"/>
        <w:tblLayout w:type="fixed"/>
        <w:tblLook w:val="0000" w:firstRow="0" w:lastRow="0" w:firstColumn="0" w:lastColumn="0" w:noHBand="0" w:noVBand="0"/>
      </w:tblPr>
      <w:tblGrid>
        <w:gridCol w:w="4880"/>
      </w:tblGrid>
      <w:tr>
        <w:trPr>
          <w:cantSplit/>
        </w:trPr>
        <w:tc>
          <w:tcPr>
            <w:tcW w:w="4880" w:type="dxa"/>
          </w:tcPr>
          <w:p>
            <w:pPr>
              <w:pStyle w:val="TableNAm"/>
              <w:ind w:left="568" w:hanging="568"/>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880" w:type="dxa"/>
          </w:tcPr>
          <w:p>
            <w:pPr>
              <w:pStyle w:val="TableNAm"/>
              <w:ind w:left="568" w:hanging="568"/>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880" w:type="dxa"/>
          </w:tcPr>
          <w:p>
            <w:pPr>
              <w:pStyle w:val="TableNAm"/>
              <w:ind w:left="568" w:hanging="568"/>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vertAlign w:val="superscript"/>
        </w:rPr>
        <w:t> 11</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 19 Jun 2009 p. 2321.]</w:t>
      </w:r>
    </w:p>
    <w:p>
      <w:pPr>
        <w:pStyle w:val="Heading5"/>
      </w:pPr>
      <w:bookmarkStart w:id="81" w:name="_Toc84427930"/>
      <w:bookmarkStart w:id="82" w:name="_Toc328471424"/>
      <w:bookmarkStart w:id="83" w:name="_Toc487428942"/>
      <w:bookmarkStart w:id="84" w:name="_Toc17278650"/>
      <w:bookmarkStart w:id="85" w:name="_Toc180204748"/>
      <w:r>
        <w:rPr>
          <w:rStyle w:val="CharSectno"/>
        </w:rPr>
        <w:t>5A</w:t>
      </w:r>
      <w:r>
        <w:t>.</w:t>
      </w:r>
      <w:r>
        <w:tab/>
        <w:t>Exempt land, amount of exemption calculated</w:t>
      </w:r>
      <w:bookmarkEnd w:id="81"/>
      <w:bookmarkEnd w:id="82"/>
    </w:p>
    <w:p>
      <w:pPr>
        <w:pStyle w:val="Subsection"/>
      </w:pPr>
      <w:r>
        <w:tab/>
        <w:t>(1)</w:t>
      </w:r>
      <w:r>
        <w:tab/>
        <w:t>In this by</w:t>
      </w:r>
      <w:r>
        <w:noBreakHyphen/>
        <w:t xml:space="preserve">law — </w:t>
      </w:r>
    </w:p>
    <w:p>
      <w:pPr>
        <w:pStyle w:val="Defstart"/>
      </w:pPr>
      <w:r>
        <w:tab/>
      </w:r>
      <w:r>
        <w:rPr>
          <w:rStyle w:val="CharDefText"/>
        </w:rPr>
        <w:t>exempt land</w:t>
      </w:r>
      <w:r>
        <w:t xml:space="preserve"> means land — </w:t>
      </w:r>
    </w:p>
    <w:p>
      <w:pPr>
        <w:pStyle w:val="Defpara"/>
      </w:pPr>
      <w:r>
        <w:tab/>
        <w:t>(a)</w:t>
      </w:r>
      <w:r>
        <w:tab/>
        <w:t>which is exempt from a charge for a water service; or</w:t>
      </w:r>
    </w:p>
    <w:p>
      <w:pPr>
        <w:pStyle w:val="Defpara"/>
      </w:pPr>
      <w:r>
        <w:tab/>
        <w:t>(b)</w:t>
      </w:r>
      <w:r>
        <w:tab/>
        <w:t>for which a discount is prescribed for a water service.</w:t>
      </w:r>
    </w:p>
    <w:p>
      <w:pPr>
        <w:pStyle w:val="Subsection"/>
      </w:pPr>
      <w:r>
        <w:tab/>
        <w:t>(2)</w:t>
      </w:r>
      <w:r>
        <w:tab/>
        <w:t>The Corporation may provide a person with an account in respect of exempt land showing the charge that would have been payable for a water service if the exemption or discount did not apply.</w:t>
      </w:r>
    </w:p>
    <w:p>
      <w:pPr>
        <w:pStyle w:val="Subsection"/>
      </w:pPr>
      <w:r>
        <w:tab/>
        <w:t>(3)</w:t>
      </w:r>
      <w:r>
        <w:tab/>
        <w:t xml:space="preserve">For the purposes of the definition of </w:t>
      </w:r>
      <w:r>
        <w:rPr>
          <w:b/>
          <w:i/>
        </w:rPr>
        <w:t>exempt land</w:t>
      </w:r>
      <w:r>
        <w:t xml:space="preserve"> paragraph (a) in this by</w:t>
      </w:r>
      <w:r>
        <w:noBreakHyphen/>
        <w:t>law, the amount of the exemption is to be calculated by reference to the quantity of water or wastewater concerned or the gross rental value, unimproved value or area of the land in respect of which the water service is provided.</w:t>
      </w:r>
    </w:p>
    <w:p>
      <w:pPr>
        <w:pStyle w:val="Footnotesection"/>
      </w:pPr>
      <w:r>
        <w:tab/>
        <w:t>[By-law 5A inserted in Gazette 20 Jun 2012 p. 2696-7.]</w:t>
      </w:r>
    </w:p>
    <w:p>
      <w:pPr>
        <w:pStyle w:val="Heading5"/>
        <w:rPr>
          <w:snapToGrid w:val="0"/>
        </w:rPr>
      </w:pPr>
      <w:bookmarkStart w:id="86" w:name="_Toc84427931"/>
      <w:bookmarkStart w:id="87" w:name="_Toc328471425"/>
      <w:r>
        <w:rPr>
          <w:rStyle w:val="CharSectno"/>
        </w:rPr>
        <w:t>5</w:t>
      </w:r>
      <w:r>
        <w:rPr>
          <w:snapToGrid w:val="0"/>
        </w:rPr>
        <w:t>.</w:t>
      </w:r>
      <w:r>
        <w:rPr>
          <w:snapToGrid w:val="0"/>
        </w:rPr>
        <w:tab/>
        <w:t>Separately assessable residential land</w:t>
      </w:r>
      <w:bookmarkEnd w:id="86"/>
      <w:bookmarkEnd w:id="83"/>
      <w:bookmarkEnd w:id="84"/>
      <w:bookmarkEnd w:id="85"/>
      <w:bookmarkEnd w:id="87"/>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[By</w:t>
      </w:r>
      <w:r>
        <w:noBreakHyphen/>
        <w:t xml:space="preserve">law 5 amended in Gazette 29 Jun 2007 p. 3246.] </w:t>
      </w:r>
    </w:p>
    <w:p>
      <w:pPr>
        <w:pStyle w:val="Heading5"/>
        <w:rPr>
          <w:snapToGrid w:val="0"/>
        </w:rPr>
      </w:pPr>
      <w:bookmarkStart w:id="88" w:name="_Toc84427932"/>
      <w:bookmarkStart w:id="89" w:name="_Toc487428943"/>
      <w:bookmarkStart w:id="90" w:name="_Toc17278651"/>
      <w:bookmarkStart w:id="91" w:name="_Toc180204749"/>
      <w:bookmarkStart w:id="92" w:name="_Toc328471426"/>
      <w:r>
        <w:rPr>
          <w:rStyle w:val="CharSectno"/>
        </w:rPr>
        <w:t>6</w:t>
      </w:r>
      <w:r>
        <w:rPr>
          <w:snapToGrid w:val="0"/>
        </w:rPr>
        <w:t>.</w:t>
      </w:r>
      <w:r>
        <w:rPr>
          <w:snapToGrid w:val="0"/>
        </w:rPr>
        <w:tab/>
        <w:t>Estimation upon meter malfunction or of non</w:t>
      </w:r>
      <w:r>
        <w:rPr>
          <w:snapToGrid w:val="0"/>
        </w:rPr>
        <w:noBreakHyphen/>
        <w:t>metered quantity</w:t>
      </w:r>
      <w:bookmarkEnd w:id="88"/>
      <w:bookmarkEnd w:id="89"/>
      <w:bookmarkEnd w:id="90"/>
      <w:bookmarkEnd w:id="91"/>
      <w:bookmarkEnd w:id="92"/>
    </w:p>
    <w:p>
      <w:pPr>
        <w:pStyle w:val="Subsection"/>
        <w:rPr>
          <w:rFonts w:ascii="Times" w:hAnsi="Times"/>
          <w:snapToGrid w:val="0"/>
        </w:rPr>
      </w:pPr>
      <w:r>
        <w:rPr>
          <w:snapToGrid w:val="0"/>
          <w:spacing w:val="-4"/>
        </w:rPr>
        <w:tab/>
        <w:t>(1)</w:t>
      </w:r>
      <w:r>
        <w:rPr>
          <w:snapToGrid w:val="0"/>
          <w:spacing w:val="-4"/>
        </w:rPr>
        <w:tab/>
      </w:r>
      <w:r>
        <w:rPr>
          <w:rFonts w:ascii="Times" w:hAnsi="Times"/>
          <w:snapToGrid w:val="0"/>
        </w:rPr>
        <w:t>Where a charge is to be assessed by reference to the quantity of water concerned and a meter for measuring that quantity is found not to be in proper order</w:t>
      </w:r>
      <w:r>
        <w:rPr>
          <w:rFonts w:ascii="Times" w:hAnsi="Times"/>
        </w:rPr>
        <w:t xml:space="preserve">, has been removed for repair or a meter reading cannot be obtained </w:t>
      </w:r>
      <w:r>
        <w:t xml:space="preserve">because of a physical obstruction preventing practicable access to the meter or because the face of the meter is obscured by damage, marking, dirt or any other substance, </w:t>
      </w:r>
      <w:r>
        <w:rPr>
          <w:rFonts w:ascii="Times" w:hAnsi="Times"/>
          <w:snapToGrid w:val="0"/>
        </w:rPr>
        <w:t>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w:t>
      </w:r>
    </w:p>
    <w:p>
      <w:pPr>
        <w:pStyle w:val="Heading5"/>
        <w:rPr>
          <w:snapToGrid w:val="0"/>
        </w:rPr>
      </w:pPr>
      <w:bookmarkStart w:id="93" w:name="_Toc84427933"/>
      <w:bookmarkStart w:id="94" w:name="_Toc487428944"/>
      <w:bookmarkStart w:id="95" w:name="_Toc17278652"/>
      <w:bookmarkStart w:id="96" w:name="_Toc180204750"/>
      <w:bookmarkStart w:id="97" w:name="_Toc328471427"/>
      <w:r>
        <w:rPr>
          <w:rStyle w:val="CharSectno"/>
        </w:rPr>
        <w:t>7</w:t>
      </w:r>
      <w:r>
        <w:rPr>
          <w:snapToGrid w:val="0"/>
        </w:rPr>
        <w:t>.</w:t>
      </w:r>
      <w:r>
        <w:rPr>
          <w:snapToGrid w:val="0"/>
        </w:rPr>
        <w:tab/>
        <w:t>Manner of payment of charges other than quantity and single capital infrastructure charges</w:t>
      </w:r>
      <w:bookmarkEnd w:id="93"/>
      <w:bookmarkEnd w:id="94"/>
      <w:bookmarkEnd w:id="95"/>
      <w:bookmarkEnd w:id="96"/>
      <w:bookmarkEnd w:id="97"/>
    </w:p>
    <w:p>
      <w:pPr>
        <w:pStyle w:val="Subsection"/>
        <w:keepNext/>
        <w:rPr>
          <w:snapToGrid w:val="0"/>
        </w:rPr>
      </w:pPr>
      <w:r>
        <w:rPr>
          <w:snapToGrid w:val="0"/>
        </w:rPr>
        <w:tab/>
        <w:t>(1)</w:t>
      </w:r>
      <w:r>
        <w:rPr>
          <w:snapToGrid w:val="0"/>
        </w:rPr>
        <w:tab/>
        <w:t>In this by</w:t>
      </w:r>
      <w:r>
        <w:rPr>
          <w:snapToGrid w:val="0"/>
        </w:rPr>
        <w:noBreakHyphen/>
        <w:t>law —</w:t>
      </w:r>
    </w:p>
    <w:p>
      <w:pPr>
        <w:pStyle w:val="Defstart"/>
        <w:keepNext/>
      </w:pPr>
      <w:r>
        <w:rPr>
          <w:b/>
        </w:rPr>
        <w:tab/>
      </w:r>
      <w:r>
        <w:rPr>
          <w:rStyle w:val="CharDefText"/>
        </w:rPr>
        <w:t>charge</w:t>
      </w:r>
      <w:r>
        <w:t xml:space="preserve"> means —</w:t>
      </w:r>
    </w:p>
    <w:p>
      <w:pPr>
        <w:pStyle w:val="Defpara"/>
      </w:pPr>
      <w:r>
        <w:tab/>
        <w:t>(a)</w:t>
      </w:r>
      <w:r>
        <w:tab/>
        <w:t>a charge other than —</w:t>
      </w:r>
    </w:p>
    <w:p>
      <w:pPr>
        <w:pStyle w:val="Defsubpara"/>
      </w:pPr>
      <w:r>
        <w:tab/>
        <w:t>(i)</w:t>
      </w:r>
      <w:r>
        <w:tab/>
        <w:t>a quantity charge; or</w:t>
      </w:r>
    </w:p>
    <w:p>
      <w:pPr>
        <w:pStyle w:val="Defsubpara"/>
        <w:keepNext/>
      </w:pPr>
      <w:r>
        <w:tab/>
        <w:t>(ii)</w:t>
      </w:r>
      <w: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sub</w:t>
      </w:r>
      <w:r>
        <w:rPr>
          <w:rFonts w:ascii="Times" w:hAnsi="Times"/>
          <w:snapToGrid w:val="0"/>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98" w:name="_Toc84427934"/>
      <w:bookmarkStart w:id="99" w:name="_Toc487428945"/>
      <w:bookmarkStart w:id="100" w:name="_Toc17278653"/>
      <w:bookmarkStart w:id="101" w:name="_Toc180204751"/>
      <w:bookmarkStart w:id="102" w:name="_Toc328471428"/>
      <w:r>
        <w:rPr>
          <w:rStyle w:val="CharSectno"/>
        </w:rPr>
        <w:t>7A</w:t>
      </w:r>
      <w:r>
        <w:rPr>
          <w:snapToGrid w:val="0"/>
        </w:rPr>
        <w:t>.</w:t>
      </w:r>
      <w:r>
        <w:rPr>
          <w:snapToGrid w:val="0"/>
        </w:rPr>
        <w:tab/>
        <w:t>Manner of payment of quantity charges</w:t>
      </w:r>
      <w:bookmarkEnd w:id="98"/>
      <w:bookmarkEnd w:id="99"/>
      <w:bookmarkEnd w:id="100"/>
      <w:bookmarkEnd w:id="101"/>
      <w:bookmarkEnd w:id="102"/>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spacing w:before="240"/>
        <w:rPr>
          <w:snapToGrid w:val="0"/>
        </w:rPr>
      </w:pPr>
      <w:bookmarkStart w:id="103" w:name="_Toc84427935"/>
      <w:bookmarkStart w:id="104" w:name="_Toc487428946"/>
      <w:bookmarkStart w:id="105" w:name="_Toc17278654"/>
      <w:bookmarkStart w:id="106" w:name="_Toc180204752"/>
      <w:bookmarkStart w:id="107" w:name="_Toc328471429"/>
      <w:r>
        <w:rPr>
          <w:rStyle w:val="CharSectno"/>
        </w:rPr>
        <w:t>7B</w:t>
      </w:r>
      <w:r>
        <w:rPr>
          <w:snapToGrid w:val="0"/>
        </w:rPr>
        <w:t>.</w:t>
      </w:r>
      <w:r>
        <w:rPr>
          <w:snapToGrid w:val="0"/>
        </w:rPr>
        <w:tab/>
        <w:t>Manner of payment of single capital infrastructure charges</w:t>
      </w:r>
      <w:bookmarkEnd w:id="103"/>
      <w:bookmarkEnd w:id="104"/>
      <w:bookmarkEnd w:id="105"/>
      <w:bookmarkEnd w:id="106"/>
      <w:bookmarkEnd w:id="107"/>
    </w:p>
    <w:p>
      <w:pPr>
        <w:pStyle w:val="Subsection"/>
        <w:spacing w:before="200"/>
        <w:rPr>
          <w:snapToGrid w:val="0"/>
        </w:rPr>
      </w:pPr>
      <w:r>
        <w:rPr>
          <w:snapToGrid w:val="0"/>
        </w:rPr>
        <w:tab/>
        <w:t>(1)</w:t>
      </w:r>
      <w:r>
        <w:rPr>
          <w:snapToGrid w:val="0"/>
        </w:rPr>
        <w:tab/>
        <w:t>A single capital infrastructure charge is due in full on the date stated in the account given for that charge.</w:t>
      </w:r>
    </w:p>
    <w:p>
      <w:pPr>
        <w:pStyle w:val="Subsection"/>
        <w:spacing w:before="200"/>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pPr>
      <w:bookmarkStart w:id="108" w:name="_Toc84427936"/>
      <w:bookmarkStart w:id="109" w:name="_Toc328471430"/>
      <w:bookmarkStart w:id="110" w:name="_Toc487428948"/>
      <w:bookmarkStart w:id="111" w:name="_Toc17278656"/>
      <w:bookmarkStart w:id="112" w:name="_Toc180204754"/>
      <w:r>
        <w:rPr>
          <w:rStyle w:val="CharSectno"/>
        </w:rPr>
        <w:t>8</w:t>
      </w:r>
      <w:r>
        <w:t>.</w:t>
      </w:r>
      <w:r>
        <w:tab/>
        <w:t>Special arrangements</w:t>
      </w:r>
      <w:bookmarkEnd w:id="108"/>
      <w:bookmarkEnd w:id="109"/>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Indenta"/>
      </w:pPr>
      <w:r>
        <w:tab/>
        <w:t>(b)</w:t>
      </w:r>
      <w:r>
        <w:tab/>
        <w:t>if additional charges are payable under the arrangement — the amount of each additional charge must not exceed the amount set out in Schedule 7 item 2; and</w:t>
      </w:r>
    </w:p>
    <w:p>
      <w:pPr>
        <w:pStyle w:val="Indenta"/>
      </w:pPr>
      <w:r>
        <w:tab/>
        <w:t>(c)</w:t>
      </w:r>
      <w:r>
        <w:tab/>
        <w:t>if interest is payable under the arrangement — the rate at which the interest is calculated must not exceed the amount set out in Schedule 7 item 5.</w:t>
      </w:r>
    </w:p>
    <w:p>
      <w:pPr>
        <w:pStyle w:val="Footnotesection"/>
      </w:pPr>
      <w:r>
        <w:tab/>
        <w:t>[By-law 8 inserted in Gazette 27 Jun 2008 p. 2984.]</w:t>
      </w:r>
    </w:p>
    <w:p>
      <w:pPr>
        <w:pStyle w:val="Heading5"/>
        <w:rPr>
          <w:snapToGrid w:val="0"/>
        </w:rPr>
      </w:pPr>
      <w:bookmarkStart w:id="113" w:name="_Toc84427937"/>
      <w:bookmarkStart w:id="114" w:name="_Toc328471431"/>
      <w:r>
        <w:rPr>
          <w:rStyle w:val="CharSectno"/>
        </w:rPr>
        <w:t>8A</w:t>
      </w:r>
      <w:r>
        <w:rPr>
          <w:snapToGrid w:val="0"/>
        </w:rPr>
        <w:t>.</w:t>
      </w:r>
      <w:r>
        <w:rPr>
          <w:snapToGrid w:val="0"/>
        </w:rPr>
        <w:tab/>
        <w:t>Concessional charges for retirement village residents</w:t>
      </w:r>
      <w:bookmarkEnd w:id="113"/>
      <w:bookmarkEnd w:id="110"/>
      <w:bookmarkEnd w:id="111"/>
      <w:bookmarkEnd w:id="112"/>
      <w:bookmarkEnd w:id="114"/>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rStyle w:val="CharDefText"/>
          <w:spacing w:val="-4"/>
        </w:rPr>
        <w:t>retirement village</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115" w:name="_Toc84427938"/>
      <w:bookmarkStart w:id="116" w:name="_Toc17278657"/>
      <w:bookmarkStart w:id="117" w:name="_Toc180204755"/>
      <w:bookmarkStart w:id="118" w:name="_Toc328471432"/>
      <w:bookmarkStart w:id="119" w:name="_Toc487428950"/>
      <w:r>
        <w:rPr>
          <w:rStyle w:val="CharSectno"/>
        </w:rPr>
        <w:t>8B</w:t>
      </w:r>
      <w:r>
        <w:t>.</w:t>
      </w:r>
      <w:r>
        <w:tab/>
        <w:t>Government trading organisation and non</w:t>
      </w:r>
      <w:r>
        <w:noBreakHyphen/>
        <w:t>commercial Government property</w:t>
      </w:r>
      <w:bookmarkEnd w:id="115"/>
      <w:bookmarkEnd w:id="116"/>
      <w:bookmarkEnd w:id="117"/>
      <w:bookmarkEnd w:id="118"/>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tab/>
        <w:t>(c)</w:t>
      </w:r>
      <w:r>
        <w:tab/>
        <w:t>Schedule 1 item 33,</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 19 Jun 2009 p. 2322.]</w:t>
      </w:r>
    </w:p>
    <w:p>
      <w:pPr>
        <w:pStyle w:val="Heading5"/>
        <w:rPr>
          <w:snapToGrid w:val="0"/>
        </w:rPr>
      </w:pPr>
      <w:bookmarkStart w:id="120" w:name="_Toc84427939"/>
      <w:bookmarkStart w:id="121" w:name="_Toc17278658"/>
      <w:bookmarkStart w:id="122" w:name="_Toc180204756"/>
      <w:bookmarkStart w:id="123" w:name="_Toc328471433"/>
      <w:r>
        <w:rPr>
          <w:rStyle w:val="CharSectno"/>
        </w:rPr>
        <w:t>8BA</w:t>
      </w:r>
      <w:r>
        <w:rPr>
          <w:snapToGrid w:val="0"/>
        </w:rPr>
        <w:t>.</w:t>
      </w:r>
      <w:r>
        <w:rPr>
          <w:snapToGrid w:val="0"/>
        </w:rPr>
        <w:tab/>
        <w:t>Annual charges to Government trading organisations that supply water to lessees or ships</w:t>
      </w:r>
      <w:bookmarkEnd w:id="120"/>
      <w:bookmarkEnd w:id="119"/>
      <w:bookmarkEnd w:id="121"/>
      <w:bookmarkEnd w:id="122"/>
      <w:bookmarkEnd w:id="123"/>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Deleted in Gazette 30 Jun 1995 p. 2735.]</w:t>
      </w:r>
    </w:p>
    <w:p>
      <w:pPr>
        <w:pStyle w:val="Heading5"/>
        <w:rPr>
          <w:snapToGrid w:val="0"/>
        </w:rPr>
      </w:pPr>
      <w:bookmarkStart w:id="124" w:name="_Toc84427940"/>
      <w:bookmarkStart w:id="125" w:name="_Toc487428951"/>
      <w:bookmarkStart w:id="126" w:name="_Toc17278659"/>
      <w:bookmarkStart w:id="127" w:name="_Toc180204757"/>
      <w:bookmarkStart w:id="128" w:name="_Toc328471434"/>
      <w:r>
        <w:rPr>
          <w:rStyle w:val="CharSectno"/>
        </w:rPr>
        <w:t>9</w:t>
      </w:r>
      <w:r>
        <w:rPr>
          <w:snapToGrid w:val="0"/>
        </w:rPr>
        <w:t>.</w:t>
      </w:r>
      <w:r>
        <w:rPr>
          <w:snapToGrid w:val="0"/>
        </w:rPr>
        <w:tab/>
        <w:t>Interest on overdue amounts</w:t>
      </w:r>
      <w:bookmarkEnd w:id="124"/>
      <w:bookmarkEnd w:id="125"/>
      <w:bookmarkEnd w:id="126"/>
      <w:bookmarkEnd w:id="127"/>
      <w:bookmarkEnd w:id="128"/>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129" w:name="_Toc84427941"/>
      <w:bookmarkStart w:id="130" w:name="_Toc487428952"/>
      <w:bookmarkStart w:id="131" w:name="_Toc17278660"/>
      <w:bookmarkStart w:id="132" w:name="_Toc180204758"/>
      <w:bookmarkStart w:id="133" w:name="_Toc328471435"/>
      <w:r>
        <w:rPr>
          <w:rStyle w:val="CharSectno"/>
        </w:rPr>
        <w:t>9A</w:t>
      </w:r>
      <w:r>
        <w:rPr>
          <w:snapToGrid w:val="0"/>
        </w:rPr>
        <w:t>.</w:t>
      </w:r>
      <w:r>
        <w:rPr>
          <w:snapToGrid w:val="0"/>
        </w:rPr>
        <w:tab/>
        <w:t>Amounts rounded</w:t>
      </w:r>
      <w:bookmarkEnd w:id="129"/>
      <w:bookmarkEnd w:id="130"/>
      <w:bookmarkEnd w:id="131"/>
      <w:bookmarkEnd w:id="132"/>
      <w:bookmarkEnd w:id="133"/>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134" w:name="_Toc84427942"/>
      <w:bookmarkStart w:id="135" w:name="_Toc328471436"/>
      <w:bookmarkStart w:id="136" w:name="_Toc91580413"/>
      <w:bookmarkStart w:id="137" w:name="_Toc103667098"/>
      <w:bookmarkStart w:id="138" w:name="_Toc103741617"/>
      <w:bookmarkStart w:id="139" w:name="_Toc107981860"/>
      <w:bookmarkStart w:id="140" w:name="_Toc118800027"/>
      <w:bookmarkStart w:id="141" w:name="_Toc118860035"/>
      <w:bookmarkStart w:id="142" w:name="_Toc121545535"/>
      <w:bookmarkStart w:id="143" w:name="_Toc121801058"/>
      <w:bookmarkStart w:id="144" w:name="_Toc121818171"/>
      <w:bookmarkStart w:id="145" w:name="_Toc121880781"/>
      <w:bookmarkStart w:id="146" w:name="_Toc129481852"/>
      <w:bookmarkStart w:id="147" w:name="_Toc130095221"/>
      <w:bookmarkStart w:id="148" w:name="_Toc130273285"/>
      <w:bookmarkStart w:id="149" w:name="_Toc139770958"/>
      <w:bookmarkStart w:id="150" w:name="_Toc139771336"/>
      <w:bookmarkStart w:id="151" w:name="_Toc151191551"/>
      <w:bookmarkStart w:id="152" w:name="_Toc151260444"/>
      <w:bookmarkStart w:id="153" w:name="_Toc164158549"/>
      <w:bookmarkStart w:id="154" w:name="_Toc164220921"/>
      <w:bookmarkStart w:id="155" w:name="_Toc170878880"/>
      <w:bookmarkStart w:id="156" w:name="_Toc170894633"/>
      <w:bookmarkStart w:id="157" w:name="_Toc175712599"/>
      <w:bookmarkStart w:id="158" w:name="_Toc175970540"/>
      <w:bookmarkStart w:id="159" w:name="_Toc176335259"/>
      <w:bookmarkStart w:id="160" w:name="_Toc176338834"/>
      <w:bookmarkStart w:id="161" w:name="_Toc178742859"/>
      <w:bookmarkStart w:id="162" w:name="_Toc179363282"/>
      <w:bookmarkStart w:id="163" w:name="_Toc179604351"/>
      <w:bookmarkStart w:id="164" w:name="_Toc180204544"/>
      <w:bookmarkStart w:id="165" w:name="_Toc180204760"/>
      <w:bookmarkStart w:id="166" w:name="_Toc185844505"/>
      <w:bookmarkStart w:id="167" w:name="_Toc185845125"/>
      <w:bookmarkStart w:id="168" w:name="_Toc185927090"/>
      <w:bookmarkStart w:id="169" w:name="_Toc202505838"/>
      <w:bookmarkStart w:id="170" w:name="_Toc202672623"/>
      <w:bookmarkStart w:id="171" w:name="_Toc202691714"/>
      <w:bookmarkStart w:id="172" w:name="_Toc233448336"/>
      <w:bookmarkStart w:id="173" w:name="_Toc233611650"/>
      <w:bookmarkStart w:id="174" w:name="_Toc234730657"/>
      <w:bookmarkStart w:id="175" w:name="_Toc234733183"/>
      <w:bookmarkStart w:id="176" w:name="_Toc235863920"/>
      <w:bookmarkStart w:id="177" w:name="_Toc235933395"/>
      <w:bookmarkStart w:id="178" w:name="_Toc237164383"/>
      <w:bookmarkStart w:id="179" w:name="_Toc237244266"/>
      <w:bookmarkStart w:id="180" w:name="_Toc237245567"/>
      <w:bookmarkStart w:id="181" w:name="_Toc237245698"/>
      <w:bookmarkStart w:id="182" w:name="_Toc237247806"/>
      <w:bookmarkStart w:id="183" w:name="_Toc237254109"/>
      <w:bookmarkStart w:id="184" w:name="_Toc237309528"/>
      <w:r>
        <w:rPr>
          <w:rStyle w:val="CharSectno"/>
        </w:rPr>
        <w:t>9B</w:t>
      </w:r>
      <w:r>
        <w:t>.</w:t>
      </w:r>
      <w:r>
        <w:tab/>
        <w:t>Calculations, including maxima, for various GRV based charges</w:t>
      </w:r>
      <w:bookmarkEnd w:id="134"/>
      <w:bookmarkEnd w:id="135"/>
    </w:p>
    <w:p>
      <w:pPr>
        <w:pStyle w:val="Subsection"/>
      </w:pPr>
      <w:r>
        <w:tab/>
        <w:t>(1)</w:t>
      </w:r>
      <w:r>
        <w:tab/>
        <w:t>Where a charge that is determined by reference to the GRV of the relevant land under Schedule 3 item 8 or 10, or Schedule 4 item 5, for the current year, is more than 13.6% greater than the charge calculated for the same service (and under the same circumstances) in the previous year, the charge is only payable up to that 13.6% increase.</w:t>
      </w:r>
    </w:p>
    <w:p>
      <w:pPr>
        <w:pStyle w:val="Subsection"/>
      </w:pPr>
      <w:r>
        <w:tab/>
        <w:t>(2)</w:t>
      </w:r>
      <w:r>
        <w:tab/>
        <w:t>Where a charge that is determined by reference to the GRV of the relevant land under Schedule 4 item 3 or 4, for the current year, is more than $25.00 greater than the charge calculated for the same service (and under the same circumstances) in the previous year, the charge is only payable up to that $25.00 increase per residential unit in the case of residential land, or per lot in the case of vacant land.</w:t>
      </w:r>
    </w:p>
    <w:p>
      <w:pPr>
        <w:pStyle w:val="Subsection"/>
      </w:pPr>
      <w:r>
        <w:tab/>
        <w:t>(3)</w:t>
      </w:r>
      <w:r>
        <w:tab/>
        <w:t xml:space="preserve">Where, for a portion of the current year (the </w:t>
      </w:r>
      <w:r>
        <w:rPr>
          <w:rStyle w:val="CharDefText"/>
        </w:rPr>
        <w:t>part year</w:t>
      </w:r>
      <w:r>
        <w:t xml:space="preserve">), in respect of property subject to a charge that is determined by reference to the GRV of the relevant land under Schedule 3 item 8 or 10, or Schedule 4 item 3, 4 or 5, there is a change in the circumstances that affects the method of calculating the charge for that property, the charge payable for the part year is to be determined as follows — </w:t>
      </w:r>
    </w:p>
    <w:p>
      <w:pPr>
        <w:pStyle w:val="Indenta"/>
      </w:pPr>
      <w:r>
        <w:tab/>
        <w:t>(a)</w:t>
      </w:r>
      <w:r>
        <w:tab/>
        <w:t>the charge is to be determined for the whole of the current year on the basis of the changed circumstances;</w:t>
      </w:r>
    </w:p>
    <w:p>
      <w:pPr>
        <w:pStyle w:val="Indenta"/>
      </w:pPr>
      <w:r>
        <w:tab/>
        <w:t>(b)</w:t>
      </w:r>
      <w:r>
        <w:tab/>
        <w:t>the Corporation may estimate a notional charge for the previous year in respect of that property, being the charge that would have been payable for that year if the matters and circumstances currently prevailing had prevailed for the whole of that year;</w:t>
      </w:r>
    </w:p>
    <w:p>
      <w:pPr>
        <w:pStyle w:val="Indenta"/>
      </w:pPr>
      <w:r>
        <w:tab/>
        <w:t>(c)</w:t>
      </w:r>
      <w:r>
        <w:tab/>
        <w:t>the charge determined in accordance with paragraph (a) is to be limited (where relevant) in accordance with sub</w:t>
      </w:r>
      <w:r>
        <w:noBreakHyphen/>
        <w:t>bylaw (1) or (2) (whichever is relevant), using the notional charge estimated in accordance with paragraph (b);</w:t>
      </w:r>
    </w:p>
    <w:p>
      <w:pPr>
        <w:pStyle w:val="Indenta"/>
      </w:pPr>
      <w:r>
        <w:tab/>
        <w:t>(d)</w:t>
      </w:r>
      <w:r>
        <w:tab/>
        <w:t>the charge determined in accordance with paragraph (a) (as limited in accordance with paragraph (c) where relevant) is to be reduced by the same proportion that the part year bears to the whole of the current year.</w:t>
      </w:r>
    </w:p>
    <w:p>
      <w:pPr>
        <w:pStyle w:val="Footnotesection"/>
      </w:pPr>
      <w:r>
        <w:tab/>
        <w:t>[By-law 9B inserted in Gazette 25 Jun 2010 p. 2901</w:t>
      </w:r>
      <w:r>
        <w:noBreakHyphen/>
        <w:t>3; amended in Gazette 23 Jun 2011 p. 2417; 20 Jun 2012 p. 2697.]</w:t>
      </w:r>
    </w:p>
    <w:p>
      <w:pPr>
        <w:pStyle w:val="Heading2"/>
      </w:pPr>
      <w:bookmarkStart w:id="185" w:name="_Toc84427943"/>
      <w:bookmarkStart w:id="186" w:name="_Toc265743467"/>
      <w:bookmarkStart w:id="187" w:name="_Toc297540725"/>
      <w:bookmarkStart w:id="188" w:name="_Toc297541153"/>
      <w:bookmarkStart w:id="189" w:name="_Toc328403388"/>
      <w:bookmarkStart w:id="190" w:name="_Toc328471437"/>
      <w:r>
        <w:rPr>
          <w:rStyle w:val="CharPartNo"/>
        </w:rPr>
        <w:t>Part 2</w:t>
      </w:r>
      <w:r>
        <w:t> — </w:t>
      </w:r>
      <w:r>
        <w:rPr>
          <w:rStyle w:val="CharPartText"/>
        </w:rPr>
        <w:t>Water supply</w:t>
      </w:r>
      <w:bookmarkEnd w:id="18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6"/>
      <w:bookmarkEnd w:id="187"/>
      <w:bookmarkEnd w:id="188"/>
      <w:bookmarkEnd w:id="189"/>
      <w:bookmarkEnd w:id="190"/>
    </w:p>
    <w:p>
      <w:pPr>
        <w:pStyle w:val="Heading3"/>
        <w:rPr>
          <w:snapToGrid w:val="0"/>
          <w:spacing w:val="-4"/>
        </w:rPr>
      </w:pPr>
      <w:bookmarkStart w:id="191" w:name="_Toc84427944"/>
      <w:bookmarkStart w:id="192" w:name="_Toc91580414"/>
      <w:bookmarkStart w:id="193" w:name="_Toc103667099"/>
      <w:bookmarkStart w:id="194" w:name="_Toc103741618"/>
      <w:bookmarkStart w:id="195" w:name="_Toc107981861"/>
      <w:bookmarkStart w:id="196" w:name="_Toc118800028"/>
      <w:bookmarkStart w:id="197" w:name="_Toc118860036"/>
      <w:bookmarkStart w:id="198" w:name="_Toc121545536"/>
      <w:bookmarkStart w:id="199" w:name="_Toc121801059"/>
      <w:bookmarkStart w:id="200" w:name="_Toc121818172"/>
      <w:bookmarkStart w:id="201" w:name="_Toc121880782"/>
      <w:bookmarkStart w:id="202" w:name="_Toc129481853"/>
      <w:bookmarkStart w:id="203" w:name="_Toc130095222"/>
      <w:bookmarkStart w:id="204" w:name="_Toc130273286"/>
      <w:bookmarkStart w:id="205" w:name="_Toc139770959"/>
      <w:bookmarkStart w:id="206" w:name="_Toc139771337"/>
      <w:bookmarkStart w:id="207" w:name="_Toc151191552"/>
      <w:bookmarkStart w:id="208" w:name="_Toc151260445"/>
      <w:bookmarkStart w:id="209" w:name="_Toc164158550"/>
      <w:bookmarkStart w:id="210" w:name="_Toc164220922"/>
      <w:bookmarkStart w:id="211" w:name="_Toc170878881"/>
      <w:bookmarkStart w:id="212" w:name="_Toc170894634"/>
      <w:bookmarkStart w:id="213" w:name="_Toc175712600"/>
      <w:bookmarkStart w:id="214" w:name="_Toc175970541"/>
      <w:bookmarkStart w:id="215" w:name="_Toc176335260"/>
      <w:bookmarkStart w:id="216" w:name="_Toc176338835"/>
      <w:bookmarkStart w:id="217" w:name="_Toc178742860"/>
      <w:bookmarkStart w:id="218" w:name="_Toc179363283"/>
      <w:bookmarkStart w:id="219" w:name="_Toc179604352"/>
      <w:bookmarkStart w:id="220" w:name="_Toc180204545"/>
      <w:bookmarkStart w:id="221" w:name="_Toc180204761"/>
      <w:bookmarkStart w:id="222" w:name="_Toc185844506"/>
      <w:bookmarkStart w:id="223" w:name="_Toc185845126"/>
      <w:bookmarkStart w:id="224" w:name="_Toc185927091"/>
      <w:bookmarkStart w:id="225" w:name="_Toc202505839"/>
      <w:bookmarkStart w:id="226" w:name="_Toc202672624"/>
      <w:bookmarkStart w:id="227" w:name="_Toc202691715"/>
      <w:bookmarkStart w:id="228" w:name="_Toc233448337"/>
      <w:bookmarkStart w:id="229" w:name="_Toc233611651"/>
      <w:bookmarkStart w:id="230" w:name="_Toc234730658"/>
      <w:bookmarkStart w:id="231" w:name="_Toc234733184"/>
      <w:bookmarkStart w:id="232" w:name="_Toc235863921"/>
      <w:bookmarkStart w:id="233" w:name="_Toc235933396"/>
      <w:bookmarkStart w:id="234" w:name="_Toc237164384"/>
      <w:bookmarkStart w:id="235" w:name="_Toc237244267"/>
      <w:bookmarkStart w:id="236" w:name="_Toc237245568"/>
      <w:bookmarkStart w:id="237" w:name="_Toc237245699"/>
      <w:bookmarkStart w:id="238" w:name="_Toc237247807"/>
      <w:bookmarkStart w:id="239" w:name="_Toc237254110"/>
      <w:bookmarkStart w:id="240" w:name="_Toc237309529"/>
      <w:bookmarkStart w:id="241" w:name="_Toc265743468"/>
      <w:bookmarkStart w:id="242" w:name="_Toc297540726"/>
      <w:bookmarkStart w:id="243" w:name="_Toc297541154"/>
      <w:bookmarkStart w:id="244" w:name="_Toc328403389"/>
      <w:bookmarkStart w:id="245" w:name="_Toc328471438"/>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rPr>
          <w:snapToGrid w:val="0"/>
        </w:rPr>
      </w:pPr>
      <w:bookmarkStart w:id="246" w:name="_Toc84427945"/>
      <w:bookmarkStart w:id="247" w:name="_Toc487428954"/>
      <w:bookmarkStart w:id="248" w:name="_Toc17278662"/>
      <w:bookmarkStart w:id="249" w:name="_Toc180204762"/>
      <w:bookmarkStart w:id="250" w:name="_Toc328471439"/>
      <w:r>
        <w:rPr>
          <w:rStyle w:val="CharSectno"/>
        </w:rPr>
        <w:t>10</w:t>
      </w:r>
      <w:r>
        <w:rPr>
          <w:snapToGrid w:val="0"/>
        </w:rPr>
        <w:t>.</w:t>
      </w:r>
      <w:r>
        <w:rPr>
          <w:snapToGrid w:val="0"/>
        </w:rPr>
        <w:tab/>
        <w:t>Certain matters to be disregarded</w:t>
      </w:r>
      <w:bookmarkEnd w:id="246"/>
      <w:bookmarkEnd w:id="247"/>
      <w:bookmarkEnd w:id="248"/>
      <w:bookmarkEnd w:id="249"/>
      <w:bookmarkEnd w:id="250"/>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251" w:name="_Toc84427946"/>
      <w:bookmarkStart w:id="252" w:name="_Toc487428955"/>
      <w:bookmarkStart w:id="253" w:name="_Toc17278663"/>
      <w:bookmarkStart w:id="254" w:name="_Toc180204763"/>
      <w:bookmarkStart w:id="255" w:name="_Toc328471440"/>
      <w:r>
        <w:rPr>
          <w:rStyle w:val="CharSectno"/>
        </w:rPr>
        <w:t>11</w:t>
      </w:r>
      <w:r>
        <w:rPr>
          <w:snapToGrid w:val="0"/>
        </w:rPr>
        <w:t>.</w:t>
      </w:r>
      <w:r>
        <w:rPr>
          <w:snapToGrid w:val="0"/>
        </w:rPr>
        <w:tab/>
        <w:t>Land subject to water supply charges under this Division</w:t>
      </w:r>
      <w:bookmarkEnd w:id="251"/>
      <w:bookmarkEnd w:id="252"/>
      <w:bookmarkEnd w:id="253"/>
      <w:bookmarkEnd w:id="254"/>
      <w:bookmarkEnd w:id="255"/>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256" w:name="_Toc84427947"/>
      <w:bookmarkStart w:id="257" w:name="_Toc487428956"/>
      <w:bookmarkStart w:id="258" w:name="_Toc17278664"/>
      <w:bookmarkStart w:id="259" w:name="_Toc180204764"/>
      <w:bookmarkStart w:id="260" w:name="_Toc328471441"/>
      <w:r>
        <w:rPr>
          <w:rStyle w:val="CharSectno"/>
        </w:rPr>
        <w:t>12</w:t>
      </w:r>
      <w:r>
        <w:rPr>
          <w:snapToGrid w:val="0"/>
        </w:rPr>
        <w:t>.</w:t>
      </w:r>
      <w:r>
        <w:rPr>
          <w:snapToGrid w:val="0"/>
        </w:rPr>
        <w:tab/>
        <w:t>Exempt land</w:t>
      </w:r>
      <w:bookmarkEnd w:id="256"/>
      <w:bookmarkEnd w:id="257"/>
      <w:bookmarkEnd w:id="258"/>
      <w:bookmarkEnd w:id="259"/>
      <w:bookmarkEnd w:id="260"/>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w:t>
      </w:r>
      <w:r>
        <w:t xml:space="preserve"> to the extent set out in that Schedule</w:t>
      </w:r>
      <w:r>
        <w:rPr>
          <w:snapToGrid w:val="0"/>
        </w:rPr>
        <w:t xml:space="preserve">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 20 Jun 2012 p. 2697.]</w:t>
      </w:r>
    </w:p>
    <w:p>
      <w:pPr>
        <w:pStyle w:val="Heading5"/>
      </w:pPr>
      <w:bookmarkStart w:id="261" w:name="_Toc84427948"/>
      <w:bookmarkStart w:id="262" w:name="_Toc180204765"/>
      <w:bookmarkStart w:id="263" w:name="_Toc328471442"/>
      <w:r>
        <w:rPr>
          <w:rStyle w:val="CharSectno"/>
        </w:rPr>
        <w:t>13</w:t>
      </w:r>
      <w:r>
        <w:t>.</w:t>
      </w:r>
      <w:r>
        <w:tab/>
        <w:t>Classification of land</w:t>
      </w:r>
      <w:bookmarkEnd w:id="261"/>
      <w:bookmarkEnd w:id="262"/>
      <w:bookmarkEnd w:id="263"/>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w:t>
      </w:r>
      <w:r>
        <w:rPr>
          <w:b/>
          <w:bCs/>
          <w:i/>
          <w:iCs/>
        </w:rPr>
        <w:t>farm land</w:t>
      </w:r>
      <w:r>
        <w:t xml:space="preserve"> in the </w:t>
      </w:r>
      <w:r>
        <w:rPr>
          <w:i/>
          <w:iCs/>
        </w:rPr>
        <w:t>Country Areas Water Supply Act 1947</w:t>
      </w:r>
      <w:r>
        <w:t xml:space="preserve"> section 5(1) and is within 2.5 kilometres of a main or other pipe from which the Corporation is prepared to supply water to the land;</w:t>
      </w:r>
    </w:p>
    <w:p>
      <w:pPr>
        <w:pStyle w:val="Ednotepara"/>
      </w:pPr>
      <w:r>
        <w:tab/>
        <w:t>[(g)</w:t>
      </w:r>
      <w:r>
        <w:tab/>
        <w:t>deleted]</w:t>
      </w:r>
    </w:p>
    <w:p>
      <w:pPr>
        <w:pStyle w:val="Indenta"/>
      </w:pPr>
      <w:r>
        <w:tab/>
        <w:t>(h)</w:t>
      </w:r>
      <w:r>
        <w:tab/>
        <w:t>local government, if the land is not in the metropolitan area and is used by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(m)</w:t>
      </w:r>
      <w:r>
        <w:tab/>
        <w:t>aged home, if the land is in the metropolitan area and the classification of the land is not otherwise specifically provided for in this by</w:t>
      </w:r>
      <w:r>
        <w:noBreakHyphen/>
        <w:t>law.</w:t>
      </w:r>
    </w:p>
    <w:p>
      <w:pPr>
        <w:pStyle w:val="Subsection"/>
      </w:pPr>
      <w:r>
        <w:tab/>
        <w:t>(2A)</w:t>
      </w:r>
      <w:r>
        <w:tab/>
        <w:t>For the purposes of this Division, land described in by</w:t>
      </w:r>
      <w:r>
        <w:noBreakHyphen/>
        <w:t xml:space="preserve">law 4 that is — </w:t>
      </w:r>
    </w:p>
    <w:p>
      <w:pPr>
        <w:pStyle w:val="Indenta"/>
      </w:pPr>
      <w:r>
        <w:tab/>
        <w:t>(a)</w:t>
      </w:r>
      <w:r>
        <w:tab/>
        <w:t xml:space="preserve">provided with a water supply connection; and </w:t>
      </w:r>
    </w:p>
    <w:p>
      <w:pPr>
        <w:pStyle w:val="Indenta"/>
      </w:pPr>
      <w:r>
        <w:tab/>
        <w:t>(b)</w:t>
      </w:r>
      <w:r>
        <w:tab/>
        <w:t>not otherwise classified under sub</w:t>
      </w:r>
      <w:r>
        <w:noBreakHyphen/>
        <w:t xml:space="preserve">bylaw (1), </w:t>
      </w:r>
    </w:p>
    <w:p>
      <w:pPr>
        <w:pStyle w:val="Subsection"/>
      </w:pPr>
      <w:r>
        <w:tab/>
      </w:r>
      <w:r>
        <w:tab/>
        <w:t>is classified as community purpose irrespective of any other classification under these by</w:t>
      </w:r>
      <w:r>
        <w:noBreakHyphen/>
        <w:t>laws.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36; and</w:t>
      </w:r>
    </w:p>
    <w:p>
      <w:pPr>
        <w:pStyle w:val="Indenta"/>
      </w:pPr>
      <w:r>
        <w:tab/>
        <w:t>(b)</w:t>
      </w:r>
      <w:r>
        <w:tab/>
        <w:t>the Corporation provides or is to provide works to ensure the supply of water to the land.</w:t>
      </w:r>
    </w:p>
    <w:p>
      <w:pPr>
        <w:pStyle w:val="Footnotesection"/>
      </w:pPr>
      <w:r>
        <w:tab/>
        <w:t>[By</w:t>
      </w:r>
      <w:r>
        <w:noBreakHyphen/>
        <w:t>law 13 inserted in Gazette 29 Jun 2007 p. 3247</w:t>
      </w:r>
      <w:r>
        <w:noBreakHyphen/>
        <w:t>8; amended in Gazette 19 Jun 2009 p. 2322; 25 Jun 2010 p. 2903; 20 Jun 2012 p. 2697</w:t>
      </w:r>
      <w:r>
        <w:noBreakHyphen/>
        <w:t xml:space="preserve">8.] </w:t>
      </w:r>
    </w:p>
    <w:p>
      <w:pPr>
        <w:pStyle w:val="Ednotesection"/>
      </w:pPr>
      <w:r>
        <w:t>[</w:t>
      </w:r>
      <w:r>
        <w:rPr>
          <w:b/>
        </w:rPr>
        <w:t>13A.</w:t>
      </w:r>
      <w:r>
        <w:tab/>
        <w:t>Deleted in Gazette 29 Jun 1988 p. 2113.]</w:t>
      </w:r>
    </w:p>
    <w:p>
      <w:pPr>
        <w:pStyle w:val="Heading5"/>
        <w:rPr>
          <w:snapToGrid w:val="0"/>
        </w:rPr>
      </w:pPr>
      <w:bookmarkStart w:id="264" w:name="_Toc84427949"/>
      <w:bookmarkStart w:id="265" w:name="_Toc487428958"/>
      <w:bookmarkStart w:id="266" w:name="_Toc17278666"/>
      <w:bookmarkStart w:id="267" w:name="_Toc180204766"/>
      <w:bookmarkStart w:id="268" w:name="_Toc328471443"/>
      <w:r>
        <w:rPr>
          <w:rStyle w:val="CharSectno"/>
        </w:rPr>
        <w:t>14</w:t>
      </w:r>
      <w:r>
        <w:rPr>
          <w:snapToGrid w:val="0"/>
        </w:rPr>
        <w:t>.</w:t>
      </w:r>
      <w:r>
        <w:rPr>
          <w:snapToGrid w:val="0"/>
        </w:rPr>
        <w:tab/>
        <w:t>Indexation of certain valuations</w:t>
      </w:r>
      <w:bookmarkEnd w:id="264"/>
      <w:bookmarkEnd w:id="265"/>
      <w:bookmarkEnd w:id="266"/>
      <w:bookmarkEnd w:id="267"/>
      <w:bookmarkEnd w:id="268"/>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Deleted in Gazette 1 Jul 2002 p. 3156.]</w:t>
      </w:r>
    </w:p>
    <w:p>
      <w:pPr>
        <w:pStyle w:val="Heading5"/>
        <w:rPr>
          <w:snapToGrid w:val="0"/>
        </w:rPr>
      </w:pPr>
      <w:bookmarkStart w:id="269" w:name="_Toc84427950"/>
      <w:bookmarkStart w:id="270" w:name="_Toc487428960"/>
      <w:bookmarkStart w:id="271" w:name="_Toc17278667"/>
      <w:bookmarkStart w:id="272" w:name="_Toc180204767"/>
      <w:bookmarkStart w:id="273" w:name="_Toc328471444"/>
      <w:r>
        <w:rPr>
          <w:rStyle w:val="CharSectno"/>
        </w:rPr>
        <w:t>16</w:t>
      </w:r>
      <w:r>
        <w:rPr>
          <w:snapToGrid w:val="0"/>
        </w:rPr>
        <w:t>.</w:t>
      </w:r>
      <w:r>
        <w:rPr>
          <w:snapToGrid w:val="0"/>
        </w:rPr>
        <w:tab/>
        <w:t>Discrete residential units</w:t>
      </w:r>
      <w:bookmarkEnd w:id="269"/>
      <w:bookmarkEnd w:id="270"/>
      <w:bookmarkEnd w:id="271"/>
      <w:bookmarkEnd w:id="272"/>
      <w:bookmarkEnd w:id="273"/>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pPr>
      <w:r>
        <w:tab/>
        <w:t>[By</w:t>
      </w:r>
      <w:r>
        <w:noBreakHyphen/>
        <w:t>law 16 amended in Gazette 29 Dec 1995 p. 6331; 29 Jun 2007 p. 3248; 27 Jun 2008 p. 2985.]</w:t>
      </w:r>
    </w:p>
    <w:p>
      <w:pPr>
        <w:pStyle w:val="Heading5"/>
        <w:spacing w:before="240"/>
        <w:rPr>
          <w:snapToGrid w:val="0"/>
        </w:rPr>
      </w:pPr>
      <w:bookmarkStart w:id="274" w:name="_Toc84427951"/>
      <w:bookmarkStart w:id="275" w:name="_Toc487428961"/>
      <w:bookmarkStart w:id="276" w:name="_Toc17278668"/>
      <w:bookmarkStart w:id="277" w:name="_Toc180204768"/>
      <w:bookmarkStart w:id="278" w:name="_Toc328471445"/>
      <w:r>
        <w:rPr>
          <w:rStyle w:val="CharSectno"/>
        </w:rPr>
        <w:t>17</w:t>
      </w:r>
      <w:r>
        <w:rPr>
          <w:snapToGrid w:val="0"/>
        </w:rPr>
        <w:t>.</w:t>
      </w:r>
      <w:r>
        <w:rPr>
          <w:snapToGrid w:val="0"/>
        </w:rPr>
        <w:tab/>
        <w:t>Quantity charges for the supply of water</w:t>
      </w:r>
      <w:bookmarkEnd w:id="274"/>
      <w:bookmarkEnd w:id="275"/>
      <w:bookmarkEnd w:id="276"/>
      <w:bookmarkEnd w:id="277"/>
      <w:bookmarkEnd w:id="278"/>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279" w:name="_Toc84427952"/>
      <w:bookmarkStart w:id="280" w:name="_Toc487428962"/>
      <w:bookmarkStart w:id="281" w:name="_Toc17278669"/>
      <w:bookmarkStart w:id="282" w:name="_Toc180204769"/>
      <w:bookmarkStart w:id="283" w:name="_Toc328471446"/>
      <w:r>
        <w:rPr>
          <w:rStyle w:val="CharSectno"/>
        </w:rPr>
        <w:t>17A</w:t>
      </w:r>
      <w:r>
        <w:rPr>
          <w:snapToGrid w:val="0"/>
        </w:rPr>
        <w:t>.</w:t>
      </w:r>
      <w:r>
        <w:rPr>
          <w:snapToGrid w:val="0"/>
        </w:rPr>
        <w:tab/>
        <w:t>Caravan parks</w:t>
      </w:r>
      <w:bookmarkEnd w:id="279"/>
      <w:bookmarkEnd w:id="280"/>
      <w:bookmarkEnd w:id="281"/>
      <w:bookmarkEnd w:id="282"/>
      <w:bookmarkEnd w:id="283"/>
    </w:p>
    <w:p>
      <w:pPr>
        <w:pStyle w:val="Subsection"/>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24(b);</w:t>
      </w:r>
    </w:p>
    <w:p>
      <w:pPr>
        <w:pStyle w:val="Indenta"/>
        <w:rPr>
          <w:snapToGrid w:val="0"/>
        </w:rPr>
      </w:pPr>
      <w:r>
        <w:rPr>
          <w:snapToGrid w:val="0"/>
        </w:rPr>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keepNext/>
        <w:keepLines/>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 25 Jun 2010 p. 2903.]</w:t>
      </w:r>
    </w:p>
    <w:p>
      <w:pPr>
        <w:pStyle w:val="Heading5"/>
        <w:rPr>
          <w:snapToGrid w:val="0"/>
        </w:rPr>
      </w:pPr>
      <w:bookmarkStart w:id="284" w:name="_Toc84427953"/>
      <w:bookmarkStart w:id="285" w:name="_Toc17278670"/>
      <w:bookmarkStart w:id="286" w:name="_Toc180204770"/>
      <w:bookmarkStart w:id="287" w:name="_Toc328471447"/>
      <w:bookmarkStart w:id="288" w:name="_Toc487428964"/>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284"/>
      <w:bookmarkEnd w:id="285"/>
      <w:bookmarkEnd w:id="286"/>
      <w:bookmarkEnd w:id="287"/>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 amended in Gazette 29 Jun 2007 p. 3250.]</w:t>
      </w:r>
    </w:p>
    <w:p>
      <w:pPr>
        <w:pStyle w:val="Heading5"/>
      </w:pPr>
      <w:bookmarkStart w:id="289" w:name="_Toc84427954"/>
      <w:bookmarkStart w:id="290" w:name="_Toc17278671"/>
      <w:bookmarkStart w:id="291" w:name="_Toc180204771"/>
      <w:bookmarkStart w:id="292" w:name="_Toc328471448"/>
      <w:r>
        <w:rPr>
          <w:rStyle w:val="CharSectno"/>
        </w:rPr>
        <w:t>17C</w:t>
      </w:r>
      <w:r>
        <w:t>.</w:t>
      </w:r>
      <w:r>
        <w:tab/>
        <w:t>Non</w:t>
      </w:r>
      <w:r>
        <w:noBreakHyphen/>
        <w:t>metropolitan, non</w:t>
      </w:r>
      <w:r>
        <w:noBreakHyphen/>
        <w:t>strata titled, Commercial or Industrial property water supply charges</w:t>
      </w:r>
      <w:bookmarkEnd w:id="289"/>
      <w:bookmarkEnd w:id="288"/>
      <w:bookmarkEnd w:id="290"/>
      <w:bookmarkEnd w:id="291"/>
      <w:bookmarkEnd w:id="292"/>
    </w:p>
    <w:p>
      <w:pPr>
        <w:pStyle w:val="Subsection"/>
      </w:pPr>
      <w:r>
        <w:tab/>
        <w:t>(1)</w:t>
      </w:r>
      <w:r>
        <w:tab/>
        <w:t>Where a property referred to in Schedule 1 item 10(c) is not directly served by the Corporation, the charge payable for the current year for the provision of water supply to the property is the charge determined as if the water supply to the property was metered through a 20 mm meter.</w:t>
      </w:r>
    </w:p>
    <w:p>
      <w:pPr>
        <w:pStyle w:val="Subsection"/>
      </w:pPr>
      <w:r>
        <w:tab/>
        <w:t>(2)</w:t>
      </w:r>
      <w:r>
        <w:tab/>
        <w:t>Where a property referred to in Schedule 1 item 10(c)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10(c) is more than 13.6% greater than the charge calculated for the same service (and under the same circumstances) in the previous year, the charge is only payable up to that 13.6%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 27 Jun 2008 p. 2986; 19 Jun 2009 p. 2322; 25 Jun 2010 p. 2903; 23 Jun 2011 p. 2418; 20 Jun 2012 p. 2698.]</w:t>
      </w:r>
    </w:p>
    <w:p>
      <w:pPr>
        <w:pStyle w:val="Heading5"/>
        <w:rPr>
          <w:snapToGrid w:val="0"/>
        </w:rPr>
      </w:pPr>
      <w:bookmarkStart w:id="293" w:name="_Toc84427955"/>
      <w:bookmarkStart w:id="294" w:name="_Toc487428965"/>
      <w:bookmarkStart w:id="295" w:name="_Toc17278672"/>
      <w:bookmarkStart w:id="296" w:name="_Toc180204772"/>
      <w:bookmarkStart w:id="297" w:name="_Toc328471449"/>
      <w:r>
        <w:rPr>
          <w:rStyle w:val="CharSectno"/>
        </w:rPr>
        <w:t>17D</w:t>
      </w:r>
      <w:r>
        <w:rPr>
          <w:snapToGrid w:val="0"/>
        </w:rPr>
        <w:t>.</w:t>
      </w:r>
      <w:r>
        <w:rPr>
          <w:snapToGrid w:val="0"/>
        </w:rPr>
        <w:tab/>
        <w:t>Various non</w:t>
      </w:r>
      <w:r>
        <w:rPr>
          <w:snapToGrid w:val="0"/>
        </w:rPr>
        <w:noBreakHyphen/>
        <w:t>metropolitan water supply charges and classifications</w:t>
      </w:r>
      <w:bookmarkEnd w:id="293"/>
      <w:bookmarkEnd w:id="294"/>
      <w:bookmarkEnd w:id="295"/>
      <w:bookmarkEnd w:id="296"/>
      <w:bookmarkEnd w:id="297"/>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tab/>
        <w:t>(c)</w:t>
      </w:r>
      <w:r>
        <w:tab/>
        <w:t>Schedule 1 item 27(g);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t>deleted]</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spacing w:before="120"/>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298" w:name="_Toc84427956"/>
      <w:bookmarkStart w:id="299" w:name="_Toc487428966"/>
      <w:bookmarkStart w:id="300" w:name="_Toc17278673"/>
      <w:bookmarkStart w:id="301" w:name="_Toc180204773"/>
      <w:bookmarkStart w:id="302" w:name="_Toc328471450"/>
      <w:r>
        <w:rPr>
          <w:rStyle w:val="CharSectno"/>
        </w:rPr>
        <w:t>18</w:t>
      </w:r>
      <w:r>
        <w:rPr>
          <w:snapToGrid w:val="0"/>
        </w:rPr>
        <w:t>.</w:t>
      </w:r>
      <w:r>
        <w:rPr>
          <w:snapToGrid w:val="0"/>
        </w:rPr>
        <w:tab/>
        <w:t>Concessional non</w:t>
      </w:r>
      <w:r>
        <w:rPr>
          <w:snapToGrid w:val="0"/>
        </w:rPr>
        <w:noBreakHyphen/>
        <w:t>metropolitan quantity charge</w:t>
      </w:r>
      <w:bookmarkEnd w:id="298"/>
      <w:bookmarkEnd w:id="299"/>
      <w:bookmarkEnd w:id="300"/>
      <w:bookmarkEnd w:id="301"/>
      <w:bookmarkEnd w:id="302"/>
    </w:p>
    <w:p>
      <w:pPr>
        <w:pStyle w:val="Subsection"/>
        <w:spacing w:before="120"/>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subject to sub</w:t>
      </w:r>
      <w:r>
        <w:rPr>
          <w:snapToGrid w:val="0"/>
        </w:rPr>
        <w:noBreakHyphen/>
        <w:t>bylaw (3), 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20"/>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120"/>
        <w:rPr>
          <w:snapToGrid w:val="0"/>
        </w:rPr>
      </w:pPr>
      <w:r>
        <w:rPr>
          <w:snapToGrid w:val="0"/>
        </w:rPr>
        <w:tab/>
        <w:t>(4)</w:t>
      </w:r>
      <w:r>
        <w:rPr>
          <w:snapToGrid w:val="0"/>
        </w:rPr>
        <w:tab/>
        <w:t xml:space="preserve">The </w:t>
      </w:r>
      <w:r>
        <w:t>amount of the concession</w:t>
      </w:r>
      <w:r>
        <w:rPr>
          <w:snapToGrid w:val="0"/>
        </w:rPr>
        <w:t xml:space="preserve">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 xml:space="preserve">in the town of Cue, Laverton, Leonora, Meekatharra, Menzies, Mt Magnet (from 1995/1996 onwards), </w:t>
      </w:r>
      <w:r>
        <w:t xml:space="preserve">Mullewa (from 2009/2010 onwards), </w:t>
      </w:r>
      <w:r>
        <w:rPr>
          <w:snapToGrid w:val="0"/>
        </w:rPr>
        <w:t>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120"/>
        <w:rPr>
          <w:snapToGrid w:val="0"/>
        </w:rPr>
      </w:pPr>
      <w:r>
        <w:rPr>
          <w:snapToGrid w:val="0"/>
        </w:rPr>
        <w:tab/>
        <w:t>(5)</w:t>
      </w:r>
      <w:r>
        <w:rPr>
          <w:snapToGrid w:val="0"/>
        </w:rPr>
        <w:tab/>
        <w:t xml:space="preserve">A person who, in connection with or for the purpose of obtaining a </w:t>
      </w:r>
      <w:r>
        <w:t>concession</w:t>
      </w:r>
      <w:r>
        <w:rPr>
          <w:snapToGrid w:val="0"/>
        </w:rPr>
        <w:t xml:space="preserve">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 25 Jun 2010 p. 2903</w:t>
      </w:r>
      <w:r>
        <w:noBreakHyphen/>
        <w:t>5.]</w:t>
      </w:r>
    </w:p>
    <w:p>
      <w:pPr>
        <w:pStyle w:val="Heading5"/>
        <w:rPr>
          <w:snapToGrid w:val="0"/>
        </w:rPr>
      </w:pPr>
      <w:bookmarkStart w:id="303" w:name="_Toc84427957"/>
      <w:bookmarkStart w:id="304" w:name="_Toc487428967"/>
      <w:bookmarkStart w:id="305" w:name="_Toc17278674"/>
      <w:bookmarkStart w:id="306" w:name="_Toc180204774"/>
      <w:bookmarkStart w:id="307" w:name="_Toc328471451"/>
      <w:r>
        <w:rPr>
          <w:rStyle w:val="CharSectno"/>
        </w:rPr>
        <w:t>18A</w:t>
      </w:r>
      <w:r>
        <w:rPr>
          <w:snapToGrid w:val="0"/>
        </w:rPr>
        <w:t>.</w:t>
      </w:r>
      <w:r>
        <w:rPr>
          <w:snapToGrid w:val="0"/>
        </w:rPr>
        <w:tab/>
        <w:t>Concessional metropolitan quantity charge</w:t>
      </w:r>
      <w:bookmarkEnd w:id="303"/>
      <w:bookmarkEnd w:id="304"/>
      <w:bookmarkEnd w:id="305"/>
      <w:bookmarkEnd w:id="306"/>
      <w:bookmarkEnd w:id="307"/>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rPr>
          <w:snapToGrid w:val="0"/>
        </w:rPr>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 25 Jun 2010 p. 2905</w:t>
      </w:r>
      <w:r>
        <w:noBreakHyphen/>
        <w:t>6.]</w:t>
      </w:r>
    </w:p>
    <w:p>
      <w:pPr>
        <w:pStyle w:val="Heading5"/>
        <w:rPr>
          <w:snapToGrid w:val="0"/>
        </w:rPr>
      </w:pPr>
      <w:bookmarkStart w:id="308" w:name="_Toc84427958"/>
      <w:bookmarkStart w:id="309" w:name="_Toc487428968"/>
      <w:bookmarkStart w:id="310" w:name="_Toc17278675"/>
      <w:bookmarkStart w:id="311" w:name="_Toc180204775"/>
      <w:bookmarkStart w:id="312" w:name="_Toc328471452"/>
      <w:r>
        <w:rPr>
          <w:rStyle w:val="CharSectno"/>
        </w:rPr>
        <w:t>18B</w:t>
      </w:r>
      <w:r>
        <w:rPr>
          <w:snapToGrid w:val="0"/>
        </w:rPr>
        <w:t>.</w:t>
      </w:r>
      <w:r>
        <w:rPr>
          <w:snapToGrid w:val="0"/>
        </w:rPr>
        <w:tab/>
        <w:t>Residential multi</w:t>
      </w:r>
      <w:r>
        <w:rPr>
          <w:snapToGrid w:val="0"/>
        </w:rPr>
        <w:noBreakHyphen/>
        <w:t>unit properties — rebates for eligible pensioners</w:t>
      </w:r>
      <w:bookmarkEnd w:id="308"/>
      <w:bookmarkEnd w:id="309"/>
      <w:bookmarkEnd w:id="310"/>
      <w:bookmarkEnd w:id="311"/>
      <w:bookmarkEnd w:id="312"/>
    </w:p>
    <w:p>
      <w:pPr>
        <w:pStyle w:val="Subsection"/>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 xml:space="preserve">600 kL of water is supplied in one year and where the land concerned is in the town of Cue, Laverton, Leonora, Meekatharra, Menzies, Mt Magnet (from 1995/1996 onwards), </w:t>
      </w:r>
      <w:r>
        <w:t xml:space="preserve">Mullewa (from 2009/2010 onwards), </w:t>
      </w:r>
      <w:r>
        <w:rPr>
          <w:snapToGrid w:val="0"/>
        </w:rPr>
        <w:t>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 25 Jun 2010 p. 2906.]</w:t>
      </w:r>
    </w:p>
    <w:p>
      <w:pPr>
        <w:pStyle w:val="Ednotesection"/>
      </w:pPr>
      <w:r>
        <w:t>[</w:t>
      </w:r>
      <w:r>
        <w:rPr>
          <w:b/>
        </w:rPr>
        <w:t>19.</w:t>
      </w:r>
      <w:r>
        <w:rPr>
          <w:b/>
        </w:rPr>
        <w:tab/>
      </w:r>
      <w:r>
        <w:t>Deleted in Gazette 26 Jun 1998 p. 3400.]</w:t>
      </w:r>
    </w:p>
    <w:p>
      <w:pPr>
        <w:pStyle w:val="Heading5"/>
        <w:rPr>
          <w:snapToGrid w:val="0"/>
        </w:rPr>
      </w:pPr>
      <w:bookmarkStart w:id="313" w:name="_Toc84427959"/>
      <w:bookmarkStart w:id="314" w:name="_Toc487428969"/>
      <w:bookmarkStart w:id="315" w:name="_Toc17278676"/>
      <w:bookmarkStart w:id="316" w:name="_Toc180204776"/>
      <w:bookmarkStart w:id="317" w:name="_Toc328471453"/>
      <w:r>
        <w:rPr>
          <w:rStyle w:val="CharSectno"/>
        </w:rPr>
        <w:t>19A</w:t>
      </w:r>
      <w:r>
        <w:rPr>
          <w:snapToGrid w:val="0"/>
        </w:rPr>
        <w:t>.</w:t>
      </w:r>
      <w:r>
        <w:rPr>
          <w:snapToGrid w:val="0"/>
        </w:rPr>
        <w:tab/>
        <w:t>Capital infrastructure charges</w:t>
      </w:r>
      <w:bookmarkEnd w:id="313"/>
      <w:bookmarkEnd w:id="314"/>
      <w:bookmarkEnd w:id="315"/>
      <w:bookmarkEnd w:id="316"/>
      <w:bookmarkEnd w:id="317"/>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318" w:name="_Toc84427960"/>
      <w:bookmarkStart w:id="319" w:name="_Toc91580430"/>
      <w:bookmarkStart w:id="320" w:name="_Toc103667115"/>
      <w:bookmarkStart w:id="321" w:name="_Toc103741634"/>
      <w:bookmarkStart w:id="322" w:name="_Toc107981877"/>
      <w:bookmarkStart w:id="323" w:name="_Toc118800044"/>
      <w:bookmarkStart w:id="324" w:name="_Toc118860052"/>
      <w:bookmarkStart w:id="325" w:name="_Toc121545552"/>
      <w:bookmarkStart w:id="326" w:name="_Toc121801075"/>
      <w:bookmarkStart w:id="327" w:name="_Toc121818188"/>
      <w:bookmarkStart w:id="328" w:name="_Toc121880798"/>
      <w:bookmarkStart w:id="329" w:name="_Toc129481869"/>
      <w:bookmarkStart w:id="330" w:name="_Toc130095238"/>
      <w:bookmarkStart w:id="331" w:name="_Toc130273302"/>
      <w:bookmarkStart w:id="332" w:name="_Toc139770975"/>
      <w:bookmarkStart w:id="333" w:name="_Toc139771353"/>
      <w:bookmarkStart w:id="334" w:name="_Toc151191568"/>
      <w:bookmarkStart w:id="335" w:name="_Toc151260461"/>
      <w:bookmarkStart w:id="336" w:name="_Toc164158566"/>
      <w:bookmarkStart w:id="337" w:name="_Toc164220938"/>
      <w:bookmarkStart w:id="338" w:name="_Toc170878898"/>
      <w:bookmarkStart w:id="339" w:name="_Toc170894650"/>
      <w:bookmarkStart w:id="340" w:name="_Toc175712616"/>
      <w:bookmarkStart w:id="341" w:name="_Toc175970557"/>
      <w:bookmarkStart w:id="342" w:name="_Toc176335276"/>
      <w:bookmarkStart w:id="343" w:name="_Toc176338851"/>
      <w:bookmarkStart w:id="344" w:name="_Toc178742876"/>
      <w:bookmarkStart w:id="345" w:name="_Toc179363299"/>
      <w:bookmarkStart w:id="346" w:name="_Toc179604368"/>
      <w:bookmarkStart w:id="347" w:name="_Toc180204561"/>
      <w:bookmarkStart w:id="348" w:name="_Toc180204777"/>
      <w:bookmarkStart w:id="349" w:name="_Toc185844522"/>
      <w:bookmarkStart w:id="350" w:name="_Toc185845142"/>
      <w:bookmarkStart w:id="351" w:name="_Toc185927107"/>
      <w:bookmarkStart w:id="352" w:name="_Toc202505855"/>
      <w:bookmarkStart w:id="353" w:name="_Toc202672640"/>
      <w:bookmarkStart w:id="354" w:name="_Toc202691731"/>
      <w:bookmarkStart w:id="355" w:name="_Toc233448353"/>
      <w:bookmarkStart w:id="356" w:name="_Toc233611667"/>
      <w:bookmarkStart w:id="357" w:name="_Toc234730674"/>
      <w:bookmarkStart w:id="358" w:name="_Toc234733200"/>
      <w:bookmarkStart w:id="359" w:name="_Toc235863937"/>
      <w:bookmarkStart w:id="360" w:name="_Toc235933412"/>
      <w:bookmarkStart w:id="361" w:name="_Toc237164400"/>
      <w:bookmarkStart w:id="362" w:name="_Toc237244283"/>
      <w:bookmarkStart w:id="363" w:name="_Toc237245584"/>
      <w:bookmarkStart w:id="364" w:name="_Toc237245715"/>
      <w:bookmarkStart w:id="365" w:name="_Toc237247823"/>
      <w:bookmarkStart w:id="366" w:name="_Toc237254126"/>
      <w:bookmarkStart w:id="367" w:name="_Toc237309545"/>
      <w:bookmarkStart w:id="368" w:name="_Toc265743484"/>
      <w:bookmarkStart w:id="369" w:name="_Toc297540742"/>
      <w:bookmarkStart w:id="370" w:name="_Toc297541170"/>
      <w:bookmarkStart w:id="371" w:name="_Toc328403405"/>
      <w:bookmarkStart w:id="372" w:name="_Toc328471454"/>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rPr>
          <w:snapToGrid w:val="0"/>
        </w:rPr>
      </w:pPr>
      <w:bookmarkStart w:id="373" w:name="_Toc84427961"/>
      <w:bookmarkStart w:id="374" w:name="_Toc487428970"/>
      <w:bookmarkStart w:id="375" w:name="_Toc17278677"/>
      <w:bookmarkStart w:id="376" w:name="_Toc180204778"/>
      <w:bookmarkStart w:id="377" w:name="_Toc328471455"/>
      <w:r>
        <w:rPr>
          <w:rStyle w:val="CharSectno"/>
        </w:rPr>
        <w:t>20</w:t>
      </w:r>
      <w:r>
        <w:rPr>
          <w:snapToGrid w:val="0"/>
        </w:rPr>
        <w:t>.</w:t>
      </w:r>
      <w:r>
        <w:rPr>
          <w:snapToGrid w:val="0"/>
        </w:rPr>
        <w:tab/>
        <w:t>Land subject to water supply charges under this Division</w:t>
      </w:r>
      <w:bookmarkEnd w:id="373"/>
      <w:bookmarkEnd w:id="374"/>
      <w:bookmarkEnd w:id="375"/>
      <w:bookmarkEnd w:id="376"/>
      <w:bookmarkEnd w:id="377"/>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deleted in Gazette 27 Jun 1997 p. 3180.]</w:t>
      </w:r>
    </w:p>
    <w:p>
      <w:pPr>
        <w:pStyle w:val="Heading2"/>
      </w:pPr>
      <w:bookmarkStart w:id="378" w:name="_Toc84427962"/>
      <w:bookmarkStart w:id="379" w:name="_Toc91580432"/>
      <w:bookmarkStart w:id="380" w:name="_Toc103667117"/>
      <w:bookmarkStart w:id="381" w:name="_Toc103741636"/>
      <w:bookmarkStart w:id="382" w:name="_Toc107981879"/>
      <w:bookmarkStart w:id="383" w:name="_Toc118800046"/>
      <w:bookmarkStart w:id="384" w:name="_Toc118860054"/>
      <w:bookmarkStart w:id="385" w:name="_Toc121545554"/>
      <w:bookmarkStart w:id="386" w:name="_Toc121801077"/>
      <w:bookmarkStart w:id="387" w:name="_Toc121818190"/>
      <w:bookmarkStart w:id="388" w:name="_Toc121880800"/>
      <w:bookmarkStart w:id="389" w:name="_Toc129481871"/>
      <w:bookmarkStart w:id="390" w:name="_Toc130095240"/>
      <w:bookmarkStart w:id="391" w:name="_Toc130273304"/>
      <w:bookmarkStart w:id="392" w:name="_Toc139770977"/>
      <w:bookmarkStart w:id="393" w:name="_Toc139771355"/>
      <w:bookmarkStart w:id="394" w:name="_Toc151191570"/>
      <w:bookmarkStart w:id="395" w:name="_Toc151260463"/>
      <w:bookmarkStart w:id="396" w:name="_Toc164158568"/>
      <w:bookmarkStart w:id="397" w:name="_Toc164220940"/>
      <w:bookmarkStart w:id="398" w:name="_Toc170878900"/>
      <w:bookmarkStart w:id="399" w:name="_Toc170894652"/>
      <w:bookmarkStart w:id="400" w:name="_Toc175712618"/>
      <w:bookmarkStart w:id="401" w:name="_Toc175970559"/>
      <w:bookmarkStart w:id="402" w:name="_Toc176335278"/>
      <w:bookmarkStart w:id="403" w:name="_Toc176338853"/>
      <w:bookmarkStart w:id="404" w:name="_Toc178742878"/>
      <w:bookmarkStart w:id="405" w:name="_Toc179363301"/>
      <w:bookmarkStart w:id="406" w:name="_Toc179604370"/>
      <w:bookmarkStart w:id="407" w:name="_Toc180204563"/>
      <w:bookmarkStart w:id="408" w:name="_Toc180204779"/>
      <w:bookmarkStart w:id="409" w:name="_Toc185844524"/>
      <w:bookmarkStart w:id="410" w:name="_Toc185845144"/>
      <w:bookmarkStart w:id="411" w:name="_Toc185927109"/>
      <w:bookmarkStart w:id="412" w:name="_Toc202505857"/>
      <w:bookmarkStart w:id="413" w:name="_Toc202672642"/>
      <w:bookmarkStart w:id="414" w:name="_Toc202691733"/>
      <w:bookmarkStart w:id="415" w:name="_Toc233448355"/>
      <w:bookmarkStart w:id="416" w:name="_Toc233611669"/>
      <w:bookmarkStart w:id="417" w:name="_Toc234730676"/>
      <w:bookmarkStart w:id="418" w:name="_Toc234733202"/>
      <w:bookmarkStart w:id="419" w:name="_Toc235863939"/>
      <w:bookmarkStart w:id="420" w:name="_Toc235933414"/>
      <w:bookmarkStart w:id="421" w:name="_Toc237164402"/>
      <w:bookmarkStart w:id="422" w:name="_Toc237244285"/>
      <w:bookmarkStart w:id="423" w:name="_Toc237245586"/>
      <w:bookmarkStart w:id="424" w:name="_Toc237245717"/>
      <w:bookmarkStart w:id="425" w:name="_Toc237247825"/>
      <w:bookmarkStart w:id="426" w:name="_Toc237254128"/>
      <w:bookmarkStart w:id="427" w:name="_Toc237309547"/>
      <w:bookmarkStart w:id="428" w:name="_Toc265743486"/>
      <w:bookmarkStart w:id="429" w:name="_Toc297540744"/>
      <w:bookmarkStart w:id="430" w:name="_Toc297541172"/>
      <w:bookmarkStart w:id="431" w:name="_Toc328403407"/>
      <w:bookmarkStart w:id="432" w:name="_Toc328471456"/>
      <w:r>
        <w:rPr>
          <w:rStyle w:val="CharPartNo"/>
        </w:rPr>
        <w:t>Part 3</w:t>
      </w:r>
      <w:r>
        <w:rPr>
          <w:rStyle w:val="CharDivNo"/>
        </w:rPr>
        <w:t> </w:t>
      </w:r>
      <w:r>
        <w:t>—</w:t>
      </w:r>
      <w:r>
        <w:rPr>
          <w:rStyle w:val="CharDivText"/>
        </w:rPr>
        <w:t> </w:t>
      </w:r>
      <w:r>
        <w:rPr>
          <w:rStyle w:val="CharPartText"/>
        </w:rPr>
        <w:t>Sewerage</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84427963"/>
      <w:bookmarkStart w:id="434" w:name="_Toc180204780"/>
      <w:bookmarkStart w:id="435" w:name="_Toc328471457"/>
      <w:bookmarkStart w:id="436" w:name="_Toc487428972"/>
      <w:bookmarkStart w:id="437" w:name="_Toc17278679"/>
      <w:r>
        <w:rPr>
          <w:rStyle w:val="CharSectno"/>
        </w:rPr>
        <w:t>21A</w:t>
      </w:r>
      <w:r>
        <w:t>.</w:t>
      </w:r>
      <w:r>
        <w:tab/>
        <w:t>Terms used</w:t>
      </w:r>
      <w:bookmarkEnd w:id="433"/>
      <w:bookmarkEnd w:id="434"/>
      <w:bookmarkEnd w:id="435"/>
    </w:p>
    <w:p>
      <w:pPr>
        <w:pStyle w:val="Subsection"/>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pPr>
      <w:r>
        <w:tab/>
      </w:r>
      <w:r>
        <w:rPr>
          <w:rStyle w:val="CharDefText"/>
        </w:rPr>
        <w:t>Table</w:t>
      </w:r>
      <w:r>
        <w:t xml:space="preserve">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438" w:name="_Toc84427964"/>
      <w:bookmarkStart w:id="439" w:name="_Toc180204781"/>
      <w:bookmarkStart w:id="440" w:name="_Toc328471458"/>
      <w:r>
        <w:rPr>
          <w:rStyle w:val="CharSectno"/>
        </w:rPr>
        <w:t>21</w:t>
      </w:r>
      <w:r>
        <w:rPr>
          <w:snapToGrid w:val="0"/>
        </w:rPr>
        <w:t>.</w:t>
      </w:r>
      <w:r>
        <w:rPr>
          <w:snapToGrid w:val="0"/>
        </w:rPr>
        <w:tab/>
        <w:t>Land subject to sewerage charges</w:t>
      </w:r>
      <w:bookmarkEnd w:id="438"/>
      <w:bookmarkEnd w:id="436"/>
      <w:bookmarkEnd w:id="437"/>
      <w:bookmarkEnd w:id="439"/>
      <w:bookmarkEnd w:id="440"/>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w:t>
      </w:r>
    </w:p>
    <w:p>
      <w:pPr>
        <w:pStyle w:val="Heading5"/>
        <w:rPr>
          <w:snapToGrid w:val="0"/>
        </w:rPr>
      </w:pPr>
      <w:bookmarkStart w:id="441" w:name="_Toc84427965"/>
      <w:bookmarkStart w:id="442" w:name="_Toc487428973"/>
      <w:bookmarkStart w:id="443" w:name="_Toc17278680"/>
      <w:bookmarkStart w:id="444" w:name="_Toc180204782"/>
      <w:bookmarkStart w:id="445" w:name="_Toc328471459"/>
      <w:r>
        <w:rPr>
          <w:rStyle w:val="CharSectno"/>
        </w:rPr>
        <w:t>22</w:t>
      </w:r>
      <w:r>
        <w:rPr>
          <w:snapToGrid w:val="0"/>
        </w:rPr>
        <w:t>.</w:t>
      </w:r>
      <w:r>
        <w:rPr>
          <w:snapToGrid w:val="0"/>
        </w:rPr>
        <w:tab/>
        <w:t>Exempt land</w:t>
      </w:r>
      <w:bookmarkEnd w:id="441"/>
      <w:bookmarkEnd w:id="442"/>
      <w:bookmarkEnd w:id="443"/>
      <w:bookmarkEnd w:id="444"/>
      <w:bookmarkEnd w:id="445"/>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 to the extent set out in that Schedule.</w:t>
      </w:r>
    </w:p>
    <w:p>
      <w:pPr>
        <w:pStyle w:val="Footnotesection"/>
        <w:spacing w:before="100"/>
        <w:ind w:left="890" w:hanging="890"/>
      </w:pPr>
      <w:r>
        <w:tab/>
        <w:t>[By</w:t>
      </w:r>
      <w:r>
        <w:noBreakHyphen/>
        <w:t>law 22 amended in Gazette 29 Jun 2001 p. 3194; 20 Jun 2012 p. 2699.]</w:t>
      </w:r>
    </w:p>
    <w:p>
      <w:pPr>
        <w:pStyle w:val="Heading5"/>
        <w:rPr>
          <w:rStyle w:val="CharSectno"/>
        </w:rPr>
      </w:pPr>
      <w:bookmarkStart w:id="446" w:name="_Toc84427966"/>
      <w:bookmarkStart w:id="447" w:name="_Toc180204783"/>
      <w:bookmarkStart w:id="448" w:name="_Toc328471460"/>
      <w:bookmarkStart w:id="449" w:name="_Toc487428975"/>
      <w:bookmarkStart w:id="450" w:name="_Toc17278682"/>
      <w:r>
        <w:rPr>
          <w:rStyle w:val="CharSectno"/>
        </w:rPr>
        <w:t>23.</w:t>
      </w:r>
      <w:r>
        <w:rPr>
          <w:rStyle w:val="CharSectno"/>
        </w:rPr>
        <w:tab/>
        <w:t>Classification of land</w:t>
      </w:r>
      <w:bookmarkEnd w:id="446"/>
      <w:bookmarkEnd w:id="447"/>
      <w:bookmarkEnd w:id="448"/>
    </w:p>
    <w:p>
      <w:pPr>
        <w:pStyle w:val="Subsection"/>
      </w:pPr>
      <w:r>
        <w:rPr>
          <w:snapToGrid w:val="0"/>
        </w:rPr>
        <w:tab/>
        <w:t>(1)</w:t>
      </w:r>
      <w:r>
        <w:rPr>
          <w:snapToGrid w:val="0"/>
        </w:rPr>
        <w:tab/>
        <w:t>For the purposes of this Part, land described in by</w:t>
      </w:r>
      <w:r>
        <w:rPr>
          <w:snapToGrid w:val="0"/>
        </w:rPr>
        <w:noBreakHyphen/>
        <w:t>law 4 that is</w:t>
      </w:r>
      <w:r>
        <w:t xml:space="preserve"> in a country sewerage area and is connected with a sewer may, irrespective of any other classification under these by</w:t>
      </w:r>
      <w:r>
        <w:noBreakHyphen/>
        <w:t xml:space="preserve">laws, be classified by the Corporation as follows — </w:t>
      </w:r>
    </w:p>
    <w:p>
      <w:pPr>
        <w:pStyle w:val="Indenta"/>
        <w:spacing w:before="100"/>
      </w:pPr>
      <w:r>
        <w:tab/>
        <w:t>(a)</w:t>
      </w:r>
      <w:r>
        <w:tab/>
        <w:t>institutional public, if the land is used for such club, institutional or public purpose as the Corporation approves, not being a purpose mentioned in paragraph (b);</w:t>
      </w:r>
    </w:p>
    <w:p>
      <w:pPr>
        <w:pStyle w:val="Indenta"/>
        <w:spacing w:before="100"/>
      </w:pPr>
      <w:r>
        <w:tab/>
        <w:t>(b)</w:t>
      </w:r>
      <w:r>
        <w:tab/>
        <w:t xml:space="preserve">charitable purposes, if, in the opinion of the Corporation, the land is used for the purpose of — </w:t>
      </w:r>
    </w:p>
    <w:p>
      <w:pPr>
        <w:pStyle w:val="Indenti"/>
        <w:spacing w:before="100"/>
      </w:pPr>
      <w:r>
        <w:tab/>
        <w:t>(i)</w:t>
      </w:r>
      <w:r>
        <w:tab/>
        <w:t>providing relief or assistance to sick, aged, disadvantaged, unemployed or young persons; or</w:t>
      </w:r>
    </w:p>
    <w:p>
      <w:pPr>
        <w:pStyle w:val="Indenti"/>
        <w:spacing w:before="100"/>
      </w:pPr>
      <w:r>
        <w:tab/>
        <w:t>(ii)</w:t>
      </w:r>
      <w:r>
        <w:tab/>
        <w:t>conducting other activities for the benefit of the public or in the interests of social welfare,</w:t>
      </w:r>
    </w:p>
    <w:p>
      <w:pPr>
        <w:pStyle w:val="Indenta"/>
        <w:spacing w:before="100"/>
      </w:pPr>
      <w:r>
        <w:tab/>
      </w:r>
      <w:r>
        <w:tab/>
        <w:t>by a private organisation that is not operated for the purpose of profit or gain to individual members, shareholders or owners;</w:t>
      </w:r>
    </w:p>
    <w:p>
      <w:pPr>
        <w:pStyle w:val="Indenta"/>
        <w:spacing w:before="100"/>
      </w:pPr>
      <w:r>
        <w:tab/>
        <w:t>(c)</w:t>
      </w:r>
      <w:r>
        <w:tab/>
        <w:t>community residential, if the land is occupied as a communal property on which several family units dwell at the same time and is managed by the persons dwelling on the land or a committee of them;</w:t>
      </w:r>
    </w:p>
    <w:p>
      <w:pPr>
        <w:pStyle w:val="Indenta"/>
      </w:pPr>
      <w:r>
        <w:tab/>
        <w:t>(d)</w:t>
      </w:r>
      <w:r>
        <w:tab/>
        <w:t>local government, if the land is not in the metropolitan area and is used by the local government for business, professional, commercial or office purposes, or as a power station, and the classification of the land is not otherwise specifically provided for in this by</w:t>
      </w:r>
      <w:r>
        <w:noBreakHyphen/>
        <w:t>law;</w:t>
      </w:r>
    </w:p>
    <w:p>
      <w:pPr>
        <w:pStyle w:val="Indenta"/>
      </w:pPr>
      <w:r>
        <w:tab/>
        <w:t>(e)</w:t>
      </w:r>
      <w:r>
        <w:tab/>
        <w:t>aged home, if the land is in the metropolitan area and the classification of the land is not otherwise specifically provided for in this by</w:t>
      </w:r>
      <w:r>
        <w:noBreakHyphen/>
        <w:t>law,</w:t>
      </w:r>
    </w:p>
    <w:p>
      <w:pPr>
        <w:pStyle w:val="Subsection"/>
        <w:spacing w:before="120"/>
      </w:pPr>
      <w:r>
        <w:tab/>
      </w:r>
      <w:r>
        <w:tab/>
        <w:t>and, where it is not classified under paragraph (a), (b), (c), (d) or (e), shall be taken to have been classified as community purpose.</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23 inserted in Gazette 29 Jun 2007 p. 3252-3; amended in Gazette 19 Jun 2009 p. 2322; 20 Jun 2012 p. 2699.] </w:t>
      </w:r>
    </w:p>
    <w:p>
      <w:pPr>
        <w:pStyle w:val="Heading5"/>
        <w:rPr>
          <w:snapToGrid w:val="0"/>
        </w:rPr>
      </w:pPr>
      <w:bookmarkStart w:id="451" w:name="_Toc84427967"/>
      <w:bookmarkStart w:id="452" w:name="_Toc180204784"/>
      <w:bookmarkStart w:id="453" w:name="_Toc328471461"/>
      <w:r>
        <w:rPr>
          <w:rStyle w:val="CharSectno"/>
        </w:rPr>
        <w:t>24</w:t>
      </w:r>
      <w:r>
        <w:rPr>
          <w:snapToGrid w:val="0"/>
        </w:rPr>
        <w:t>.</w:t>
      </w:r>
      <w:r>
        <w:rPr>
          <w:snapToGrid w:val="0"/>
        </w:rPr>
        <w:tab/>
        <w:t>Indexation of certain valuations</w:t>
      </w:r>
      <w:bookmarkEnd w:id="451"/>
      <w:bookmarkEnd w:id="449"/>
      <w:bookmarkEnd w:id="450"/>
      <w:bookmarkEnd w:id="452"/>
      <w:bookmarkEnd w:id="453"/>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Deleted in Gazette 1 Jul 2002 p. 3157.]</w:t>
      </w:r>
    </w:p>
    <w:p>
      <w:pPr>
        <w:pStyle w:val="Heading5"/>
        <w:rPr>
          <w:snapToGrid w:val="0"/>
        </w:rPr>
      </w:pPr>
      <w:bookmarkStart w:id="454" w:name="_Toc84427968"/>
      <w:bookmarkStart w:id="455" w:name="_Toc487428977"/>
      <w:bookmarkStart w:id="456" w:name="_Toc17278683"/>
      <w:bookmarkStart w:id="457" w:name="_Toc180204785"/>
      <w:bookmarkStart w:id="458" w:name="_Toc328471462"/>
      <w:r>
        <w:rPr>
          <w:rStyle w:val="CharSectno"/>
        </w:rPr>
        <w:t>25A</w:t>
      </w:r>
      <w:r>
        <w:rPr>
          <w:snapToGrid w:val="0"/>
        </w:rPr>
        <w:t>.</w:t>
      </w:r>
      <w:r>
        <w:rPr>
          <w:snapToGrid w:val="0"/>
        </w:rPr>
        <w:tab/>
        <w:t>Metered metropolitan non</w:t>
      </w:r>
      <w:r>
        <w:rPr>
          <w:snapToGrid w:val="0"/>
        </w:rPr>
        <w:noBreakHyphen/>
        <w:t>residential property sewerage charges</w:t>
      </w:r>
      <w:bookmarkEnd w:id="454"/>
      <w:bookmarkEnd w:id="455"/>
      <w:bookmarkEnd w:id="456"/>
      <w:bookmarkEnd w:id="457"/>
      <w:bookmarkEnd w:id="458"/>
    </w:p>
    <w:p>
      <w:pPr>
        <w:pStyle w:val="Subsection"/>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13.6% </w:t>
      </w:r>
      <w:r>
        <w:rPr>
          <w:snapToGrid w:val="0"/>
        </w:rPr>
        <w:t xml:space="preserve">greater than the charge calculated for the same service (and under the same circumstances) in the previous year, the charge is only payable up to that </w:t>
      </w:r>
      <w:r>
        <w:t xml:space="preserve">13.6%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 19 Jun 2009 p. 2323; 25 Jun 2010 p. 2906; 23 Jun 2011 p. 2418; 20 Jun 2012 p. 2700.]</w:t>
      </w:r>
    </w:p>
    <w:p>
      <w:pPr>
        <w:pStyle w:val="Heading5"/>
        <w:keepLines w:val="0"/>
        <w:spacing w:before="180"/>
        <w:rPr>
          <w:snapToGrid w:val="0"/>
        </w:rPr>
      </w:pPr>
      <w:bookmarkStart w:id="459" w:name="_Toc84427969"/>
      <w:bookmarkStart w:id="460" w:name="_Toc487428978"/>
      <w:bookmarkStart w:id="461" w:name="_Toc17278684"/>
      <w:bookmarkStart w:id="462" w:name="_Toc180204786"/>
      <w:bookmarkStart w:id="463" w:name="_Toc328471463"/>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459"/>
      <w:bookmarkEnd w:id="460"/>
      <w:bookmarkEnd w:id="461"/>
      <w:bookmarkEnd w:id="462"/>
      <w:bookmarkEnd w:id="463"/>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464" w:name="_Toc84427970"/>
      <w:bookmarkStart w:id="465" w:name="_Toc487428979"/>
      <w:bookmarkStart w:id="466" w:name="_Toc17278685"/>
      <w:bookmarkStart w:id="467" w:name="_Toc180204787"/>
      <w:bookmarkStart w:id="468" w:name="_Toc328471464"/>
      <w:r>
        <w:rPr>
          <w:rStyle w:val="CharSectno"/>
        </w:rPr>
        <w:t>25C</w:t>
      </w:r>
      <w:r>
        <w:rPr>
          <w:snapToGrid w:val="0"/>
        </w:rPr>
        <w:t>.</w:t>
      </w:r>
      <w:r>
        <w:rPr>
          <w:snapToGrid w:val="0"/>
        </w:rPr>
        <w:tab/>
        <w:t>Charging for shared sewerage fixtures on metropolitan non</w:t>
      </w:r>
      <w:r>
        <w:rPr>
          <w:snapToGrid w:val="0"/>
        </w:rPr>
        <w:noBreakHyphen/>
        <w:t>residential property</w:t>
      </w:r>
      <w:bookmarkEnd w:id="464"/>
      <w:bookmarkEnd w:id="465"/>
      <w:bookmarkEnd w:id="466"/>
      <w:bookmarkEnd w:id="467"/>
      <w:bookmarkEnd w:id="468"/>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469" w:name="_Toc84427971"/>
      <w:bookmarkStart w:id="470" w:name="_Toc180204788"/>
      <w:bookmarkStart w:id="471" w:name="_Toc328471465"/>
      <w:r>
        <w:rPr>
          <w:rStyle w:val="CharSectno"/>
        </w:rPr>
        <w:t>26</w:t>
      </w:r>
      <w:r>
        <w:t>.</w:t>
      </w:r>
      <w:r>
        <w:tab/>
      </w:r>
      <w:bookmarkStart w:id="472" w:name="_Toc43099247"/>
      <w:r>
        <w:rPr>
          <w:snapToGrid w:val="0"/>
        </w:rPr>
        <w:t xml:space="preserve">Metered country </w:t>
      </w:r>
      <w:r>
        <w:t>non</w:t>
      </w:r>
      <w:r>
        <w:noBreakHyphen/>
        <w:t>residential or commercial residential</w:t>
      </w:r>
      <w:r>
        <w:rPr>
          <w:snapToGrid w:val="0"/>
        </w:rPr>
        <w:t xml:space="preserve"> property sewerage charges</w:t>
      </w:r>
      <w:bookmarkEnd w:id="469"/>
      <w:bookmarkEnd w:id="470"/>
      <w:bookmarkEnd w:id="471"/>
      <w:bookmarkEnd w:id="472"/>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473" w:name="_Toc43099248"/>
      <w:r>
        <w:tab/>
        <w:t>[By</w:t>
      </w:r>
      <w:r>
        <w:noBreakHyphen/>
        <w:t>law 26 inserted in Gazette 27 Jun 2003 p. 2288-90; amended in Gazette 29 Jun 2007 p. 3253.]</w:t>
      </w:r>
    </w:p>
    <w:p>
      <w:pPr>
        <w:pStyle w:val="Heading5"/>
      </w:pPr>
      <w:bookmarkStart w:id="474" w:name="_Toc84427972"/>
      <w:bookmarkStart w:id="475" w:name="_Toc180204789"/>
      <w:bookmarkStart w:id="476" w:name="_Toc328471466"/>
      <w:r>
        <w:rPr>
          <w:rStyle w:val="CharSectno"/>
        </w:rPr>
        <w:t>26A</w:t>
      </w:r>
      <w:r>
        <w:t>.</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bookmarkEnd w:id="474"/>
      <w:bookmarkEnd w:id="473"/>
      <w:bookmarkEnd w:id="475"/>
      <w:bookmarkEnd w:id="476"/>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477" w:name="_Toc43099249"/>
      <w:r>
        <w:tab/>
        <w:t>[By</w:t>
      </w:r>
      <w:r>
        <w:noBreakHyphen/>
        <w:t>law 26A inserted in Gazette 27 Jun 2003 p. 2290-1; amended in Gazette 29 Jun 2007 p. 3253.]</w:t>
      </w:r>
    </w:p>
    <w:p>
      <w:pPr>
        <w:pStyle w:val="Heading5"/>
      </w:pPr>
      <w:bookmarkStart w:id="478" w:name="_Toc84427973"/>
      <w:bookmarkStart w:id="479" w:name="_Toc180204790"/>
      <w:bookmarkStart w:id="480" w:name="_Toc328471467"/>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478"/>
      <w:bookmarkEnd w:id="477"/>
      <w:bookmarkEnd w:id="479"/>
      <w:bookmarkEnd w:id="480"/>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481" w:name="_Toc84427974"/>
      <w:bookmarkStart w:id="482" w:name="_Toc91580444"/>
      <w:bookmarkStart w:id="483" w:name="_Toc103667129"/>
      <w:bookmarkStart w:id="484" w:name="_Toc103741648"/>
      <w:bookmarkStart w:id="485" w:name="_Toc107981891"/>
      <w:bookmarkStart w:id="486" w:name="_Toc118800058"/>
      <w:bookmarkStart w:id="487" w:name="_Toc118860066"/>
      <w:bookmarkStart w:id="488" w:name="_Toc121545566"/>
      <w:bookmarkStart w:id="489" w:name="_Toc121801089"/>
      <w:bookmarkStart w:id="490" w:name="_Toc121818202"/>
      <w:bookmarkStart w:id="491" w:name="_Toc121880812"/>
      <w:bookmarkStart w:id="492" w:name="_Toc129481883"/>
      <w:bookmarkStart w:id="493" w:name="_Toc130095252"/>
      <w:bookmarkStart w:id="494" w:name="_Toc130273316"/>
      <w:bookmarkStart w:id="495" w:name="_Toc139770989"/>
      <w:bookmarkStart w:id="496" w:name="_Toc139771367"/>
      <w:bookmarkStart w:id="497" w:name="_Toc151191582"/>
      <w:bookmarkStart w:id="498" w:name="_Toc151260475"/>
      <w:bookmarkStart w:id="499" w:name="_Toc164158580"/>
      <w:bookmarkStart w:id="500" w:name="_Toc164220952"/>
      <w:bookmarkStart w:id="501" w:name="_Toc170878913"/>
      <w:bookmarkStart w:id="502" w:name="_Toc170894664"/>
      <w:bookmarkStart w:id="503" w:name="_Toc175712630"/>
      <w:bookmarkStart w:id="504" w:name="_Toc175970571"/>
      <w:bookmarkStart w:id="505" w:name="_Toc176335290"/>
      <w:bookmarkStart w:id="506" w:name="_Toc176338865"/>
      <w:bookmarkStart w:id="507" w:name="_Toc178742890"/>
      <w:bookmarkStart w:id="508" w:name="_Toc179363313"/>
      <w:bookmarkStart w:id="509" w:name="_Toc179604382"/>
      <w:bookmarkStart w:id="510" w:name="_Toc180204575"/>
      <w:bookmarkStart w:id="511" w:name="_Toc180204791"/>
      <w:bookmarkStart w:id="512" w:name="_Toc185844536"/>
      <w:bookmarkStart w:id="513" w:name="_Toc185845156"/>
      <w:bookmarkStart w:id="514" w:name="_Toc185927121"/>
      <w:bookmarkStart w:id="515" w:name="_Toc202505869"/>
      <w:bookmarkStart w:id="516" w:name="_Toc202672654"/>
      <w:bookmarkStart w:id="517" w:name="_Toc202691745"/>
      <w:bookmarkStart w:id="518" w:name="_Toc233448367"/>
      <w:bookmarkStart w:id="519" w:name="_Toc233611681"/>
      <w:bookmarkStart w:id="520" w:name="_Toc234730688"/>
      <w:bookmarkStart w:id="521" w:name="_Toc234733214"/>
      <w:bookmarkStart w:id="522" w:name="_Toc235863951"/>
      <w:bookmarkStart w:id="523" w:name="_Toc235933426"/>
      <w:bookmarkStart w:id="524" w:name="_Toc237164414"/>
      <w:bookmarkStart w:id="525" w:name="_Toc237244297"/>
      <w:bookmarkStart w:id="526" w:name="_Toc237245598"/>
      <w:bookmarkStart w:id="527" w:name="_Toc237245729"/>
      <w:bookmarkStart w:id="528" w:name="_Toc237247837"/>
      <w:bookmarkStart w:id="529" w:name="_Toc237254140"/>
      <w:bookmarkStart w:id="530" w:name="_Toc237309559"/>
      <w:bookmarkStart w:id="531" w:name="_Toc265743498"/>
      <w:bookmarkStart w:id="532" w:name="_Toc297540756"/>
      <w:bookmarkStart w:id="533" w:name="_Toc297541184"/>
      <w:bookmarkStart w:id="534" w:name="_Toc328403419"/>
      <w:bookmarkStart w:id="535" w:name="_Toc328471468"/>
      <w:r>
        <w:rPr>
          <w:rStyle w:val="CharPartNo"/>
        </w:rPr>
        <w:t>Part 4</w:t>
      </w:r>
      <w:r>
        <w:rPr>
          <w:rStyle w:val="CharDivNo"/>
        </w:rPr>
        <w:t> </w:t>
      </w:r>
      <w:r>
        <w:t>—</w:t>
      </w:r>
      <w:r>
        <w:rPr>
          <w:rStyle w:val="CharDivText"/>
        </w:rPr>
        <w:t> </w:t>
      </w:r>
      <w:r>
        <w:rPr>
          <w:rStyle w:val="CharPartText"/>
        </w:rPr>
        <w:t>Drainage</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rPr>
          <w:snapToGrid w:val="0"/>
        </w:rPr>
      </w:pPr>
      <w:bookmarkStart w:id="536" w:name="_Toc84427975"/>
      <w:bookmarkStart w:id="537" w:name="_Toc487428980"/>
      <w:bookmarkStart w:id="538" w:name="_Toc17278686"/>
      <w:bookmarkStart w:id="539" w:name="_Toc180204792"/>
      <w:bookmarkStart w:id="540" w:name="_Toc328471469"/>
      <w:r>
        <w:rPr>
          <w:rStyle w:val="CharSectno"/>
        </w:rPr>
        <w:t>27</w:t>
      </w:r>
      <w:r>
        <w:rPr>
          <w:snapToGrid w:val="0"/>
        </w:rPr>
        <w:t>.</w:t>
      </w:r>
      <w:r>
        <w:rPr>
          <w:snapToGrid w:val="0"/>
        </w:rPr>
        <w:tab/>
        <w:t>Land subject to drainage charges</w:t>
      </w:r>
      <w:bookmarkEnd w:id="536"/>
      <w:bookmarkEnd w:id="537"/>
      <w:bookmarkEnd w:id="538"/>
      <w:bookmarkEnd w:id="539"/>
      <w:bookmarkEnd w:id="540"/>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be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 19 Jun 2009 p. 2323.]</w:t>
      </w:r>
    </w:p>
    <w:p>
      <w:pPr>
        <w:pStyle w:val="Heading5"/>
        <w:rPr>
          <w:snapToGrid w:val="0"/>
        </w:rPr>
      </w:pPr>
      <w:bookmarkStart w:id="541" w:name="_Toc84427976"/>
      <w:bookmarkStart w:id="542" w:name="_Toc487428981"/>
      <w:bookmarkStart w:id="543" w:name="_Toc17278687"/>
      <w:bookmarkStart w:id="544" w:name="_Toc180204793"/>
      <w:bookmarkStart w:id="545" w:name="_Toc328471470"/>
      <w:r>
        <w:rPr>
          <w:rStyle w:val="CharSectno"/>
        </w:rPr>
        <w:t>28</w:t>
      </w:r>
      <w:r>
        <w:rPr>
          <w:snapToGrid w:val="0"/>
        </w:rPr>
        <w:t>.</w:t>
      </w:r>
      <w:r>
        <w:rPr>
          <w:snapToGrid w:val="0"/>
        </w:rPr>
        <w:tab/>
        <w:t>Exempt land</w:t>
      </w:r>
      <w:bookmarkEnd w:id="541"/>
      <w:bookmarkEnd w:id="542"/>
      <w:bookmarkEnd w:id="543"/>
      <w:bookmarkEnd w:id="544"/>
      <w:bookmarkEnd w:id="545"/>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tab/>
        <w:t>[By</w:t>
      </w:r>
      <w:r>
        <w:noBreakHyphen/>
        <w:t>law 28 amended in Gazette 29 Jun 2001 p. 3194; 27 Jun 2008 p. 2987.]</w:t>
      </w:r>
    </w:p>
    <w:p>
      <w:pPr>
        <w:pStyle w:val="Heading5"/>
      </w:pPr>
      <w:bookmarkStart w:id="546" w:name="_Toc84427977"/>
      <w:bookmarkStart w:id="547" w:name="_Toc180204794"/>
      <w:bookmarkStart w:id="548" w:name="_Toc328471471"/>
      <w:r>
        <w:rPr>
          <w:rStyle w:val="CharSectno"/>
        </w:rPr>
        <w:t>29</w:t>
      </w:r>
      <w:r>
        <w:t>.</w:t>
      </w:r>
      <w:r>
        <w:tab/>
        <w:t>Classification of land</w:t>
      </w:r>
      <w:bookmarkEnd w:id="546"/>
      <w:bookmarkEnd w:id="547"/>
      <w:bookmarkEnd w:id="548"/>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29 inserted in Gazette 29 Jun 2007 p. 3254; amended in Gazette 19 Jun 2009 p. 2323.] </w:t>
      </w:r>
    </w:p>
    <w:p>
      <w:pPr>
        <w:pStyle w:val="Ednotesection"/>
      </w:pPr>
      <w:r>
        <w:t>[</w:t>
      </w:r>
      <w:r>
        <w:rPr>
          <w:b/>
        </w:rPr>
        <w:t>30.</w:t>
      </w:r>
      <w:r>
        <w:tab/>
        <w:t>Deleted in Gazette 1 Jul 2002 p. 3157.]</w:t>
      </w:r>
    </w:p>
    <w:p>
      <w:pPr>
        <w:pStyle w:val="Heading2"/>
      </w:pPr>
      <w:bookmarkStart w:id="549" w:name="_Toc84427978"/>
      <w:bookmarkStart w:id="550" w:name="_Toc91580448"/>
      <w:bookmarkStart w:id="551" w:name="_Toc103667133"/>
      <w:bookmarkStart w:id="552" w:name="_Toc103741652"/>
      <w:bookmarkStart w:id="553" w:name="_Toc107981895"/>
      <w:bookmarkStart w:id="554" w:name="_Toc118800062"/>
      <w:bookmarkStart w:id="555" w:name="_Toc118860070"/>
      <w:bookmarkStart w:id="556" w:name="_Toc121545570"/>
      <w:bookmarkStart w:id="557" w:name="_Toc121801093"/>
      <w:bookmarkStart w:id="558" w:name="_Toc121818206"/>
      <w:bookmarkStart w:id="559" w:name="_Toc121880816"/>
      <w:bookmarkStart w:id="560" w:name="_Toc129481887"/>
      <w:bookmarkStart w:id="561" w:name="_Toc130095256"/>
      <w:bookmarkStart w:id="562" w:name="_Toc130273320"/>
      <w:bookmarkStart w:id="563" w:name="_Toc139770993"/>
      <w:bookmarkStart w:id="564" w:name="_Toc139771371"/>
      <w:bookmarkStart w:id="565" w:name="_Toc151191586"/>
      <w:bookmarkStart w:id="566" w:name="_Toc151260479"/>
      <w:bookmarkStart w:id="567" w:name="_Toc164158584"/>
      <w:bookmarkStart w:id="568" w:name="_Toc164220956"/>
      <w:bookmarkStart w:id="569" w:name="_Toc170878918"/>
      <w:bookmarkStart w:id="570" w:name="_Toc170894668"/>
      <w:bookmarkStart w:id="571" w:name="_Toc175712634"/>
      <w:bookmarkStart w:id="572" w:name="_Toc175970575"/>
      <w:bookmarkStart w:id="573" w:name="_Toc176335294"/>
      <w:bookmarkStart w:id="574" w:name="_Toc176338869"/>
      <w:bookmarkStart w:id="575" w:name="_Toc178742894"/>
      <w:bookmarkStart w:id="576" w:name="_Toc179363317"/>
      <w:bookmarkStart w:id="577" w:name="_Toc179604386"/>
      <w:bookmarkStart w:id="578" w:name="_Toc180204579"/>
      <w:bookmarkStart w:id="579" w:name="_Toc180204795"/>
      <w:bookmarkStart w:id="580" w:name="_Toc185844540"/>
      <w:bookmarkStart w:id="581" w:name="_Toc185845160"/>
      <w:bookmarkStart w:id="582" w:name="_Toc185927125"/>
      <w:bookmarkStart w:id="583" w:name="_Toc202505873"/>
      <w:bookmarkStart w:id="584" w:name="_Toc202672658"/>
      <w:bookmarkStart w:id="585" w:name="_Toc202691749"/>
      <w:bookmarkStart w:id="586" w:name="_Toc233448371"/>
      <w:bookmarkStart w:id="587" w:name="_Toc233611685"/>
      <w:bookmarkStart w:id="588" w:name="_Toc234730692"/>
      <w:bookmarkStart w:id="589" w:name="_Toc234733218"/>
      <w:bookmarkStart w:id="590" w:name="_Toc235863955"/>
      <w:bookmarkStart w:id="591" w:name="_Toc235933430"/>
      <w:bookmarkStart w:id="592" w:name="_Toc237164418"/>
      <w:bookmarkStart w:id="593" w:name="_Toc237244301"/>
      <w:bookmarkStart w:id="594" w:name="_Toc237245602"/>
      <w:bookmarkStart w:id="595" w:name="_Toc237245733"/>
      <w:bookmarkStart w:id="596" w:name="_Toc237247841"/>
      <w:bookmarkStart w:id="597" w:name="_Toc237254144"/>
      <w:bookmarkStart w:id="598" w:name="_Toc237309563"/>
      <w:bookmarkStart w:id="599" w:name="_Toc265743502"/>
      <w:bookmarkStart w:id="600" w:name="_Toc297540760"/>
      <w:bookmarkStart w:id="601" w:name="_Toc297541188"/>
      <w:bookmarkStart w:id="602" w:name="_Toc328403423"/>
      <w:bookmarkStart w:id="603" w:name="_Toc328471472"/>
      <w:r>
        <w:rPr>
          <w:rStyle w:val="CharPartNo"/>
        </w:rPr>
        <w:t>Part 5</w:t>
      </w:r>
      <w:r>
        <w:rPr>
          <w:rStyle w:val="CharDivNo"/>
        </w:rPr>
        <w:t> </w:t>
      </w:r>
      <w:r>
        <w:t>—</w:t>
      </w:r>
      <w:r>
        <w:rPr>
          <w:rStyle w:val="CharDivText"/>
        </w:rPr>
        <w:t> </w:t>
      </w:r>
      <w:r>
        <w:rPr>
          <w:rStyle w:val="CharPartText"/>
        </w:rPr>
        <w:t>Irrigation</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rPr>
          <w:snapToGrid w:val="0"/>
        </w:rPr>
      </w:pPr>
      <w:bookmarkStart w:id="604" w:name="_Toc84427979"/>
      <w:bookmarkStart w:id="605" w:name="_Toc487428984"/>
      <w:bookmarkStart w:id="606" w:name="_Toc17278689"/>
      <w:bookmarkStart w:id="607" w:name="_Toc180204796"/>
      <w:bookmarkStart w:id="608" w:name="_Toc328471473"/>
      <w:r>
        <w:rPr>
          <w:rStyle w:val="CharSectno"/>
        </w:rPr>
        <w:t>31</w:t>
      </w:r>
      <w:r>
        <w:rPr>
          <w:snapToGrid w:val="0"/>
        </w:rPr>
        <w:t>.</w:t>
      </w:r>
      <w:r>
        <w:rPr>
          <w:snapToGrid w:val="0"/>
        </w:rPr>
        <w:tab/>
        <w:t>Land subject to irrigation charges</w:t>
      </w:r>
      <w:bookmarkEnd w:id="604"/>
      <w:bookmarkEnd w:id="605"/>
      <w:bookmarkEnd w:id="606"/>
      <w:bookmarkEnd w:id="607"/>
      <w:bookmarkEnd w:id="608"/>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609" w:name="_Toc84427980"/>
      <w:bookmarkStart w:id="610" w:name="_Toc487428985"/>
      <w:bookmarkStart w:id="611" w:name="_Toc17278690"/>
      <w:bookmarkStart w:id="612" w:name="_Toc180204797"/>
      <w:bookmarkStart w:id="613" w:name="_Toc328471474"/>
      <w:r>
        <w:rPr>
          <w:rStyle w:val="CharSectno"/>
        </w:rPr>
        <w:t>32</w:t>
      </w:r>
      <w:r>
        <w:rPr>
          <w:snapToGrid w:val="0"/>
        </w:rPr>
        <w:t>.</w:t>
      </w:r>
      <w:r>
        <w:rPr>
          <w:snapToGrid w:val="0"/>
        </w:rPr>
        <w:tab/>
        <w:t>Exempt land</w:t>
      </w:r>
      <w:bookmarkEnd w:id="609"/>
      <w:bookmarkEnd w:id="610"/>
      <w:bookmarkEnd w:id="611"/>
      <w:bookmarkEnd w:id="612"/>
      <w:bookmarkEnd w:id="613"/>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614" w:name="_Toc84427981"/>
      <w:bookmarkStart w:id="615" w:name="_Toc17278691"/>
      <w:bookmarkStart w:id="616" w:name="_Toc180204798"/>
      <w:bookmarkStart w:id="617" w:name="_Toc328471475"/>
      <w:r>
        <w:rPr>
          <w:rStyle w:val="CharSectno"/>
        </w:rPr>
        <w:t>33</w:t>
      </w:r>
      <w:r>
        <w:t>.</w:t>
      </w:r>
      <w:r>
        <w:tab/>
        <w:t>Charge options for land in Carnarvon Irrigation District</w:t>
      </w:r>
      <w:bookmarkEnd w:id="614"/>
      <w:bookmarkEnd w:id="615"/>
      <w:bookmarkEnd w:id="616"/>
      <w:bookmarkEnd w:id="617"/>
    </w:p>
    <w:p>
      <w:pPr>
        <w:pStyle w:val="Subsection"/>
      </w:pPr>
      <w:r>
        <w:tab/>
        <w:t>(1)</w:t>
      </w:r>
      <w:r>
        <w:tab/>
        <w:t>In this by</w:t>
      </w:r>
      <w:r>
        <w:noBreakHyphen/>
        <w:t>law —</w:t>
      </w:r>
    </w:p>
    <w:p>
      <w:pPr>
        <w:pStyle w:val="Defstart"/>
      </w:pPr>
      <w:r>
        <w:tab/>
      </w:r>
      <w:r>
        <w:rPr>
          <w:rStyle w:val="CharDefText"/>
        </w:rPr>
        <w:t>customer</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rStyle w:val="CharDefText"/>
        </w:rPr>
        <w:t>option A</w:t>
      </w:r>
      <w:r>
        <w:t>); or</w:t>
      </w:r>
    </w:p>
    <w:p>
      <w:pPr>
        <w:pStyle w:val="Indenta"/>
      </w:pPr>
      <w:r>
        <w:tab/>
        <w:t>(b)</w:t>
      </w:r>
      <w:r>
        <w:tab/>
        <w:t>Schedule 5 clause 1(1)(b) (</w:t>
      </w:r>
      <w:r>
        <w:rPr>
          <w:rStyle w:val="CharDefText"/>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deleted in Gazette 29 Jun 1989 p. 1871.]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18" w:name="_Toc84427982"/>
      <w:bookmarkStart w:id="619" w:name="_Toc328403427"/>
      <w:bookmarkStart w:id="620" w:name="_Toc328471476"/>
      <w:bookmarkStart w:id="621" w:name="_Toc103741755"/>
      <w:bookmarkStart w:id="622" w:name="_Toc139771095"/>
      <w:bookmarkStart w:id="623" w:name="_Toc139771473"/>
      <w:bookmarkStart w:id="624" w:name="_Toc151191688"/>
      <w:bookmarkStart w:id="625" w:name="_Toc151260581"/>
      <w:bookmarkStart w:id="626" w:name="_Toc164158688"/>
      <w:bookmarkStart w:id="627" w:name="_Toc164221060"/>
      <w:bookmarkStart w:id="628" w:name="_Toc170879115"/>
      <w:bookmarkStart w:id="629" w:name="_Toc170894765"/>
      <w:bookmarkStart w:id="630" w:name="_Toc175712731"/>
      <w:bookmarkStart w:id="631" w:name="_Toc175970672"/>
      <w:bookmarkStart w:id="632" w:name="_Toc176335391"/>
      <w:bookmarkStart w:id="633" w:name="_Toc176338966"/>
      <w:bookmarkStart w:id="634" w:name="_Toc178742991"/>
      <w:bookmarkStart w:id="635" w:name="_Toc179363414"/>
      <w:bookmarkStart w:id="636" w:name="_Toc179604483"/>
      <w:bookmarkStart w:id="637" w:name="_Toc180204676"/>
      <w:bookmarkStart w:id="638" w:name="_Toc180204892"/>
      <w:bookmarkStart w:id="639" w:name="_Toc185844637"/>
      <w:bookmarkStart w:id="640" w:name="_Toc185845257"/>
      <w:bookmarkStart w:id="641" w:name="_Toc185927222"/>
      <w:bookmarkStart w:id="642" w:name="_Toc202506016"/>
      <w:bookmarkStart w:id="643" w:name="_Toc202672748"/>
      <w:bookmarkStart w:id="644" w:name="_Toc202691763"/>
      <w:bookmarkStart w:id="645" w:name="_Toc265743581"/>
      <w:bookmarkStart w:id="646" w:name="_Toc297540764"/>
      <w:bookmarkStart w:id="647" w:name="_Toc297541192"/>
      <w:bookmarkStart w:id="648" w:name="_Toc121801198"/>
      <w:bookmarkStart w:id="649" w:name="_Toc121818311"/>
      <w:bookmarkStart w:id="650" w:name="_Toc121880921"/>
      <w:bookmarkStart w:id="651" w:name="_Toc129481992"/>
      <w:bookmarkStart w:id="652" w:name="_Toc130095361"/>
      <w:bookmarkStart w:id="653" w:name="_Toc130273425"/>
      <w:r>
        <w:rPr>
          <w:rStyle w:val="CharSchNo"/>
        </w:rPr>
        <w:t>Schedule 1</w:t>
      </w:r>
      <w:r>
        <w:t> — </w:t>
      </w:r>
      <w:r>
        <w:rPr>
          <w:rStyle w:val="CharSchText"/>
        </w:rPr>
        <w:t xml:space="preserve">Charges for water supply other than under the </w:t>
      </w:r>
      <w:r>
        <w:rPr>
          <w:rStyle w:val="CharSchText"/>
          <w:i/>
        </w:rPr>
        <w:t>Rights in Water and Irrigation Act 1914</w:t>
      </w:r>
      <w:r>
        <w:rPr>
          <w:rStyle w:val="CharSchText"/>
        </w:rPr>
        <w:t xml:space="preserve"> for 2012/2013</w:t>
      </w:r>
      <w:bookmarkEnd w:id="618"/>
      <w:bookmarkEnd w:id="619"/>
      <w:bookmarkEnd w:id="620"/>
    </w:p>
    <w:p>
      <w:pPr>
        <w:pStyle w:val="yShoulderClause"/>
      </w:pPr>
      <w:r>
        <w:t xml:space="preserve">[bl. </w:t>
      </w:r>
      <w:r>
        <w:rPr>
          <w:snapToGrid w:val="0"/>
        </w:rPr>
        <w:t>11, 17B, 17C and 19A</w:t>
      </w:r>
      <w:r>
        <w:t>]</w:t>
      </w:r>
    </w:p>
    <w:p>
      <w:pPr>
        <w:pStyle w:val="yFootnoteheading"/>
        <w:spacing w:after="60"/>
      </w:pPr>
      <w:r>
        <w:tab/>
        <w:t>[Heading inserted in Gazette 20 Jun 2012 p. 2700.]</w:t>
      </w:r>
    </w:p>
    <w:p>
      <w:pPr>
        <w:pStyle w:val="yHeading3"/>
      </w:pPr>
      <w:bookmarkStart w:id="654" w:name="_Toc84427983"/>
      <w:bookmarkStart w:id="655" w:name="_Toc328403428"/>
      <w:bookmarkStart w:id="656" w:name="_Toc328471477"/>
      <w:r>
        <w:rPr>
          <w:rStyle w:val="CharSDivNo"/>
        </w:rPr>
        <w:t>Division 1</w:t>
      </w:r>
      <w:r>
        <w:rPr>
          <w:b w:val="0"/>
        </w:rPr>
        <w:t> — </w:t>
      </w:r>
      <w:r>
        <w:rPr>
          <w:rStyle w:val="CharSDivText"/>
        </w:rPr>
        <w:t>Fixed charges</w:t>
      </w:r>
      <w:bookmarkEnd w:id="654"/>
      <w:bookmarkEnd w:id="655"/>
      <w:bookmarkEnd w:id="656"/>
    </w:p>
    <w:p>
      <w:pPr>
        <w:pStyle w:val="yFootnoteheading"/>
        <w:spacing w:after="60"/>
      </w:pPr>
      <w:r>
        <w:tab/>
        <w:t>[Heading inserted in Gazette 20 Jun 2012 p. 2700.]</w:t>
      </w: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pPr>
            <w:r>
              <w:rPr>
                <w:b/>
                <w:bCs/>
              </w:rPr>
              <w:t>1.</w:t>
            </w:r>
          </w:p>
        </w:tc>
        <w:tc>
          <w:tcPr>
            <w:tcW w:w="4235" w:type="dxa"/>
          </w:tcPr>
          <w:p>
            <w:pPr>
              <w:pStyle w:val="yTableNAm"/>
              <w:tabs>
                <w:tab w:val="left" w:pos="1016"/>
                <w:tab w:val="left" w:pos="1323"/>
                <w:tab w:val="left" w:leader="dot" w:pos="4876"/>
              </w:tabs>
            </w:pPr>
            <w:r>
              <w:rPr>
                <w:b/>
                <w:bCs/>
              </w:rPr>
              <w:t>Residential</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right" w:leader="dot" w:pos="4019"/>
              </w:tabs>
            </w:pPr>
            <w:r>
              <w:t xml:space="preserve">In respect of each residential property, not being land mentioned in item 3, 4, 7, 8 or 9 </w:t>
            </w:r>
            <w:r>
              <w:tab/>
            </w:r>
          </w:p>
        </w:tc>
        <w:tc>
          <w:tcPr>
            <w:tcW w:w="1152" w:type="dxa"/>
            <w:vAlign w:val="bottom"/>
          </w:tcPr>
          <w:p>
            <w:pPr>
              <w:pStyle w:val="yTableNAm"/>
            </w:pPr>
            <w:r>
              <w:t>$188.10</w:t>
            </w:r>
          </w:p>
        </w:tc>
      </w:tr>
      <w:tr>
        <w:trPr>
          <w:cantSplit/>
        </w:trPr>
        <w:tc>
          <w:tcPr>
            <w:tcW w:w="850" w:type="dxa"/>
          </w:tcPr>
          <w:p>
            <w:pPr>
              <w:pStyle w:val="yTableNAm"/>
            </w:pPr>
            <w:r>
              <w:rPr>
                <w:b/>
                <w:bCs/>
              </w:rPr>
              <w:t>2.</w:t>
            </w:r>
          </w:p>
        </w:tc>
        <w:tc>
          <w:tcPr>
            <w:tcW w:w="4235" w:type="dxa"/>
          </w:tcPr>
          <w:p>
            <w:pPr>
              <w:pStyle w:val="yTableNAm"/>
              <w:tabs>
                <w:tab w:val="left" w:pos="1016"/>
                <w:tab w:val="left" w:pos="1323"/>
                <w:tab w:val="left" w:leader="dot" w:pos="4876"/>
              </w:tabs>
            </w:pPr>
            <w:r>
              <w:rPr>
                <w:b/>
                <w:bCs/>
              </w:rPr>
              <w:t>Metropolitan residential garden supply</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tabs>
                <w:tab w:val="left" w:pos="1016"/>
                <w:tab w:val="left" w:pos="1323"/>
                <w:tab w:val="left" w:leader="dot" w:pos="4876"/>
              </w:tabs>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 xml:space="preserve">law 1.1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(a)</w:t>
            </w:r>
            <w:r>
              <w:tab/>
              <w:t>if the area of land is less than 400 m</w:t>
            </w:r>
            <w:r>
              <w:rPr>
                <w:vertAlign w:val="superscript"/>
              </w:rPr>
              <w:t>2</w:t>
            </w:r>
            <w:r>
              <w:t xml:space="preserve">, in addition to any other charge applicable to the land under this Schedule, a charge of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w:t>
            </w:r>
            <w:r>
              <w:tab/>
              <w:t>in the suburb of Butler</w:t>
            </w:r>
            <w:r>
              <w:tab/>
            </w:r>
          </w:p>
        </w:tc>
        <w:tc>
          <w:tcPr>
            <w:tcW w:w="1152" w:type="dxa"/>
            <w:vAlign w:val="bottom"/>
          </w:tcPr>
          <w:p>
            <w:pPr>
              <w:pStyle w:val="yTableNAm"/>
            </w:pPr>
            <w:r>
              <w:t>$74.00</w:t>
            </w: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(ii)</w:t>
            </w:r>
            <w:r>
              <w:tab/>
              <w:t>in the suburb of Baldivis</w:t>
            </w:r>
            <w:r>
              <w:tab/>
            </w:r>
          </w:p>
        </w:tc>
        <w:tc>
          <w:tcPr>
            <w:tcW w:w="1152" w:type="dxa"/>
            <w:vAlign w:val="bottom"/>
          </w:tcPr>
          <w:p>
            <w:pPr>
              <w:pStyle w:val="yTableNAm"/>
            </w:pPr>
            <w:r>
              <w:t>$119.30</w:t>
            </w: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w:t>
            </w:r>
            <w:r>
              <w:tab/>
              <w:t xml:space="preserve">in the suburb of Butler </w:t>
            </w:r>
            <w:r>
              <w:tab/>
            </w:r>
          </w:p>
        </w:tc>
        <w:tc>
          <w:tcPr>
            <w:tcW w:w="1152" w:type="dxa"/>
            <w:vAlign w:val="bottom"/>
          </w:tcPr>
          <w:p>
            <w:pPr>
              <w:pStyle w:val="yTableNAm"/>
            </w:pPr>
            <w:r>
              <w:t>$148.00</w:t>
            </w: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(ii)</w:t>
            </w:r>
            <w:r>
              <w:tab/>
              <w:t xml:space="preserve">in the suburb of Baldivis </w:t>
            </w:r>
            <w:r>
              <w:tab/>
            </w:r>
          </w:p>
        </w:tc>
        <w:tc>
          <w:tcPr>
            <w:tcW w:w="1152" w:type="dxa"/>
            <w:vAlign w:val="bottom"/>
          </w:tcPr>
          <w:p>
            <w:pPr>
              <w:pStyle w:val="yTableNAm"/>
            </w:pPr>
            <w:r>
              <w:t>$238.60</w:t>
            </w:r>
          </w:p>
        </w:tc>
      </w:tr>
      <w:tr>
        <w:trPr>
          <w:cantSplit/>
        </w:trPr>
        <w:tc>
          <w:tcPr>
            <w:tcW w:w="850" w:type="dxa"/>
          </w:tcPr>
          <w:p>
            <w:pPr>
              <w:pStyle w:val="yTableNAm"/>
            </w:pPr>
            <w:r>
              <w:rPr>
                <w:b/>
                <w:bCs/>
              </w:rPr>
              <w:t>3.</w:t>
            </w:r>
          </w:p>
        </w:tc>
        <w:tc>
          <w:tcPr>
            <w:tcW w:w="4235" w:type="dxa"/>
          </w:tcPr>
          <w:p>
            <w:pPr>
              <w:pStyle w:val="yTableNAm"/>
              <w:tabs>
                <w:tab w:val="left" w:pos="1016"/>
                <w:tab w:val="left" w:pos="1323"/>
                <w:tab w:val="left" w:leader="dot" w:pos="4876"/>
              </w:tabs>
            </w:pPr>
            <w:r>
              <w:rPr>
                <w:b/>
                <w:bCs/>
              </w:rPr>
              <w:t xml:space="preserve">Connected metropolitan exempt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left" w:pos="1016"/>
                <w:tab w:val="left" w:pos="1323"/>
                <w:tab w:val="left" w:leader="dot" w:pos="4876"/>
              </w:tabs>
            </w:pPr>
            <w:r>
              <w:t xml:space="preserve">In respect of land </w:t>
            </w:r>
            <w:r>
              <w:rPr>
                <w:szCs w:val="22"/>
              </w:rPr>
              <w:t>that is in the metropolitan area and is</w:t>
            </w:r>
            <w:r>
              <w:t xml:space="preserve">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(a)</w:t>
            </w:r>
            <w:r>
              <w:tab/>
              <w:t>described in by</w:t>
            </w:r>
            <w:r>
              <w:noBreakHyphen/>
              <w:t>law 4; or</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296"/>
                <w:tab w:val="left" w:pos="776"/>
              </w:tabs>
              <w:ind w:left="776" w:hanging="776"/>
            </w:pPr>
            <w:r>
              <w:tab/>
              <w:t>(b)</w:t>
            </w:r>
            <w:r>
              <w:tab/>
              <w:t>classified as aged home or charitable purposes,</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1016"/>
                <w:tab w:val="left" w:pos="1323"/>
                <w:tab w:val="left" w:leader="dot" w:pos="4876"/>
              </w:tabs>
            </w:pPr>
            <w:r>
              <w:rPr>
                <w:szCs w:val="22"/>
              </w:rPr>
              <w:t xml:space="preserve">a charge for each connection, not being a connection the subject of a charge under item 15, determined by meter size minus the discount as set out in the following Table — </w:t>
            </w:r>
          </w:p>
        </w:tc>
        <w:tc>
          <w:tcPr>
            <w:tcW w:w="1152" w:type="dxa"/>
            <w:vAlign w:val="bottom"/>
          </w:tcPr>
          <w:p>
            <w:pPr>
              <w:pStyle w:val="yTableNAm"/>
            </w:pPr>
          </w:p>
        </w:tc>
      </w:tr>
    </w:tbl>
    <w:p>
      <w:pPr>
        <w:pStyle w:val="yTHeadingNAm"/>
      </w:pPr>
      <w:r>
        <w:t>Table of meter</w:t>
      </w:r>
      <w:r>
        <w:noBreakHyphen/>
        <w:t>based fixed charges</w:t>
      </w:r>
    </w:p>
    <w:tbl>
      <w:tblPr>
        <w:tblW w:w="4281" w:type="pct"/>
        <w:jc w:val="center"/>
        <w:tblLook w:val="0000" w:firstRow="0" w:lastRow="0" w:firstColumn="0" w:lastColumn="0" w:noHBand="0" w:noVBand="0"/>
      </w:tblPr>
      <w:tblGrid>
        <w:gridCol w:w="2025"/>
        <w:gridCol w:w="2026"/>
        <w:gridCol w:w="2025"/>
      </w:tblGrid>
      <w:tr>
        <w:trPr>
          <w:cantSplit/>
          <w:tblHeader/>
          <w:jc w:val="center"/>
        </w:trPr>
        <w:tc>
          <w:tcPr>
            <w:tcW w:w="1667" w:type="pct"/>
            <w:tcBorders>
              <w:top w:val="single" w:sz="4" w:space="0" w:color="auto"/>
              <w:bottom w:val="single" w:sz="4" w:space="0" w:color="auto"/>
            </w:tcBorders>
          </w:tcPr>
          <w:p>
            <w:pPr>
              <w:pStyle w:val="yTableNAm"/>
              <w:jc w:val="center"/>
            </w:pPr>
            <w:r>
              <w:rPr>
                <w:b/>
                <w:bCs/>
              </w:rPr>
              <w:t>Meter size</w:t>
            </w:r>
            <w:r>
              <w:rPr>
                <w:b/>
                <w:bCs/>
              </w:rPr>
              <w:br/>
              <w:t>mm</w:t>
            </w:r>
          </w:p>
        </w:tc>
        <w:tc>
          <w:tcPr>
            <w:tcW w:w="1667" w:type="pct"/>
            <w:tcBorders>
              <w:top w:val="single" w:sz="4" w:space="0" w:color="auto"/>
              <w:bottom w:val="single" w:sz="4" w:space="0" w:color="auto"/>
            </w:tcBorders>
          </w:tcPr>
          <w:p>
            <w:pPr>
              <w:pStyle w:val="yTableNAm"/>
              <w:jc w:val="center"/>
            </w:pPr>
            <w:r>
              <w:rPr>
                <w:b/>
                <w:bCs/>
              </w:rPr>
              <w:t>Charge</w:t>
            </w:r>
            <w:r>
              <w:rPr>
                <w:b/>
                <w:bCs/>
              </w:rPr>
              <w:br/>
              <w:t>$</w:t>
            </w:r>
          </w:p>
        </w:tc>
        <w:tc>
          <w:tcPr>
            <w:tcW w:w="1666" w:type="pct"/>
            <w:tcBorders>
              <w:top w:val="single" w:sz="4" w:space="0" w:color="auto"/>
              <w:bottom w:val="single" w:sz="4" w:space="0" w:color="auto"/>
            </w:tcBorders>
          </w:tcPr>
          <w:p>
            <w:pPr>
              <w:pStyle w:val="yTableNAm"/>
              <w:jc w:val="center"/>
            </w:pPr>
            <w:r>
              <w:rPr>
                <w:b/>
                <w:bCs/>
              </w:rPr>
              <w:t>Discount</w:t>
            </w:r>
            <w:r>
              <w:rPr>
                <w:b/>
                <w:bCs/>
              </w:rPr>
              <w:br/>
              <w:t>%</w:t>
            </w:r>
          </w:p>
        </w:tc>
      </w:tr>
      <w:tr>
        <w:trPr>
          <w:cantSplit/>
          <w:jc w:val="center"/>
        </w:trPr>
        <w:tc>
          <w:tcPr>
            <w:tcW w:w="1667" w:type="pct"/>
          </w:tcPr>
          <w:p>
            <w:pPr>
              <w:pStyle w:val="yTableNAm"/>
              <w:jc w:val="center"/>
            </w:pPr>
            <w:r>
              <w:t>20</w:t>
            </w:r>
          </w:p>
        </w:tc>
        <w:tc>
          <w:tcPr>
            <w:tcW w:w="1667" w:type="pct"/>
            <w:vAlign w:val="bottom"/>
          </w:tcPr>
          <w:p>
            <w:pPr>
              <w:pStyle w:val="yTableNAm"/>
              <w:jc w:val="center"/>
            </w:pPr>
            <w:r>
              <w:t>188.10</w:t>
            </w:r>
          </w:p>
        </w:tc>
        <w:tc>
          <w:tcPr>
            <w:tcW w:w="1666" w:type="pct"/>
          </w:tcPr>
          <w:p>
            <w:pPr>
              <w:pStyle w:val="yTableNAm"/>
              <w:jc w:val="center"/>
            </w:pPr>
            <w:r>
              <w:t>100</w:t>
            </w:r>
          </w:p>
        </w:tc>
      </w:tr>
      <w:tr>
        <w:trPr>
          <w:cantSplit/>
          <w:jc w:val="center"/>
        </w:trPr>
        <w:tc>
          <w:tcPr>
            <w:tcW w:w="1667" w:type="pct"/>
          </w:tcPr>
          <w:p>
            <w:pPr>
              <w:pStyle w:val="yTableNAm"/>
              <w:jc w:val="center"/>
            </w:pPr>
            <w:r>
              <w:t>25</w:t>
            </w:r>
          </w:p>
        </w:tc>
        <w:tc>
          <w:tcPr>
            <w:tcW w:w="1667" w:type="pct"/>
            <w:vAlign w:val="bottom"/>
          </w:tcPr>
          <w:p>
            <w:pPr>
              <w:pStyle w:val="yTableNAm"/>
              <w:jc w:val="center"/>
            </w:pPr>
            <w:r>
              <w:t>293.90</w:t>
            </w:r>
          </w:p>
        </w:tc>
        <w:tc>
          <w:tcPr>
            <w:tcW w:w="1666" w:type="pct"/>
          </w:tcPr>
          <w:p>
            <w:pPr>
              <w:pStyle w:val="yTableNAm"/>
              <w:jc w:val="center"/>
            </w:pPr>
            <w:r>
              <w:t>100</w:t>
            </w:r>
          </w:p>
        </w:tc>
      </w:tr>
      <w:tr>
        <w:trPr>
          <w:cantSplit/>
          <w:jc w:val="center"/>
        </w:trPr>
        <w:tc>
          <w:tcPr>
            <w:tcW w:w="1667" w:type="pct"/>
          </w:tcPr>
          <w:p>
            <w:pPr>
              <w:pStyle w:val="yTableNAm"/>
              <w:jc w:val="center"/>
            </w:pPr>
            <w:r>
              <w:t>30</w:t>
            </w:r>
          </w:p>
        </w:tc>
        <w:tc>
          <w:tcPr>
            <w:tcW w:w="1667" w:type="pct"/>
            <w:vAlign w:val="bottom"/>
          </w:tcPr>
          <w:p>
            <w:pPr>
              <w:pStyle w:val="yTableNAm"/>
              <w:jc w:val="center"/>
            </w:pPr>
            <w:r>
              <w:t>423.20</w:t>
            </w:r>
          </w:p>
        </w:tc>
        <w:tc>
          <w:tcPr>
            <w:tcW w:w="1666" w:type="pct"/>
          </w:tcPr>
          <w:p>
            <w:pPr>
              <w:pStyle w:val="yTableNAm"/>
              <w:jc w:val="center"/>
            </w:pPr>
            <w:r>
              <w:t>100</w:t>
            </w:r>
          </w:p>
        </w:tc>
      </w:tr>
      <w:tr>
        <w:trPr>
          <w:cantSplit/>
          <w:jc w:val="center"/>
        </w:trPr>
        <w:tc>
          <w:tcPr>
            <w:tcW w:w="1667" w:type="pct"/>
          </w:tcPr>
          <w:p>
            <w:pPr>
              <w:pStyle w:val="yTableNAm"/>
              <w:jc w:val="center"/>
            </w:pPr>
            <w:r>
              <w:t>40</w:t>
            </w:r>
          </w:p>
        </w:tc>
        <w:tc>
          <w:tcPr>
            <w:tcW w:w="1667" w:type="pct"/>
            <w:vAlign w:val="bottom"/>
          </w:tcPr>
          <w:p>
            <w:pPr>
              <w:pStyle w:val="yTableNAm"/>
              <w:jc w:val="center"/>
            </w:pPr>
            <w:r>
              <w:t>752.40</w:t>
            </w:r>
          </w:p>
        </w:tc>
        <w:tc>
          <w:tcPr>
            <w:tcW w:w="1666" w:type="pct"/>
          </w:tcPr>
          <w:p>
            <w:pPr>
              <w:pStyle w:val="yTableNAm"/>
              <w:jc w:val="center"/>
            </w:pPr>
            <w:r>
              <w:t>100</w:t>
            </w:r>
          </w:p>
        </w:tc>
      </w:tr>
      <w:tr>
        <w:trPr>
          <w:cantSplit/>
          <w:jc w:val="center"/>
        </w:trPr>
        <w:tc>
          <w:tcPr>
            <w:tcW w:w="1667" w:type="pct"/>
          </w:tcPr>
          <w:p>
            <w:pPr>
              <w:pStyle w:val="yTableNAm"/>
              <w:jc w:val="center"/>
            </w:pPr>
            <w:r>
              <w:t>50</w:t>
            </w:r>
          </w:p>
        </w:tc>
        <w:tc>
          <w:tcPr>
            <w:tcW w:w="1667" w:type="pct"/>
            <w:vAlign w:val="bottom"/>
          </w:tcPr>
          <w:p>
            <w:pPr>
              <w:pStyle w:val="yTableNAm"/>
              <w:jc w:val="center"/>
            </w:pPr>
            <w:r>
              <w:t>1 175.60</w:t>
            </w:r>
          </w:p>
        </w:tc>
        <w:tc>
          <w:tcPr>
            <w:tcW w:w="1666" w:type="pct"/>
          </w:tcPr>
          <w:p>
            <w:pPr>
              <w:pStyle w:val="yTableNAm"/>
              <w:jc w:val="center"/>
            </w:pPr>
            <w:r>
              <w:t>100</w:t>
            </w:r>
          </w:p>
        </w:tc>
      </w:tr>
      <w:tr>
        <w:trPr>
          <w:cantSplit/>
          <w:jc w:val="center"/>
        </w:trPr>
        <w:tc>
          <w:tcPr>
            <w:tcW w:w="1667" w:type="pct"/>
          </w:tcPr>
          <w:p>
            <w:pPr>
              <w:pStyle w:val="yTableNAm"/>
              <w:jc w:val="center"/>
            </w:pPr>
            <w:r>
              <w:t>80</w:t>
            </w:r>
          </w:p>
        </w:tc>
        <w:tc>
          <w:tcPr>
            <w:tcW w:w="1667" w:type="pct"/>
            <w:vAlign w:val="bottom"/>
          </w:tcPr>
          <w:p>
            <w:pPr>
              <w:pStyle w:val="yTableNAm"/>
              <w:jc w:val="center"/>
            </w:pPr>
            <w:r>
              <w:t>3 009.60</w:t>
            </w:r>
          </w:p>
        </w:tc>
        <w:tc>
          <w:tcPr>
            <w:tcW w:w="1666" w:type="pct"/>
          </w:tcPr>
          <w:p>
            <w:pPr>
              <w:pStyle w:val="yTableNAm"/>
              <w:jc w:val="center"/>
            </w:pPr>
            <w:r>
              <w:t>100</w:t>
            </w:r>
          </w:p>
        </w:tc>
      </w:tr>
      <w:tr>
        <w:trPr>
          <w:cantSplit/>
          <w:jc w:val="center"/>
        </w:trPr>
        <w:tc>
          <w:tcPr>
            <w:tcW w:w="1667" w:type="pct"/>
          </w:tcPr>
          <w:p>
            <w:pPr>
              <w:pStyle w:val="yTableNAm"/>
              <w:jc w:val="center"/>
            </w:pPr>
            <w:r>
              <w:t>100</w:t>
            </w:r>
          </w:p>
        </w:tc>
        <w:tc>
          <w:tcPr>
            <w:tcW w:w="1667" w:type="pct"/>
            <w:vAlign w:val="bottom"/>
          </w:tcPr>
          <w:p>
            <w:pPr>
              <w:pStyle w:val="yTableNAm"/>
              <w:jc w:val="center"/>
            </w:pPr>
            <w:r>
              <w:t>4 702.50</w:t>
            </w:r>
          </w:p>
        </w:tc>
        <w:tc>
          <w:tcPr>
            <w:tcW w:w="1666" w:type="pct"/>
          </w:tcPr>
          <w:p>
            <w:pPr>
              <w:pStyle w:val="yTableNAm"/>
              <w:jc w:val="center"/>
            </w:pPr>
            <w:r>
              <w:t>100</w:t>
            </w:r>
          </w:p>
        </w:tc>
      </w:tr>
      <w:tr>
        <w:trPr>
          <w:cantSplit/>
          <w:jc w:val="center"/>
        </w:trPr>
        <w:tc>
          <w:tcPr>
            <w:tcW w:w="1667" w:type="pct"/>
          </w:tcPr>
          <w:p>
            <w:pPr>
              <w:pStyle w:val="yTableNAm"/>
              <w:jc w:val="center"/>
            </w:pPr>
            <w:r>
              <w:t>150</w:t>
            </w:r>
          </w:p>
        </w:tc>
        <w:tc>
          <w:tcPr>
            <w:tcW w:w="1667" w:type="pct"/>
            <w:vAlign w:val="bottom"/>
          </w:tcPr>
          <w:p>
            <w:pPr>
              <w:pStyle w:val="yTableNAm"/>
              <w:jc w:val="center"/>
            </w:pPr>
            <w:r>
              <w:t>10 580.60</w:t>
            </w:r>
          </w:p>
        </w:tc>
        <w:tc>
          <w:tcPr>
            <w:tcW w:w="1666" w:type="pct"/>
          </w:tcPr>
          <w:p>
            <w:pPr>
              <w:pStyle w:val="yTableNAm"/>
              <w:jc w:val="center"/>
            </w:pPr>
            <w:r>
              <w:t>100</w:t>
            </w:r>
          </w:p>
        </w:tc>
      </w:tr>
      <w:tr>
        <w:trPr>
          <w:cantSplit/>
          <w:jc w:val="center"/>
        </w:trPr>
        <w:tc>
          <w:tcPr>
            <w:tcW w:w="1667" w:type="pct"/>
          </w:tcPr>
          <w:p>
            <w:pPr>
              <w:pStyle w:val="yTableNAm"/>
              <w:jc w:val="center"/>
            </w:pPr>
            <w:r>
              <w:t>200</w:t>
            </w:r>
          </w:p>
        </w:tc>
        <w:tc>
          <w:tcPr>
            <w:tcW w:w="1667" w:type="pct"/>
            <w:vAlign w:val="bottom"/>
          </w:tcPr>
          <w:p>
            <w:pPr>
              <w:pStyle w:val="yTableNAm"/>
              <w:jc w:val="center"/>
            </w:pPr>
            <w:r>
              <w:t>18 810.00</w:t>
            </w:r>
          </w:p>
        </w:tc>
        <w:tc>
          <w:tcPr>
            <w:tcW w:w="1666" w:type="pct"/>
          </w:tcPr>
          <w:p>
            <w:pPr>
              <w:pStyle w:val="yTableNAm"/>
              <w:jc w:val="center"/>
            </w:pPr>
            <w:r>
              <w:t>100</w:t>
            </w:r>
          </w:p>
        </w:tc>
      </w:tr>
      <w:tr>
        <w:trPr>
          <w:cantSplit/>
          <w:jc w:val="center"/>
        </w:trPr>
        <w:tc>
          <w:tcPr>
            <w:tcW w:w="1667" w:type="pct"/>
          </w:tcPr>
          <w:p>
            <w:pPr>
              <w:pStyle w:val="yTableNAm"/>
              <w:jc w:val="center"/>
            </w:pPr>
            <w:r>
              <w:t>250</w:t>
            </w:r>
          </w:p>
        </w:tc>
        <w:tc>
          <w:tcPr>
            <w:tcW w:w="1667" w:type="pct"/>
            <w:vAlign w:val="bottom"/>
          </w:tcPr>
          <w:p>
            <w:pPr>
              <w:pStyle w:val="yTableNAm"/>
              <w:jc w:val="center"/>
            </w:pPr>
            <w:r>
              <w:t>29 390.60</w:t>
            </w:r>
          </w:p>
        </w:tc>
        <w:tc>
          <w:tcPr>
            <w:tcW w:w="1666" w:type="pct"/>
          </w:tcPr>
          <w:p>
            <w:pPr>
              <w:pStyle w:val="yTableNAm"/>
              <w:jc w:val="center"/>
            </w:pPr>
            <w:r>
              <w:t>100</w:t>
            </w:r>
          </w:p>
        </w:tc>
      </w:tr>
      <w:tr>
        <w:trPr>
          <w:cantSplit/>
          <w:jc w:val="center"/>
        </w:trPr>
        <w:tc>
          <w:tcPr>
            <w:tcW w:w="1667" w:type="pct"/>
          </w:tcPr>
          <w:p>
            <w:pPr>
              <w:pStyle w:val="yTableNAm"/>
              <w:jc w:val="center"/>
            </w:pPr>
            <w:r>
              <w:t>300</w:t>
            </w:r>
          </w:p>
        </w:tc>
        <w:tc>
          <w:tcPr>
            <w:tcW w:w="1667" w:type="pct"/>
            <w:vAlign w:val="bottom"/>
          </w:tcPr>
          <w:p>
            <w:pPr>
              <w:pStyle w:val="yTableNAm"/>
              <w:jc w:val="center"/>
            </w:pPr>
            <w:r>
              <w:t>42 322.50</w:t>
            </w:r>
          </w:p>
        </w:tc>
        <w:tc>
          <w:tcPr>
            <w:tcW w:w="1666" w:type="pct"/>
          </w:tcPr>
          <w:p>
            <w:pPr>
              <w:pStyle w:val="yTableNAm"/>
              <w:jc w:val="center"/>
            </w:pPr>
            <w:r>
              <w:t>100</w:t>
            </w:r>
          </w:p>
        </w:tc>
      </w:tr>
      <w:tr>
        <w:trPr>
          <w:cantSplit/>
          <w:jc w:val="center"/>
        </w:trPr>
        <w:tc>
          <w:tcPr>
            <w:tcW w:w="1667" w:type="pct"/>
            <w:tcBorders>
              <w:bottom w:val="single" w:sz="4" w:space="0" w:color="auto"/>
            </w:tcBorders>
          </w:tcPr>
          <w:p>
            <w:pPr>
              <w:pStyle w:val="yTableNAm"/>
              <w:jc w:val="center"/>
            </w:pPr>
            <w:r>
              <w:t>350</w:t>
            </w:r>
          </w:p>
        </w:tc>
        <w:tc>
          <w:tcPr>
            <w:tcW w:w="1667" w:type="pct"/>
            <w:tcBorders>
              <w:bottom w:val="single" w:sz="4" w:space="0" w:color="auto"/>
            </w:tcBorders>
            <w:vAlign w:val="bottom"/>
          </w:tcPr>
          <w:p>
            <w:pPr>
              <w:pStyle w:val="yTableNAm"/>
              <w:jc w:val="center"/>
            </w:pPr>
            <w:r>
              <w:t>57 605.60</w:t>
            </w:r>
          </w:p>
        </w:tc>
        <w:tc>
          <w:tcPr>
            <w:tcW w:w="1666" w:type="pct"/>
            <w:tcBorders>
              <w:bottom w:val="single" w:sz="4" w:space="0" w:color="auto"/>
            </w:tcBorders>
          </w:tcPr>
          <w:p>
            <w:pPr>
              <w:pStyle w:val="yTableNAm"/>
              <w:jc w:val="center"/>
            </w:pPr>
            <w:r>
              <w:t>100</w:t>
            </w:r>
          </w:p>
        </w:tc>
      </w:tr>
    </w:tbl>
    <w:p>
      <w:pPr>
        <w:pStyle w:val="yMiscellaneousBody"/>
      </w:pP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keepNext/>
            </w:pPr>
            <w:r>
              <w:rPr>
                <w:b/>
                <w:bCs/>
              </w:rPr>
              <w:t>4.</w:t>
            </w:r>
          </w:p>
        </w:tc>
        <w:tc>
          <w:tcPr>
            <w:tcW w:w="4235" w:type="dxa"/>
          </w:tcPr>
          <w:p>
            <w:pPr>
              <w:pStyle w:val="yTableNAm"/>
              <w:keepNext/>
              <w:tabs>
                <w:tab w:val="left" w:leader="dot" w:pos="4876"/>
              </w:tabs>
            </w:pPr>
            <w:r>
              <w:rPr>
                <w:b/>
                <w:bCs/>
              </w:rPr>
              <w:t>Strata</w:t>
            </w:r>
            <w:r>
              <w:rPr>
                <w:b/>
                <w:bCs/>
              </w:rPr>
              <w:noBreakHyphen/>
              <w:t>titled (or long</w:t>
            </w:r>
            <w:r>
              <w:rPr>
                <w:b/>
                <w:bCs/>
              </w:rPr>
              <w:noBreakHyphen/>
              <w:t>term residential) caravan bays</w:t>
            </w:r>
          </w:p>
        </w:tc>
        <w:tc>
          <w:tcPr>
            <w:tcW w:w="1152" w:type="dxa"/>
            <w:vAlign w:val="bottom"/>
          </w:tcPr>
          <w:p>
            <w:pPr>
              <w:pStyle w:val="yTableNAm"/>
              <w:keepNext/>
            </w:pPr>
          </w:p>
        </w:tc>
      </w:tr>
      <w:tr>
        <w:trPr>
          <w:cantSplit/>
        </w:trPr>
        <w:tc>
          <w:tcPr>
            <w:tcW w:w="850" w:type="dxa"/>
          </w:tcPr>
          <w:p>
            <w:pPr>
              <w:pStyle w:val="zyTableNAm"/>
              <w:keepNext/>
              <w:keepLines/>
            </w:pPr>
          </w:p>
        </w:tc>
        <w:tc>
          <w:tcPr>
            <w:tcW w:w="4235" w:type="dxa"/>
          </w:tcPr>
          <w:p>
            <w:pPr>
              <w:pStyle w:val="yTableNAm"/>
              <w:tabs>
                <w:tab w:val="clear" w:pos="567"/>
                <w:tab w:val="right" w:leader="dot" w:pos="4019"/>
              </w:tabs>
            </w:pPr>
            <w:r>
              <w:t xml:space="preserve">In respect of each caravan bay that is a residential property and a lot within the meaning of the </w:t>
            </w:r>
            <w:r>
              <w:rPr>
                <w:i/>
                <w:iCs/>
              </w:rPr>
              <w:t>Strata Titles Act 1985</w:t>
            </w:r>
            <w:r>
              <w:t>, or a caravan bay designated as a long</w:t>
            </w:r>
            <w:r>
              <w:noBreakHyphen/>
              <w:t xml:space="preserve">term residential caravan bay </w:t>
            </w:r>
            <w:r>
              <w:tab/>
            </w:r>
          </w:p>
        </w:tc>
        <w:tc>
          <w:tcPr>
            <w:tcW w:w="1152" w:type="dxa"/>
            <w:vAlign w:val="bottom"/>
          </w:tcPr>
          <w:p>
            <w:pPr>
              <w:pStyle w:val="yTableNAm"/>
            </w:pPr>
            <w:r>
              <w:t>$132.20</w:t>
            </w:r>
          </w:p>
        </w:tc>
      </w:tr>
      <w:tr>
        <w:trPr>
          <w:cantSplit/>
        </w:trPr>
        <w:tc>
          <w:tcPr>
            <w:tcW w:w="850" w:type="dxa"/>
          </w:tcPr>
          <w:p>
            <w:pPr>
              <w:pStyle w:val="yTableNAm"/>
            </w:pPr>
            <w:r>
              <w:rPr>
                <w:b/>
                <w:bCs/>
              </w:rPr>
              <w:t>5.</w:t>
            </w:r>
          </w:p>
        </w:tc>
        <w:tc>
          <w:tcPr>
            <w:tcW w:w="4235" w:type="dxa"/>
          </w:tcPr>
          <w:p>
            <w:pPr>
              <w:pStyle w:val="yTableNAm"/>
              <w:tabs>
                <w:tab w:val="left" w:leader="dot" w:pos="4876"/>
              </w:tabs>
            </w:pPr>
            <w:r>
              <w:rPr>
                <w:b/>
                <w:bCs/>
              </w:rPr>
              <w:t>Strata</w:t>
            </w:r>
            <w:r>
              <w:rPr>
                <w:b/>
                <w:bCs/>
              </w:rPr>
              <w:noBreakHyphen/>
              <w:t>titled storage unit and strata</w:t>
            </w:r>
            <w:r>
              <w:rPr>
                <w:b/>
                <w:bCs/>
              </w:rPr>
              <w:noBreakHyphen/>
              <w:t>titled parking bay</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right" w:leader="dot" w:pos="4019"/>
              </w:tabs>
            </w:pPr>
            <w:r>
              <w:t xml:space="preserve">In respect of land comprised in a unit used for storage purposes or as a parking bay that is a lot within the meaning of the </w:t>
            </w:r>
            <w:r>
              <w:rPr>
                <w:i/>
                <w:iCs/>
              </w:rPr>
              <w:t>Strata Titles Act 1985</w:t>
            </w:r>
            <w:r>
              <w:t xml:space="preserve"> </w:t>
            </w:r>
            <w:r>
              <w:tab/>
            </w:r>
          </w:p>
        </w:tc>
        <w:tc>
          <w:tcPr>
            <w:tcW w:w="1152" w:type="dxa"/>
            <w:vAlign w:val="bottom"/>
          </w:tcPr>
          <w:p>
            <w:pPr>
              <w:pStyle w:val="yTableNAm"/>
            </w:pPr>
            <w:r>
              <w:t>$66.20</w:t>
            </w:r>
          </w:p>
        </w:tc>
      </w:tr>
      <w:tr>
        <w:trPr>
          <w:cantSplit/>
        </w:trPr>
        <w:tc>
          <w:tcPr>
            <w:tcW w:w="850" w:type="dxa"/>
          </w:tcPr>
          <w:p>
            <w:pPr>
              <w:pStyle w:val="yTableNAm"/>
            </w:pPr>
            <w:r>
              <w:rPr>
                <w:b/>
                <w:bCs/>
              </w:rPr>
              <w:t>6.</w:t>
            </w:r>
          </w:p>
        </w:tc>
        <w:tc>
          <w:tcPr>
            <w:tcW w:w="4235" w:type="dxa"/>
          </w:tcPr>
          <w:p>
            <w:pPr>
              <w:pStyle w:val="yTableNAm"/>
              <w:tabs>
                <w:tab w:val="left" w:leader="dot" w:pos="4876"/>
              </w:tabs>
            </w:pPr>
            <w:r>
              <w:rPr>
                <w:b/>
                <w:bCs/>
              </w:rPr>
              <w:t>Non</w:t>
            </w:r>
            <w:r>
              <w:rPr>
                <w:b/>
                <w:bCs/>
              </w:rPr>
              <w:noBreakHyphen/>
              <w:t>residential strata</w:t>
            </w:r>
            <w:r>
              <w:rPr>
                <w:b/>
                <w:bCs/>
              </w:rPr>
              <w:noBreakHyphen/>
              <w:t>titled units that share a service</w:t>
            </w:r>
          </w:p>
        </w:tc>
        <w:tc>
          <w:tcPr>
            <w:tcW w:w="1152" w:type="dxa"/>
            <w:vAlign w:val="bottom"/>
          </w:tcPr>
          <w:p>
            <w:pPr>
              <w:pStyle w:val="yTableNAm"/>
            </w:pPr>
          </w:p>
        </w:tc>
      </w:tr>
      <w:tr>
        <w:trPr>
          <w:cantSplit/>
        </w:trPr>
        <w:tc>
          <w:tcPr>
            <w:tcW w:w="850" w:type="dxa"/>
          </w:tcPr>
          <w:p>
            <w:pPr>
              <w:pStyle w:val="zyTableNAm"/>
              <w:keepNext/>
            </w:pPr>
          </w:p>
        </w:tc>
        <w:tc>
          <w:tcPr>
            <w:tcW w:w="4235" w:type="dxa"/>
          </w:tcPr>
          <w:p>
            <w:pPr>
              <w:pStyle w:val="yTableNAm"/>
              <w:tabs>
                <w:tab w:val="left" w:leader="dot" w:pos="4876"/>
              </w:tabs>
            </w:pPr>
            <w:r>
              <w:t>In respect of land that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(a)</w:t>
            </w:r>
            <w:r>
              <w:tab/>
              <w:t>is not referred to in item 4 or 5; and</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(b)</w:t>
            </w:r>
            <w:r>
              <w:tab/>
              <w:t xml:space="preserve">comprises a unit that is a lot within the meaning of the </w:t>
            </w:r>
            <w:r>
              <w:rPr>
                <w:i/>
                <w:iCs/>
              </w:rPr>
              <w:t>Strata Titles Act 1985</w:t>
            </w:r>
            <w:r>
              <w:t>; and</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 w:val="right" w:leader="dot" w:pos="4020"/>
              </w:tabs>
              <w:ind w:left="776" w:hanging="776"/>
            </w:pPr>
            <w:r>
              <w:tab/>
              <w:t>(c)</w:t>
            </w:r>
            <w:r>
              <w:tab/>
              <w:t xml:space="preserve">shares a service with another unit described in paragraph (b) </w:t>
            </w:r>
            <w:r>
              <w:tab/>
            </w:r>
          </w:p>
        </w:tc>
        <w:tc>
          <w:tcPr>
            <w:tcW w:w="1152" w:type="dxa"/>
            <w:vAlign w:val="bottom"/>
          </w:tcPr>
          <w:p>
            <w:pPr>
              <w:pStyle w:val="yTableNAm"/>
            </w:pPr>
            <w:r>
              <w:t>$188.10</w:t>
            </w:r>
          </w:p>
        </w:tc>
      </w:tr>
    </w:tbl>
    <w:p>
      <w:pPr>
        <w:pStyle w:val="yHeading5"/>
        <w:tabs>
          <w:tab w:val="clear" w:pos="879"/>
        </w:tabs>
        <w:ind w:left="1400" w:hanging="868"/>
      </w:pPr>
      <w:bookmarkStart w:id="657" w:name="_Toc84427984"/>
      <w:bookmarkStart w:id="658" w:name="_Toc328471478"/>
      <w:r>
        <w:t>7.</w:t>
      </w:r>
      <w:r>
        <w:tab/>
        <w:t>Community residential</w:t>
      </w:r>
      <w:bookmarkEnd w:id="657"/>
      <w:bookmarkEnd w:id="658"/>
    </w:p>
    <w:p>
      <w:pPr>
        <w:pStyle w:val="ySubsection"/>
        <w:tabs>
          <w:tab w:val="clear" w:pos="879"/>
        </w:tabs>
        <w:ind w:left="1400" w:hanging="908"/>
      </w:pPr>
      <w:r>
        <w:tab/>
      </w:r>
      <w:r>
        <w:tab/>
        <w:t>In respect of each discrete residential unit as determined under by</w:t>
      </w:r>
      <w:r>
        <w:noBreakHyphen/>
        <w:t xml:space="preserve">law 16 the charge payable in accordance with the following formula — </w:t>
      </w:r>
    </w:p>
    <w:p>
      <w:pPr>
        <w:pStyle w:val="ySubsection"/>
        <w:tabs>
          <w:tab w:val="clear" w:pos="879"/>
        </w:tabs>
        <w:ind w:left="1414" w:hanging="908"/>
      </w:pPr>
      <w:r>
        <w:rPr>
          <w:b/>
        </w:rPr>
        <w:tab/>
      </w:r>
      <w:r>
        <w:rPr>
          <w:b/>
        </w:rPr>
        <w:tab/>
        <w:t>A</w:t>
      </w:r>
      <w:r>
        <w:t xml:space="preserve"> </w:t>
      </w:r>
      <w:r>
        <w:sym w:font="Symbol" w:char="F02D"/>
      </w:r>
      <w:r>
        <w:t xml:space="preserve"> (</w:t>
      </w:r>
      <w:r>
        <w:rPr>
          <w:b/>
        </w:rPr>
        <w:t>A</w:t>
      </w:r>
      <w:r>
        <w:t xml:space="preserve"> </w:t>
      </w:r>
      <w:r>
        <w:sym w:font="Symbol" w:char="F0B4"/>
      </w:r>
      <w:r>
        <w:t xml:space="preserve"> </w:t>
      </w:r>
      <w:r>
        <w:rPr>
          <w:b/>
        </w:rPr>
        <w:t>B</w:t>
      </w:r>
      <w:r>
        <w:t>)</w:t>
      </w:r>
    </w:p>
    <w:p>
      <w:pPr>
        <w:pStyle w:val="ySubsection"/>
        <w:tabs>
          <w:tab w:val="clear" w:pos="879"/>
        </w:tabs>
        <w:ind w:left="1440" w:hanging="908"/>
      </w:pPr>
      <w:r>
        <w:tab/>
      </w:r>
      <w:r>
        <w:tab/>
        <w:t xml:space="preserve">where — </w:t>
      </w:r>
    </w:p>
    <w:p>
      <w:pPr>
        <w:pStyle w:val="yIndenta"/>
        <w:tabs>
          <w:tab w:val="clear" w:pos="1332"/>
          <w:tab w:val="clear" w:pos="1616"/>
          <w:tab w:val="left" w:pos="1680"/>
        </w:tabs>
        <w:ind w:left="1320" w:hanging="668"/>
      </w:pPr>
      <w:r>
        <w:rPr>
          <w:b/>
        </w:rPr>
        <w:tab/>
      </w:r>
      <w:r>
        <w:rPr>
          <w:b/>
        </w:rPr>
        <w:tab/>
        <w:t>A</w:t>
      </w:r>
      <w:r>
        <w:t xml:space="preserve"> =</w:t>
      </w:r>
      <w:r>
        <w:tab/>
        <w:t>$188.10;</w:t>
      </w:r>
    </w:p>
    <w:p>
      <w:pPr>
        <w:pStyle w:val="yIndenta"/>
        <w:tabs>
          <w:tab w:val="clear" w:pos="1332"/>
          <w:tab w:val="clear" w:pos="1616"/>
          <w:tab w:val="left" w:pos="1680"/>
        </w:tabs>
        <w:ind w:left="1560" w:hanging="908"/>
      </w:pPr>
      <w:r>
        <w:rPr>
          <w:b/>
        </w:rPr>
        <w:tab/>
      </w:r>
      <w:r>
        <w:rPr>
          <w:b/>
        </w:rPr>
        <w:tab/>
        <w:t>B</w:t>
      </w:r>
      <w:r>
        <w:t xml:space="preserve"> =</w:t>
      </w:r>
      <w:r>
        <w:tab/>
        <w:t>50%.</w:t>
      </w: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keepNext/>
            </w:pPr>
            <w:r>
              <w:rPr>
                <w:b/>
                <w:bCs/>
              </w:rPr>
              <w:t>8.</w:t>
            </w:r>
          </w:p>
        </w:tc>
        <w:tc>
          <w:tcPr>
            <w:tcW w:w="4235" w:type="dxa"/>
          </w:tcPr>
          <w:p>
            <w:pPr>
              <w:pStyle w:val="yTableNAm"/>
              <w:keepNext/>
              <w:tabs>
                <w:tab w:val="left" w:leader="dot" w:pos="4876"/>
              </w:tabs>
            </w:pPr>
            <w:r>
              <w:rPr>
                <w:b/>
                <w:bCs/>
              </w:rPr>
              <w:t>Semi</w:t>
            </w:r>
            <w:r>
              <w:rPr>
                <w:b/>
                <w:bCs/>
              </w:rPr>
              <w:noBreakHyphen/>
              <w:t>rural residential</w:t>
            </w:r>
          </w:p>
        </w:tc>
        <w:tc>
          <w:tcPr>
            <w:tcW w:w="1152" w:type="dxa"/>
            <w:vAlign w:val="bottom"/>
          </w:tcPr>
          <w:p>
            <w:pPr>
              <w:pStyle w:val="yTableNAm"/>
              <w:keepNext/>
            </w:pPr>
          </w:p>
        </w:tc>
      </w:tr>
      <w:tr>
        <w:trPr>
          <w:cantSplit/>
        </w:trPr>
        <w:tc>
          <w:tcPr>
            <w:tcW w:w="850" w:type="dxa"/>
          </w:tcPr>
          <w:p>
            <w:pPr>
              <w:pStyle w:val="zyTableNAm"/>
              <w:keepNext/>
              <w:keepLines/>
            </w:pPr>
          </w:p>
        </w:tc>
        <w:tc>
          <w:tcPr>
            <w:tcW w:w="4235" w:type="dxa"/>
          </w:tcPr>
          <w:p>
            <w:pPr>
              <w:pStyle w:val="yTableNAm"/>
              <w:tabs>
                <w:tab w:val="clear" w:pos="567"/>
                <w:tab w:val="right" w:leader="dot" w:pos="4019"/>
              </w:tabs>
            </w:pPr>
            <w:r>
              <w:t>In respect of each semi</w:t>
            </w:r>
            <w:r>
              <w:noBreakHyphen/>
              <w:t xml:space="preserve">rural residential property not being land mentioned in item 3 </w:t>
            </w:r>
            <w:r>
              <w:tab/>
            </w:r>
          </w:p>
        </w:tc>
        <w:tc>
          <w:tcPr>
            <w:tcW w:w="1152" w:type="dxa"/>
            <w:vAlign w:val="bottom"/>
          </w:tcPr>
          <w:p>
            <w:pPr>
              <w:pStyle w:val="yTableNAm"/>
            </w:pPr>
            <w:r>
              <w:t>$188.10</w:t>
            </w:r>
          </w:p>
        </w:tc>
      </w:tr>
      <w:tr>
        <w:trPr>
          <w:cantSplit/>
        </w:trPr>
        <w:tc>
          <w:tcPr>
            <w:tcW w:w="850" w:type="dxa"/>
          </w:tcPr>
          <w:p>
            <w:pPr>
              <w:pStyle w:val="yTableNAm"/>
            </w:pPr>
            <w:r>
              <w:rPr>
                <w:b/>
                <w:bCs/>
              </w:rPr>
              <w:t>9.</w:t>
            </w:r>
          </w:p>
        </w:tc>
        <w:tc>
          <w:tcPr>
            <w:tcW w:w="4235" w:type="dxa"/>
          </w:tcPr>
          <w:p>
            <w:pPr>
              <w:pStyle w:val="yTableNAm"/>
              <w:tabs>
                <w:tab w:val="left" w:leader="dot" w:pos="4876"/>
              </w:tabs>
            </w:pPr>
            <w:r>
              <w:rPr>
                <w:b/>
                <w:bCs/>
              </w:rPr>
              <w:t>Connected non</w:t>
            </w:r>
            <w:r>
              <w:rPr>
                <w:b/>
                <w:bCs/>
              </w:rPr>
              <w:noBreakHyphen/>
              <w:t>metropolitan exempt</w:t>
            </w:r>
          </w:p>
        </w:tc>
        <w:tc>
          <w:tcPr>
            <w:tcW w:w="1152" w:type="dxa"/>
            <w:vAlign w:val="bottom"/>
          </w:tcPr>
          <w:p>
            <w:pPr>
              <w:pStyle w:val="yTableNAm"/>
            </w:pPr>
          </w:p>
        </w:tc>
      </w:tr>
      <w:tr>
        <w:trPr>
          <w:cantSplit/>
        </w:trPr>
        <w:tc>
          <w:tcPr>
            <w:tcW w:w="850" w:type="dxa"/>
          </w:tcPr>
          <w:p>
            <w:pPr>
              <w:pStyle w:val="zyTableNAm"/>
              <w:keepLines/>
            </w:pPr>
          </w:p>
        </w:tc>
        <w:tc>
          <w:tcPr>
            <w:tcW w:w="4235" w:type="dxa"/>
          </w:tcPr>
          <w:p>
            <w:pPr>
              <w:pStyle w:val="yTableNAm"/>
              <w:tabs>
                <w:tab w:val="left" w:leader="dot" w:pos="4876"/>
              </w:tabs>
            </w:pPr>
            <w:r>
              <w:t xml:space="preserve">In respect of land — </w:t>
            </w:r>
          </w:p>
        </w:tc>
        <w:tc>
          <w:tcPr>
            <w:tcW w:w="1152" w:type="dxa"/>
            <w:vAlign w:val="bottom"/>
          </w:tcPr>
          <w:p>
            <w:pPr>
              <w:pStyle w:val="yTableNAm"/>
            </w:pPr>
          </w:p>
        </w:tc>
      </w:tr>
      <w:tr>
        <w:trPr>
          <w:cantSplit/>
        </w:trPr>
        <w:tc>
          <w:tcPr>
            <w:tcW w:w="850" w:type="dxa"/>
          </w:tcPr>
          <w:p>
            <w:pPr>
              <w:pStyle w:val="zyTableNAm"/>
              <w:keepLines/>
            </w:pPr>
          </w:p>
        </w:tc>
        <w:tc>
          <w:tcPr>
            <w:tcW w:w="4235" w:type="dxa"/>
          </w:tcPr>
          <w:p>
            <w:pPr>
              <w:pStyle w:val="yTableNAm"/>
              <w:tabs>
                <w:tab w:val="clear" w:pos="567"/>
                <w:tab w:val="left" w:pos="296"/>
                <w:tab w:val="left" w:pos="776"/>
              </w:tabs>
              <w:ind w:left="776" w:hanging="776"/>
            </w:pPr>
            <w:r>
              <w:tab/>
              <w:t>(a)</w:t>
            </w:r>
            <w:r>
              <w:tab/>
              <w:t>described in by</w:t>
            </w:r>
            <w:r>
              <w:noBreakHyphen/>
              <w:t>law 4 that is comprised in a residential property and is not in the metropolitan area;</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tabs>
                <w:tab w:val="clear" w:pos="567"/>
                <w:tab w:val="left" w:pos="296"/>
                <w:tab w:val="left" w:pos="776"/>
              </w:tabs>
              <w:ind w:left="776" w:hanging="776"/>
            </w:pPr>
            <w:r>
              <w:tab/>
              <w:t>(b)</w:t>
            </w:r>
            <w:r>
              <w:tab/>
              <w:t>classified as local government, charitable purposes or institutional public that is neither in the metropolitan area or comprised in a residential property,</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tabs>
                <w:tab w:val="left" w:leader="dot" w:pos="4876"/>
              </w:tabs>
            </w:pPr>
            <w:r>
              <w:rPr>
                <w:szCs w:val="22"/>
              </w:rPr>
              <w:t>a charge, not being a connection the subject of a charge under item 15, determined by meter size minus the discount as set out in the following Table —</w:t>
            </w:r>
          </w:p>
        </w:tc>
        <w:tc>
          <w:tcPr>
            <w:tcW w:w="1152" w:type="dxa"/>
            <w:vAlign w:val="bottom"/>
          </w:tcPr>
          <w:p>
            <w:pPr>
              <w:pStyle w:val="yTableNAm"/>
            </w:pPr>
          </w:p>
        </w:tc>
      </w:tr>
    </w:tbl>
    <w:p>
      <w:pPr>
        <w:pStyle w:val="yTHeadingNAm"/>
      </w:pPr>
      <w:r>
        <w:t>Table of meter</w:t>
      </w:r>
      <w:r>
        <w:noBreakHyphen/>
        <w:t>based fixed charges</w:t>
      </w:r>
    </w:p>
    <w:tbl>
      <w:tblPr>
        <w:tblW w:w="6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4"/>
        <w:gridCol w:w="2094"/>
        <w:gridCol w:w="2095"/>
      </w:tblGrid>
      <w:tr>
        <w:trPr>
          <w:cantSplit/>
          <w:tblHeader/>
          <w:jc w:val="center"/>
        </w:trPr>
        <w:tc>
          <w:tcPr>
            <w:tcW w:w="2094" w:type="dxa"/>
            <w:tcBorders>
              <w:top w:val="single" w:sz="4" w:space="0" w:color="auto"/>
              <w:left w:val="nil"/>
              <w:bottom w:val="single" w:sz="4" w:space="0" w:color="auto"/>
              <w:right w:val="nil"/>
            </w:tcBorders>
          </w:tcPr>
          <w:p>
            <w:pPr>
              <w:pStyle w:val="yTableNAm"/>
              <w:jc w:val="center"/>
            </w:pPr>
            <w:r>
              <w:rPr>
                <w:b/>
                <w:bCs/>
              </w:rPr>
              <w:t>Meter size</w:t>
            </w:r>
            <w:r>
              <w:rPr>
                <w:b/>
                <w:bCs/>
              </w:rPr>
              <w:br/>
              <w:t>mm</w:t>
            </w:r>
          </w:p>
        </w:tc>
        <w:tc>
          <w:tcPr>
            <w:tcW w:w="2094" w:type="dxa"/>
            <w:tcBorders>
              <w:top w:val="single" w:sz="4" w:space="0" w:color="auto"/>
              <w:left w:val="nil"/>
              <w:bottom w:val="single" w:sz="4" w:space="0" w:color="auto"/>
              <w:right w:val="nil"/>
            </w:tcBorders>
          </w:tcPr>
          <w:p>
            <w:pPr>
              <w:pStyle w:val="yTableNAm"/>
              <w:jc w:val="center"/>
            </w:pPr>
            <w:r>
              <w:rPr>
                <w:b/>
                <w:bCs/>
              </w:rPr>
              <w:t>Charge</w:t>
            </w:r>
            <w:r>
              <w:rPr>
                <w:b/>
                <w:bCs/>
              </w:rPr>
              <w:br/>
              <w:t>$</w:t>
            </w:r>
          </w:p>
        </w:tc>
        <w:tc>
          <w:tcPr>
            <w:tcW w:w="2095" w:type="dxa"/>
            <w:tcBorders>
              <w:top w:val="single" w:sz="4" w:space="0" w:color="auto"/>
              <w:left w:val="nil"/>
              <w:bottom w:val="single" w:sz="4" w:space="0" w:color="auto"/>
              <w:right w:val="nil"/>
            </w:tcBorders>
          </w:tcPr>
          <w:p>
            <w:pPr>
              <w:pStyle w:val="yTableNAm"/>
              <w:jc w:val="center"/>
            </w:pPr>
            <w:r>
              <w:rPr>
                <w:b/>
                <w:bCs/>
              </w:rPr>
              <w:t>Discount</w:t>
            </w:r>
            <w:r>
              <w:rPr>
                <w:b/>
                <w:bCs/>
              </w:rPr>
              <w:br/>
              <w:t>%</w:t>
            </w:r>
          </w:p>
        </w:tc>
      </w:tr>
      <w:tr>
        <w:trPr>
          <w:cantSplit/>
          <w:jc w:val="center"/>
        </w:trPr>
        <w:tc>
          <w:tcPr>
            <w:tcW w:w="2094" w:type="dxa"/>
            <w:tcBorders>
              <w:top w:val="nil"/>
              <w:left w:val="nil"/>
              <w:bottom w:val="nil"/>
              <w:right w:val="nil"/>
            </w:tcBorders>
          </w:tcPr>
          <w:p>
            <w:pPr>
              <w:pStyle w:val="yTableNAm"/>
              <w:jc w:val="center"/>
            </w:pPr>
            <w:r>
              <w:t>15, 20</w:t>
            </w:r>
          </w:p>
        </w:tc>
        <w:tc>
          <w:tcPr>
            <w:tcW w:w="2094" w:type="dxa"/>
            <w:tcBorders>
              <w:top w:val="nil"/>
              <w:left w:val="nil"/>
              <w:bottom w:val="nil"/>
              <w:right w:val="nil"/>
            </w:tcBorders>
            <w:vAlign w:val="bottom"/>
          </w:tcPr>
          <w:p>
            <w:pPr>
              <w:pStyle w:val="yTableNAm"/>
              <w:jc w:val="center"/>
            </w:pPr>
            <w:r>
              <w:t>188.10</w:t>
            </w:r>
          </w:p>
        </w:tc>
        <w:tc>
          <w:tcPr>
            <w:tcW w:w="2095" w:type="dxa"/>
            <w:tcBorders>
              <w:top w:val="nil"/>
              <w:left w:val="nil"/>
              <w:bottom w:val="nil"/>
              <w:right w:val="nil"/>
            </w:tcBorders>
          </w:tcPr>
          <w:p>
            <w:pPr>
              <w:pStyle w:val="yTableNAm"/>
              <w:jc w:val="center"/>
            </w:pPr>
            <w:r>
              <w:t>100</w:t>
            </w:r>
          </w:p>
        </w:tc>
      </w:tr>
      <w:tr>
        <w:trPr>
          <w:cantSplit/>
          <w:jc w:val="center"/>
        </w:trPr>
        <w:tc>
          <w:tcPr>
            <w:tcW w:w="2094" w:type="dxa"/>
            <w:tcBorders>
              <w:top w:val="nil"/>
              <w:left w:val="nil"/>
              <w:bottom w:val="nil"/>
              <w:right w:val="nil"/>
            </w:tcBorders>
          </w:tcPr>
          <w:p>
            <w:pPr>
              <w:pStyle w:val="yTableNAm"/>
              <w:jc w:val="center"/>
            </w:pPr>
            <w:r>
              <w:t>25</w:t>
            </w:r>
          </w:p>
        </w:tc>
        <w:tc>
          <w:tcPr>
            <w:tcW w:w="2094" w:type="dxa"/>
            <w:tcBorders>
              <w:top w:val="nil"/>
              <w:left w:val="nil"/>
              <w:bottom w:val="nil"/>
              <w:right w:val="nil"/>
            </w:tcBorders>
            <w:vAlign w:val="bottom"/>
          </w:tcPr>
          <w:p>
            <w:pPr>
              <w:pStyle w:val="yTableNAm"/>
              <w:jc w:val="center"/>
            </w:pPr>
            <w:r>
              <w:t>293.90</w:t>
            </w:r>
          </w:p>
        </w:tc>
        <w:tc>
          <w:tcPr>
            <w:tcW w:w="2095" w:type="dxa"/>
            <w:tcBorders>
              <w:top w:val="nil"/>
              <w:left w:val="nil"/>
              <w:bottom w:val="nil"/>
              <w:right w:val="nil"/>
            </w:tcBorders>
          </w:tcPr>
          <w:p>
            <w:pPr>
              <w:pStyle w:val="yTableNAm"/>
              <w:jc w:val="center"/>
            </w:pPr>
            <w:r>
              <w:t>100</w:t>
            </w:r>
          </w:p>
        </w:tc>
      </w:tr>
      <w:tr>
        <w:trPr>
          <w:cantSplit/>
          <w:jc w:val="center"/>
        </w:trPr>
        <w:tc>
          <w:tcPr>
            <w:tcW w:w="2094" w:type="dxa"/>
            <w:tcBorders>
              <w:top w:val="nil"/>
              <w:left w:val="nil"/>
              <w:bottom w:val="nil"/>
              <w:right w:val="nil"/>
            </w:tcBorders>
          </w:tcPr>
          <w:p>
            <w:pPr>
              <w:pStyle w:val="yTableNAm"/>
              <w:jc w:val="center"/>
            </w:pPr>
            <w:r>
              <w:t>30</w:t>
            </w:r>
          </w:p>
        </w:tc>
        <w:tc>
          <w:tcPr>
            <w:tcW w:w="2094" w:type="dxa"/>
            <w:tcBorders>
              <w:top w:val="nil"/>
              <w:left w:val="nil"/>
              <w:bottom w:val="nil"/>
              <w:right w:val="nil"/>
            </w:tcBorders>
            <w:vAlign w:val="bottom"/>
          </w:tcPr>
          <w:p>
            <w:pPr>
              <w:pStyle w:val="yTableNAm"/>
              <w:jc w:val="center"/>
            </w:pPr>
            <w:r>
              <w:t>423.20</w:t>
            </w:r>
          </w:p>
        </w:tc>
        <w:tc>
          <w:tcPr>
            <w:tcW w:w="2095" w:type="dxa"/>
            <w:tcBorders>
              <w:top w:val="nil"/>
              <w:left w:val="nil"/>
              <w:bottom w:val="nil"/>
              <w:right w:val="nil"/>
            </w:tcBorders>
          </w:tcPr>
          <w:p>
            <w:pPr>
              <w:pStyle w:val="yTableNAm"/>
              <w:jc w:val="center"/>
            </w:pPr>
            <w:r>
              <w:t>100</w:t>
            </w:r>
          </w:p>
        </w:tc>
      </w:tr>
      <w:tr>
        <w:trPr>
          <w:cantSplit/>
          <w:jc w:val="center"/>
        </w:trPr>
        <w:tc>
          <w:tcPr>
            <w:tcW w:w="2094" w:type="dxa"/>
            <w:tcBorders>
              <w:top w:val="nil"/>
              <w:left w:val="nil"/>
              <w:bottom w:val="nil"/>
              <w:right w:val="nil"/>
            </w:tcBorders>
          </w:tcPr>
          <w:p>
            <w:pPr>
              <w:pStyle w:val="yTableNAm"/>
              <w:jc w:val="center"/>
            </w:pPr>
            <w:r>
              <w:t>35, 38, 40</w:t>
            </w:r>
          </w:p>
        </w:tc>
        <w:tc>
          <w:tcPr>
            <w:tcW w:w="2094" w:type="dxa"/>
            <w:tcBorders>
              <w:top w:val="nil"/>
              <w:left w:val="nil"/>
              <w:bottom w:val="nil"/>
              <w:right w:val="nil"/>
            </w:tcBorders>
            <w:vAlign w:val="bottom"/>
          </w:tcPr>
          <w:p>
            <w:pPr>
              <w:pStyle w:val="yTableNAm"/>
              <w:jc w:val="center"/>
            </w:pPr>
            <w:r>
              <w:t>752.40</w:t>
            </w:r>
          </w:p>
        </w:tc>
        <w:tc>
          <w:tcPr>
            <w:tcW w:w="2095" w:type="dxa"/>
            <w:tcBorders>
              <w:top w:val="nil"/>
              <w:left w:val="nil"/>
              <w:bottom w:val="nil"/>
              <w:right w:val="nil"/>
            </w:tcBorders>
          </w:tcPr>
          <w:p>
            <w:pPr>
              <w:pStyle w:val="yTableNAm"/>
              <w:jc w:val="center"/>
            </w:pPr>
            <w:r>
              <w:t>100</w:t>
            </w:r>
          </w:p>
        </w:tc>
      </w:tr>
      <w:tr>
        <w:trPr>
          <w:cantSplit/>
          <w:jc w:val="center"/>
        </w:trPr>
        <w:tc>
          <w:tcPr>
            <w:tcW w:w="2094" w:type="dxa"/>
            <w:tcBorders>
              <w:top w:val="nil"/>
              <w:left w:val="nil"/>
              <w:bottom w:val="nil"/>
              <w:right w:val="nil"/>
            </w:tcBorders>
          </w:tcPr>
          <w:p>
            <w:pPr>
              <w:pStyle w:val="yTableNAm"/>
              <w:jc w:val="center"/>
            </w:pPr>
            <w:r>
              <w:t>50</w:t>
            </w:r>
          </w:p>
        </w:tc>
        <w:tc>
          <w:tcPr>
            <w:tcW w:w="2094" w:type="dxa"/>
            <w:tcBorders>
              <w:top w:val="nil"/>
              <w:left w:val="nil"/>
              <w:bottom w:val="nil"/>
              <w:right w:val="nil"/>
            </w:tcBorders>
            <w:vAlign w:val="bottom"/>
          </w:tcPr>
          <w:p>
            <w:pPr>
              <w:pStyle w:val="yTableNAm"/>
              <w:jc w:val="center"/>
            </w:pPr>
            <w:r>
              <w:t>1 175.60</w:t>
            </w:r>
          </w:p>
        </w:tc>
        <w:tc>
          <w:tcPr>
            <w:tcW w:w="2095" w:type="dxa"/>
            <w:tcBorders>
              <w:top w:val="nil"/>
              <w:left w:val="nil"/>
              <w:bottom w:val="nil"/>
              <w:right w:val="nil"/>
            </w:tcBorders>
          </w:tcPr>
          <w:p>
            <w:pPr>
              <w:pStyle w:val="yTableNAm"/>
              <w:jc w:val="center"/>
            </w:pPr>
            <w:r>
              <w:t>100</w:t>
            </w:r>
          </w:p>
        </w:tc>
      </w:tr>
      <w:tr>
        <w:trPr>
          <w:cantSplit/>
          <w:jc w:val="center"/>
        </w:trPr>
        <w:tc>
          <w:tcPr>
            <w:tcW w:w="2094" w:type="dxa"/>
            <w:tcBorders>
              <w:top w:val="nil"/>
              <w:left w:val="nil"/>
              <w:bottom w:val="nil"/>
              <w:right w:val="nil"/>
            </w:tcBorders>
          </w:tcPr>
          <w:p>
            <w:pPr>
              <w:pStyle w:val="yTableNAm"/>
              <w:jc w:val="center"/>
            </w:pPr>
            <w:r>
              <w:t>70, 75, 80</w:t>
            </w:r>
          </w:p>
        </w:tc>
        <w:tc>
          <w:tcPr>
            <w:tcW w:w="2094" w:type="dxa"/>
            <w:tcBorders>
              <w:top w:val="nil"/>
              <w:left w:val="nil"/>
              <w:bottom w:val="nil"/>
              <w:right w:val="nil"/>
            </w:tcBorders>
            <w:vAlign w:val="bottom"/>
          </w:tcPr>
          <w:p>
            <w:pPr>
              <w:pStyle w:val="yTableNAm"/>
              <w:jc w:val="center"/>
            </w:pPr>
            <w:r>
              <w:t>3 009.60</w:t>
            </w:r>
          </w:p>
        </w:tc>
        <w:tc>
          <w:tcPr>
            <w:tcW w:w="2095" w:type="dxa"/>
            <w:tcBorders>
              <w:top w:val="nil"/>
              <w:left w:val="nil"/>
              <w:bottom w:val="nil"/>
              <w:right w:val="nil"/>
            </w:tcBorders>
          </w:tcPr>
          <w:p>
            <w:pPr>
              <w:pStyle w:val="yTableNAm"/>
              <w:jc w:val="center"/>
            </w:pPr>
            <w:r>
              <w:t>100</w:t>
            </w:r>
          </w:p>
        </w:tc>
      </w:tr>
      <w:tr>
        <w:trPr>
          <w:cantSplit/>
          <w:jc w:val="center"/>
        </w:trPr>
        <w:tc>
          <w:tcPr>
            <w:tcW w:w="2094" w:type="dxa"/>
            <w:tcBorders>
              <w:top w:val="nil"/>
              <w:left w:val="nil"/>
              <w:bottom w:val="nil"/>
              <w:right w:val="nil"/>
            </w:tcBorders>
          </w:tcPr>
          <w:p>
            <w:pPr>
              <w:pStyle w:val="yTableNAm"/>
              <w:jc w:val="center"/>
            </w:pPr>
            <w:r>
              <w:t>100</w:t>
            </w:r>
          </w:p>
        </w:tc>
        <w:tc>
          <w:tcPr>
            <w:tcW w:w="2094" w:type="dxa"/>
            <w:tcBorders>
              <w:top w:val="nil"/>
              <w:left w:val="nil"/>
              <w:bottom w:val="nil"/>
              <w:right w:val="nil"/>
            </w:tcBorders>
            <w:vAlign w:val="bottom"/>
          </w:tcPr>
          <w:p>
            <w:pPr>
              <w:pStyle w:val="yTableNAm"/>
              <w:jc w:val="center"/>
            </w:pPr>
            <w:r>
              <w:t>4 702.50</w:t>
            </w:r>
          </w:p>
        </w:tc>
        <w:tc>
          <w:tcPr>
            <w:tcW w:w="2095" w:type="dxa"/>
            <w:tcBorders>
              <w:top w:val="nil"/>
              <w:left w:val="nil"/>
              <w:bottom w:val="nil"/>
              <w:right w:val="nil"/>
            </w:tcBorders>
          </w:tcPr>
          <w:p>
            <w:pPr>
              <w:pStyle w:val="yTableNAm"/>
              <w:jc w:val="center"/>
            </w:pPr>
            <w:r>
              <w:t>100</w:t>
            </w:r>
          </w:p>
        </w:tc>
      </w:tr>
      <w:tr>
        <w:trPr>
          <w:cantSplit/>
          <w:jc w:val="center"/>
        </w:trPr>
        <w:tc>
          <w:tcPr>
            <w:tcW w:w="2094" w:type="dxa"/>
            <w:tcBorders>
              <w:top w:val="nil"/>
              <w:left w:val="nil"/>
              <w:bottom w:val="single" w:sz="4" w:space="0" w:color="auto"/>
              <w:right w:val="nil"/>
            </w:tcBorders>
          </w:tcPr>
          <w:p>
            <w:pPr>
              <w:pStyle w:val="yTableNAm"/>
              <w:jc w:val="center"/>
            </w:pPr>
            <w:r>
              <w:t>140, 150</w:t>
            </w:r>
          </w:p>
        </w:tc>
        <w:tc>
          <w:tcPr>
            <w:tcW w:w="2094" w:type="dxa"/>
            <w:tcBorders>
              <w:top w:val="nil"/>
              <w:left w:val="nil"/>
              <w:bottom w:val="single" w:sz="4" w:space="0" w:color="auto"/>
              <w:right w:val="nil"/>
            </w:tcBorders>
            <w:vAlign w:val="bottom"/>
          </w:tcPr>
          <w:p>
            <w:pPr>
              <w:pStyle w:val="yTableNAm"/>
              <w:jc w:val="center"/>
            </w:pPr>
            <w:r>
              <w:t>10 580.60</w:t>
            </w:r>
          </w:p>
        </w:tc>
        <w:tc>
          <w:tcPr>
            <w:tcW w:w="2095" w:type="dxa"/>
            <w:tcBorders>
              <w:top w:val="nil"/>
              <w:left w:val="nil"/>
              <w:bottom w:val="single" w:sz="4" w:space="0" w:color="auto"/>
              <w:right w:val="nil"/>
            </w:tcBorders>
          </w:tcPr>
          <w:p>
            <w:pPr>
              <w:pStyle w:val="yTableNAm"/>
              <w:jc w:val="center"/>
            </w:pPr>
            <w:r>
              <w:t>100</w:t>
            </w:r>
          </w:p>
        </w:tc>
      </w:tr>
    </w:tbl>
    <w:p>
      <w:pPr>
        <w:pStyle w:val="yMiscellaneousBody"/>
      </w:pP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keepNext/>
            </w:pPr>
            <w:r>
              <w:rPr>
                <w:b/>
                <w:bCs/>
              </w:rPr>
              <w:t>10.</w:t>
            </w:r>
          </w:p>
        </w:tc>
        <w:tc>
          <w:tcPr>
            <w:tcW w:w="4235" w:type="dxa"/>
          </w:tcPr>
          <w:p>
            <w:pPr>
              <w:pStyle w:val="yTableNAm"/>
              <w:keepNext/>
              <w:tabs>
                <w:tab w:val="left" w:leader="dot" w:pos="4876"/>
              </w:tabs>
            </w:pPr>
            <w:r>
              <w:rPr>
                <w:b/>
                <w:bCs/>
              </w:rPr>
              <w:t>Non</w:t>
            </w:r>
            <w:r>
              <w:rPr>
                <w:b/>
                <w:bCs/>
              </w:rPr>
              <w:noBreakHyphen/>
              <w:t>metropolitan non</w:t>
            </w:r>
            <w:r>
              <w:rPr>
                <w:b/>
                <w:bCs/>
              </w:rPr>
              <w:noBreakHyphen/>
              <w:t>residential or commercial residential</w:t>
            </w:r>
          </w:p>
        </w:tc>
        <w:tc>
          <w:tcPr>
            <w:tcW w:w="1152" w:type="dxa"/>
            <w:vAlign w:val="bottom"/>
          </w:tcPr>
          <w:p>
            <w:pPr>
              <w:pStyle w:val="yTableNAm"/>
              <w:keepNext/>
            </w:pPr>
          </w:p>
        </w:tc>
      </w:tr>
      <w:tr>
        <w:trPr>
          <w:cantSplit/>
        </w:trPr>
        <w:tc>
          <w:tcPr>
            <w:tcW w:w="850" w:type="dxa"/>
          </w:tcPr>
          <w:p>
            <w:pPr>
              <w:pStyle w:val="zyTableNAm"/>
              <w:keepNext/>
              <w:keepLines/>
            </w:pPr>
          </w:p>
        </w:tc>
        <w:tc>
          <w:tcPr>
            <w:tcW w:w="4235" w:type="dxa"/>
          </w:tcPr>
          <w:p>
            <w:pPr>
              <w:pStyle w:val="yTableNAm"/>
              <w:tabs>
                <w:tab w:val="left" w:leader="dot" w:pos="4876"/>
              </w:tabs>
            </w:pPr>
            <w:r>
              <w:t>In respect of land that is neither in the metropolitan area nor comprised in a residential property, where the land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(a)</w:t>
            </w:r>
            <w:r>
              <w:tab/>
              <w:t>is classified as non</w:t>
            </w:r>
            <w:r>
              <w:noBreakHyphen/>
              <w:t xml:space="preserve">residential or commercial residential; and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s>
              <w:ind w:left="776" w:hanging="776"/>
            </w:pPr>
            <w:r>
              <w:tab/>
              <w:t>(b)</w:t>
            </w:r>
            <w:r>
              <w:tab/>
              <w:t>is not mentioned in item 5 or 6,</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left" w:leader="dot" w:pos="4876"/>
              </w:tabs>
            </w:pPr>
            <w:r>
              <w:t>a charge payable for the relevant meter size as set out in the following Table —</w:t>
            </w:r>
          </w:p>
        </w:tc>
        <w:tc>
          <w:tcPr>
            <w:tcW w:w="1152" w:type="dxa"/>
            <w:vAlign w:val="bottom"/>
          </w:tcPr>
          <w:p>
            <w:pPr>
              <w:pStyle w:val="yTableNAm"/>
            </w:pPr>
          </w:p>
        </w:tc>
      </w:tr>
    </w:tbl>
    <w:p>
      <w:pPr>
        <w:pStyle w:val="yTHeadingNAm"/>
      </w:pPr>
      <w:r>
        <w:t>Table of meter</w:t>
      </w:r>
      <w:r>
        <w:noBreakHyphen/>
        <w:t>based fixed charges</w:t>
      </w:r>
    </w:p>
    <w:tbl>
      <w:tblPr>
        <w:tblW w:w="6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cantSplit/>
          <w:tblHeader/>
          <w:jc w:val="center"/>
        </w:trPr>
        <w:tc>
          <w:tcPr>
            <w:tcW w:w="3187" w:type="dxa"/>
            <w:tcBorders>
              <w:top w:val="single" w:sz="4" w:space="0" w:color="auto"/>
              <w:left w:val="nil"/>
              <w:bottom w:val="single" w:sz="4" w:space="0" w:color="auto"/>
              <w:right w:val="nil"/>
            </w:tcBorders>
          </w:tcPr>
          <w:p>
            <w:pPr>
              <w:pStyle w:val="yTableNAm"/>
              <w:jc w:val="cente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jc w:val="center"/>
        </w:trPr>
        <w:tc>
          <w:tcPr>
            <w:tcW w:w="3187"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pPr>
            <w:r>
              <w:t>188.10</w:t>
            </w:r>
          </w:p>
        </w:tc>
      </w:tr>
      <w:tr>
        <w:trPr>
          <w:cantSplit/>
          <w:jc w:val="center"/>
        </w:trPr>
        <w:tc>
          <w:tcPr>
            <w:tcW w:w="3187" w:type="dxa"/>
            <w:tcBorders>
              <w:top w:val="nil"/>
              <w:left w:val="nil"/>
              <w:bottom w:val="nil"/>
              <w:right w:val="nil"/>
            </w:tcBorders>
          </w:tcPr>
          <w:p>
            <w:pPr>
              <w:pStyle w:val="yTableNAm"/>
              <w:jc w:val="center"/>
            </w:pPr>
            <w:r>
              <w:t>25</w:t>
            </w:r>
          </w:p>
        </w:tc>
        <w:tc>
          <w:tcPr>
            <w:tcW w:w="3084" w:type="dxa"/>
            <w:tcBorders>
              <w:top w:val="nil"/>
              <w:left w:val="nil"/>
              <w:bottom w:val="nil"/>
              <w:right w:val="nil"/>
            </w:tcBorders>
            <w:vAlign w:val="bottom"/>
          </w:tcPr>
          <w:p>
            <w:pPr>
              <w:pStyle w:val="yTableNAm"/>
              <w:jc w:val="center"/>
            </w:pPr>
            <w:r>
              <w:t>293.90</w:t>
            </w:r>
          </w:p>
        </w:tc>
      </w:tr>
      <w:tr>
        <w:trPr>
          <w:cantSplit/>
          <w:jc w:val="center"/>
        </w:trPr>
        <w:tc>
          <w:tcPr>
            <w:tcW w:w="3187" w:type="dxa"/>
            <w:tcBorders>
              <w:top w:val="nil"/>
              <w:left w:val="nil"/>
              <w:bottom w:val="nil"/>
              <w:right w:val="nil"/>
            </w:tcBorders>
          </w:tcPr>
          <w:p>
            <w:pPr>
              <w:pStyle w:val="yTableNAm"/>
              <w:jc w:val="center"/>
            </w:pPr>
            <w:r>
              <w:t>30</w:t>
            </w:r>
          </w:p>
        </w:tc>
        <w:tc>
          <w:tcPr>
            <w:tcW w:w="3084" w:type="dxa"/>
            <w:tcBorders>
              <w:top w:val="nil"/>
              <w:left w:val="nil"/>
              <w:bottom w:val="nil"/>
              <w:right w:val="nil"/>
            </w:tcBorders>
            <w:vAlign w:val="bottom"/>
          </w:tcPr>
          <w:p>
            <w:pPr>
              <w:pStyle w:val="yTableNAm"/>
              <w:jc w:val="center"/>
            </w:pPr>
            <w:r>
              <w:t>423.20</w:t>
            </w:r>
          </w:p>
        </w:tc>
      </w:tr>
      <w:tr>
        <w:trPr>
          <w:cantSplit/>
          <w:jc w:val="center"/>
        </w:trPr>
        <w:tc>
          <w:tcPr>
            <w:tcW w:w="3187" w:type="dxa"/>
            <w:tcBorders>
              <w:top w:val="nil"/>
              <w:left w:val="nil"/>
              <w:bottom w:val="nil"/>
              <w:right w:val="nil"/>
            </w:tcBorders>
          </w:tcPr>
          <w:p>
            <w:pPr>
              <w:pStyle w:val="yTableNAm"/>
              <w:jc w:val="center"/>
            </w:pPr>
            <w:r>
              <w:t>35, 38, 40</w:t>
            </w:r>
          </w:p>
        </w:tc>
        <w:tc>
          <w:tcPr>
            <w:tcW w:w="3084" w:type="dxa"/>
            <w:tcBorders>
              <w:top w:val="nil"/>
              <w:left w:val="nil"/>
              <w:bottom w:val="nil"/>
              <w:right w:val="nil"/>
            </w:tcBorders>
            <w:vAlign w:val="bottom"/>
          </w:tcPr>
          <w:p>
            <w:pPr>
              <w:pStyle w:val="yTableNAm"/>
              <w:jc w:val="center"/>
            </w:pPr>
            <w:r>
              <w:t>752.40</w:t>
            </w:r>
          </w:p>
        </w:tc>
      </w:tr>
      <w:tr>
        <w:trPr>
          <w:cantSplit/>
          <w:jc w:val="center"/>
        </w:trPr>
        <w:tc>
          <w:tcPr>
            <w:tcW w:w="3187" w:type="dxa"/>
            <w:tcBorders>
              <w:top w:val="nil"/>
              <w:left w:val="nil"/>
              <w:bottom w:val="nil"/>
              <w:right w:val="nil"/>
            </w:tcBorders>
          </w:tcPr>
          <w:p>
            <w:pPr>
              <w:pStyle w:val="yTableNAm"/>
              <w:jc w:val="center"/>
            </w:pPr>
            <w:r>
              <w:t>50</w:t>
            </w:r>
          </w:p>
        </w:tc>
        <w:tc>
          <w:tcPr>
            <w:tcW w:w="3084" w:type="dxa"/>
            <w:tcBorders>
              <w:top w:val="nil"/>
              <w:left w:val="nil"/>
              <w:bottom w:val="nil"/>
              <w:right w:val="nil"/>
            </w:tcBorders>
            <w:vAlign w:val="bottom"/>
          </w:tcPr>
          <w:p>
            <w:pPr>
              <w:pStyle w:val="yTableNAm"/>
              <w:jc w:val="center"/>
            </w:pPr>
            <w:r>
              <w:t>1 175.60</w:t>
            </w:r>
          </w:p>
        </w:tc>
      </w:tr>
      <w:tr>
        <w:trPr>
          <w:cantSplit/>
          <w:jc w:val="center"/>
        </w:trPr>
        <w:tc>
          <w:tcPr>
            <w:tcW w:w="3187" w:type="dxa"/>
            <w:tcBorders>
              <w:top w:val="nil"/>
              <w:left w:val="nil"/>
              <w:bottom w:val="nil"/>
              <w:right w:val="nil"/>
            </w:tcBorders>
          </w:tcPr>
          <w:p>
            <w:pPr>
              <w:pStyle w:val="yTableNAm"/>
              <w:jc w:val="center"/>
            </w:pPr>
            <w:r>
              <w:t>70, 75, 80</w:t>
            </w:r>
          </w:p>
        </w:tc>
        <w:tc>
          <w:tcPr>
            <w:tcW w:w="3084" w:type="dxa"/>
            <w:tcBorders>
              <w:top w:val="nil"/>
              <w:left w:val="nil"/>
              <w:bottom w:val="nil"/>
              <w:right w:val="nil"/>
            </w:tcBorders>
            <w:vAlign w:val="bottom"/>
          </w:tcPr>
          <w:p>
            <w:pPr>
              <w:pStyle w:val="yTableNAm"/>
              <w:jc w:val="center"/>
            </w:pPr>
            <w:r>
              <w:t>3 009.60</w:t>
            </w:r>
          </w:p>
        </w:tc>
      </w:tr>
      <w:tr>
        <w:trPr>
          <w:cantSplit/>
          <w:jc w:val="center"/>
        </w:trPr>
        <w:tc>
          <w:tcPr>
            <w:tcW w:w="3187" w:type="dxa"/>
            <w:tcBorders>
              <w:top w:val="nil"/>
              <w:left w:val="nil"/>
              <w:bottom w:val="nil"/>
              <w:right w:val="nil"/>
            </w:tcBorders>
          </w:tcPr>
          <w:p>
            <w:pPr>
              <w:pStyle w:val="yTableNAm"/>
              <w:jc w:val="center"/>
            </w:pPr>
            <w:r>
              <w:t>100</w:t>
            </w:r>
          </w:p>
        </w:tc>
        <w:tc>
          <w:tcPr>
            <w:tcW w:w="3084" w:type="dxa"/>
            <w:tcBorders>
              <w:top w:val="nil"/>
              <w:left w:val="nil"/>
              <w:bottom w:val="nil"/>
              <w:right w:val="nil"/>
            </w:tcBorders>
            <w:vAlign w:val="bottom"/>
          </w:tcPr>
          <w:p>
            <w:pPr>
              <w:pStyle w:val="yTableNAm"/>
              <w:jc w:val="center"/>
            </w:pPr>
            <w:r>
              <w:t>4 702.50</w:t>
            </w:r>
          </w:p>
        </w:tc>
      </w:tr>
      <w:tr>
        <w:trPr>
          <w:cantSplit/>
          <w:jc w:val="center"/>
        </w:trPr>
        <w:tc>
          <w:tcPr>
            <w:tcW w:w="3187" w:type="dxa"/>
            <w:tcBorders>
              <w:top w:val="nil"/>
              <w:left w:val="nil"/>
              <w:bottom w:val="single" w:sz="4" w:space="0" w:color="auto"/>
              <w:right w:val="nil"/>
            </w:tcBorders>
          </w:tcPr>
          <w:p>
            <w:pPr>
              <w:pStyle w:val="yTableNAm"/>
              <w:jc w:val="center"/>
            </w:pPr>
            <w:r>
              <w:t>140, 150</w:t>
            </w:r>
          </w:p>
        </w:tc>
        <w:tc>
          <w:tcPr>
            <w:tcW w:w="3084" w:type="dxa"/>
            <w:tcBorders>
              <w:top w:val="nil"/>
              <w:left w:val="nil"/>
              <w:bottom w:val="single" w:sz="4" w:space="0" w:color="auto"/>
              <w:right w:val="nil"/>
            </w:tcBorders>
            <w:vAlign w:val="bottom"/>
          </w:tcPr>
          <w:p>
            <w:pPr>
              <w:pStyle w:val="yTableNAm"/>
              <w:jc w:val="center"/>
            </w:pPr>
            <w:r>
              <w:t>10 580.60</w:t>
            </w:r>
          </w:p>
        </w:tc>
      </w:tr>
    </w:tbl>
    <w:p>
      <w:pPr>
        <w:pStyle w:val="yMiscellaneousBody"/>
      </w:pPr>
    </w:p>
    <w:tbl>
      <w:tblPr>
        <w:tblW w:w="6237" w:type="dxa"/>
        <w:tblInd w:w="534" w:type="dxa"/>
        <w:tblLayout w:type="fixed"/>
        <w:tblLook w:val="0000" w:firstRow="0" w:lastRow="0" w:firstColumn="0" w:lastColumn="0" w:noHBand="0" w:noVBand="0"/>
      </w:tblPr>
      <w:tblGrid>
        <w:gridCol w:w="850"/>
        <w:gridCol w:w="4235"/>
        <w:gridCol w:w="1152"/>
      </w:tblGrid>
      <w:tr>
        <w:trPr>
          <w:cantSplit/>
        </w:trPr>
        <w:tc>
          <w:tcPr>
            <w:tcW w:w="850" w:type="dxa"/>
          </w:tcPr>
          <w:p>
            <w:pPr>
              <w:pStyle w:val="yTableNAm"/>
            </w:pPr>
            <w:r>
              <w:rPr>
                <w:b/>
                <w:bCs/>
              </w:rPr>
              <w:t>11.</w:t>
            </w:r>
          </w:p>
        </w:tc>
        <w:tc>
          <w:tcPr>
            <w:tcW w:w="4235" w:type="dxa"/>
          </w:tcPr>
          <w:p>
            <w:pPr>
              <w:pStyle w:val="yTableNAm"/>
              <w:tabs>
                <w:tab w:val="left" w:leader="dot" w:pos="4876"/>
              </w:tabs>
            </w:pPr>
            <w:r>
              <w:rPr>
                <w:b/>
                <w:bCs/>
              </w:rPr>
              <w:t>Stock</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right" w:leader="dot" w:pos="4019"/>
              </w:tabs>
            </w:pPr>
            <w:r>
              <w:t xml:space="preserve">For the supply of water for the purpose of watering stock on land that is not the subject of a charge under item 10 </w:t>
            </w:r>
            <w:r>
              <w:tab/>
            </w:r>
          </w:p>
        </w:tc>
        <w:tc>
          <w:tcPr>
            <w:tcW w:w="1152" w:type="dxa"/>
            <w:vAlign w:val="bottom"/>
          </w:tcPr>
          <w:p>
            <w:pPr>
              <w:pStyle w:val="yTableNAm"/>
            </w:pPr>
            <w:r>
              <w:t>$188.10</w:t>
            </w:r>
          </w:p>
        </w:tc>
      </w:tr>
      <w:tr>
        <w:trPr>
          <w:cantSplit/>
        </w:trPr>
        <w:tc>
          <w:tcPr>
            <w:tcW w:w="850" w:type="dxa"/>
          </w:tcPr>
          <w:p>
            <w:pPr>
              <w:pStyle w:val="yTableNAm"/>
              <w:keepNext/>
            </w:pPr>
            <w:r>
              <w:rPr>
                <w:b/>
                <w:bCs/>
              </w:rPr>
              <w:t>12.</w:t>
            </w:r>
          </w:p>
        </w:tc>
        <w:tc>
          <w:tcPr>
            <w:tcW w:w="4235" w:type="dxa"/>
          </w:tcPr>
          <w:p>
            <w:pPr>
              <w:pStyle w:val="yTableNAm"/>
              <w:keepNext/>
              <w:tabs>
                <w:tab w:val="left" w:leader="dot" w:pos="4876"/>
              </w:tabs>
            </w:pPr>
            <w:r>
              <w:rPr>
                <w:b/>
                <w:bCs/>
              </w:rPr>
              <w:t>Additional connections</w:t>
            </w:r>
          </w:p>
        </w:tc>
        <w:tc>
          <w:tcPr>
            <w:tcW w:w="1152" w:type="dxa"/>
            <w:vAlign w:val="bottom"/>
          </w:tcPr>
          <w:p>
            <w:pPr>
              <w:pStyle w:val="yTableNAm"/>
              <w:keepNext/>
            </w:pPr>
          </w:p>
        </w:tc>
      </w:tr>
      <w:tr>
        <w:trPr>
          <w:cantSplit/>
        </w:trPr>
        <w:tc>
          <w:tcPr>
            <w:tcW w:w="850" w:type="dxa"/>
          </w:tcPr>
          <w:p>
            <w:pPr>
              <w:pStyle w:val="zyTableNAm"/>
              <w:keepNext/>
              <w:keepLines/>
            </w:pPr>
          </w:p>
        </w:tc>
        <w:tc>
          <w:tcPr>
            <w:tcW w:w="4235" w:type="dxa"/>
          </w:tcPr>
          <w:p>
            <w:pPr>
              <w:pStyle w:val="yTableNAm"/>
              <w:tabs>
                <w:tab w:val="left" w:leader="dot" w:pos="4876"/>
              </w:tabs>
            </w:pPr>
            <w:r>
              <w:t>Other than land described in items 3 and 9, where water is supplied to land through more than one water supply connection, for each additional connection, not being a connection the subject of a charge under item 15 or a connection for a water supply the subject of item 2 or 19 —</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tabs>
                <w:tab w:val="clear" w:pos="567"/>
                <w:tab w:val="left" w:pos="296"/>
                <w:tab w:val="left" w:pos="776"/>
                <w:tab w:val="right" w:leader="dot" w:pos="4020"/>
              </w:tabs>
              <w:ind w:left="776" w:hanging="776"/>
            </w:pPr>
            <w:r>
              <w:tab/>
              <w:t>(a)</w:t>
            </w:r>
            <w:r>
              <w:tab/>
              <w:t xml:space="preserve">for land, other than land to which paragraph (b) applies, a charge of </w:t>
            </w:r>
            <w:r>
              <w:tab/>
            </w:r>
          </w:p>
        </w:tc>
        <w:tc>
          <w:tcPr>
            <w:tcW w:w="1152" w:type="dxa"/>
            <w:vAlign w:val="bottom"/>
          </w:tcPr>
          <w:p>
            <w:pPr>
              <w:pStyle w:val="yTableNAm"/>
            </w:pPr>
            <w:r>
              <w:t>$188.10</w:t>
            </w:r>
          </w:p>
        </w:tc>
      </w:tr>
      <w:tr>
        <w:trPr>
          <w:cantSplit/>
        </w:trPr>
        <w:tc>
          <w:tcPr>
            <w:tcW w:w="850" w:type="dxa"/>
          </w:tcPr>
          <w:p>
            <w:pPr>
              <w:pStyle w:val="zyTableNAm"/>
            </w:pPr>
          </w:p>
        </w:tc>
        <w:tc>
          <w:tcPr>
            <w:tcW w:w="4235" w:type="dxa"/>
          </w:tcPr>
          <w:p>
            <w:pPr>
              <w:pStyle w:val="yTableNAm"/>
              <w:tabs>
                <w:tab w:val="clear" w:pos="567"/>
                <w:tab w:val="left" w:pos="296"/>
                <w:tab w:val="left" w:pos="776"/>
                <w:tab w:val="right" w:leader="dot" w:pos="4020"/>
              </w:tabs>
              <w:ind w:left="776" w:hanging="776"/>
            </w:pPr>
            <w:r>
              <w:tab/>
              <w:t>(b)</w:t>
            </w:r>
            <w:r>
              <w:tab/>
              <w:t>for land that is classified as non</w:t>
            </w:r>
            <w:r>
              <w:noBreakHyphen/>
              <w:t>residential or commercial residential, a charge based on meter size of the additional service as set out in the following Table —</w:t>
            </w:r>
          </w:p>
        </w:tc>
        <w:tc>
          <w:tcPr>
            <w:tcW w:w="1152" w:type="dxa"/>
            <w:vAlign w:val="bottom"/>
          </w:tcPr>
          <w:p>
            <w:pPr>
              <w:pStyle w:val="yTableNAm"/>
            </w:pPr>
          </w:p>
        </w:tc>
      </w:tr>
    </w:tbl>
    <w:p>
      <w:pPr>
        <w:pStyle w:val="yTHeadingNAm"/>
      </w:pPr>
      <w:r>
        <w:t>Table of meter</w:t>
      </w:r>
      <w:r>
        <w:noBreakHyphen/>
        <w:t>based fixed charges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cantSplit/>
          <w:tblHeader/>
          <w:jc w:val="center"/>
        </w:trPr>
        <w:tc>
          <w:tcPr>
            <w:tcW w:w="3215" w:type="dxa"/>
            <w:tcBorders>
              <w:top w:val="single" w:sz="4" w:space="0" w:color="auto"/>
              <w:left w:val="nil"/>
              <w:bottom w:val="single" w:sz="4" w:space="0" w:color="auto"/>
              <w:right w:val="nil"/>
            </w:tcBorders>
          </w:tcPr>
          <w:p>
            <w:pPr>
              <w:pStyle w:val="yTableNAm"/>
              <w:jc w:val="cente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jc w:val="center"/>
        </w:trPr>
        <w:tc>
          <w:tcPr>
            <w:tcW w:w="3215"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pPr>
            <w:r>
              <w:t>188.10</w:t>
            </w:r>
          </w:p>
        </w:tc>
      </w:tr>
      <w:tr>
        <w:trPr>
          <w:cantSplit/>
          <w:jc w:val="center"/>
        </w:trPr>
        <w:tc>
          <w:tcPr>
            <w:tcW w:w="3215" w:type="dxa"/>
            <w:tcBorders>
              <w:top w:val="nil"/>
              <w:left w:val="nil"/>
              <w:bottom w:val="nil"/>
              <w:right w:val="nil"/>
            </w:tcBorders>
          </w:tcPr>
          <w:p>
            <w:pPr>
              <w:pStyle w:val="yTableNAm"/>
              <w:jc w:val="center"/>
            </w:pPr>
            <w:r>
              <w:t>25</w:t>
            </w:r>
          </w:p>
        </w:tc>
        <w:tc>
          <w:tcPr>
            <w:tcW w:w="3084" w:type="dxa"/>
            <w:tcBorders>
              <w:top w:val="nil"/>
              <w:left w:val="nil"/>
              <w:bottom w:val="nil"/>
              <w:right w:val="nil"/>
            </w:tcBorders>
            <w:vAlign w:val="bottom"/>
          </w:tcPr>
          <w:p>
            <w:pPr>
              <w:pStyle w:val="yTableNAm"/>
              <w:jc w:val="center"/>
            </w:pPr>
            <w:r>
              <w:t>293.90</w:t>
            </w:r>
          </w:p>
        </w:tc>
      </w:tr>
      <w:tr>
        <w:trPr>
          <w:cantSplit/>
          <w:jc w:val="center"/>
        </w:trPr>
        <w:tc>
          <w:tcPr>
            <w:tcW w:w="3215" w:type="dxa"/>
            <w:tcBorders>
              <w:top w:val="nil"/>
              <w:left w:val="nil"/>
              <w:bottom w:val="nil"/>
              <w:right w:val="nil"/>
            </w:tcBorders>
          </w:tcPr>
          <w:p>
            <w:pPr>
              <w:pStyle w:val="yTableNAm"/>
              <w:jc w:val="center"/>
            </w:pPr>
            <w:r>
              <w:t>30</w:t>
            </w:r>
          </w:p>
        </w:tc>
        <w:tc>
          <w:tcPr>
            <w:tcW w:w="3084" w:type="dxa"/>
            <w:tcBorders>
              <w:top w:val="nil"/>
              <w:left w:val="nil"/>
              <w:bottom w:val="nil"/>
              <w:right w:val="nil"/>
            </w:tcBorders>
            <w:vAlign w:val="bottom"/>
          </w:tcPr>
          <w:p>
            <w:pPr>
              <w:pStyle w:val="yTableNAm"/>
              <w:jc w:val="center"/>
            </w:pPr>
            <w:r>
              <w:t>423.20</w:t>
            </w:r>
          </w:p>
        </w:tc>
      </w:tr>
      <w:tr>
        <w:trPr>
          <w:cantSplit/>
          <w:jc w:val="center"/>
        </w:trPr>
        <w:tc>
          <w:tcPr>
            <w:tcW w:w="3215" w:type="dxa"/>
            <w:tcBorders>
              <w:top w:val="nil"/>
              <w:left w:val="nil"/>
              <w:bottom w:val="nil"/>
              <w:right w:val="nil"/>
            </w:tcBorders>
          </w:tcPr>
          <w:p>
            <w:pPr>
              <w:pStyle w:val="yTableNAm"/>
              <w:jc w:val="center"/>
            </w:pPr>
            <w:r>
              <w:t>35, 38, 40</w:t>
            </w:r>
          </w:p>
        </w:tc>
        <w:tc>
          <w:tcPr>
            <w:tcW w:w="3084" w:type="dxa"/>
            <w:tcBorders>
              <w:top w:val="nil"/>
              <w:left w:val="nil"/>
              <w:bottom w:val="nil"/>
              <w:right w:val="nil"/>
            </w:tcBorders>
            <w:vAlign w:val="bottom"/>
          </w:tcPr>
          <w:p>
            <w:pPr>
              <w:pStyle w:val="yTableNAm"/>
              <w:jc w:val="center"/>
            </w:pPr>
            <w:r>
              <w:t>752.40</w:t>
            </w:r>
          </w:p>
        </w:tc>
      </w:tr>
      <w:tr>
        <w:trPr>
          <w:cantSplit/>
          <w:jc w:val="center"/>
        </w:trPr>
        <w:tc>
          <w:tcPr>
            <w:tcW w:w="3215" w:type="dxa"/>
            <w:tcBorders>
              <w:top w:val="nil"/>
              <w:left w:val="nil"/>
              <w:bottom w:val="nil"/>
              <w:right w:val="nil"/>
            </w:tcBorders>
          </w:tcPr>
          <w:p>
            <w:pPr>
              <w:pStyle w:val="yTableNAm"/>
              <w:jc w:val="center"/>
            </w:pPr>
            <w:r>
              <w:t>50</w:t>
            </w:r>
          </w:p>
        </w:tc>
        <w:tc>
          <w:tcPr>
            <w:tcW w:w="3084" w:type="dxa"/>
            <w:tcBorders>
              <w:top w:val="nil"/>
              <w:left w:val="nil"/>
              <w:bottom w:val="nil"/>
              <w:right w:val="nil"/>
            </w:tcBorders>
            <w:vAlign w:val="bottom"/>
          </w:tcPr>
          <w:p>
            <w:pPr>
              <w:pStyle w:val="yTableNAm"/>
              <w:jc w:val="center"/>
            </w:pPr>
            <w:r>
              <w:t>1 175.60</w:t>
            </w:r>
          </w:p>
        </w:tc>
      </w:tr>
      <w:tr>
        <w:trPr>
          <w:cantSplit/>
          <w:jc w:val="center"/>
        </w:trPr>
        <w:tc>
          <w:tcPr>
            <w:tcW w:w="3215" w:type="dxa"/>
            <w:tcBorders>
              <w:top w:val="nil"/>
              <w:left w:val="nil"/>
              <w:bottom w:val="nil"/>
              <w:right w:val="nil"/>
            </w:tcBorders>
          </w:tcPr>
          <w:p>
            <w:pPr>
              <w:pStyle w:val="yTableNAm"/>
              <w:jc w:val="center"/>
            </w:pPr>
            <w:r>
              <w:t>70, 75, 80</w:t>
            </w:r>
          </w:p>
        </w:tc>
        <w:tc>
          <w:tcPr>
            <w:tcW w:w="3084" w:type="dxa"/>
            <w:tcBorders>
              <w:top w:val="nil"/>
              <w:left w:val="nil"/>
              <w:bottom w:val="nil"/>
              <w:right w:val="nil"/>
            </w:tcBorders>
            <w:vAlign w:val="bottom"/>
          </w:tcPr>
          <w:p>
            <w:pPr>
              <w:pStyle w:val="yTableNAm"/>
              <w:jc w:val="center"/>
            </w:pPr>
            <w:r>
              <w:t>3 009.60</w:t>
            </w:r>
          </w:p>
        </w:tc>
      </w:tr>
      <w:tr>
        <w:trPr>
          <w:cantSplit/>
          <w:jc w:val="center"/>
        </w:trPr>
        <w:tc>
          <w:tcPr>
            <w:tcW w:w="3215" w:type="dxa"/>
            <w:tcBorders>
              <w:top w:val="nil"/>
              <w:left w:val="nil"/>
              <w:bottom w:val="nil"/>
              <w:right w:val="nil"/>
            </w:tcBorders>
          </w:tcPr>
          <w:p>
            <w:pPr>
              <w:pStyle w:val="yTableNAm"/>
              <w:jc w:val="center"/>
            </w:pPr>
            <w:r>
              <w:t>100</w:t>
            </w:r>
          </w:p>
        </w:tc>
        <w:tc>
          <w:tcPr>
            <w:tcW w:w="3084" w:type="dxa"/>
            <w:tcBorders>
              <w:top w:val="nil"/>
              <w:left w:val="nil"/>
              <w:bottom w:val="nil"/>
              <w:right w:val="nil"/>
            </w:tcBorders>
            <w:vAlign w:val="bottom"/>
          </w:tcPr>
          <w:p>
            <w:pPr>
              <w:pStyle w:val="yTableNAm"/>
              <w:jc w:val="center"/>
            </w:pPr>
            <w:r>
              <w:t>4 702.50</w:t>
            </w:r>
          </w:p>
        </w:tc>
      </w:tr>
      <w:tr>
        <w:trPr>
          <w:cantSplit/>
          <w:jc w:val="center"/>
        </w:trPr>
        <w:tc>
          <w:tcPr>
            <w:tcW w:w="3215" w:type="dxa"/>
            <w:tcBorders>
              <w:top w:val="nil"/>
              <w:left w:val="nil"/>
              <w:bottom w:val="nil"/>
              <w:right w:val="nil"/>
            </w:tcBorders>
          </w:tcPr>
          <w:p>
            <w:pPr>
              <w:pStyle w:val="yTableNAm"/>
              <w:jc w:val="center"/>
            </w:pPr>
            <w:r>
              <w:t>140, 150</w:t>
            </w:r>
          </w:p>
        </w:tc>
        <w:tc>
          <w:tcPr>
            <w:tcW w:w="3084" w:type="dxa"/>
            <w:tcBorders>
              <w:top w:val="nil"/>
              <w:left w:val="nil"/>
              <w:bottom w:val="nil"/>
              <w:right w:val="nil"/>
            </w:tcBorders>
            <w:vAlign w:val="bottom"/>
          </w:tcPr>
          <w:p>
            <w:pPr>
              <w:pStyle w:val="yTableNAm"/>
              <w:jc w:val="center"/>
            </w:pPr>
            <w:r>
              <w:t>10 580.60</w:t>
            </w:r>
          </w:p>
        </w:tc>
      </w:tr>
      <w:tr>
        <w:trPr>
          <w:cantSplit/>
          <w:jc w:val="center"/>
        </w:trPr>
        <w:tc>
          <w:tcPr>
            <w:tcW w:w="3215" w:type="dxa"/>
            <w:tcBorders>
              <w:top w:val="nil"/>
              <w:left w:val="nil"/>
              <w:bottom w:val="nil"/>
              <w:right w:val="nil"/>
            </w:tcBorders>
          </w:tcPr>
          <w:p>
            <w:pPr>
              <w:pStyle w:val="yTableNAm"/>
              <w:jc w:val="center"/>
            </w:pPr>
            <w:r>
              <w:t>200</w:t>
            </w:r>
          </w:p>
        </w:tc>
        <w:tc>
          <w:tcPr>
            <w:tcW w:w="3084" w:type="dxa"/>
            <w:tcBorders>
              <w:top w:val="nil"/>
              <w:left w:val="nil"/>
              <w:bottom w:val="nil"/>
              <w:right w:val="nil"/>
            </w:tcBorders>
            <w:vAlign w:val="bottom"/>
          </w:tcPr>
          <w:p>
            <w:pPr>
              <w:pStyle w:val="yTableNAm"/>
              <w:jc w:val="center"/>
            </w:pPr>
            <w:r>
              <w:t>18 810.00</w:t>
            </w:r>
          </w:p>
        </w:tc>
      </w:tr>
      <w:tr>
        <w:trPr>
          <w:cantSplit/>
          <w:jc w:val="center"/>
        </w:trPr>
        <w:tc>
          <w:tcPr>
            <w:tcW w:w="3215" w:type="dxa"/>
            <w:tcBorders>
              <w:top w:val="nil"/>
              <w:left w:val="nil"/>
              <w:bottom w:val="nil"/>
              <w:right w:val="nil"/>
            </w:tcBorders>
          </w:tcPr>
          <w:p>
            <w:pPr>
              <w:pStyle w:val="yTableNAm"/>
              <w:jc w:val="center"/>
            </w:pPr>
            <w:r>
              <w:t>250</w:t>
            </w:r>
          </w:p>
        </w:tc>
        <w:tc>
          <w:tcPr>
            <w:tcW w:w="3084" w:type="dxa"/>
            <w:tcBorders>
              <w:top w:val="nil"/>
              <w:left w:val="nil"/>
              <w:bottom w:val="nil"/>
              <w:right w:val="nil"/>
            </w:tcBorders>
            <w:vAlign w:val="bottom"/>
          </w:tcPr>
          <w:p>
            <w:pPr>
              <w:pStyle w:val="yTableNAm"/>
              <w:jc w:val="center"/>
            </w:pPr>
            <w:r>
              <w:t>29 390.60</w:t>
            </w:r>
          </w:p>
        </w:tc>
      </w:tr>
      <w:tr>
        <w:trPr>
          <w:cantSplit/>
          <w:jc w:val="center"/>
        </w:trPr>
        <w:tc>
          <w:tcPr>
            <w:tcW w:w="3215" w:type="dxa"/>
            <w:tcBorders>
              <w:top w:val="nil"/>
              <w:left w:val="nil"/>
              <w:bottom w:val="nil"/>
              <w:right w:val="nil"/>
            </w:tcBorders>
          </w:tcPr>
          <w:p>
            <w:pPr>
              <w:pStyle w:val="yTableNAm"/>
              <w:jc w:val="center"/>
            </w:pPr>
            <w:r>
              <w:t>300</w:t>
            </w:r>
          </w:p>
        </w:tc>
        <w:tc>
          <w:tcPr>
            <w:tcW w:w="3084" w:type="dxa"/>
            <w:tcBorders>
              <w:top w:val="nil"/>
              <w:left w:val="nil"/>
              <w:bottom w:val="nil"/>
              <w:right w:val="nil"/>
            </w:tcBorders>
            <w:vAlign w:val="bottom"/>
          </w:tcPr>
          <w:p>
            <w:pPr>
              <w:pStyle w:val="yTableNAm"/>
              <w:jc w:val="center"/>
            </w:pPr>
            <w:r>
              <w:t>42 322.50</w:t>
            </w:r>
          </w:p>
        </w:tc>
      </w:tr>
      <w:tr>
        <w:trPr>
          <w:cantSplit/>
          <w:jc w:val="center"/>
        </w:trPr>
        <w:tc>
          <w:tcPr>
            <w:tcW w:w="3215" w:type="dxa"/>
            <w:tcBorders>
              <w:top w:val="nil"/>
              <w:left w:val="nil"/>
              <w:bottom w:val="single" w:sz="4" w:space="0" w:color="auto"/>
              <w:right w:val="nil"/>
            </w:tcBorders>
          </w:tcPr>
          <w:p>
            <w:pPr>
              <w:pStyle w:val="yTableNAm"/>
              <w:jc w:val="center"/>
            </w:pPr>
            <w:r>
              <w:t>350</w:t>
            </w:r>
          </w:p>
        </w:tc>
        <w:tc>
          <w:tcPr>
            <w:tcW w:w="3084" w:type="dxa"/>
            <w:tcBorders>
              <w:top w:val="nil"/>
              <w:left w:val="nil"/>
              <w:bottom w:val="single" w:sz="4" w:space="0" w:color="auto"/>
              <w:right w:val="nil"/>
            </w:tcBorders>
            <w:vAlign w:val="bottom"/>
          </w:tcPr>
          <w:p>
            <w:pPr>
              <w:pStyle w:val="yTableNAm"/>
              <w:jc w:val="center"/>
            </w:pPr>
            <w:r>
              <w:t>57 605.60</w:t>
            </w:r>
          </w:p>
        </w:tc>
      </w:tr>
    </w:tbl>
    <w:p>
      <w:pPr>
        <w:pStyle w:val="yMiscellaneousBody"/>
      </w:pPr>
    </w:p>
    <w:tbl>
      <w:tblPr>
        <w:tblW w:w="0" w:type="auto"/>
        <w:tblInd w:w="534" w:type="dxa"/>
        <w:tblLayout w:type="fixed"/>
        <w:tblLook w:val="0000" w:firstRow="0" w:lastRow="0" w:firstColumn="0" w:lastColumn="0" w:noHBand="0" w:noVBand="0"/>
      </w:tblPr>
      <w:tblGrid>
        <w:gridCol w:w="850"/>
        <w:gridCol w:w="4234"/>
        <w:gridCol w:w="1153"/>
      </w:tblGrid>
      <w:tr>
        <w:trPr>
          <w:cantSplit/>
        </w:trPr>
        <w:tc>
          <w:tcPr>
            <w:tcW w:w="850" w:type="dxa"/>
          </w:tcPr>
          <w:p>
            <w:pPr>
              <w:pStyle w:val="yTableNAm"/>
            </w:pPr>
            <w:r>
              <w:rPr>
                <w:b/>
                <w:bCs/>
              </w:rPr>
              <w:t>13.</w:t>
            </w:r>
          </w:p>
        </w:tc>
        <w:tc>
          <w:tcPr>
            <w:tcW w:w="4234" w:type="dxa"/>
          </w:tcPr>
          <w:p>
            <w:pPr>
              <w:pStyle w:val="yTableNAm"/>
              <w:tabs>
                <w:tab w:val="left" w:leader="dot" w:pos="4876"/>
              </w:tabs>
            </w:pPr>
            <w:r>
              <w:rPr>
                <w:b/>
                <w:bCs/>
              </w:rPr>
              <w:t>Shipping (non</w:t>
            </w:r>
            <w:r>
              <w:rPr>
                <w:b/>
                <w:bCs/>
              </w:rPr>
              <w:noBreakHyphen/>
              <w:t>metropolitan)</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left" w:leader="dot" w:pos="4876"/>
              </w:tabs>
            </w:pPr>
            <w:r>
              <w:t>For each water supply connection provided for the purpose of water being taken on board any ship in a port not in the metropolitan area the charge applicable for the relevant meter size in the Table to item 10.</w:t>
            </w:r>
          </w:p>
        </w:tc>
        <w:tc>
          <w:tcPr>
            <w:tcW w:w="1153" w:type="dxa"/>
            <w:vAlign w:val="bottom"/>
          </w:tcPr>
          <w:p>
            <w:pPr>
              <w:pStyle w:val="yTableNAm"/>
            </w:pPr>
          </w:p>
        </w:tc>
      </w:tr>
      <w:tr>
        <w:trPr>
          <w:cantSplit/>
        </w:trPr>
        <w:tc>
          <w:tcPr>
            <w:tcW w:w="850" w:type="dxa"/>
          </w:tcPr>
          <w:p>
            <w:pPr>
              <w:pStyle w:val="yTableNAm"/>
            </w:pPr>
            <w:r>
              <w:rPr>
                <w:b/>
                <w:bCs/>
              </w:rPr>
              <w:t>14.</w:t>
            </w:r>
          </w:p>
        </w:tc>
        <w:tc>
          <w:tcPr>
            <w:tcW w:w="4234" w:type="dxa"/>
          </w:tcPr>
          <w:p>
            <w:pPr>
              <w:pStyle w:val="yTableNAm"/>
              <w:tabs>
                <w:tab w:val="left" w:leader="dot" w:pos="4876"/>
              </w:tabs>
            </w:pPr>
            <w:r>
              <w:rPr>
                <w:b/>
                <w:bCs/>
              </w:rPr>
              <w:t>Local government standpipes</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clear" w:pos="567"/>
                <w:tab w:val="right" w:leader="dot" w:pos="4019"/>
              </w:tabs>
            </w:pPr>
            <w:r>
              <w:t xml:space="preserve">For each local government standpipe </w:t>
            </w:r>
            <w:r>
              <w:tab/>
            </w:r>
          </w:p>
        </w:tc>
        <w:tc>
          <w:tcPr>
            <w:tcW w:w="1153" w:type="dxa"/>
            <w:vAlign w:val="bottom"/>
          </w:tcPr>
          <w:p>
            <w:pPr>
              <w:pStyle w:val="yTableNAm"/>
            </w:pPr>
            <w:r>
              <w:t>$188.10</w:t>
            </w:r>
          </w:p>
        </w:tc>
      </w:tr>
      <w:tr>
        <w:trPr>
          <w:cantSplit/>
        </w:trPr>
        <w:tc>
          <w:tcPr>
            <w:tcW w:w="850" w:type="dxa"/>
          </w:tcPr>
          <w:p>
            <w:pPr>
              <w:pStyle w:val="yTableNAm"/>
            </w:pPr>
            <w:r>
              <w:rPr>
                <w:b/>
                <w:bCs/>
              </w:rPr>
              <w:t>15.</w:t>
            </w:r>
          </w:p>
        </w:tc>
        <w:tc>
          <w:tcPr>
            <w:tcW w:w="4234" w:type="dxa"/>
          </w:tcPr>
          <w:p>
            <w:pPr>
              <w:pStyle w:val="yTableNAm"/>
              <w:tabs>
                <w:tab w:val="left" w:leader="dot" w:pos="4876"/>
              </w:tabs>
            </w:pPr>
            <w:r>
              <w:rPr>
                <w:b/>
                <w:bCs/>
              </w:rPr>
              <w:t>Firefighting connections</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clear" w:pos="567"/>
                <w:tab w:val="right" w:leader="dot" w:pos="4019"/>
              </w:tabs>
            </w:pPr>
            <w:r>
              <w:t xml:space="preserve">For each water supply connection provided for the purpose of firefighting </w:t>
            </w:r>
            <w:r>
              <w:tab/>
            </w:r>
          </w:p>
        </w:tc>
        <w:tc>
          <w:tcPr>
            <w:tcW w:w="1153" w:type="dxa"/>
            <w:vAlign w:val="bottom"/>
          </w:tcPr>
          <w:p>
            <w:pPr>
              <w:pStyle w:val="yTableNAm"/>
            </w:pPr>
            <w:r>
              <w:t>$188.10</w:t>
            </w:r>
          </w:p>
        </w:tc>
      </w:tr>
      <w:tr>
        <w:trPr>
          <w:cantSplit/>
        </w:trPr>
        <w:tc>
          <w:tcPr>
            <w:tcW w:w="850" w:type="dxa"/>
          </w:tcPr>
          <w:p>
            <w:pPr>
              <w:pStyle w:val="yTableNAm"/>
            </w:pPr>
            <w:r>
              <w:rPr>
                <w:b/>
                <w:bCs/>
              </w:rPr>
              <w:t>16.</w:t>
            </w:r>
          </w:p>
        </w:tc>
        <w:tc>
          <w:tcPr>
            <w:tcW w:w="4234" w:type="dxa"/>
          </w:tcPr>
          <w:p>
            <w:pPr>
              <w:pStyle w:val="yTableNAm"/>
              <w:tabs>
                <w:tab w:val="left" w:leader="dot" w:pos="4876"/>
              </w:tabs>
            </w:pPr>
            <w:r>
              <w:rPr>
                <w:b/>
                <w:bCs/>
              </w:rPr>
              <w:t>Farmland</w:t>
            </w:r>
          </w:p>
        </w:tc>
        <w:tc>
          <w:tcPr>
            <w:tcW w:w="1153" w:type="dxa"/>
            <w:vAlign w:val="bottom"/>
          </w:tcPr>
          <w:p>
            <w:pPr>
              <w:pStyle w:val="yTableNAm"/>
            </w:pPr>
          </w:p>
        </w:tc>
      </w:tr>
      <w:tr>
        <w:trPr>
          <w:cantSplit/>
        </w:trPr>
        <w:tc>
          <w:tcPr>
            <w:tcW w:w="850" w:type="dxa"/>
          </w:tcPr>
          <w:p>
            <w:pPr>
              <w:pStyle w:val="zyTableNAm"/>
              <w:keepNext/>
              <w:keepLines/>
            </w:pPr>
          </w:p>
        </w:tc>
        <w:tc>
          <w:tcPr>
            <w:tcW w:w="4234" w:type="dxa"/>
          </w:tcPr>
          <w:p>
            <w:pPr>
              <w:pStyle w:val="yTableNAm"/>
              <w:tabs>
                <w:tab w:val="clear" w:pos="567"/>
                <w:tab w:val="right" w:leader="dot" w:pos="4019"/>
              </w:tabs>
            </w:pPr>
            <w:r>
              <w:t xml:space="preserve">In respect of land that is classified as farmland </w:t>
            </w:r>
            <w:r>
              <w:tab/>
            </w:r>
          </w:p>
        </w:tc>
        <w:tc>
          <w:tcPr>
            <w:tcW w:w="1153" w:type="dxa"/>
            <w:vAlign w:val="bottom"/>
          </w:tcPr>
          <w:p>
            <w:pPr>
              <w:pStyle w:val="yTableNAm"/>
            </w:pPr>
            <w:r>
              <w:t>$188.10</w:t>
            </w:r>
          </w:p>
        </w:tc>
      </w:tr>
      <w:tr>
        <w:trPr>
          <w:cantSplit/>
        </w:trPr>
        <w:tc>
          <w:tcPr>
            <w:tcW w:w="850" w:type="dxa"/>
          </w:tcPr>
          <w:p>
            <w:pPr>
              <w:pStyle w:val="yTableNAm"/>
            </w:pPr>
            <w:r>
              <w:rPr>
                <w:b/>
                <w:bCs/>
              </w:rPr>
              <w:t>17.</w:t>
            </w:r>
          </w:p>
        </w:tc>
        <w:tc>
          <w:tcPr>
            <w:tcW w:w="4234" w:type="dxa"/>
          </w:tcPr>
          <w:p>
            <w:pPr>
              <w:pStyle w:val="yTableNAm"/>
              <w:tabs>
                <w:tab w:val="left" w:leader="dot" w:pos="4876"/>
              </w:tabs>
            </w:pPr>
            <w:r>
              <w:rPr>
                <w:b/>
                <w:bCs/>
              </w:rPr>
              <w:t>Metropolitan non</w:t>
            </w:r>
            <w:r>
              <w:rPr>
                <w:b/>
                <w:bCs/>
              </w:rPr>
              <w:noBreakHyphen/>
              <w:t>residential (except strata</w:t>
            </w:r>
            <w:r>
              <w:rPr>
                <w:b/>
                <w:bCs/>
              </w:rPr>
              <w:noBreakHyphen/>
              <w:t>titled units that share a service)</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left" w:leader="dot" w:pos="4876"/>
              </w:tabs>
            </w:pPr>
            <w:r>
              <w:t>In respect of non</w:t>
            </w:r>
            <w:r>
              <w:noBreakHyphen/>
              <w:t>residential land in the metropolitan area, not being land mentioned in item 18, a charge determined by meter size as set out in the following Table —</w:t>
            </w:r>
          </w:p>
        </w:tc>
        <w:tc>
          <w:tcPr>
            <w:tcW w:w="1153" w:type="dxa"/>
            <w:vAlign w:val="bottom"/>
          </w:tcPr>
          <w:p>
            <w:pPr>
              <w:pStyle w:val="yTableNAm"/>
            </w:pPr>
          </w:p>
        </w:tc>
      </w:tr>
    </w:tbl>
    <w:p>
      <w:pPr>
        <w:pStyle w:val="yTHeadingNAm"/>
      </w:pPr>
      <w:r>
        <w:t>Table of meter</w:t>
      </w:r>
      <w:r>
        <w:noBreakHyphen/>
        <w:t>based fixed charges</w:t>
      </w:r>
    </w:p>
    <w:tbl>
      <w:tblPr>
        <w:tblW w:w="0" w:type="auto"/>
        <w:jc w:val="center"/>
        <w:tblLayout w:type="fixed"/>
        <w:tblLook w:val="0000" w:firstRow="0" w:lastRow="0" w:firstColumn="0" w:lastColumn="0" w:noHBand="0" w:noVBand="0"/>
      </w:tblPr>
      <w:tblGrid>
        <w:gridCol w:w="3206"/>
        <w:gridCol w:w="3093"/>
      </w:tblGrid>
      <w:tr>
        <w:trPr>
          <w:cantSplit/>
          <w:tblHeader/>
          <w:jc w:val="center"/>
        </w:trPr>
        <w:tc>
          <w:tcPr>
            <w:tcW w:w="3206" w:type="dxa"/>
            <w:tcBorders>
              <w:top w:val="single" w:sz="4" w:space="0" w:color="auto"/>
              <w:bottom w:val="single" w:sz="4" w:space="0" w:color="auto"/>
            </w:tcBorders>
          </w:tcPr>
          <w:p>
            <w:pPr>
              <w:pStyle w:val="yTableNAm"/>
              <w:jc w:val="center"/>
            </w:pPr>
            <w:r>
              <w:rPr>
                <w:b/>
                <w:bCs/>
              </w:rPr>
              <w:t>Meter size</w:t>
            </w:r>
            <w:r>
              <w:rPr>
                <w:b/>
                <w:bCs/>
              </w:rPr>
              <w:br/>
              <w:t>mm</w:t>
            </w:r>
          </w:p>
        </w:tc>
        <w:tc>
          <w:tcPr>
            <w:tcW w:w="3093" w:type="dxa"/>
            <w:tcBorders>
              <w:top w:val="single" w:sz="4" w:space="0" w:color="auto"/>
              <w:bottom w:val="single" w:sz="4" w:space="0" w:color="auto"/>
            </w:tcBorders>
          </w:tcPr>
          <w:p>
            <w:pPr>
              <w:pStyle w:val="yTableNAm"/>
              <w:jc w:val="center"/>
            </w:pPr>
            <w:r>
              <w:rPr>
                <w:b/>
                <w:bCs/>
              </w:rPr>
              <w:t>Charge</w:t>
            </w:r>
            <w:r>
              <w:rPr>
                <w:b/>
                <w:bCs/>
              </w:rPr>
              <w:br/>
              <w:t>$</w:t>
            </w:r>
          </w:p>
        </w:tc>
      </w:tr>
      <w:tr>
        <w:trPr>
          <w:cantSplit/>
          <w:jc w:val="center"/>
        </w:trPr>
        <w:tc>
          <w:tcPr>
            <w:tcW w:w="3206" w:type="dxa"/>
          </w:tcPr>
          <w:p>
            <w:pPr>
              <w:pStyle w:val="yTableNAm"/>
              <w:jc w:val="center"/>
            </w:pPr>
            <w:r>
              <w:t>20</w:t>
            </w:r>
          </w:p>
        </w:tc>
        <w:tc>
          <w:tcPr>
            <w:tcW w:w="3093" w:type="dxa"/>
            <w:vAlign w:val="bottom"/>
          </w:tcPr>
          <w:p>
            <w:pPr>
              <w:pStyle w:val="yTableNAm"/>
              <w:jc w:val="center"/>
            </w:pPr>
            <w:r>
              <w:t>188.10</w:t>
            </w:r>
          </w:p>
        </w:tc>
      </w:tr>
      <w:tr>
        <w:trPr>
          <w:cantSplit/>
          <w:jc w:val="center"/>
        </w:trPr>
        <w:tc>
          <w:tcPr>
            <w:tcW w:w="3206" w:type="dxa"/>
          </w:tcPr>
          <w:p>
            <w:pPr>
              <w:pStyle w:val="yTableNAm"/>
              <w:jc w:val="center"/>
            </w:pPr>
            <w:r>
              <w:t>25</w:t>
            </w:r>
          </w:p>
        </w:tc>
        <w:tc>
          <w:tcPr>
            <w:tcW w:w="3093" w:type="dxa"/>
            <w:vAlign w:val="bottom"/>
          </w:tcPr>
          <w:p>
            <w:pPr>
              <w:pStyle w:val="yTableNAm"/>
              <w:jc w:val="center"/>
            </w:pPr>
            <w:r>
              <w:t>293.90</w:t>
            </w:r>
          </w:p>
        </w:tc>
      </w:tr>
      <w:tr>
        <w:trPr>
          <w:cantSplit/>
          <w:jc w:val="center"/>
        </w:trPr>
        <w:tc>
          <w:tcPr>
            <w:tcW w:w="3206" w:type="dxa"/>
          </w:tcPr>
          <w:p>
            <w:pPr>
              <w:pStyle w:val="yTableNAm"/>
              <w:jc w:val="center"/>
            </w:pPr>
            <w:r>
              <w:t>30</w:t>
            </w:r>
          </w:p>
        </w:tc>
        <w:tc>
          <w:tcPr>
            <w:tcW w:w="3093" w:type="dxa"/>
            <w:vAlign w:val="bottom"/>
          </w:tcPr>
          <w:p>
            <w:pPr>
              <w:pStyle w:val="yTableNAm"/>
              <w:jc w:val="center"/>
            </w:pPr>
            <w:r>
              <w:t>423.20</w:t>
            </w:r>
          </w:p>
        </w:tc>
      </w:tr>
      <w:tr>
        <w:trPr>
          <w:cantSplit/>
          <w:jc w:val="center"/>
        </w:trPr>
        <w:tc>
          <w:tcPr>
            <w:tcW w:w="3206" w:type="dxa"/>
          </w:tcPr>
          <w:p>
            <w:pPr>
              <w:pStyle w:val="yTableNAm"/>
              <w:jc w:val="center"/>
            </w:pPr>
            <w:r>
              <w:t>40</w:t>
            </w:r>
          </w:p>
        </w:tc>
        <w:tc>
          <w:tcPr>
            <w:tcW w:w="3093" w:type="dxa"/>
            <w:vAlign w:val="bottom"/>
          </w:tcPr>
          <w:p>
            <w:pPr>
              <w:pStyle w:val="yTableNAm"/>
              <w:jc w:val="center"/>
            </w:pPr>
            <w:r>
              <w:t>752.40</w:t>
            </w:r>
          </w:p>
        </w:tc>
      </w:tr>
      <w:tr>
        <w:trPr>
          <w:cantSplit/>
          <w:jc w:val="center"/>
        </w:trPr>
        <w:tc>
          <w:tcPr>
            <w:tcW w:w="3206" w:type="dxa"/>
          </w:tcPr>
          <w:p>
            <w:pPr>
              <w:pStyle w:val="yTableNAm"/>
              <w:jc w:val="center"/>
            </w:pPr>
            <w:r>
              <w:t>50</w:t>
            </w:r>
          </w:p>
        </w:tc>
        <w:tc>
          <w:tcPr>
            <w:tcW w:w="3093" w:type="dxa"/>
            <w:vAlign w:val="bottom"/>
          </w:tcPr>
          <w:p>
            <w:pPr>
              <w:pStyle w:val="yTableNAm"/>
              <w:jc w:val="center"/>
            </w:pPr>
            <w:r>
              <w:t>1 175.60</w:t>
            </w:r>
          </w:p>
        </w:tc>
      </w:tr>
      <w:tr>
        <w:trPr>
          <w:cantSplit/>
          <w:jc w:val="center"/>
        </w:trPr>
        <w:tc>
          <w:tcPr>
            <w:tcW w:w="3206" w:type="dxa"/>
          </w:tcPr>
          <w:p>
            <w:pPr>
              <w:pStyle w:val="yTableNAm"/>
              <w:jc w:val="center"/>
            </w:pPr>
            <w:r>
              <w:t>80</w:t>
            </w:r>
          </w:p>
        </w:tc>
        <w:tc>
          <w:tcPr>
            <w:tcW w:w="3093" w:type="dxa"/>
            <w:vAlign w:val="bottom"/>
          </w:tcPr>
          <w:p>
            <w:pPr>
              <w:pStyle w:val="yTableNAm"/>
              <w:jc w:val="center"/>
            </w:pPr>
            <w:r>
              <w:t>3 009.60</w:t>
            </w:r>
          </w:p>
        </w:tc>
      </w:tr>
      <w:tr>
        <w:trPr>
          <w:cantSplit/>
          <w:jc w:val="center"/>
        </w:trPr>
        <w:tc>
          <w:tcPr>
            <w:tcW w:w="3206" w:type="dxa"/>
          </w:tcPr>
          <w:p>
            <w:pPr>
              <w:pStyle w:val="yTableNAm"/>
              <w:jc w:val="center"/>
            </w:pPr>
            <w:r>
              <w:t>100</w:t>
            </w:r>
          </w:p>
        </w:tc>
        <w:tc>
          <w:tcPr>
            <w:tcW w:w="3093" w:type="dxa"/>
            <w:vAlign w:val="bottom"/>
          </w:tcPr>
          <w:p>
            <w:pPr>
              <w:pStyle w:val="yTableNAm"/>
              <w:jc w:val="center"/>
            </w:pPr>
            <w:r>
              <w:t>4 702.50</w:t>
            </w:r>
          </w:p>
        </w:tc>
      </w:tr>
      <w:tr>
        <w:trPr>
          <w:cantSplit/>
          <w:jc w:val="center"/>
        </w:trPr>
        <w:tc>
          <w:tcPr>
            <w:tcW w:w="3206" w:type="dxa"/>
          </w:tcPr>
          <w:p>
            <w:pPr>
              <w:pStyle w:val="yTableNAm"/>
              <w:jc w:val="center"/>
            </w:pPr>
            <w:r>
              <w:t>150</w:t>
            </w:r>
          </w:p>
        </w:tc>
        <w:tc>
          <w:tcPr>
            <w:tcW w:w="3093" w:type="dxa"/>
            <w:vAlign w:val="bottom"/>
          </w:tcPr>
          <w:p>
            <w:pPr>
              <w:pStyle w:val="yTableNAm"/>
              <w:jc w:val="center"/>
            </w:pPr>
            <w:r>
              <w:t>10 580.60</w:t>
            </w:r>
          </w:p>
        </w:tc>
      </w:tr>
      <w:tr>
        <w:trPr>
          <w:cantSplit/>
          <w:jc w:val="center"/>
        </w:trPr>
        <w:tc>
          <w:tcPr>
            <w:tcW w:w="3206" w:type="dxa"/>
          </w:tcPr>
          <w:p>
            <w:pPr>
              <w:pStyle w:val="yTableNAm"/>
              <w:jc w:val="center"/>
            </w:pPr>
            <w:r>
              <w:t>200</w:t>
            </w:r>
          </w:p>
        </w:tc>
        <w:tc>
          <w:tcPr>
            <w:tcW w:w="3093" w:type="dxa"/>
            <w:vAlign w:val="bottom"/>
          </w:tcPr>
          <w:p>
            <w:pPr>
              <w:pStyle w:val="yTableNAm"/>
              <w:jc w:val="center"/>
            </w:pPr>
            <w:r>
              <w:t>18 810.00</w:t>
            </w:r>
          </w:p>
        </w:tc>
      </w:tr>
      <w:tr>
        <w:trPr>
          <w:cantSplit/>
          <w:jc w:val="center"/>
        </w:trPr>
        <w:tc>
          <w:tcPr>
            <w:tcW w:w="3206" w:type="dxa"/>
          </w:tcPr>
          <w:p>
            <w:pPr>
              <w:pStyle w:val="yTableNAm"/>
              <w:jc w:val="center"/>
            </w:pPr>
            <w:r>
              <w:t>250</w:t>
            </w:r>
          </w:p>
        </w:tc>
        <w:tc>
          <w:tcPr>
            <w:tcW w:w="3093" w:type="dxa"/>
            <w:vAlign w:val="bottom"/>
          </w:tcPr>
          <w:p>
            <w:pPr>
              <w:pStyle w:val="yTableNAm"/>
              <w:jc w:val="center"/>
            </w:pPr>
            <w:r>
              <w:t>29 390.60</w:t>
            </w:r>
          </w:p>
        </w:tc>
      </w:tr>
      <w:tr>
        <w:trPr>
          <w:cantSplit/>
          <w:jc w:val="center"/>
        </w:trPr>
        <w:tc>
          <w:tcPr>
            <w:tcW w:w="3206" w:type="dxa"/>
          </w:tcPr>
          <w:p>
            <w:pPr>
              <w:pStyle w:val="yTableNAm"/>
              <w:jc w:val="center"/>
            </w:pPr>
            <w:r>
              <w:t>300</w:t>
            </w:r>
          </w:p>
        </w:tc>
        <w:tc>
          <w:tcPr>
            <w:tcW w:w="3093" w:type="dxa"/>
            <w:vAlign w:val="bottom"/>
          </w:tcPr>
          <w:p>
            <w:pPr>
              <w:pStyle w:val="yTableNAm"/>
              <w:jc w:val="center"/>
            </w:pPr>
            <w:r>
              <w:t>42 322.50</w:t>
            </w:r>
          </w:p>
        </w:tc>
      </w:tr>
      <w:tr>
        <w:trPr>
          <w:cantSplit/>
          <w:jc w:val="center"/>
        </w:trPr>
        <w:tc>
          <w:tcPr>
            <w:tcW w:w="3206" w:type="dxa"/>
            <w:tcBorders>
              <w:bottom w:val="single" w:sz="4" w:space="0" w:color="auto"/>
            </w:tcBorders>
          </w:tcPr>
          <w:p>
            <w:pPr>
              <w:pStyle w:val="yTableNAm"/>
              <w:jc w:val="center"/>
            </w:pPr>
            <w:r>
              <w:t>350</w:t>
            </w:r>
          </w:p>
        </w:tc>
        <w:tc>
          <w:tcPr>
            <w:tcW w:w="3093" w:type="dxa"/>
            <w:tcBorders>
              <w:bottom w:val="single" w:sz="4" w:space="0" w:color="auto"/>
            </w:tcBorders>
            <w:vAlign w:val="bottom"/>
          </w:tcPr>
          <w:p>
            <w:pPr>
              <w:pStyle w:val="yTableNAm"/>
              <w:jc w:val="center"/>
            </w:pPr>
            <w:r>
              <w:t>57 605.60</w:t>
            </w:r>
          </w:p>
        </w:tc>
      </w:tr>
    </w:tbl>
    <w:p>
      <w:pPr>
        <w:pStyle w:val="yMiscellaneousBody"/>
      </w:pPr>
    </w:p>
    <w:tbl>
      <w:tblPr>
        <w:tblW w:w="0" w:type="auto"/>
        <w:tblInd w:w="534" w:type="dxa"/>
        <w:tblLayout w:type="fixed"/>
        <w:tblLook w:val="0000" w:firstRow="0" w:lastRow="0" w:firstColumn="0" w:lastColumn="0" w:noHBand="0" w:noVBand="0"/>
      </w:tblPr>
      <w:tblGrid>
        <w:gridCol w:w="850"/>
        <w:gridCol w:w="4235"/>
        <w:gridCol w:w="1153"/>
      </w:tblGrid>
      <w:tr>
        <w:trPr>
          <w:cantSplit/>
        </w:trPr>
        <w:tc>
          <w:tcPr>
            <w:tcW w:w="850" w:type="dxa"/>
          </w:tcPr>
          <w:p>
            <w:pPr>
              <w:pStyle w:val="yTableNAm"/>
            </w:pPr>
            <w:r>
              <w:rPr>
                <w:b/>
                <w:bCs/>
              </w:rPr>
              <w:t>18.</w:t>
            </w:r>
          </w:p>
        </w:tc>
        <w:tc>
          <w:tcPr>
            <w:tcW w:w="4235" w:type="dxa"/>
          </w:tcPr>
          <w:p>
            <w:pPr>
              <w:pStyle w:val="yTableNAm"/>
              <w:tabs>
                <w:tab w:val="left" w:leader="dot" w:pos="4876"/>
              </w:tabs>
            </w:pPr>
            <w:r>
              <w:rPr>
                <w:b/>
                <w:bCs/>
              </w:rPr>
              <w:t>Vacant land</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right" w:leader="dot" w:pos="4019"/>
              </w:tabs>
            </w:pPr>
            <w:r>
              <w:t xml:space="preserve">In respect of land classified as vacant land </w:t>
            </w:r>
            <w:r>
              <w:tab/>
            </w:r>
          </w:p>
        </w:tc>
        <w:tc>
          <w:tcPr>
            <w:tcW w:w="1153" w:type="dxa"/>
            <w:vAlign w:val="bottom"/>
          </w:tcPr>
          <w:p>
            <w:pPr>
              <w:pStyle w:val="yTableNAm"/>
            </w:pPr>
            <w:r>
              <w:t>$188.10</w:t>
            </w:r>
          </w:p>
        </w:tc>
      </w:tr>
      <w:tr>
        <w:trPr>
          <w:cantSplit/>
        </w:trPr>
        <w:tc>
          <w:tcPr>
            <w:tcW w:w="850" w:type="dxa"/>
          </w:tcPr>
          <w:p>
            <w:pPr>
              <w:pStyle w:val="yTableNAm"/>
            </w:pPr>
            <w:r>
              <w:rPr>
                <w:b/>
                <w:bCs/>
              </w:rPr>
              <w:t>19.</w:t>
            </w:r>
          </w:p>
        </w:tc>
        <w:tc>
          <w:tcPr>
            <w:tcW w:w="4235" w:type="dxa"/>
          </w:tcPr>
          <w:p>
            <w:pPr>
              <w:pStyle w:val="yTableNAm"/>
              <w:tabs>
                <w:tab w:val="left" w:leader="dot" w:pos="4876"/>
              </w:tabs>
            </w:pPr>
            <w:r>
              <w:rPr>
                <w:b/>
                <w:bCs/>
              </w:rPr>
              <w:t>Garden supply for metropolitan vacant land</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left" w:leader="dot" w:pos="4876"/>
              </w:tabs>
            </w:pPr>
            <w:r>
              <w:t xml:space="preserve">In respect of land in the metropolitan area that is classified as vacant land and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law 1.1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96"/>
                <w:tab w:val="left" w:pos="776"/>
                <w:tab w:val="left" w:leader="dot" w:pos="4876"/>
              </w:tabs>
              <w:ind w:left="776" w:hanging="776"/>
            </w:pPr>
            <w:r>
              <w:tab/>
              <w:t>(a)</w:t>
            </w:r>
            <w:r>
              <w:tab/>
              <w:t>if the area of land is less than 400 m</w:t>
            </w:r>
            <w:r>
              <w:rPr>
                <w:vertAlign w:val="superscript"/>
              </w:rPr>
              <w:t>2</w:t>
            </w:r>
            <w:r>
              <w:t xml:space="preserve">, in addition to any other charge applicable to the land under this Schedule, a charge of —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w:t>
            </w:r>
            <w:r>
              <w:tab/>
              <w:t xml:space="preserve">in the suburb of Butler </w:t>
            </w:r>
            <w:r>
              <w:tab/>
            </w:r>
          </w:p>
        </w:tc>
        <w:tc>
          <w:tcPr>
            <w:tcW w:w="1153" w:type="dxa"/>
            <w:vAlign w:val="bottom"/>
          </w:tcPr>
          <w:p>
            <w:pPr>
              <w:pStyle w:val="yTableNAm"/>
            </w:pPr>
            <w:r>
              <w:t>$74.00</w:t>
            </w: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(ii)</w:t>
            </w:r>
            <w:r>
              <w:tab/>
              <w:t xml:space="preserve">in the suburb of Baldivis </w:t>
            </w:r>
            <w:r>
              <w:tab/>
            </w:r>
          </w:p>
        </w:tc>
        <w:tc>
          <w:tcPr>
            <w:tcW w:w="1153" w:type="dxa"/>
            <w:vAlign w:val="bottom"/>
          </w:tcPr>
          <w:p>
            <w:pPr>
              <w:pStyle w:val="yTableNAm"/>
            </w:pPr>
            <w:r>
              <w:t>$119.30</w:t>
            </w:r>
          </w:p>
        </w:tc>
      </w:tr>
      <w:tr>
        <w:trPr>
          <w:cantSplit/>
        </w:trPr>
        <w:tc>
          <w:tcPr>
            <w:tcW w:w="850" w:type="dxa"/>
          </w:tcPr>
          <w:p>
            <w:pPr>
              <w:pStyle w:val="zyTableNAm"/>
            </w:pPr>
          </w:p>
        </w:tc>
        <w:tc>
          <w:tcPr>
            <w:tcW w:w="4235" w:type="dxa"/>
          </w:tcPr>
          <w:p>
            <w:pPr>
              <w:pStyle w:val="yTableNAm"/>
              <w:tabs>
                <w:tab w:val="clear" w:pos="567"/>
                <w:tab w:val="left" w:pos="296"/>
                <w:tab w:val="left" w:pos="776"/>
                <w:tab w:val="left" w:leader="dot" w:pos="4876"/>
              </w:tabs>
              <w:ind w:left="776" w:hanging="776"/>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w:t>
            </w:r>
            <w:r>
              <w:tab/>
              <w:t xml:space="preserve">in the suburb of Butler </w:t>
            </w:r>
            <w:r>
              <w:tab/>
            </w:r>
          </w:p>
        </w:tc>
        <w:tc>
          <w:tcPr>
            <w:tcW w:w="1153" w:type="dxa"/>
            <w:vAlign w:val="bottom"/>
          </w:tcPr>
          <w:p>
            <w:pPr>
              <w:pStyle w:val="yTableNAm"/>
            </w:pPr>
            <w:r>
              <w:t>$148.00</w:t>
            </w:r>
          </w:p>
        </w:tc>
      </w:tr>
      <w:tr>
        <w:trPr>
          <w:cantSplit/>
        </w:trPr>
        <w:tc>
          <w:tcPr>
            <w:tcW w:w="850" w:type="dxa"/>
          </w:tcPr>
          <w:p>
            <w:pPr>
              <w:pStyle w:val="zyTableNAm"/>
            </w:pPr>
          </w:p>
        </w:tc>
        <w:tc>
          <w:tcPr>
            <w:tcW w:w="4235" w:type="dxa"/>
          </w:tcPr>
          <w:p>
            <w:pPr>
              <w:pStyle w:val="yTableNAm"/>
              <w:tabs>
                <w:tab w:val="clear" w:pos="567"/>
                <w:tab w:val="left" w:pos="814"/>
                <w:tab w:val="left" w:pos="1323"/>
                <w:tab w:val="right" w:leader="dot" w:pos="4020"/>
              </w:tabs>
              <w:ind w:left="1318" w:hanging="1318"/>
            </w:pPr>
            <w:r>
              <w:tab/>
              <w:t>(ii)</w:t>
            </w:r>
            <w:r>
              <w:tab/>
              <w:t xml:space="preserve">in the suburb of Baldivis </w:t>
            </w:r>
            <w:r>
              <w:tab/>
            </w:r>
          </w:p>
        </w:tc>
        <w:tc>
          <w:tcPr>
            <w:tcW w:w="1153" w:type="dxa"/>
            <w:vAlign w:val="bottom"/>
          </w:tcPr>
          <w:p>
            <w:pPr>
              <w:pStyle w:val="yTableNAm"/>
            </w:pPr>
            <w:r>
              <w:t>$238.60</w:t>
            </w:r>
          </w:p>
        </w:tc>
      </w:tr>
    </w:tbl>
    <w:p>
      <w:pPr>
        <w:pStyle w:val="yFootnotesection"/>
      </w:pPr>
      <w:r>
        <w:tab/>
        <w:t>[Division 1 inserted in Gazette 20 Jun 2012 p. 2700</w:t>
      </w:r>
      <w:r>
        <w:noBreakHyphen/>
        <w:t>8.]</w:t>
      </w:r>
    </w:p>
    <w:p>
      <w:pPr>
        <w:pStyle w:val="yHeading3"/>
      </w:pPr>
      <w:bookmarkStart w:id="659" w:name="_Toc84427985"/>
      <w:bookmarkStart w:id="660" w:name="_Toc328403430"/>
      <w:bookmarkStart w:id="661" w:name="_Toc328471479"/>
      <w:r>
        <w:rPr>
          <w:rStyle w:val="CharSDivNo"/>
        </w:rPr>
        <w:t>Division 2</w:t>
      </w:r>
      <w:r>
        <w:rPr>
          <w:b w:val="0"/>
        </w:rPr>
        <w:t> — </w:t>
      </w:r>
      <w:r>
        <w:rPr>
          <w:rStyle w:val="CharSDivText"/>
        </w:rPr>
        <w:t>Quantity charges</w:t>
      </w:r>
      <w:bookmarkEnd w:id="659"/>
      <w:bookmarkEnd w:id="660"/>
      <w:bookmarkEnd w:id="661"/>
    </w:p>
    <w:p>
      <w:pPr>
        <w:pStyle w:val="yFootnoteheading"/>
        <w:spacing w:after="60"/>
      </w:pPr>
      <w:r>
        <w:tab/>
        <w:t>[Heading inserted in Gazette 20 Jun 2012 p. 2708.]</w:t>
      </w: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yTableNAm"/>
            </w:pPr>
            <w:r>
              <w:rPr>
                <w:b/>
                <w:bCs/>
              </w:rPr>
              <w:t>20.</w:t>
            </w:r>
          </w:p>
        </w:tc>
        <w:tc>
          <w:tcPr>
            <w:tcW w:w="4237" w:type="dxa"/>
          </w:tcPr>
          <w:p>
            <w:pPr>
              <w:pStyle w:val="yTableNAm"/>
              <w:tabs>
                <w:tab w:val="left" w:leader="dot" w:pos="4876"/>
              </w:tabs>
            </w:pPr>
            <w:r>
              <w:rPr>
                <w:b/>
                <w:bCs/>
              </w:rPr>
              <w:t>Metropolitan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left" w:leader="dot" w:pos="4876"/>
              </w:tabs>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up to 150 kL </w:t>
            </w:r>
            <w:r>
              <w:tab/>
            </w:r>
          </w:p>
        </w:tc>
        <w:tc>
          <w:tcPr>
            <w:tcW w:w="1292" w:type="dxa"/>
            <w:vAlign w:val="bottom"/>
          </w:tcPr>
          <w:p>
            <w:pPr>
              <w:pStyle w:val="yTableNAm"/>
            </w:pPr>
            <w:r>
              <w:rPr>
                <w:szCs w:val="22"/>
              </w:rPr>
              <w:t>133.6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150 but not over 350 kL </w:t>
            </w:r>
            <w:r>
              <w:tab/>
            </w:r>
          </w:p>
        </w:tc>
        <w:tc>
          <w:tcPr>
            <w:tcW w:w="1292" w:type="dxa"/>
            <w:vAlign w:val="bottom"/>
          </w:tcPr>
          <w:p>
            <w:pPr>
              <w:pStyle w:val="yTableNAm"/>
            </w:pPr>
            <w:r>
              <w:rPr>
                <w:szCs w:val="22"/>
              </w:rPr>
              <w:t>174.7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350 but not over 500 kL </w:t>
            </w:r>
            <w:r>
              <w:tab/>
            </w:r>
          </w:p>
        </w:tc>
        <w:tc>
          <w:tcPr>
            <w:tcW w:w="1292" w:type="dxa"/>
            <w:vAlign w:val="bottom"/>
          </w:tcPr>
          <w:p>
            <w:pPr>
              <w:pStyle w:val="yTableNAm"/>
            </w:pPr>
            <w:r>
              <w:rPr>
                <w:szCs w:val="22"/>
              </w:rPr>
              <w:t>174.7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500 but not over 550 kL </w:t>
            </w:r>
            <w:r>
              <w:tab/>
            </w:r>
          </w:p>
        </w:tc>
        <w:tc>
          <w:tcPr>
            <w:tcW w:w="1292" w:type="dxa"/>
            <w:vAlign w:val="bottom"/>
          </w:tcPr>
          <w:p>
            <w:pPr>
              <w:pStyle w:val="yTableNAm"/>
            </w:pPr>
            <w:r>
              <w:rPr>
                <w:szCs w:val="22"/>
              </w:rPr>
              <w:t>239.8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550 but not over 950 kL </w:t>
            </w:r>
            <w:r>
              <w:tab/>
            </w:r>
          </w:p>
        </w:tc>
        <w:tc>
          <w:tcPr>
            <w:tcW w:w="1292" w:type="dxa"/>
            <w:vAlign w:val="bottom"/>
          </w:tcPr>
          <w:p>
            <w:pPr>
              <w:pStyle w:val="yTableNAm"/>
            </w:pPr>
            <w:r>
              <w:rPr>
                <w:szCs w:val="22"/>
              </w:rPr>
              <w:t>239.8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950 kL </w:t>
            </w:r>
            <w:r>
              <w:tab/>
            </w:r>
          </w:p>
        </w:tc>
        <w:tc>
          <w:tcPr>
            <w:tcW w:w="1292" w:type="dxa"/>
            <w:vAlign w:val="bottom"/>
          </w:tcPr>
          <w:p>
            <w:pPr>
              <w:pStyle w:val="yTableNAm"/>
            </w:pPr>
            <w:r>
              <w:rPr>
                <w:szCs w:val="22"/>
              </w:rPr>
              <w:t>239.8 cents</w:t>
            </w:r>
          </w:p>
        </w:tc>
      </w:tr>
      <w:tr>
        <w:trPr>
          <w:cantSplit/>
        </w:trPr>
        <w:tc>
          <w:tcPr>
            <w:tcW w:w="850" w:type="dxa"/>
          </w:tcPr>
          <w:p>
            <w:pPr>
              <w:pStyle w:val="yTableNAm"/>
            </w:pPr>
            <w:r>
              <w:rPr>
                <w:b/>
                <w:bCs/>
              </w:rPr>
              <w:t>21.</w:t>
            </w:r>
          </w:p>
        </w:tc>
        <w:tc>
          <w:tcPr>
            <w:tcW w:w="4237" w:type="dxa"/>
          </w:tcPr>
          <w:p>
            <w:pPr>
              <w:pStyle w:val="yTableNAm"/>
              <w:tabs>
                <w:tab w:val="left" w:leader="dot" w:pos="4876"/>
              </w:tabs>
            </w:pPr>
            <w:r>
              <w:rPr>
                <w:b/>
                <w:bCs/>
              </w:rPr>
              <w:t>Metropolitan semi</w:t>
            </w:r>
            <w:r>
              <w:rPr>
                <w:b/>
                <w:bCs/>
              </w:rPr>
              <w:noBreakHyphen/>
              <w:t>rural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left" w:leader="dot" w:pos="4876"/>
              </w:tabs>
            </w:pPr>
            <w:r>
              <w:t>For each kilolitre of water supplied to a semi</w:t>
            </w:r>
            <w:r>
              <w:noBreakHyphen/>
              <w:t>rural residential property, not being water for which a charge is otherwise specifically provided in this Division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up to 150 kL </w:t>
            </w:r>
            <w:r>
              <w:tab/>
            </w:r>
          </w:p>
        </w:tc>
        <w:tc>
          <w:tcPr>
            <w:tcW w:w="1292" w:type="dxa"/>
            <w:vAlign w:val="bottom"/>
          </w:tcPr>
          <w:p>
            <w:pPr>
              <w:pStyle w:val="yTableNAm"/>
            </w:pPr>
            <w:r>
              <w:rPr>
                <w:szCs w:val="22"/>
              </w:rPr>
              <w:t>133.6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150 but not over 350 kL </w:t>
            </w:r>
            <w:r>
              <w:tab/>
            </w:r>
          </w:p>
        </w:tc>
        <w:tc>
          <w:tcPr>
            <w:tcW w:w="1292" w:type="dxa"/>
            <w:vAlign w:val="bottom"/>
          </w:tcPr>
          <w:p>
            <w:pPr>
              <w:pStyle w:val="yTableNAm"/>
            </w:pPr>
            <w:r>
              <w:rPr>
                <w:szCs w:val="22"/>
              </w:rPr>
              <w:t>174.7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350 but not over 500 kL </w:t>
            </w:r>
            <w:r>
              <w:tab/>
            </w:r>
          </w:p>
        </w:tc>
        <w:tc>
          <w:tcPr>
            <w:tcW w:w="1292" w:type="dxa"/>
            <w:vAlign w:val="bottom"/>
          </w:tcPr>
          <w:p>
            <w:pPr>
              <w:pStyle w:val="yTableNAm"/>
            </w:pPr>
            <w:r>
              <w:rPr>
                <w:szCs w:val="22"/>
              </w:rPr>
              <w:t>174.7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500 but not over 550 kL </w:t>
            </w:r>
            <w:r>
              <w:tab/>
            </w:r>
          </w:p>
        </w:tc>
        <w:tc>
          <w:tcPr>
            <w:tcW w:w="1292" w:type="dxa"/>
            <w:vAlign w:val="bottom"/>
          </w:tcPr>
          <w:p>
            <w:pPr>
              <w:pStyle w:val="yTableNAm"/>
            </w:pPr>
            <w:r>
              <w:rPr>
                <w:szCs w:val="22"/>
              </w:rPr>
              <w:t>239.8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550 but not over 950 kL </w:t>
            </w:r>
            <w:r>
              <w:tab/>
            </w:r>
          </w:p>
        </w:tc>
        <w:tc>
          <w:tcPr>
            <w:tcW w:w="1292" w:type="dxa"/>
            <w:vAlign w:val="bottom"/>
          </w:tcPr>
          <w:p>
            <w:pPr>
              <w:pStyle w:val="yTableNAm"/>
            </w:pPr>
            <w:r>
              <w:rPr>
                <w:szCs w:val="22"/>
              </w:rPr>
              <w:t>239.8 cents</w:t>
            </w:r>
          </w:p>
        </w:tc>
      </w:tr>
      <w:tr>
        <w:trPr>
          <w:cantSplit/>
        </w:trPr>
        <w:tc>
          <w:tcPr>
            <w:tcW w:w="850" w:type="dxa"/>
          </w:tcPr>
          <w:p>
            <w:pPr>
              <w:pStyle w:val="zyTableNAm"/>
            </w:pPr>
          </w:p>
        </w:tc>
        <w:tc>
          <w:tcPr>
            <w:tcW w:w="4237" w:type="dxa"/>
          </w:tcPr>
          <w:p>
            <w:pPr>
              <w:pStyle w:val="yTableNAm"/>
              <w:tabs>
                <w:tab w:val="clear" w:pos="567"/>
                <w:tab w:val="left" w:pos="296"/>
                <w:tab w:val="right" w:leader="dot" w:pos="4003"/>
              </w:tabs>
            </w:pPr>
            <w:r>
              <w:tab/>
              <w:t xml:space="preserve">over 950 kL </w:t>
            </w:r>
            <w:r>
              <w:tab/>
            </w:r>
          </w:p>
        </w:tc>
        <w:tc>
          <w:tcPr>
            <w:tcW w:w="1292" w:type="dxa"/>
            <w:vAlign w:val="bottom"/>
          </w:tcPr>
          <w:p>
            <w:pPr>
              <w:pStyle w:val="yTableNAm"/>
            </w:pPr>
            <w:r>
              <w:rPr>
                <w:szCs w:val="22"/>
              </w:rPr>
              <w:t>239.8 cents</w:t>
            </w:r>
          </w:p>
        </w:tc>
      </w:tr>
      <w:tr>
        <w:trPr>
          <w:cantSplit/>
        </w:trPr>
        <w:tc>
          <w:tcPr>
            <w:tcW w:w="850" w:type="dxa"/>
          </w:tcPr>
          <w:p>
            <w:pPr>
              <w:pStyle w:val="yTableNAm"/>
              <w:keepNext/>
            </w:pPr>
            <w:r>
              <w:rPr>
                <w:b/>
                <w:bCs/>
              </w:rPr>
              <w:t>22.</w:t>
            </w:r>
          </w:p>
        </w:tc>
        <w:tc>
          <w:tcPr>
            <w:tcW w:w="4237" w:type="dxa"/>
          </w:tcPr>
          <w:p>
            <w:pPr>
              <w:pStyle w:val="yTableNAm"/>
              <w:keepNext/>
              <w:tabs>
                <w:tab w:val="left" w:leader="dot" w:pos="4876"/>
              </w:tabs>
            </w:pPr>
            <w:r>
              <w:rPr>
                <w:b/>
                <w:bCs/>
              </w:rPr>
              <w:t>Non</w:t>
            </w:r>
            <w:r>
              <w:rPr>
                <w:b/>
                <w:bCs/>
              </w:rPr>
              <w:noBreakHyphen/>
              <w:t>metropolitan residential</w:t>
            </w:r>
          </w:p>
        </w:tc>
        <w:tc>
          <w:tcPr>
            <w:tcW w:w="1292" w:type="dxa"/>
            <w:vAlign w:val="bottom"/>
          </w:tcPr>
          <w:p>
            <w:pPr>
              <w:pStyle w:val="yTableNAm"/>
              <w:keepNext/>
            </w:pPr>
          </w:p>
        </w:tc>
      </w:tr>
      <w:tr>
        <w:trPr>
          <w:cantSplit/>
        </w:trPr>
        <w:tc>
          <w:tcPr>
            <w:tcW w:w="850" w:type="dxa"/>
          </w:tcPr>
          <w:p>
            <w:pPr>
              <w:pStyle w:val="zyTableNAm"/>
              <w:keepNext/>
              <w:keepLines/>
            </w:pPr>
          </w:p>
        </w:tc>
        <w:tc>
          <w:tcPr>
            <w:tcW w:w="4237" w:type="dxa"/>
          </w:tcPr>
          <w:p>
            <w:pPr>
              <w:pStyle w:val="yTableNAm"/>
              <w:tabs>
                <w:tab w:val="left" w:leader="dot" w:pos="4876"/>
              </w:tabs>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292" w:type="dxa"/>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850"/>
        <w:gridCol w:w="567"/>
        <w:gridCol w:w="992"/>
        <w:gridCol w:w="992"/>
        <w:gridCol w:w="992"/>
        <w:gridCol w:w="694"/>
        <w:gridCol w:w="298"/>
        <w:gridCol w:w="994"/>
        <w:gridCol w:w="80"/>
      </w:tblGrid>
      <w:tr>
        <w:trPr>
          <w:cantSplit/>
          <w:tblHeader/>
        </w:trPr>
        <w:tc>
          <w:tcPr>
            <w:tcW w:w="1417" w:type="dxa"/>
            <w:gridSpan w:val="2"/>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jc w:val="center"/>
            </w:pPr>
            <w:r>
              <w:rPr>
                <w:b/>
                <w:bCs/>
              </w:rPr>
              <w:t>Class 1 (c/kL)</w:t>
            </w:r>
          </w:p>
        </w:tc>
        <w:tc>
          <w:tcPr>
            <w:tcW w:w="992" w:type="dxa"/>
            <w:tcBorders>
              <w:top w:val="single" w:sz="4" w:space="0" w:color="auto"/>
              <w:bottom w:val="single" w:sz="4" w:space="0" w:color="auto"/>
            </w:tcBorders>
          </w:tcPr>
          <w:p>
            <w:pPr>
              <w:pStyle w:val="yTableNAm"/>
              <w:jc w:val="center"/>
            </w:pPr>
            <w:r>
              <w:rPr>
                <w:b/>
                <w:bCs/>
              </w:rPr>
              <w:t>Class 2 (c/kL)</w:t>
            </w:r>
          </w:p>
        </w:tc>
        <w:tc>
          <w:tcPr>
            <w:tcW w:w="992" w:type="dxa"/>
            <w:tcBorders>
              <w:top w:val="single" w:sz="4" w:space="0" w:color="auto"/>
              <w:bottom w:val="single" w:sz="4" w:space="0" w:color="auto"/>
            </w:tcBorders>
          </w:tcPr>
          <w:p>
            <w:pPr>
              <w:pStyle w:val="yTableNAm"/>
              <w:jc w:val="center"/>
            </w:pPr>
            <w:r>
              <w:rPr>
                <w:b/>
                <w:bCs/>
              </w:rPr>
              <w:t>Class 3 (c/kL)</w:t>
            </w:r>
          </w:p>
        </w:tc>
        <w:tc>
          <w:tcPr>
            <w:tcW w:w="992" w:type="dxa"/>
            <w:gridSpan w:val="2"/>
            <w:tcBorders>
              <w:top w:val="single" w:sz="4" w:space="0" w:color="auto"/>
              <w:bottom w:val="single" w:sz="4" w:space="0" w:color="auto"/>
            </w:tcBorders>
          </w:tcPr>
          <w:p>
            <w:pPr>
              <w:pStyle w:val="yTableNAm"/>
              <w:jc w:val="center"/>
            </w:pPr>
            <w:r>
              <w:rPr>
                <w:b/>
                <w:bCs/>
              </w:rPr>
              <w:t>Class 4 (c/kL)</w:t>
            </w:r>
          </w:p>
        </w:tc>
        <w:tc>
          <w:tcPr>
            <w:tcW w:w="1074" w:type="dxa"/>
            <w:gridSpan w:val="2"/>
            <w:tcBorders>
              <w:top w:val="single" w:sz="4" w:space="0" w:color="auto"/>
              <w:bottom w:val="single" w:sz="4" w:space="0" w:color="auto"/>
            </w:tcBorders>
          </w:tcPr>
          <w:p>
            <w:pPr>
              <w:pStyle w:val="yTableNAm"/>
              <w:jc w:val="center"/>
            </w:pPr>
            <w:r>
              <w:rPr>
                <w:b/>
                <w:bCs/>
              </w:rPr>
              <w:t>Class 5 (c/kL)</w:t>
            </w:r>
          </w:p>
        </w:tc>
      </w:tr>
      <w:tr>
        <w:trPr>
          <w:cantSplit/>
        </w:trPr>
        <w:tc>
          <w:tcPr>
            <w:tcW w:w="1417" w:type="dxa"/>
            <w:gridSpan w:val="2"/>
          </w:tcPr>
          <w:p>
            <w:pPr>
              <w:pStyle w:val="yTableNAm"/>
            </w:pPr>
            <w:r>
              <w:t>Up to 150</w:t>
            </w:r>
          </w:p>
        </w:tc>
        <w:tc>
          <w:tcPr>
            <w:tcW w:w="992" w:type="dxa"/>
            <w:vAlign w:val="bottom"/>
          </w:tcPr>
          <w:p>
            <w:pPr>
              <w:pStyle w:val="yTableNAm"/>
              <w:jc w:val="center"/>
            </w:pPr>
            <w:r>
              <w:rPr>
                <w:szCs w:val="22"/>
              </w:rPr>
              <w:t>104.0</w:t>
            </w:r>
          </w:p>
        </w:tc>
        <w:tc>
          <w:tcPr>
            <w:tcW w:w="992" w:type="dxa"/>
            <w:vAlign w:val="bottom"/>
          </w:tcPr>
          <w:p>
            <w:pPr>
              <w:pStyle w:val="yTableNAm"/>
              <w:jc w:val="center"/>
            </w:pPr>
            <w:r>
              <w:rPr>
                <w:szCs w:val="22"/>
              </w:rPr>
              <w:t>133.6</w:t>
            </w:r>
          </w:p>
        </w:tc>
        <w:tc>
          <w:tcPr>
            <w:tcW w:w="992" w:type="dxa"/>
            <w:vAlign w:val="bottom"/>
          </w:tcPr>
          <w:p>
            <w:pPr>
              <w:pStyle w:val="yTableNAm"/>
              <w:jc w:val="center"/>
            </w:pPr>
            <w:r>
              <w:rPr>
                <w:szCs w:val="22"/>
              </w:rPr>
              <w:t>133.6</w:t>
            </w:r>
          </w:p>
        </w:tc>
        <w:tc>
          <w:tcPr>
            <w:tcW w:w="992" w:type="dxa"/>
            <w:gridSpan w:val="2"/>
            <w:vAlign w:val="bottom"/>
          </w:tcPr>
          <w:p>
            <w:pPr>
              <w:pStyle w:val="yTableNAm"/>
              <w:jc w:val="center"/>
            </w:pPr>
            <w:r>
              <w:rPr>
                <w:szCs w:val="22"/>
              </w:rPr>
              <w:t>133.6</w:t>
            </w:r>
          </w:p>
        </w:tc>
        <w:tc>
          <w:tcPr>
            <w:tcW w:w="1074" w:type="dxa"/>
            <w:gridSpan w:val="2"/>
            <w:vAlign w:val="bottom"/>
          </w:tcPr>
          <w:p>
            <w:pPr>
              <w:pStyle w:val="yTableNAm"/>
              <w:jc w:val="center"/>
            </w:pPr>
            <w:r>
              <w:rPr>
                <w:szCs w:val="22"/>
              </w:rPr>
              <w:t>133.6</w:t>
            </w:r>
          </w:p>
        </w:tc>
      </w:tr>
      <w:tr>
        <w:trPr>
          <w:cantSplit/>
        </w:trPr>
        <w:tc>
          <w:tcPr>
            <w:tcW w:w="1417" w:type="dxa"/>
            <w:gridSpan w:val="2"/>
          </w:tcPr>
          <w:p>
            <w:pPr>
              <w:pStyle w:val="yTableNAm"/>
            </w:pPr>
            <w:r>
              <w:t>Over 150 but not over 300</w:t>
            </w:r>
          </w:p>
        </w:tc>
        <w:tc>
          <w:tcPr>
            <w:tcW w:w="992" w:type="dxa"/>
            <w:vAlign w:val="bottom"/>
          </w:tcPr>
          <w:p>
            <w:pPr>
              <w:pStyle w:val="yTableNAm"/>
              <w:jc w:val="center"/>
            </w:pPr>
            <w:r>
              <w:rPr>
                <w:szCs w:val="22"/>
              </w:rPr>
              <w:t>135.5</w:t>
            </w:r>
          </w:p>
        </w:tc>
        <w:tc>
          <w:tcPr>
            <w:tcW w:w="992" w:type="dxa"/>
            <w:vAlign w:val="bottom"/>
          </w:tcPr>
          <w:p>
            <w:pPr>
              <w:pStyle w:val="yTableNAm"/>
              <w:jc w:val="center"/>
            </w:pPr>
            <w:r>
              <w:rPr>
                <w:szCs w:val="22"/>
              </w:rPr>
              <w:t>174.7</w:t>
            </w:r>
          </w:p>
        </w:tc>
        <w:tc>
          <w:tcPr>
            <w:tcW w:w="992" w:type="dxa"/>
            <w:vAlign w:val="bottom"/>
          </w:tcPr>
          <w:p>
            <w:pPr>
              <w:pStyle w:val="yTableNAm"/>
              <w:jc w:val="center"/>
            </w:pPr>
            <w:r>
              <w:rPr>
                <w:szCs w:val="22"/>
              </w:rPr>
              <w:t>174.7</w:t>
            </w:r>
          </w:p>
        </w:tc>
        <w:tc>
          <w:tcPr>
            <w:tcW w:w="992" w:type="dxa"/>
            <w:gridSpan w:val="2"/>
            <w:vAlign w:val="bottom"/>
          </w:tcPr>
          <w:p>
            <w:pPr>
              <w:pStyle w:val="yTableNAm"/>
              <w:jc w:val="center"/>
            </w:pPr>
            <w:r>
              <w:rPr>
                <w:szCs w:val="22"/>
              </w:rPr>
              <w:t>174.7</w:t>
            </w:r>
          </w:p>
        </w:tc>
        <w:tc>
          <w:tcPr>
            <w:tcW w:w="1074" w:type="dxa"/>
            <w:gridSpan w:val="2"/>
            <w:vAlign w:val="bottom"/>
          </w:tcPr>
          <w:p>
            <w:pPr>
              <w:pStyle w:val="yTableNAm"/>
              <w:jc w:val="center"/>
            </w:pPr>
            <w:r>
              <w:rPr>
                <w:szCs w:val="22"/>
              </w:rPr>
              <w:t>174.7</w:t>
            </w:r>
          </w:p>
        </w:tc>
      </w:tr>
      <w:tr>
        <w:trPr>
          <w:cantSplit/>
        </w:trPr>
        <w:tc>
          <w:tcPr>
            <w:tcW w:w="1417" w:type="dxa"/>
            <w:gridSpan w:val="2"/>
          </w:tcPr>
          <w:p>
            <w:pPr>
              <w:pStyle w:val="yTableNAm"/>
            </w:pPr>
            <w:r>
              <w:t>Over 300 but not over 350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gridSpan w:val="2"/>
            <w:vAlign w:val="bottom"/>
          </w:tcPr>
          <w:p>
            <w:pPr>
              <w:pStyle w:val="yTableNAm"/>
              <w:jc w:val="center"/>
            </w:pPr>
            <w:r>
              <w:rPr>
                <w:szCs w:val="22"/>
              </w:rPr>
              <w:t>306.1</w:t>
            </w:r>
          </w:p>
        </w:tc>
        <w:tc>
          <w:tcPr>
            <w:tcW w:w="1074" w:type="dxa"/>
            <w:gridSpan w:val="2"/>
            <w:vAlign w:val="bottom"/>
          </w:tcPr>
          <w:p>
            <w:pPr>
              <w:pStyle w:val="yTableNAm"/>
              <w:jc w:val="center"/>
            </w:pPr>
            <w:r>
              <w:rPr>
                <w:szCs w:val="22"/>
              </w:rPr>
              <w:t>360.0</w:t>
            </w:r>
          </w:p>
        </w:tc>
      </w:tr>
      <w:tr>
        <w:trPr>
          <w:cantSplit/>
        </w:trPr>
        <w:tc>
          <w:tcPr>
            <w:tcW w:w="1417" w:type="dxa"/>
            <w:gridSpan w:val="2"/>
          </w:tcPr>
          <w:p>
            <w:pPr>
              <w:pStyle w:val="yTableNAm"/>
            </w:pPr>
            <w:r>
              <w:t>Over 350 but not over 450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gridSpan w:val="2"/>
            <w:vAlign w:val="bottom"/>
          </w:tcPr>
          <w:p>
            <w:pPr>
              <w:pStyle w:val="yTableNAm"/>
              <w:jc w:val="center"/>
            </w:pPr>
            <w:r>
              <w:rPr>
                <w:szCs w:val="22"/>
              </w:rPr>
              <w:t>306.1</w:t>
            </w:r>
          </w:p>
        </w:tc>
        <w:tc>
          <w:tcPr>
            <w:tcW w:w="1074" w:type="dxa"/>
            <w:gridSpan w:val="2"/>
            <w:vAlign w:val="bottom"/>
          </w:tcPr>
          <w:p>
            <w:pPr>
              <w:pStyle w:val="yTableNAm"/>
              <w:jc w:val="center"/>
            </w:pPr>
            <w:r>
              <w:rPr>
                <w:szCs w:val="22"/>
              </w:rPr>
              <w:t>360.0</w:t>
            </w:r>
          </w:p>
        </w:tc>
      </w:tr>
      <w:tr>
        <w:trPr>
          <w:cantSplit/>
        </w:trPr>
        <w:tc>
          <w:tcPr>
            <w:tcW w:w="1417" w:type="dxa"/>
            <w:gridSpan w:val="2"/>
          </w:tcPr>
          <w:p>
            <w:pPr>
              <w:pStyle w:val="yTableNAm"/>
            </w:pPr>
            <w:r>
              <w:t>Over 450 but not over 550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gridSpan w:val="2"/>
            <w:vAlign w:val="bottom"/>
          </w:tcPr>
          <w:p>
            <w:pPr>
              <w:pStyle w:val="yTableNAm"/>
              <w:jc w:val="center"/>
            </w:pPr>
            <w:r>
              <w:rPr>
                <w:szCs w:val="22"/>
              </w:rPr>
              <w:t>306.1</w:t>
            </w:r>
          </w:p>
        </w:tc>
        <w:tc>
          <w:tcPr>
            <w:tcW w:w="1074" w:type="dxa"/>
            <w:gridSpan w:val="2"/>
            <w:vAlign w:val="bottom"/>
          </w:tcPr>
          <w:p>
            <w:pPr>
              <w:pStyle w:val="yTableNAm"/>
              <w:jc w:val="center"/>
            </w:pPr>
            <w:r>
              <w:rPr>
                <w:szCs w:val="22"/>
              </w:rPr>
              <w:t>360.0</w:t>
            </w:r>
          </w:p>
        </w:tc>
      </w:tr>
      <w:tr>
        <w:trPr>
          <w:cantSplit/>
        </w:trPr>
        <w:tc>
          <w:tcPr>
            <w:tcW w:w="1417" w:type="dxa"/>
            <w:gridSpan w:val="2"/>
          </w:tcPr>
          <w:p>
            <w:pPr>
              <w:pStyle w:val="yTableNAm"/>
            </w:pPr>
            <w:r>
              <w:t>Over 550 but not over 750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gridSpan w:val="2"/>
            <w:vAlign w:val="bottom"/>
          </w:tcPr>
          <w:p>
            <w:pPr>
              <w:pStyle w:val="yTableNAm"/>
              <w:jc w:val="center"/>
            </w:pPr>
            <w:r>
              <w:rPr>
                <w:szCs w:val="22"/>
              </w:rPr>
              <w:t>458.9</w:t>
            </w:r>
          </w:p>
        </w:tc>
        <w:tc>
          <w:tcPr>
            <w:tcW w:w="1074" w:type="dxa"/>
            <w:gridSpan w:val="2"/>
            <w:vAlign w:val="bottom"/>
          </w:tcPr>
          <w:p>
            <w:pPr>
              <w:pStyle w:val="yTableNAm"/>
              <w:jc w:val="center"/>
            </w:pPr>
            <w:r>
              <w:rPr>
                <w:szCs w:val="22"/>
              </w:rPr>
              <w:t>634.7</w:t>
            </w:r>
          </w:p>
        </w:tc>
      </w:tr>
      <w:tr>
        <w:trPr>
          <w:cantSplit/>
        </w:trPr>
        <w:tc>
          <w:tcPr>
            <w:tcW w:w="1417" w:type="dxa"/>
            <w:gridSpan w:val="2"/>
          </w:tcPr>
          <w:p>
            <w:pPr>
              <w:pStyle w:val="yTableNAm"/>
            </w:pPr>
            <w:r>
              <w:t>Over 750 but not over 950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gridSpan w:val="2"/>
            <w:vAlign w:val="bottom"/>
          </w:tcPr>
          <w:p>
            <w:pPr>
              <w:pStyle w:val="yTableNAm"/>
              <w:jc w:val="center"/>
            </w:pPr>
            <w:r>
              <w:rPr>
                <w:szCs w:val="22"/>
              </w:rPr>
              <w:t>458.9</w:t>
            </w:r>
          </w:p>
        </w:tc>
        <w:tc>
          <w:tcPr>
            <w:tcW w:w="1074" w:type="dxa"/>
            <w:gridSpan w:val="2"/>
            <w:vAlign w:val="bottom"/>
          </w:tcPr>
          <w:p>
            <w:pPr>
              <w:pStyle w:val="yTableNAm"/>
              <w:jc w:val="center"/>
            </w:pPr>
            <w:r>
              <w:rPr>
                <w:szCs w:val="22"/>
              </w:rPr>
              <w:t>634.7</w:t>
            </w:r>
          </w:p>
        </w:tc>
      </w:tr>
      <w:tr>
        <w:trPr>
          <w:cantSplit/>
        </w:trPr>
        <w:tc>
          <w:tcPr>
            <w:tcW w:w="1417" w:type="dxa"/>
            <w:gridSpan w:val="2"/>
          </w:tcPr>
          <w:p>
            <w:pPr>
              <w:pStyle w:val="yTableNAm"/>
            </w:pPr>
            <w:r>
              <w:t>Over 950 but not over 1 150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gridSpan w:val="2"/>
            <w:vAlign w:val="bottom"/>
          </w:tcPr>
          <w:p>
            <w:pPr>
              <w:pStyle w:val="yTableNAm"/>
              <w:jc w:val="center"/>
            </w:pPr>
            <w:r>
              <w:rPr>
                <w:szCs w:val="22"/>
              </w:rPr>
              <w:t>458.9</w:t>
            </w:r>
          </w:p>
        </w:tc>
        <w:tc>
          <w:tcPr>
            <w:tcW w:w="1074" w:type="dxa"/>
            <w:gridSpan w:val="2"/>
            <w:vAlign w:val="bottom"/>
          </w:tcPr>
          <w:p>
            <w:pPr>
              <w:pStyle w:val="yTableNAm"/>
              <w:jc w:val="center"/>
            </w:pPr>
            <w:r>
              <w:rPr>
                <w:szCs w:val="22"/>
              </w:rPr>
              <w:t>634.7</w:t>
            </w:r>
          </w:p>
        </w:tc>
      </w:tr>
      <w:tr>
        <w:trPr>
          <w:cantSplit/>
        </w:trPr>
        <w:tc>
          <w:tcPr>
            <w:tcW w:w="1417" w:type="dxa"/>
            <w:gridSpan w:val="2"/>
          </w:tcPr>
          <w:p>
            <w:pPr>
              <w:pStyle w:val="yTableNAm"/>
            </w:pPr>
            <w:r>
              <w:t>Over 1 150 but not over 1 550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gridSpan w:val="2"/>
            <w:vAlign w:val="bottom"/>
          </w:tcPr>
          <w:p>
            <w:pPr>
              <w:pStyle w:val="yTableNAm"/>
              <w:jc w:val="center"/>
            </w:pPr>
            <w:r>
              <w:rPr>
                <w:szCs w:val="22"/>
              </w:rPr>
              <w:t>458.9</w:t>
            </w:r>
          </w:p>
        </w:tc>
        <w:tc>
          <w:tcPr>
            <w:tcW w:w="1074" w:type="dxa"/>
            <w:gridSpan w:val="2"/>
            <w:vAlign w:val="bottom"/>
          </w:tcPr>
          <w:p>
            <w:pPr>
              <w:pStyle w:val="yTableNAm"/>
              <w:jc w:val="center"/>
            </w:pPr>
            <w:r>
              <w:rPr>
                <w:szCs w:val="22"/>
              </w:rPr>
              <w:t>634.7</w:t>
            </w:r>
          </w:p>
        </w:tc>
      </w:tr>
      <w:tr>
        <w:trPr>
          <w:cantSplit/>
        </w:trPr>
        <w:tc>
          <w:tcPr>
            <w:tcW w:w="1417" w:type="dxa"/>
            <w:gridSpan w:val="2"/>
          </w:tcPr>
          <w:p>
            <w:pPr>
              <w:pStyle w:val="yTableNAm"/>
            </w:pPr>
            <w:r>
              <w:t>Over 1 550 but not over 1 950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gridSpan w:val="2"/>
            <w:vAlign w:val="bottom"/>
          </w:tcPr>
          <w:p>
            <w:pPr>
              <w:pStyle w:val="yTableNAm"/>
              <w:jc w:val="center"/>
            </w:pPr>
            <w:r>
              <w:rPr>
                <w:szCs w:val="22"/>
              </w:rPr>
              <w:t>458.9</w:t>
            </w:r>
          </w:p>
        </w:tc>
        <w:tc>
          <w:tcPr>
            <w:tcW w:w="1074" w:type="dxa"/>
            <w:gridSpan w:val="2"/>
            <w:vAlign w:val="bottom"/>
          </w:tcPr>
          <w:p>
            <w:pPr>
              <w:pStyle w:val="yTableNAm"/>
              <w:jc w:val="center"/>
            </w:pPr>
            <w:r>
              <w:rPr>
                <w:szCs w:val="22"/>
              </w:rPr>
              <w:t>634.7</w:t>
            </w:r>
          </w:p>
        </w:tc>
      </w:tr>
      <w:tr>
        <w:trPr>
          <w:cantSplit/>
        </w:trPr>
        <w:tc>
          <w:tcPr>
            <w:tcW w:w="1417" w:type="dxa"/>
            <w:gridSpan w:val="2"/>
            <w:tcBorders>
              <w:bottom w:val="single" w:sz="4" w:space="0" w:color="auto"/>
            </w:tcBorders>
          </w:tcPr>
          <w:p>
            <w:pPr>
              <w:pStyle w:val="yTableNAm"/>
            </w:pPr>
            <w:r>
              <w:t>Over 1 950</w:t>
            </w:r>
          </w:p>
        </w:tc>
        <w:tc>
          <w:tcPr>
            <w:tcW w:w="992" w:type="dxa"/>
            <w:tcBorders>
              <w:bottom w:val="single" w:sz="4" w:space="0" w:color="auto"/>
            </w:tcBorders>
            <w:vAlign w:val="bottom"/>
          </w:tcPr>
          <w:p>
            <w:pPr>
              <w:pStyle w:val="yTableNAm"/>
              <w:jc w:val="center"/>
            </w:pPr>
            <w:r>
              <w:rPr>
                <w:szCs w:val="22"/>
              </w:rPr>
              <w:t>173.4</w:t>
            </w:r>
          </w:p>
        </w:tc>
        <w:tc>
          <w:tcPr>
            <w:tcW w:w="992" w:type="dxa"/>
            <w:tcBorders>
              <w:bottom w:val="single" w:sz="4" w:space="0" w:color="auto"/>
            </w:tcBorders>
            <w:vAlign w:val="bottom"/>
          </w:tcPr>
          <w:p>
            <w:pPr>
              <w:pStyle w:val="yTableNAm"/>
              <w:jc w:val="center"/>
            </w:pPr>
            <w:r>
              <w:rPr>
                <w:szCs w:val="22"/>
              </w:rPr>
              <w:t>239.8</w:t>
            </w:r>
          </w:p>
        </w:tc>
        <w:tc>
          <w:tcPr>
            <w:tcW w:w="992" w:type="dxa"/>
            <w:tcBorders>
              <w:bottom w:val="single" w:sz="4" w:space="0" w:color="auto"/>
            </w:tcBorders>
            <w:vAlign w:val="bottom"/>
          </w:tcPr>
          <w:p>
            <w:pPr>
              <w:pStyle w:val="yTableNAm"/>
              <w:jc w:val="center"/>
            </w:pPr>
            <w:r>
              <w:rPr>
                <w:szCs w:val="22"/>
              </w:rPr>
              <w:t>331.7</w:t>
            </w:r>
          </w:p>
        </w:tc>
        <w:tc>
          <w:tcPr>
            <w:tcW w:w="992" w:type="dxa"/>
            <w:gridSpan w:val="2"/>
            <w:tcBorders>
              <w:bottom w:val="single" w:sz="4" w:space="0" w:color="auto"/>
            </w:tcBorders>
            <w:vAlign w:val="bottom"/>
          </w:tcPr>
          <w:p>
            <w:pPr>
              <w:pStyle w:val="yTableNAm"/>
              <w:jc w:val="center"/>
            </w:pPr>
            <w:r>
              <w:rPr>
                <w:szCs w:val="22"/>
              </w:rPr>
              <w:t>458.9</w:t>
            </w:r>
          </w:p>
        </w:tc>
        <w:tc>
          <w:tcPr>
            <w:tcW w:w="1074" w:type="dxa"/>
            <w:gridSpan w:val="2"/>
            <w:tcBorders>
              <w:bottom w:val="single" w:sz="4" w:space="0" w:color="auto"/>
            </w:tcBorders>
            <w:vAlign w:val="bottom"/>
          </w:tcPr>
          <w:p>
            <w:pPr>
              <w:pStyle w:val="yTableNAm"/>
              <w:jc w:val="center"/>
            </w:pPr>
            <w:r>
              <w:rPr>
                <w:szCs w:val="22"/>
              </w:rPr>
              <w:t>634.7</w:t>
            </w:r>
          </w:p>
        </w:tc>
      </w:tr>
      <w:tr>
        <w:tblPrEx>
          <w:tblCellMar>
            <w:left w:w="108" w:type="dxa"/>
            <w:right w:w="108" w:type="dxa"/>
          </w:tblCellMar>
        </w:tblPrEx>
        <w:trPr>
          <w:gridAfter w:val="1"/>
          <w:wAfter w:w="80" w:type="dxa"/>
          <w:cantSplit/>
        </w:trPr>
        <w:tc>
          <w:tcPr>
            <w:tcW w:w="850" w:type="dxa"/>
          </w:tcPr>
          <w:p>
            <w:pPr>
              <w:pStyle w:val="zyTableNAm"/>
              <w:rPr>
                <w:rStyle w:val="CharSClsNo"/>
              </w:rPr>
            </w:pPr>
          </w:p>
        </w:tc>
        <w:tc>
          <w:tcPr>
            <w:tcW w:w="4237" w:type="dxa"/>
            <w:gridSpan w:val="5"/>
          </w:tcPr>
          <w:p>
            <w:pPr>
              <w:pStyle w:val="yTableNAm"/>
            </w:pPr>
            <w:r>
              <w:t>except that if the property is —</w:t>
            </w:r>
          </w:p>
        </w:tc>
        <w:tc>
          <w:tcPr>
            <w:tcW w:w="1292" w:type="dxa"/>
            <w:gridSpan w:val="2"/>
          </w:tcPr>
          <w:p>
            <w:pPr>
              <w:pStyle w:val="yTableNAm"/>
              <w:jc w:val="center"/>
            </w:pPr>
          </w:p>
        </w:tc>
      </w:tr>
      <w:tr>
        <w:tblPrEx>
          <w:tblCellMar>
            <w:left w:w="108" w:type="dxa"/>
            <w:right w:w="108" w:type="dxa"/>
          </w:tblCellMar>
        </w:tblPrEx>
        <w:trPr>
          <w:gridAfter w:val="1"/>
          <w:wAfter w:w="80" w:type="dxa"/>
          <w:cantSplit/>
        </w:trPr>
        <w:tc>
          <w:tcPr>
            <w:tcW w:w="850" w:type="dxa"/>
          </w:tcPr>
          <w:p>
            <w:pPr>
              <w:pStyle w:val="zyTableNAm"/>
              <w:rPr>
                <w:rStyle w:val="CharSClsNo"/>
                <w:b/>
                <w:bCs/>
              </w:rPr>
            </w:pPr>
          </w:p>
        </w:tc>
        <w:tc>
          <w:tcPr>
            <w:tcW w:w="4237" w:type="dxa"/>
            <w:gridSpan w:val="5"/>
          </w:tcPr>
          <w:p>
            <w:pPr>
              <w:pStyle w:val="yTableNAm"/>
              <w:tabs>
                <w:tab w:val="clear" w:pos="567"/>
                <w:tab w:val="left" w:pos="296"/>
                <w:tab w:val="left" w:pos="776"/>
                <w:tab w:val="left" w:leader="dot" w:pos="4876"/>
              </w:tabs>
              <w:ind w:left="776" w:hanging="776"/>
            </w:pPr>
            <w:r>
              <w:rPr>
                <w:snapToGrid w:val="0"/>
              </w:rPr>
              <w:tab/>
              <w:t>(a)</w:t>
            </w:r>
            <w:r>
              <w:rPr>
                <w:snapToGrid w:val="0"/>
              </w:rPr>
              <w:tab/>
              <w:t>in the town of Cue, Laverton, Leonora, Meekatharra, Menzies, Mt Magnet, Mullewa, Sandstone, Wiluna or Yalgoo; or</w:t>
            </w:r>
          </w:p>
        </w:tc>
        <w:tc>
          <w:tcPr>
            <w:tcW w:w="1292" w:type="dxa"/>
            <w:gridSpan w:val="2"/>
          </w:tcPr>
          <w:p>
            <w:pPr>
              <w:pStyle w:val="yTableNAm"/>
              <w:jc w:val="center"/>
            </w:pPr>
          </w:p>
        </w:tc>
      </w:tr>
      <w:tr>
        <w:tblPrEx>
          <w:tblCellMar>
            <w:left w:w="108" w:type="dxa"/>
            <w:right w:w="108" w:type="dxa"/>
          </w:tblCellMar>
        </w:tblPrEx>
        <w:trPr>
          <w:gridAfter w:val="1"/>
          <w:wAfter w:w="80" w:type="dxa"/>
          <w:cantSplit/>
        </w:trPr>
        <w:tc>
          <w:tcPr>
            <w:tcW w:w="850" w:type="dxa"/>
          </w:tcPr>
          <w:p>
            <w:pPr>
              <w:pStyle w:val="zyTableNAm"/>
              <w:rPr>
                <w:rStyle w:val="CharSClsNo"/>
              </w:rPr>
            </w:pPr>
          </w:p>
        </w:tc>
        <w:tc>
          <w:tcPr>
            <w:tcW w:w="4237" w:type="dxa"/>
            <w:gridSpan w:val="5"/>
          </w:tcPr>
          <w:p>
            <w:pPr>
              <w:pStyle w:val="yTableNAm"/>
              <w:tabs>
                <w:tab w:val="clear" w:pos="567"/>
                <w:tab w:val="left" w:pos="296"/>
                <w:tab w:val="left" w:pos="776"/>
                <w:tab w:val="left" w:leader="dot" w:pos="4876"/>
              </w:tabs>
              <w:ind w:left="776" w:hanging="776"/>
            </w:pPr>
            <w:r>
              <w:rPr>
                <w:snapToGrid w:val="0"/>
              </w:rPr>
              <w:tab/>
              <w:t>(b)</w:t>
            </w:r>
            <w:r>
              <w:rPr>
                <w:snapToGrid w:val="0"/>
              </w:rPr>
              <w:tab/>
              <w:t>north of 26ºS Latitude,</w:t>
            </w:r>
          </w:p>
        </w:tc>
        <w:tc>
          <w:tcPr>
            <w:tcW w:w="1292" w:type="dxa"/>
            <w:gridSpan w:val="2"/>
          </w:tcPr>
          <w:p>
            <w:pPr>
              <w:pStyle w:val="yTableNAm"/>
              <w:jc w:val="center"/>
            </w:pPr>
          </w:p>
        </w:tc>
      </w:tr>
      <w:tr>
        <w:tblPrEx>
          <w:tblCellMar>
            <w:left w:w="108" w:type="dxa"/>
            <w:right w:w="108" w:type="dxa"/>
          </w:tblCellMar>
        </w:tblPrEx>
        <w:trPr>
          <w:gridAfter w:val="1"/>
          <w:wAfter w:w="80" w:type="dxa"/>
          <w:cantSplit/>
        </w:trPr>
        <w:tc>
          <w:tcPr>
            <w:tcW w:w="850" w:type="dxa"/>
          </w:tcPr>
          <w:p>
            <w:pPr>
              <w:pStyle w:val="zyTableNAm"/>
              <w:rPr>
                <w:rStyle w:val="CharSClsNo"/>
              </w:rPr>
            </w:pPr>
          </w:p>
        </w:tc>
        <w:tc>
          <w:tcPr>
            <w:tcW w:w="4237" w:type="dxa"/>
            <w:gridSpan w:val="5"/>
          </w:tcPr>
          <w:p>
            <w:pPr>
              <w:pStyle w:val="yTableNAm"/>
              <w:rPr>
                <w:snapToGrid w:val="0"/>
              </w:rPr>
            </w:pPr>
            <w:r>
              <w:t>the charge for each kilolitre of water is —</w:t>
            </w:r>
          </w:p>
        </w:tc>
        <w:tc>
          <w:tcPr>
            <w:tcW w:w="1292" w:type="dxa"/>
            <w:gridSpan w:val="2"/>
          </w:tcPr>
          <w:p>
            <w:pPr>
              <w:pStyle w:val="yTableNAm"/>
              <w:jc w:val="center"/>
            </w:pPr>
          </w:p>
        </w:tc>
      </w:tr>
    </w:tbl>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1074"/>
      </w:tblGrid>
      <w:tr>
        <w:trPr>
          <w:cantSplit/>
        </w:trPr>
        <w:tc>
          <w:tcPr>
            <w:tcW w:w="1417" w:type="dxa"/>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jc w:val="center"/>
            </w:pPr>
            <w:r>
              <w:rPr>
                <w:b/>
                <w:bCs/>
              </w:rPr>
              <w:t>Class 1 (c/kL)</w:t>
            </w:r>
          </w:p>
        </w:tc>
        <w:tc>
          <w:tcPr>
            <w:tcW w:w="992" w:type="dxa"/>
            <w:tcBorders>
              <w:top w:val="single" w:sz="4" w:space="0" w:color="auto"/>
              <w:bottom w:val="single" w:sz="4" w:space="0" w:color="auto"/>
            </w:tcBorders>
          </w:tcPr>
          <w:p>
            <w:pPr>
              <w:pStyle w:val="yTableNAm"/>
              <w:jc w:val="center"/>
            </w:pPr>
            <w:r>
              <w:rPr>
                <w:b/>
                <w:bCs/>
              </w:rPr>
              <w:t>Class 2 (c/kL)</w:t>
            </w:r>
          </w:p>
        </w:tc>
        <w:tc>
          <w:tcPr>
            <w:tcW w:w="992" w:type="dxa"/>
            <w:tcBorders>
              <w:top w:val="single" w:sz="4" w:space="0" w:color="auto"/>
              <w:bottom w:val="single" w:sz="4" w:space="0" w:color="auto"/>
            </w:tcBorders>
          </w:tcPr>
          <w:p>
            <w:pPr>
              <w:pStyle w:val="yTableNAm"/>
              <w:jc w:val="center"/>
            </w:pPr>
            <w:r>
              <w:rPr>
                <w:b/>
                <w:bCs/>
              </w:rPr>
              <w:t>Class 3 (c/kL)</w:t>
            </w:r>
          </w:p>
        </w:tc>
        <w:tc>
          <w:tcPr>
            <w:tcW w:w="992" w:type="dxa"/>
            <w:tcBorders>
              <w:top w:val="single" w:sz="4" w:space="0" w:color="auto"/>
              <w:bottom w:val="single" w:sz="4" w:space="0" w:color="auto"/>
            </w:tcBorders>
          </w:tcPr>
          <w:p>
            <w:pPr>
              <w:pStyle w:val="yTableNAm"/>
              <w:jc w:val="center"/>
            </w:pPr>
            <w:r>
              <w:rPr>
                <w:b/>
                <w:bCs/>
              </w:rPr>
              <w:t>Class 4 (c/kL)</w:t>
            </w:r>
          </w:p>
        </w:tc>
        <w:tc>
          <w:tcPr>
            <w:tcW w:w="1074" w:type="dxa"/>
            <w:tcBorders>
              <w:top w:val="single" w:sz="4" w:space="0" w:color="auto"/>
              <w:bottom w:val="single" w:sz="4" w:space="0" w:color="auto"/>
            </w:tcBorders>
          </w:tcPr>
          <w:p>
            <w:pPr>
              <w:pStyle w:val="yTableNAm"/>
              <w:jc w:val="center"/>
            </w:pPr>
            <w:r>
              <w:rPr>
                <w:b/>
                <w:bCs/>
              </w:rPr>
              <w:t>Class 5 (c/kL)</w:t>
            </w:r>
          </w:p>
        </w:tc>
      </w:tr>
      <w:tr>
        <w:trPr>
          <w:cantSplit/>
        </w:trPr>
        <w:tc>
          <w:tcPr>
            <w:tcW w:w="1417" w:type="dxa"/>
          </w:tcPr>
          <w:p>
            <w:pPr>
              <w:pStyle w:val="yTableNAm"/>
            </w:pPr>
            <w:r>
              <w:t>Up to 150</w:t>
            </w:r>
          </w:p>
        </w:tc>
        <w:tc>
          <w:tcPr>
            <w:tcW w:w="992" w:type="dxa"/>
            <w:vAlign w:val="bottom"/>
          </w:tcPr>
          <w:p>
            <w:pPr>
              <w:pStyle w:val="yTableNAm"/>
              <w:jc w:val="center"/>
            </w:pPr>
            <w:r>
              <w:rPr>
                <w:szCs w:val="22"/>
              </w:rPr>
              <w:t>104.0</w:t>
            </w:r>
          </w:p>
        </w:tc>
        <w:tc>
          <w:tcPr>
            <w:tcW w:w="992" w:type="dxa"/>
            <w:vAlign w:val="bottom"/>
          </w:tcPr>
          <w:p>
            <w:pPr>
              <w:pStyle w:val="yTableNAm"/>
              <w:jc w:val="center"/>
            </w:pPr>
            <w:r>
              <w:rPr>
                <w:szCs w:val="22"/>
              </w:rPr>
              <w:t>133.6</w:t>
            </w:r>
          </w:p>
        </w:tc>
        <w:tc>
          <w:tcPr>
            <w:tcW w:w="992" w:type="dxa"/>
            <w:vAlign w:val="bottom"/>
          </w:tcPr>
          <w:p>
            <w:pPr>
              <w:pStyle w:val="yTableNAm"/>
              <w:jc w:val="center"/>
            </w:pPr>
            <w:r>
              <w:rPr>
                <w:szCs w:val="22"/>
              </w:rPr>
              <w:t>133.6</w:t>
            </w:r>
          </w:p>
        </w:tc>
        <w:tc>
          <w:tcPr>
            <w:tcW w:w="992" w:type="dxa"/>
            <w:vAlign w:val="bottom"/>
          </w:tcPr>
          <w:p>
            <w:pPr>
              <w:pStyle w:val="yTableNAm"/>
              <w:jc w:val="center"/>
            </w:pPr>
            <w:r>
              <w:rPr>
                <w:szCs w:val="22"/>
              </w:rPr>
              <w:t>133.6</w:t>
            </w:r>
          </w:p>
        </w:tc>
        <w:tc>
          <w:tcPr>
            <w:tcW w:w="1074" w:type="dxa"/>
            <w:vAlign w:val="bottom"/>
          </w:tcPr>
          <w:p>
            <w:pPr>
              <w:pStyle w:val="yTableNAm"/>
              <w:jc w:val="center"/>
            </w:pPr>
            <w:r>
              <w:rPr>
                <w:szCs w:val="22"/>
              </w:rPr>
              <w:t>133.6</w:t>
            </w:r>
          </w:p>
        </w:tc>
      </w:tr>
      <w:tr>
        <w:trPr>
          <w:cantSplit/>
        </w:trPr>
        <w:tc>
          <w:tcPr>
            <w:tcW w:w="1417" w:type="dxa"/>
          </w:tcPr>
          <w:p>
            <w:pPr>
              <w:pStyle w:val="yTableNAm"/>
            </w:pPr>
            <w:r>
              <w:t>Over 150 but not over 350</w:t>
            </w:r>
          </w:p>
        </w:tc>
        <w:tc>
          <w:tcPr>
            <w:tcW w:w="992" w:type="dxa"/>
            <w:vAlign w:val="bottom"/>
          </w:tcPr>
          <w:p>
            <w:pPr>
              <w:pStyle w:val="yTableNAm"/>
              <w:jc w:val="center"/>
            </w:pPr>
            <w:r>
              <w:rPr>
                <w:szCs w:val="22"/>
              </w:rPr>
              <w:t>104.0</w:t>
            </w:r>
          </w:p>
        </w:tc>
        <w:tc>
          <w:tcPr>
            <w:tcW w:w="992" w:type="dxa"/>
            <w:vAlign w:val="bottom"/>
          </w:tcPr>
          <w:p>
            <w:pPr>
              <w:pStyle w:val="yTableNAm"/>
              <w:jc w:val="center"/>
            </w:pPr>
            <w:r>
              <w:rPr>
                <w:szCs w:val="22"/>
              </w:rPr>
              <w:t>133.6</w:t>
            </w:r>
          </w:p>
        </w:tc>
        <w:tc>
          <w:tcPr>
            <w:tcW w:w="992" w:type="dxa"/>
            <w:vAlign w:val="bottom"/>
          </w:tcPr>
          <w:p>
            <w:pPr>
              <w:pStyle w:val="yTableNAm"/>
              <w:jc w:val="center"/>
            </w:pPr>
            <w:r>
              <w:rPr>
                <w:szCs w:val="22"/>
              </w:rPr>
              <w:t>133.6</w:t>
            </w:r>
          </w:p>
        </w:tc>
        <w:tc>
          <w:tcPr>
            <w:tcW w:w="992" w:type="dxa"/>
            <w:vAlign w:val="bottom"/>
          </w:tcPr>
          <w:p>
            <w:pPr>
              <w:pStyle w:val="yTableNAm"/>
              <w:jc w:val="center"/>
            </w:pPr>
            <w:r>
              <w:rPr>
                <w:szCs w:val="22"/>
              </w:rPr>
              <w:t>133.6</w:t>
            </w:r>
          </w:p>
        </w:tc>
        <w:tc>
          <w:tcPr>
            <w:tcW w:w="1074" w:type="dxa"/>
            <w:vAlign w:val="bottom"/>
          </w:tcPr>
          <w:p>
            <w:pPr>
              <w:pStyle w:val="yTableNAm"/>
              <w:jc w:val="center"/>
            </w:pPr>
            <w:r>
              <w:rPr>
                <w:szCs w:val="22"/>
              </w:rPr>
              <w:t>133.6</w:t>
            </w:r>
          </w:p>
        </w:tc>
      </w:tr>
      <w:tr>
        <w:trPr>
          <w:cantSplit/>
        </w:trPr>
        <w:tc>
          <w:tcPr>
            <w:tcW w:w="1417" w:type="dxa"/>
          </w:tcPr>
          <w:p>
            <w:pPr>
              <w:pStyle w:val="yTableNAm"/>
            </w:pPr>
            <w:r>
              <w:t>Over 350 but not over 500</w:t>
            </w:r>
          </w:p>
        </w:tc>
        <w:tc>
          <w:tcPr>
            <w:tcW w:w="992" w:type="dxa"/>
            <w:vAlign w:val="bottom"/>
          </w:tcPr>
          <w:p>
            <w:pPr>
              <w:pStyle w:val="yTableNAm"/>
              <w:jc w:val="center"/>
            </w:pPr>
            <w:r>
              <w:rPr>
                <w:szCs w:val="22"/>
              </w:rPr>
              <w:t>135.5</w:t>
            </w:r>
          </w:p>
        </w:tc>
        <w:tc>
          <w:tcPr>
            <w:tcW w:w="992" w:type="dxa"/>
            <w:vAlign w:val="bottom"/>
          </w:tcPr>
          <w:p>
            <w:pPr>
              <w:pStyle w:val="yTableNAm"/>
              <w:jc w:val="center"/>
            </w:pPr>
            <w:r>
              <w:rPr>
                <w:szCs w:val="22"/>
              </w:rPr>
              <w:t>174.7</w:t>
            </w:r>
          </w:p>
        </w:tc>
        <w:tc>
          <w:tcPr>
            <w:tcW w:w="992" w:type="dxa"/>
            <w:vAlign w:val="bottom"/>
          </w:tcPr>
          <w:p>
            <w:pPr>
              <w:pStyle w:val="yTableNAm"/>
              <w:jc w:val="center"/>
            </w:pPr>
            <w:r>
              <w:rPr>
                <w:szCs w:val="22"/>
              </w:rPr>
              <w:t>174.7</w:t>
            </w:r>
          </w:p>
        </w:tc>
        <w:tc>
          <w:tcPr>
            <w:tcW w:w="992" w:type="dxa"/>
            <w:vAlign w:val="bottom"/>
          </w:tcPr>
          <w:p>
            <w:pPr>
              <w:pStyle w:val="yTableNAm"/>
              <w:jc w:val="center"/>
            </w:pPr>
            <w:r>
              <w:rPr>
                <w:szCs w:val="22"/>
              </w:rPr>
              <w:t>174.7</w:t>
            </w:r>
          </w:p>
        </w:tc>
        <w:tc>
          <w:tcPr>
            <w:tcW w:w="1074" w:type="dxa"/>
            <w:vAlign w:val="bottom"/>
          </w:tcPr>
          <w:p>
            <w:pPr>
              <w:pStyle w:val="yTableNAm"/>
              <w:jc w:val="center"/>
            </w:pPr>
            <w:r>
              <w:rPr>
                <w:szCs w:val="22"/>
              </w:rPr>
              <w:t>174.7</w:t>
            </w:r>
          </w:p>
        </w:tc>
      </w:tr>
      <w:tr>
        <w:trPr>
          <w:cantSplit/>
        </w:trPr>
        <w:tc>
          <w:tcPr>
            <w:tcW w:w="1417" w:type="dxa"/>
          </w:tcPr>
          <w:p>
            <w:pPr>
              <w:pStyle w:val="yTableNAm"/>
            </w:pPr>
            <w:r>
              <w:t>Over 500 but not over 550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vAlign w:val="bottom"/>
          </w:tcPr>
          <w:p>
            <w:pPr>
              <w:pStyle w:val="yTableNAm"/>
              <w:jc w:val="center"/>
            </w:pPr>
            <w:r>
              <w:rPr>
                <w:szCs w:val="22"/>
              </w:rPr>
              <w:t>306.1</w:t>
            </w:r>
          </w:p>
        </w:tc>
        <w:tc>
          <w:tcPr>
            <w:tcW w:w="1074" w:type="dxa"/>
            <w:vAlign w:val="bottom"/>
          </w:tcPr>
          <w:p>
            <w:pPr>
              <w:pStyle w:val="yTableNAm"/>
              <w:jc w:val="center"/>
            </w:pPr>
            <w:r>
              <w:rPr>
                <w:szCs w:val="22"/>
              </w:rPr>
              <w:t>360.0</w:t>
            </w:r>
          </w:p>
        </w:tc>
      </w:tr>
      <w:tr>
        <w:trPr>
          <w:cantSplit/>
        </w:trPr>
        <w:tc>
          <w:tcPr>
            <w:tcW w:w="1417" w:type="dxa"/>
          </w:tcPr>
          <w:p>
            <w:pPr>
              <w:pStyle w:val="yTableNAm"/>
            </w:pPr>
            <w:r>
              <w:t>Over 550 but not over 650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vAlign w:val="bottom"/>
          </w:tcPr>
          <w:p>
            <w:pPr>
              <w:pStyle w:val="yTableNAm"/>
              <w:jc w:val="center"/>
            </w:pPr>
            <w:r>
              <w:rPr>
                <w:szCs w:val="22"/>
              </w:rPr>
              <w:t>306.1</w:t>
            </w:r>
          </w:p>
        </w:tc>
        <w:tc>
          <w:tcPr>
            <w:tcW w:w="1074" w:type="dxa"/>
            <w:vAlign w:val="bottom"/>
          </w:tcPr>
          <w:p>
            <w:pPr>
              <w:pStyle w:val="yTableNAm"/>
              <w:jc w:val="center"/>
            </w:pPr>
            <w:r>
              <w:rPr>
                <w:szCs w:val="22"/>
              </w:rPr>
              <w:t>360.0</w:t>
            </w:r>
          </w:p>
        </w:tc>
      </w:tr>
      <w:tr>
        <w:trPr>
          <w:cantSplit/>
        </w:trPr>
        <w:tc>
          <w:tcPr>
            <w:tcW w:w="1417" w:type="dxa"/>
          </w:tcPr>
          <w:p>
            <w:pPr>
              <w:pStyle w:val="yTableNAm"/>
            </w:pPr>
            <w:r>
              <w:t>Over 650 but not over 750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vAlign w:val="bottom"/>
          </w:tcPr>
          <w:p>
            <w:pPr>
              <w:pStyle w:val="yTableNAm"/>
              <w:jc w:val="center"/>
            </w:pPr>
            <w:r>
              <w:rPr>
                <w:szCs w:val="22"/>
              </w:rPr>
              <w:t>306.1</w:t>
            </w:r>
          </w:p>
        </w:tc>
        <w:tc>
          <w:tcPr>
            <w:tcW w:w="1074" w:type="dxa"/>
            <w:vAlign w:val="bottom"/>
          </w:tcPr>
          <w:p>
            <w:pPr>
              <w:pStyle w:val="yTableNAm"/>
              <w:jc w:val="center"/>
            </w:pPr>
            <w:r>
              <w:rPr>
                <w:szCs w:val="22"/>
              </w:rPr>
              <w:t>360.0</w:t>
            </w:r>
          </w:p>
        </w:tc>
      </w:tr>
      <w:tr>
        <w:trPr>
          <w:cantSplit/>
        </w:trPr>
        <w:tc>
          <w:tcPr>
            <w:tcW w:w="1417" w:type="dxa"/>
          </w:tcPr>
          <w:p>
            <w:pPr>
              <w:pStyle w:val="yTableNAm"/>
            </w:pPr>
            <w:r>
              <w:t>Over 750 but not over 950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1074" w:type="dxa"/>
            <w:vAlign w:val="bottom"/>
          </w:tcPr>
          <w:p>
            <w:pPr>
              <w:pStyle w:val="yTableNAm"/>
              <w:jc w:val="center"/>
            </w:pPr>
            <w:r>
              <w:rPr>
                <w:szCs w:val="22"/>
              </w:rPr>
              <w:t>634.7</w:t>
            </w:r>
          </w:p>
        </w:tc>
      </w:tr>
      <w:tr>
        <w:trPr>
          <w:cantSplit/>
        </w:trPr>
        <w:tc>
          <w:tcPr>
            <w:tcW w:w="1417" w:type="dxa"/>
          </w:tcPr>
          <w:p>
            <w:pPr>
              <w:pStyle w:val="yTableNAm"/>
            </w:pPr>
            <w:r>
              <w:t>Over 950 but not over 1 150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1074" w:type="dxa"/>
            <w:vAlign w:val="bottom"/>
          </w:tcPr>
          <w:p>
            <w:pPr>
              <w:pStyle w:val="yTableNAm"/>
              <w:jc w:val="center"/>
            </w:pPr>
            <w:r>
              <w:rPr>
                <w:szCs w:val="22"/>
              </w:rPr>
              <w:t>634.7</w:t>
            </w:r>
          </w:p>
        </w:tc>
      </w:tr>
      <w:tr>
        <w:trPr>
          <w:cantSplit/>
        </w:trPr>
        <w:tc>
          <w:tcPr>
            <w:tcW w:w="1417" w:type="dxa"/>
          </w:tcPr>
          <w:p>
            <w:pPr>
              <w:pStyle w:val="yTableNAm"/>
            </w:pPr>
            <w:r>
              <w:t>Over 1 150 but not over 1 550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1074" w:type="dxa"/>
            <w:vAlign w:val="bottom"/>
          </w:tcPr>
          <w:p>
            <w:pPr>
              <w:pStyle w:val="yTableNAm"/>
              <w:jc w:val="center"/>
            </w:pPr>
            <w:r>
              <w:rPr>
                <w:szCs w:val="22"/>
              </w:rPr>
              <w:t>634.7</w:t>
            </w:r>
          </w:p>
        </w:tc>
      </w:tr>
      <w:tr>
        <w:trPr>
          <w:cantSplit/>
        </w:trPr>
        <w:tc>
          <w:tcPr>
            <w:tcW w:w="1417" w:type="dxa"/>
          </w:tcPr>
          <w:p>
            <w:pPr>
              <w:pStyle w:val="yTableNAm"/>
            </w:pPr>
            <w:r>
              <w:t>Over 1 550 but not over 1 950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1074" w:type="dxa"/>
            <w:vAlign w:val="bottom"/>
          </w:tcPr>
          <w:p>
            <w:pPr>
              <w:pStyle w:val="yTableNAm"/>
              <w:jc w:val="center"/>
            </w:pPr>
            <w:r>
              <w:rPr>
                <w:szCs w:val="22"/>
              </w:rPr>
              <w:t>634.7</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vAlign w:val="bottom"/>
          </w:tcPr>
          <w:p>
            <w:pPr>
              <w:pStyle w:val="yTableNAm"/>
              <w:jc w:val="center"/>
            </w:pPr>
            <w:r>
              <w:rPr>
                <w:szCs w:val="22"/>
              </w:rPr>
              <w:t>173.4</w:t>
            </w:r>
          </w:p>
        </w:tc>
        <w:tc>
          <w:tcPr>
            <w:tcW w:w="992" w:type="dxa"/>
            <w:tcBorders>
              <w:bottom w:val="single" w:sz="4" w:space="0" w:color="auto"/>
            </w:tcBorders>
            <w:vAlign w:val="bottom"/>
          </w:tcPr>
          <w:p>
            <w:pPr>
              <w:pStyle w:val="yTableNAm"/>
              <w:jc w:val="center"/>
            </w:pPr>
            <w:r>
              <w:rPr>
                <w:szCs w:val="22"/>
              </w:rPr>
              <w:t>239.8</w:t>
            </w:r>
          </w:p>
        </w:tc>
        <w:tc>
          <w:tcPr>
            <w:tcW w:w="992" w:type="dxa"/>
            <w:tcBorders>
              <w:bottom w:val="single" w:sz="4" w:space="0" w:color="auto"/>
            </w:tcBorders>
            <w:vAlign w:val="bottom"/>
          </w:tcPr>
          <w:p>
            <w:pPr>
              <w:pStyle w:val="yTableNAm"/>
              <w:jc w:val="center"/>
            </w:pPr>
            <w:r>
              <w:rPr>
                <w:szCs w:val="22"/>
              </w:rPr>
              <w:t>331.7</w:t>
            </w:r>
          </w:p>
        </w:tc>
        <w:tc>
          <w:tcPr>
            <w:tcW w:w="992" w:type="dxa"/>
            <w:tcBorders>
              <w:bottom w:val="single" w:sz="4" w:space="0" w:color="auto"/>
            </w:tcBorders>
            <w:vAlign w:val="bottom"/>
          </w:tcPr>
          <w:p>
            <w:pPr>
              <w:pStyle w:val="yTableNAm"/>
              <w:jc w:val="center"/>
            </w:pPr>
            <w:r>
              <w:rPr>
                <w:szCs w:val="22"/>
              </w:rPr>
              <w:t>458.9</w:t>
            </w:r>
          </w:p>
        </w:tc>
        <w:tc>
          <w:tcPr>
            <w:tcW w:w="1074" w:type="dxa"/>
            <w:tcBorders>
              <w:bottom w:val="single" w:sz="4" w:space="0" w:color="auto"/>
            </w:tcBorders>
            <w:vAlign w:val="bottom"/>
          </w:tcPr>
          <w:p>
            <w:pPr>
              <w:pStyle w:val="yTableNAm"/>
              <w:jc w:val="center"/>
            </w:pPr>
            <w:r>
              <w:rPr>
                <w:szCs w:val="22"/>
              </w:rPr>
              <w:t>634.7</w:t>
            </w:r>
          </w:p>
        </w:tc>
      </w:tr>
    </w:tbl>
    <w:p>
      <w:pPr>
        <w:pStyle w:val="yMiscellaneousBody"/>
      </w:pP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yTableNAm"/>
            </w:pPr>
            <w:r>
              <w:rPr>
                <w:b/>
                <w:bCs/>
              </w:rPr>
              <w:t>23.</w:t>
            </w:r>
          </w:p>
        </w:tc>
        <w:tc>
          <w:tcPr>
            <w:tcW w:w="4237" w:type="dxa"/>
          </w:tcPr>
          <w:p>
            <w:pPr>
              <w:pStyle w:val="yTableNAm"/>
            </w:pPr>
            <w:r>
              <w:rPr>
                <w:b/>
                <w:bCs/>
              </w:rPr>
              <w:t>Community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176"/>
              </w:tabs>
              <w:ind w:left="656" w:hanging="656"/>
            </w:pPr>
            <w:r>
              <w:tab/>
              <w:t>(1)</w:t>
            </w:r>
            <w:r>
              <w:tab/>
              <w:t>For each kilolitre of water supplied to a discrete residential unit as determined under by</w:t>
            </w:r>
            <w:r>
              <w:noBreakHyphen/>
              <w:t>law 16 that is in the metropolitan area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1016"/>
                <w:tab w:val="right" w:leader="dot" w:pos="4020"/>
              </w:tabs>
              <w:ind w:left="776" w:hanging="776"/>
            </w:pPr>
            <w:r>
              <w:rPr>
                <w:spacing w:val="-1"/>
              </w:rPr>
              <w:tab/>
              <w:t xml:space="preserve">up to 150 kL </w:t>
            </w:r>
            <w:r>
              <w:rPr>
                <w:spacing w:val="-1"/>
              </w:rPr>
              <w:tab/>
            </w:r>
          </w:p>
        </w:tc>
        <w:tc>
          <w:tcPr>
            <w:tcW w:w="1292" w:type="dxa"/>
            <w:vAlign w:val="bottom"/>
          </w:tcPr>
          <w:p>
            <w:pPr>
              <w:pStyle w:val="yTableNAm"/>
            </w:pPr>
            <w:r>
              <w:rPr>
                <w:szCs w:val="22"/>
              </w:rPr>
              <w:t>66.8 cents</w:t>
            </w:r>
          </w:p>
        </w:tc>
      </w:tr>
      <w:tr>
        <w:trPr>
          <w:cantSplit/>
        </w:trPr>
        <w:tc>
          <w:tcPr>
            <w:tcW w:w="850" w:type="dxa"/>
          </w:tcPr>
          <w:p>
            <w:pPr>
              <w:pStyle w:val="zyTableNAm"/>
            </w:pPr>
          </w:p>
        </w:tc>
        <w:tc>
          <w:tcPr>
            <w:tcW w:w="4237" w:type="dxa"/>
          </w:tcPr>
          <w:p>
            <w:pPr>
              <w:pStyle w:val="yTableNAm"/>
              <w:tabs>
                <w:tab w:val="clear" w:pos="567"/>
                <w:tab w:val="left" w:pos="1016"/>
                <w:tab w:val="right" w:leader="dot" w:pos="4020"/>
              </w:tabs>
              <w:ind w:left="776" w:hanging="776"/>
            </w:pPr>
            <w:r>
              <w:rPr>
                <w:spacing w:val="-1"/>
              </w:rPr>
              <w:tab/>
              <w:t xml:space="preserve">over 150 but not over 350 kL </w:t>
            </w:r>
            <w:r>
              <w:rPr>
                <w:spacing w:val="-1"/>
              </w:rPr>
              <w:tab/>
            </w:r>
          </w:p>
        </w:tc>
        <w:tc>
          <w:tcPr>
            <w:tcW w:w="1292" w:type="dxa"/>
            <w:vAlign w:val="bottom"/>
          </w:tcPr>
          <w:p>
            <w:pPr>
              <w:pStyle w:val="yTableNAm"/>
            </w:pPr>
            <w:r>
              <w:rPr>
                <w:szCs w:val="22"/>
              </w:rPr>
              <w:t>174.7 cents</w:t>
            </w:r>
          </w:p>
        </w:tc>
      </w:tr>
      <w:tr>
        <w:trPr>
          <w:cantSplit/>
        </w:trPr>
        <w:tc>
          <w:tcPr>
            <w:tcW w:w="850" w:type="dxa"/>
          </w:tcPr>
          <w:p>
            <w:pPr>
              <w:pStyle w:val="zyTableNAm"/>
            </w:pPr>
          </w:p>
        </w:tc>
        <w:tc>
          <w:tcPr>
            <w:tcW w:w="4237" w:type="dxa"/>
          </w:tcPr>
          <w:p>
            <w:pPr>
              <w:pStyle w:val="yTableNAm"/>
              <w:tabs>
                <w:tab w:val="clear" w:pos="567"/>
                <w:tab w:val="left" w:pos="1016"/>
                <w:tab w:val="right" w:leader="dot" w:pos="4020"/>
              </w:tabs>
              <w:ind w:left="776" w:hanging="776"/>
            </w:pPr>
            <w:r>
              <w:rPr>
                <w:spacing w:val="-1"/>
              </w:rPr>
              <w:tab/>
              <w:t xml:space="preserve">over 350 but not over 500 kL </w:t>
            </w:r>
            <w:r>
              <w:rPr>
                <w:spacing w:val="-1"/>
              </w:rPr>
              <w:tab/>
            </w:r>
          </w:p>
        </w:tc>
        <w:tc>
          <w:tcPr>
            <w:tcW w:w="1292" w:type="dxa"/>
            <w:vAlign w:val="bottom"/>
          </w:tcPr>
          <w:p>
            <w:pPr>
              <w:pStyle w:val="yTableNAm"/>
            </w:pPr>
            <w:r>
              <w:rPr>
                <w:szCs w:val="22"/>
              </w:rPr>
              <w:t>174.7 cents</w:t>
            </w:r>
          </w:p>
        </w:tc>
      </w:tr>
      <w:tr>
        <w:trPr>
          <w:cantSplit/>
        </w:trPr>
        <w:tc>
          <w:tcPr>
            <w:tcW w:w="850" w:type="dxa"/>
          </w:tcPr>
          <w:p>
            <w:pPr>
              <w:pStyle w:val="zyTableNAm"/>
            </w:pPr>
          </w:p>
        </w:tc>
        <w:tc>
          <w:tcPr>
            <w:tcW w:w="4237" w:type="dxa"/>
          </w:tcPr>
          <w:p>
            <w:pPr>
              <w:pStyle w:val="yTableNAm"/>
              <w:tabs>
                <w:tab w:val="clear" w:pos="567"/>
                <w:tab w:val="left" w:pos="1016"/>
                <w:tab w:val="right" w:leader="dot" w:pos="4020"/>
              </w:tabs>
              <w:ind w:left="776" w:hanging="776"/>
            </w:pPr>
            <w:r>
              <w:rPr>
                <w:spacing w:val="-1"/>
              </w:rPr>
              <w:tab/>
              <w:t xml:space="preserve">over 500 but not over 550 kL </w:t>
            </w:r>
            <w:r>
              <w:rPr>
                <w:spacing w:val="-1"/>
              </w:rPr>
              <w:tab/>
            </w:r>
          </w:p>
        </w:tc>
        <w:tc>
          <w:tcPr>
            <w:tcW w:w="1292" w:type="dxa"/>
            <w:vAlign w:val="bottom"/>
          </w:tcPr>
          <w:p>
            <w:pPr>
              <w:pStyle w:val="yTableNAm"/>
            </w:pPr>
            <w:r>
              <w:rPr>
                <w:szCs w:val="22"/>
              </w:rPr>
              <w:t>239.8 cents</w:t>
            </w:r>
          </w:p>
        </w:tc>
      </w:tr>
      <w:tr>
        <w:trPr>
          <w:cantSplit/>
        </w:trPr>
        <w:tc>
          <w:tcPr>
            <w:tcW w:w="850" w:type="dxa"/>
          </w:tcPr>
          <w:p>
            <w:pPr>
              <w:pStyle w:val="zyTableNAm"/>
            </w:pPr>
          </w:p>
        </w:tc>
        <w:tc>
          <w:tcPr>
            <w:tcW w:w="4237" w:type="dxa"/>
          </w:tcPr>
          <w:p>
            <w:pPr>
              <w:pStyle w:val="yTableNAm"/>
              <w:tabs>
                <w:tab w:val="clear" w:pos="567"/>
                <w:tab w:val="left" w:pos="1016"/>
                <w:tab w:val="right" w:leader="dot" w:pos="4020"/>
              </w:tabs>
              <w:ind w:left="776" w:hanging="776"/>
            </w:pPr>
            <w:r>
              <w:rPr>
                <w:spacing w:val="-1"/>
              </w:rPr>
              <w:tab/>
              <w:t xml:space="preserve">over 550 but not over 950 kL </w:t>
            </w:r>
            <w:r>
              <w:rPr>
                <w:spacing w:val="-1"/>
              </w:rPr>
              <w:tab/>
            </w:r>
          </w:p>
        </w:tc>
        <w:tc>
          <w:tcPr>
            <w:tcW w:w="1292" w:type="dxa"/>
            <w:vAlign w:val="bottom"/>
          </w:tcPr>
          <w:p>
            <w:pPr>
              <w:pStyle w:val="yTableNAm"/>
            </w:pPr>
            <w:r>
              <w:rPr>
                <w:szCs w:val="22"/>
              </w:rPr>
              <w:t>239.8 cents</w:t>
            </w:r>
          </w:p>
        </w:tc>
      </w:tr>
      <w:tr>
        <w:trPr>
          <w:cantSplit/>
        </w:trPr>
        <w:tc>
          <w:tcPr>
            <w:tcW w:w="850" w:type="dxa"/>
          </w:tcPr>
          <w:p>
            <w:pPr>
              <w:pStyle w:val="zyTableNAm"/>
            </w:pPr>
          </w:p>
        </w:tc>
        <w:tc>
          <w:tcPr>
            <w:tcW w:w="4237" w:type="dxa"/>
          </w:tcPr>
          <w:p>
            <w:pPr>
              <w:pStyle w:val="yTableNAm"/>
              <w:tabs>
                <w:tab w:val="clear" w:pos="567"/>
                <w:tab w:val="left" w:pos="1016"/>
                <w:tab w:val="right" w:leader="dot" w:pos="4020"/>
              </w:tabs>
              <w:ind w:left="776" w:hanging="776"/>
            </w:pPr>
            <w:r>
              <w:rPr>
                <w:spacing w:val="-1"/>
              </w:rPr>
              <w:tab/>
              <w:t xml:space="preserve">over 950 kL </w:t>
            </w:r>
            <w:r>
              <w:rPr>
                <w:spacing w:val="-1"/>
              </w:rPr>
              <w:tab/>
            </w:r>
          </w:p>
        </w:tc>
        <w:tc>
          <w:tcPr>
            <w:tcW w:w="1292" w:type="dxa"/>
            <w:vAlign w:val="bottom"/>
          </w:tcPr>
          <w:p>
            <w:pPr>
              <w:pStyle w:val="yTableNAm"/>
            </w:pPr>
            <w:r>
              <w:rPr>
                <w:szCs w:val="22"/>
              </w:rPr>
              <w:t>239.8 cents</w:t>
            </w:r>
          </w:p>
        </w:tc>
      </w:tr>
      <w:tr>
        <w:trPr>
          <w:cantSplit/>
        </w:trPr>
        <w:tc>
          <w:tcPr>
            <w:tcW w:w="850" w:type="dxa"/>
          </w:tcPr>
          <w:p>
            <w:pPr>
              <w:pStyle w:val="zyTableNAm"/>
            </w:pPr>
          </w:p>
        </w:tc>
        <w:tc>
          <w:tcPr>
            <w:tcW w:w="4237" w:type="dxa"/>
          </w:tcPr>
          <w:p>
            <w:pPr>
              <w:pStyle w:val="yTableNAm"/>
              <w:tabs>
                <w:tab w:val="clear" w:pos="567"/>
                <w:tab w:val="left" w:pos="176"/>
              </w:tabs>
              <w:ind w:left="656" w:hanging="656"/>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292" w:type="dxa"/>
            <w:vAlign w:val="bottom"/>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994"/>
      </w:tblGrid>
      <w:tr>
        <w:trPr>
          <w:cantSplit/>
          <w:tblHeader/>
        </w:trPr>
        <w:tc>
          <w:tcPr>
            <w:tcW w:w="1417" w:type="dxa"/>
            <w:tcBorders>
              <w:top w:val="single" w:sz="4" w:space="0" w:color="auto"/>
              <w:bottom w:val="single" w:sz="4" w:space="0" w:color="auto"/>
            </w:tcBorders>
          </w:tcPr>
          <w:p>
            <w:pPr>
              <w:pStyle w:val="yTableNAm"/>
            </w:pPr>
            <w:r>
              <w:rPr>
                <w:b/>
                <w:bCs/>
                <w:szCs w:val="22"/>
              </w:rPr>
              <w:br w:type="page"/>
              <w:t>Consumption (kL)</w:t>
            </w:r>
          </w:p>
        </w:tc>
        <w:tc>
          <w:tcPr>
            <w:tcW w:w="992" w:type="dxa"/>
            <w:tcBorders>
              <w:top w:val="single" w:sz="4" w:space="0" w:color="auto"/>
              <w:bottom w:val="single" w:sz="4" w:space="0" w:color="auto"/>
            </w:tcBorders>
          </w:tcPr>
          <w:p>
            <w:pPr>
              <w:pStyle w:val="yTableNAm"/>
              <w:jc w:val="center"/>
            </w:pPr>
            <w:r>
              <w:rPr>
                <w:b/>
                <w:bCs/>
                <w:szCs w:val="22"/>
              </w:rPr>
              <w:t>Class 1 (c/kL)</w:t>
            </w:r>
          </w:p>
        </w:tc>
        <w:tc>
          <w:tcPr>
            <w:tcW w:w="992" w:type="dxa"/>
            <w:tcBorders>
              <w:top w:val="single" w:sz="4" w:space="0" w:color="auto"/>
              <w:bottom w:val="single" w:sz="4" w:space="0" w:color="auto"/>
            </w:tcBorders>
          </w:tcPr>
          <w:p>
            <w:pPr>
              <w:pStyle w:val="yTableNAm"/>
              <w:jc w:val="center"/>
            </w:pPr>
            <w:r>
              <w:rPr>
                <w:b/>
                <w:bCs/>
                <w:szCs w:val="22"/>
              </w:rPr>
              <w:t>Class 2 (c/kL)</w:t>
            </w:r>
          </w:p>
        </w:tc>
        <w:tc>
          <w:tcPr>
            <w:tcW w:w="992" w:type="dxa"/>
            <w:tcBorders>
              <w:top w:val="single" w:sz="4" w:space="0" w:color="auto"/>
              <w:bottom w:val="single" w:sz="4" w:space="0" w:color="auto"/>
            </w:tcBorders>
          </w:tcPr>
          <w:p>
            <w:pPr>
              <w:pStyle w:val="yTableNAm"/>
              <w:jc w:val="center"/>
            </w:pPr>
            <w:r>
              <w:rPr>
                <w:b/>
                <w:bCs/>
                <w:szCs w:val="22"/>
              </w:rPr>
              <w:t>Class 3 (c/kL)</w:t>
            </w:r>
          </w:p>
        </w:tc>
        <w:tc>
          <w:tcPr>
            <w:tcW w:w="992" w:type="dxa"/>
            <w:tcBorders>
              <w:top w:val="single" w:sz="4" w:space="0" w:color="auto"/>
              <w:bottom w:val="single" w:sz="4" w:space="0" w:color="auto"/>
            </w:tcBorders>
          </w:tcPr>
          <w:p>
            <w:pPr>
              <w:pStyle w:val="yTableNAm"/>
              <w:jc w:val="center"/>
            </w:pPr>
            <w:r>
              <w:rPr>
                <w:b/>
                <w:bCs/>
                <w:szCs w:val="22"/>
              </w:rPr>
              <w:t>Class 4 (c/kL)</w:t>
            </w:r>
          </w:p>
        </w:tc>
        <w:tc>
          <w:tcPr>
            <w:tcW w:w="994" w:type="dxa"/>
            <w:tcBorders>
              <w:top w:val="single" w:sz="4" w:space="0" w:color="auto"/>
              <w:bottom w:val="single" w:sz="4" w:space="0" w:color="auto"/>
            </w:tcBorders>
          </w:tcPr>
          <w:p>
            <w:pPr>
              <w:pStyle w:val="yTableNAm"/>
              <w:jc w:val="center"/>
            </w:pPr>
            <w:r>
              <w:rPr>
                <w:b/>
                <w:bCs/>
                <w:szCs w:val="22"/>
              </w:rPr>
              <w:t>Class 5 (c/kL)</w:t>
            </w:r>
          </w:p>
        </w:tc>
      </w:tr>
      <w:tr>
        <w:trPr>
          <w:cantSplit/>
        </w:trPr>
        <w:tc>
          <w:tcPr>
            <w:tcW w:w="1417" w:type="dxa"/>
          </w:tcPr>
          <w:p>
            <w:pPr>
              <w:pStyle w:val="yTableNAm"/>
            </w:pPr>
            <w:r>
              <w:rPr>
                <w:szCs w:val="22"/>
              </w:rPr>
              <w:t>Up to 150</w:t>
            </w:r>
          </w:p>
        </w:tc>
        <w:tc>
          <w:tcPr>
            <w:tcW w:w="992" w:type="dxa"/>
            <w:vAlign w:val="bottom"/>
          </w:tcPr>
          <w:p>
            <w:pPr>
              <w:pStyle w:val="yTableNAm"/>
              <w:jc w:val="center"/>
            </w:pPr>
            <w:r>
              <w:rPr>
                <w:szCs w:val="22"/>
              </w:rPr>
              <w:t>52.0</w:t>
            </w:r>
          </w:p>
        </w:tc>
        <w:tc>
          <w:tcPr>
            <w:tcW w:w="992" w:type="dxa"/>
            <w:vAlign w:val="bottom"/>
          </w:tcPr>
          <w:p>
            <w:pPr>
              <w:pStyle w:val="yTableNAm"/>
              <w:jc w:val="center"/>
            </w:pPr>
            <w:r>
              <w:rPr>
                <w:szCs w:val="22"/>
              </w:rPr>
              <w:t>66.8</w:t>
            </w:r>
          </w:p>
        </w:tc>
        <w:tc>
          <w:tcPr>
            <w:tcW w:w="992" w:type="dxa"/>
            <w:vAlign w:val="bottom"/>
          </w:tcPr>
          <w:p>
            <w:pPr>
              <w:pStyle w:val="yTableNAm"/>
              <w:jc w:val="center"/>
            </w:pPr>
            <w:r>
              <w:rPr>
                <w:szCs w:val="22"/>
              </w:rPr>
              <w:t>66.8</w:t>
            </w:r>
          </w:p>
        </w:tc>
        <w:tc>
          <w:tcPr>
            <w:tcW w:w="992" w:type="dxa"/>
            <w:vAlign w:val="bottom"/>
          </w:tcPr>
          <w:p>
            <w:pPr>
              <w:pStyle w:val="yTableNAm"/>
              <w:jc w:val="center"/>
            </w:pPr>
            <w:r>
              <w:rPr>
                <w:szCs w:val="22"/>
              </w:rPr>
              <w:t>66.8</w:t>
            </w:r>
          </w:p>
        </w:tc>
        <w:tc>
          <w:tcPr>
            <w:tcW w:w="994" w:type="dxa"/>
            <w:vAlign w:val="bottom"/>
          </w:tcPr>
          <w:p>
            <w:pPr>
              <w:pStyle w:val="yTableNAm"/>
              <w:jc w:val="center"/>
            </w:pPr>
            <w:r>
              <w:rPr>
                <w:szCs w:val="22"/>
              </w:rPr>
              <w:t>66.8</w:t>
            </w:r>
          </w:p>
        </w:tc>
      </w:tr>
      <w:tr>
        <w:trPr>
          <w:cantSplit/>
        </w:trPr>
        <w:tc>
          <w:tcPr>
            <w:tcW w:w="1417" w:type="dxa"/>
          </w:tcPr>
          <w:p>
            <w:pPr>
              <w:pStyle w:val="yTableNAm"/>
            </w:pPr>
            <w:r>
              <w:rPr>
                <w:szCs w:val="22"/>
              </w:rPr>
              <w:t>Over 150 but not over 300</w:t>
            </w:r>
          </w:p>
        </w:tc>
        <w:tc>
          <w:tcPr>
            <w:tcW w:w="992" w:type="dxa"/>
            <w:vAlign w:val="bottom"/>
          </w:tcPr>
          <w:p>
            <w:pPr>
              <w:pStyle w:val="yTableNAm"/>
              <w:jc w:val="center"/>
            </w:pPr>
            <w:r>
              <w:rPr>
                <w:szCs w:val="22"/>
              </w:rPr>
              <w:t>67.8</w:t>
            </w:r>
          </w:p>
        </w:tc>
        <w:tc>
          <w:tcPr>
            <w:tcW w:w="992" w:type="dxa"/>
            <w:vAlign w:val="bottom"/>
          </w:tcPr>
          <w:p>
            <w:pPr>
              <w:pStyle w:val="yTableNAm"/>
              <w:jc w:val="center"/>
            </w:pPr>
            <w:r>
              <w:rPr>
                <w:szCs w:val="22"/>
              </w:rPr>
              <w:t>87.4</w:t>
            </w:r>
          </w:p>
        </w:tc>
        <w:tc>
          <w:tcPr>
            <w:tcW w:w="992" w:type="dxa"/>
            <w:vAlign w:val="bottom"/>
          </w:tcPr>
          <w:p>
            <w:pPr>
              <w:pStyle w:val="yTableNAm"/>
              <w:jc w:val="center"/>
            </w:pPr>
            <w:r>
              <w:rPr>
                <w:szCs w:val="22"/>
              </w:rPr>
              <w:t>87.4</w:t>
            </w:r>
          </w:p>
        </w:tc>
        <w:tc>
          <w:tcPr>
            <w:tcW w:w="992" w:type="dxa"/>
            <w:vAlign w:val="bottom"/>
          </w:tcPr>
          <w:p>
            <w:pPr>
              <w:pStyle w:val="yTableNAm"/>
              <w:jc w:val="center"/>
            </w:pPr>
            <w:r>
              <w:rPr>
                <w:szCs w:val="22"/>
              </w:rPr>
              <w:t>87.4</w:t>
            </w:r>
          </w:p>
        </w:tc>
        <w:tc>
          <w:tcPr>
            <w:tcW w:w="994" w:type="dxa"/>
            <w:vAlign w:val="bottom"/>
          </w:tcPr>
          <w:p>
            <w:pPr>
              <w:pStyle w:val="yTableNAm"/>
              <w:jc w:val="center"/>
            </w:pPr>
            <w:r>
              <w:rPr>
                <w:szCs w:val="22"/>
              </w:rPr>
              <w:t>87.4</w:t>
            </w:r>
          </w:p>
        </w:tc>
      </w:tr>
      <w:tr>
        <w:trPr>
          <w:cantSplit/>
        </w:trPr>
        <w:tc>
          <w:tcPr>
            <w:tcW w:w="1417" w:type="dxa"/>
          </w:tcPr>
          <w:p>
            <w:pPr>
              <w:pStyle w:val="yTableNAm"/>
            </w:pPr>
            <w:r>
              <w:rPr>
                <w:szCs w:val="22"/>
              </w:rPr>
              <w:t>Over 300 but not over 350</w:t>
            </w:r>
          </w:p>
        </w:tc>
        <w:tc>
          <w:tcPr>
            <w:tcW w:w="992" w:type="dxa"/>
            <w:vAlign w:val="bottom"/>
          </w:tcPr>
          <w:p>
            <w:pPr>
              <w:pStyle w:val="yTableNAm"/>
              <w:jc w:val="center"/>
            </w:pPr>
            <w:r>
              <w:rPr>
                <w:szCs w:val="22"/>
              </w:rPr>
              <w:t>73.8</w:t>
            </w:r>
          </w:p>
        </w:tc>
        <w:tc>
          <w:tcPr>
            <w:tcW w:w="992" w:type="dxa"/>
            <w:vAlign w:val="bottom"/>
          </w:tcPr>
          <w:p>
            <w:pPr>
              <w:pStyle w:val="yTableNAm"/>
              <w:jc w:val="center"/>
            </w:pPr>
            <w:r>
              <w:rPr>
                <w:szCs w:val="22"/>
              </w:rPr>
              <w:t>102.1</w:t>
            </w:r>
          </w:p>
        </w:tc>
        <w:tc>
          <w:tcPr>
            <w:tcW w:w="992" w:type="dxa"/>
            <w:vAlign w:val="bottom"/>
          </w:tcPr>
          <w:p>
            <w:pPr>
              <w:pStyle w:val="yTableNAm"/>
              <w:jc w:val="center"/>
            </w:pPr>
            <w:r>
              <w:rPr>
                <w:szCs w:val="22"/>
              </w:rPr>
              <w:t>130.1</w:t>
            </w:r>
          </w:p>
        </w:tc>
        <w:tc>
          <w:tcPr>
            <w:tcW w:w="992" w:type="dxa"/>
            <w:vAlign w:val="bottom"/>
          </w:tcPr>
          <w:p>
            <w:pPr>
              <w:pStyle w:val="yTableNAm"/>
              <w:jc w:val="center"/>
            </w:pPr>
            <w:r>
              <w:rPr>
                <w:szCs w:val="22"/>
              </w:rPr>
              <w:t>153.1</w:t>
            </w:r>
          </w:p>
        </w:tc>
        <w:tc>
          <w:tcPr>
            <w:tcW w:w="994" w:type="dxa"/>
            <w:vAlign w:val="bottom"/>
          </w:tcPr>
          <w:p>
            <w:pPr>
              <w:pStyle w:val="yTableNAm"/>
              <w:jc w:val="center"/>
            </w:pPr>
            <w:r>
              <w:rPr>
                <w:szCs w:val="22"/>
              </w:rPr>
              <w:t>180.0</w:t>
            </w:r>
          </w:p>
        </w:tc>
      </w:tr>
      <w:tr>
        <w:trPr>
          <w:cantSplit/>
        </w:trPr>
        <w:tc>
          <w:tcPr>
            <w:tcW w:w="1417" w:type="dxa"/>
          </w:tcPr>
          <w:p>
            <w:pPr>
              <w:pStyle w:val="yTableNAm"/>
            </w:pPr>
            <w:r>
              <w:rPr>
                <w:szCs w:val="22"/>
              </w:rPr>
              <w:t>Over 350 but not over 400</w:t>
            </w:r>
          </w:p>
        </w:tc>
        <w:tc>
          <w:tcPr>
            <w:tcW w:w="992" w:type="dxa"/>
            <w:vAlign w:val="bottom"/>
          </w:tcPr>
          <w:p>
            <w:pPr>
              <w:pStyle w:val="yTableNAm"/>
              <w:jc w:val="center"/>
            </w:pPr>
            <w:r>
              <w:rPr>
                <w:szCs w:val="22"/>
              </w:rPr>
              <w:t>73.8</w:t>
            </w:r>
          </w:p>
        </w:tc>
        <w:tc>
          <w:tcPr>
            <w:tcW w:w="992" w:type="dxa"/>
            <w:vAlign w:val="bottom"/>
          </w:tcPr>
          <w:p>
            <w:pPr>
              <w:pStyle w:val="yTableNAm"/>
              <w:jc w:val="center"/>
            </w:pPr>
            <w:r>
              <w:rPr>
                <w:szCs w:val="22"/>
              </w:rPr>
              <w:t>102.1</w:t>
            </w:r>
          </w:p>
        </w:tc>
        <w:tc>
          <w:tcPr>
            <w:tcW w:w="992" w:type="dxa"/>
            <w:vAlign w:val="bottom"/>
          </w:tcPr>
          <w:p>
            <w:pPr>
              <w:pStyle w:val="yTableNAm"/>
              <w:jc w:val="center"/>
            </w:pPr>
            <w:r>
              <w:rPr>
                <w:szCs w:val="22"/>
              </w:rPr>
              <w:t>130.1</w:t>
            </w:r>
          </w:p>
        </w:tc>
        <w:tc>
          <w:tcPr>
            <w:tcW w:w="992" w:type="dxa"/>
            <w:vAlign w:val="bottom"/>
          </w:tcPr>
          <w:p>
            <w:pPr>
              <w:pStyle w:val="yTableNAm"/>
              <w:jc w:val="center"/>
            </w:pPr>
            <w:r>
              <w:rPr>
                <w:szCs w:val="22"/>
              </w:rPr>
              <w:t>153.1</w:t>
            </w:r>
          </w:p>
        </w:tc>
        <w:tc>
          <w:tcPr>
            <w:tcW w:w="994" w:type="dxa"/>
            <w:vAlign w:val="bottom"/>
          </w:tcPr>
          <w:p>
            <w:pPr>
              <w:pStyle w:val="yTableNAm"/>
              <w:jc w:val="center"/>
            </w:pPr>
            <w:r>
              <w:rPr>
                <w:szCs w:val="22"/>
              </w:rPr>
              <w:t>180.0</w:t>
            </w:r>
          </w:p>
        </w:tc>
      </w:tr>
      <w:tr>
        <w:trPr>
          <w:cantSplit/>
        </w:trPr>
        <w:tc>
          <w:tcPr>
            <w:tcW w:w="1417" w:type="dxa"/>
          </w:tcPr>
          <w:p>
            <w:pPr>
              <w:pStyle w:val="yTableNAm"/>
            </w:pPr>
            <w:r>
              <w:rPr>
                <w:szCs w:val="22"/>
              </w:rPr>
              <w:t>Over 400 but not over 450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vAlign w:val="bottom"/>
          </w:tcPr>
          <w:p>
            <w:pPr>
              <w:pStyle w:val="yTableNAm"/>
              <w:jc w:val="center"/>
            </w:pPr>
            <w:r>
              <w:rPr>
                <w:szCs w:val="22"/>
              </w:rPr>
              <w:t>306.1</w:t>
            </w:r>
          </w:p>
        </w:tc>
        <w:tc>
          <w:tcPr>
            <w:tcW w:w="994" w:type="dxa"/>
            <w:vAlign w:val="bottom"/>
          </w:tcPr>
          <w:p>
            <w:pPr>
              <w:pStyle w:val="yTableNAm"/>
              <w:jc w:val="center"/>
            </w:pPr>
            <w:r>
              <w:rPr>
                <w:szCs w:val="22"/>
              </w:rPr>
              <w:t>360.0</w:t>
            </w:r>
          </w:p>
        </w:tc>
      </w:tr>
      <w:tr>
        <w:trPr>
          <w:cantSplit/>
        </w:trPr>
        <w:tc>
          <w:tcPr>
            <w:tcW w:w="1417" w:type="dxa"/>
          </w:tcPr>
          <w:p>
            <w:pPr>
              <w:pStyle w:val="yTableNAm"/>
            </w:pPr>
            <w:r>
              <w:rPr>
                <w:szCs w:val="22"/>
              </w:rPr>
              <w:t>Over 450 but not over 550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vAlign w:val="bottom"/>
          </w:tcPr>
          <w:p>
            <w:pPr>
              <w:pStyle w:val="yTableNAm"/>
              <w:jc w:val="center"/>
            </w:pPr>
            <w:r>
              <w:rPr>
                <w:szCs w:val="22"/>
              </w:rPr>
              <w:t>306.1</w:t>
            </w:r>
          </w:p>
        </w:tc>
        <w:tc>
          <w:tcPr>
            <w:tcW w:w="994" w:type="dxa"/>
            <w:vAlign w:val="bottom"/>
          </w:tcPr>
          <w:p>
            <w:pPr>
              <w:pStyle w:val="yTableNAm"/>
              <w:jc w:val="center"/>
            </w:pPr>
            <w:r>
              <w:rPr>
                <w:szCs w:val="22"/>
              </w:rPr>
              <w:t>360.0</w:t>
            </w:r>
          </w:p>
        </w:tc>
      </w:tr>
      <w:tr>
        <w:trPr>
          <w:cantSplit/>
        </w:trPr>
        <w:tc>
          <w:tcPr>
            <w:tcW w:w="1417" w:type="dxa"/>
          </w:tcPr>
          <w:p>
            <w:pPr>
              <w:pStyle w:val="yTableNAm"/>
            </w:pPr>
            <w:r>
              <w:rPr>
                <w:szCs w:val="22"/>
              </w:rPr>
              <w:t>Over 550 but not over 750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Pr>
          <w:p>
            <w:pPr>
              <w:pStyle w:val="yTableNAm"/>
            </w:pPr>
            <w:r>
              <w:rPr>
                <w:szCs w:val="22"/>
              </w:rPr>
              <w:t>Over 750 but not over 950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Pr>
          <w:p>
            <w:pPr>
              <w:pStyle w:val="yTableNAm"/>
            </w:pPr>
            <w:r>
              <w:rPr>
                <w:szCs w:val="22"/>
              </w:rPr>
              <w:t>Over 950 but not over 1 150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Pr>
          <w:p>
            <w:pPr>
              <w:pStyle w:val="yTableNAm"/>
            </w:pPr>
            <w:r>
              <w:rPr>
                <w:szCs w:val="22"/>
              </w:rPr>
              <w:t>Over 1 150 but not over 1 550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Pr>
          <w:p>
            <w:pPr>
              <w:pStyle w:val="yTableNAm"/>
            </w:pPr>
            <w:r>
              <w:rPr>
                <w:szCs w:val="22"/>
              </w:rPr>
              <w:t>Over 1 550 but not over 1 950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Borders>
              <w:bottom w:val="single" w:sz="4" w:space="0" w:color="auto"/>
            </w:tcBorders>
          </w:tcPr>
          <w:p>
            <w:pPr>
              <w:pStyle w:val="yTableNAm"/>
            </w:pPr>
            <w:r>
              <w:rPr>
                <w:szCs w:val="22"/>
              </w:rPr>
              <w:t>Over 1 950</w:t>
            </w:r>
          </w:p>
        </w:tc>
        <w:tc>
          <w:tcPr>
            <w:tcW w:w="992" w:type="dxa"/>
            <w:tcBorders>
              <w:bottom w:val="single" w:sz="4" w:space="0" w:color="auto"/>
            </w:tcBorders>
            <w:vAlign w:val="bottom"/>
          </w:tcPr>
          <w:p>
            <w:pPr>
              <w:pStyle w:val="yTableNAm"/>
              <w:jc w:val="center"/>
            </w:pPr>
            <w:r>
              <w:rPr>
                <w:szCs w:val="22"/>
              </w:rPr>
              <w:t>173.4</w:t>
            </w:r>
          </w:p>
        </w:tc>
        <w:tc>
          <w:tcPr>
            <w:tcW w:w="992" w:type="dxa"/>
            <w:tcBorders>
              <w:bottom w:val="single" w:sz="4" w:space="0" w:color="auto"/>
            </w:tcBorders>
            <w:vAlign w:val="bottom"/>
          </w:tcPr>
          <w:p>
            <w:pPr>
              <w:pStyle w:val="yTableNAm"/>
              <w:jc w:val="center"/>
            </w:pPr>
            <w:r>
              <w:rPr>
                <w:szCs w:val="22"/>
              </w:rPr>
              <w:t>239.8</w:t>
            </w:r>
          </w:p>
        </w:tc>
        <w:tc>
          <w:tcPr>
            <w:tcW w:w="992" w:type="dxa"/>
            <w:tcBorders>
              <w:bottom w:val="single" w:sz="4" w:space="0" w:color="auto"/>
            </w:tcBorders>
            <w:vAlign w:val="bottom"/>
          </w:tcPr>
          <w:p>
            <w:pPr>
              <w:pStyle w:val="yTableNAm"/>
              <w:jc w:val="center"/>
            </w:pPr>
            <w:r>
              <w:rPr>
                <w:szCs w:val="22"/>
              </w:rPr>
              <w:t>331.7</w:t>
            </w:r>
          </w:p>
        </w:tc>
        <w:tc>
          <w:tcPr>
            <w:tcW w:w="992" w:type="dxa"/>
            <w:tcBorders>
              <w:bottom w:val="single" w:sz="4" w:space="0" w:color="auto"/>
            </w:tcBorders>
            <w:vAlign w:val="bottom"/>
          </w:tcPr>
          <w:p>
            <w:pPr>
              <w:pStyle w:val="yTableNAm"/>
              <w:jc w:val="center"/>
            </w:pPr>
            <w:r>
              <w:rPr>
                <w:szCs w:val="22"/>
              </w:rPr>
              <w:t>458.9</w:t>
            </w:r>
          </w:p>
        </w:tc>
        <w:tc>
          <w:tcPr>
            <w:tcW w:w="994" w:type="dxa"/>
            <w:tcBorders>
              <w:bottom w:val="single" w:sz="4" w:space="0" w:color="auto"/>
            </w:tcBorders>
            <w:vAlign w:val="bottom"/>
          </w:tcPr>
          <w:p>
            <w:pPr>
              <w:pStyle w:val="yTableNAm"/>
              <w:jc w:val="center"/>
            </w:pPr>
            <w:r>
              <w:rPr>
                <w:szCs w:val="22"/>
              </w:rPr>
              <w:t>634.7</w:t>
            </w:r>
          </w:p>
        </w:tc>
      </w:tr>
    </w:tbl>
    <w:p>
      <w:pPr>
        <w:pStyle w:val="yMiscellaneousBody"/>
      </w:pP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zyTableNAm"/>
              <w:rPr>
                <w:rStyle w:val="CharSClsNo"/>
              </w:rPr>
            </w:pPr>
          </w:p>
        </w:tc>
        <w:tc>
          <w:tcPr>
            <w:tcW w:w="4237" w:type="dxa"/>
          </w:tcPr>
          <w:p>
            <w:pPr>
              <w:pStyle w:val="yTableNAm"/>
            </w:pPr>
            <w:r>
              <w:t>except that if the property is —</w:t>
            </w:r>
          </w:p>
        </w:tc>
        <w:tc>
          <w:tcPr>
            <w:tcW w:w="1292" w:type="dxa"/>
          </w:tcPr>
          <w:p>
            <w:pPr>
              <w:pStyle w:val="yTableNAm"/>
            </w:pPr>
          </w:p>
        </w:tc>
      </w:tr>
      <w:tr>
        <w:trPr>
          <w:cantSplit/>
        </w:trPr>
        <w:tc>
          <w:tcPr>
            <w:tcW w:w="850" w:type="dxa"/>
          </w:tcPr>
          <w:p>
            <w:pPr>
              <w:pStyle w:val="zyTableNAm"/>
              <w:rPr>
                <w:rStyle w:val="CharSClsNo"/>
                <w:b/>
                <w:bCs/>
              </w:rPr>
            </w:pPr>
          </w:p>
        </w:tc>
        <w:tc>
          <w:tcPr>
            <w:tcW w:w="4237" w:type="dxa"/>
          </w:tcPr>
          <w:p>
            <w:pPr>
              <w:pStyle w:val="yTableNAm"/>
              <w:tabs>
                <w:tab w:val="clear" w:pos="567"/>
                <w:tab w:val="left" w:pos="176"/>
              </w:tabs>
              <w:ind w:left="656" w:hanging="656"/>
            </w:pPr>
            <w:r>
              <w:rPr>
                <w:snapToGrid w:val="0"/>
              </w:rPr>
              <w:tab/>
              <w:t>(a)</w:t>
            </w:r>
            <w:r>
              <w:rPr>
                <w:snapToGrid w:val="0"/>
              </w:rPr>
              <w:tab/>
              <w:t>in the town of Cue, Laverton, Leonora, Meekatharra, Menzies, Mt Magnet, Mullewa, Sandstone, Wiluna or Yalgoo; or</w:t>
            </w:r>
          </w:p>
        </w:tc>
        <w:tc>
          <w:tcPr>
            <w:tcW w:w="1292" w:type="dxa"/>
          </w:tcPr>
          <w:p>
            <w:pPr>
              <w:pStyle w:val="yTableNAm"/>
            </w:pPr>
          </w:p>
        </w:tc>
      </w:tr>
      <w:tr>
        <w:trPr>
          <w:cantSplit/>
        </w:trPr>
        <w:tc>
          <w:tcPr>
            <w:tcW w:w="850" w:type="dxa"/>
          </w:tcPr>
          <w:p>
            <w:pPr>
              <w:pStyle w:val="zyTableNAm"/>
              <w:rPr>
                <w:rStyle w:val="CharSClsNo"/>
              </w:rPr>
            </w:pPr>
          </w:p>
        </w:tc>
        <w:tc>
          <w:tcPr>
            <w:tcW w:w="4237" w:type="dxa"/>
          </w:tcPr>
          <w:p>
            <w:pPr>
              <w:pStyle w:val="yTableNAm"/>
              <w:tabs>
                <w:tab w:val="clear" w:pos="567"/>
                <w:tab w:val="left" w:pos="176"/>
              </w:tabs>
              <w:ind w:left="656" w:hanging="656"/>
            </w:pPr>
            <w:r>
              <w:rPr>
                <w:snapToGrid w:val="0"/>
              </w:rPr>
              <w:tab/>
              <w:t>(b)</w:t>
            </w:r>
            <w:r>
              <w:rPr>
                <w:snapToGrid w:val="0"/>
              </w:rPr>
              <w:tab/>
              <w:t>north of 26ºS Latitude,</w:t>
            </w:r>
          </w:p>
        </w:tc>
        <w:tc>
          <w:tcPr>
            <w:tcW w:w="1292" w:type="dxa"/>
          </w:tcPr>
          <w:p>
            <w:pPr>
              <w:pStyle w:val="yTableNAm"/>
            </w:pPr>
          </w:p>
        </w:tc>
      </w:tr>
      <w:tr>
        <w:trPr>
          <w:cantSplit/>
        </w:trPr>
        <w:tc>
          <w:tcPr>
            <w:tcW w:w="850" w:type="dxa"/>
          </w:tcPr>
          <w:p>
            <w:pPr>
              <w:pStyle w:val="zyTableNAm"/>
              <w:rPr>
                <w:rStyle w:val="CharSClsNo"/>
              </w:rPr>
            </w:pPr>
          </w:p>
        </w:tc>
        <w:tc>
          <w:tcPr>
            <w:tcW w:w="4237" w:type="dxa"/>
          </w:tcPr>
          <w:p>
            <w:pPr>
              <w:pStyle w:val="yTableNAm"/>
              <w:rPr>
                <w:snapToGrid w:val="0"/>
              </w:rPr>
            </w:pPr>
            <w:r>
              <w:t>the charge for each kilolitre of water is —</w:t>
            </w:r>
          </w:p>
        </w:tc>
        <w:tc>
          <w:tcPr>
            <w:tcW w:w="1292" w:type="dxa"/>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994"/>
      </w:tblGrid>
      <w:tr>
        <w:trPr>
          <w:cantSplit/>
          <w:tblHeader/>
        </w:trPr>
        <w:tc>
          <w:tcPr>
            <w:tcW w:w="1417" w:type="dxa"/>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jc w:val="center"/>
            </w:pPr>
            <w:r>
              <w:rPr>
                <w:b/>
                <w:bCs/>
              </w:rPr>
              <w:t>Class 1 (c/kL)</w:t>
            </w:r>
          </w:p>
        </w:tc>
        <w:tc>
          <w:tcPr>
            <w:tcW w:w="992" w:type="dxa"/>
            <w:tcBorders>
              <w:top w:val="single" w:sz="4" w:space="0" w:color="auto"/>
              <w:bottom w:val="single" w:sz="4" w:space="0" w:color="auto"/>
            </w:tcBorders>
          </w:tcPr>
          <w:p>
            <w:pPr>
              <w:pStyle w:val="yTableNAm"/>
              <w:jc w:val="center"/>
            </w:pPr>
            <w:r>
              <w:rPr>
                <w:b/>
                <w:bCs/>
              </w:rPr>
              <w:t>Class 2 (c/kL)</w:t>
            </w:r>
          </w:p>
        </w:tc>
        <w:tc>
          <w:tcPr>
            <w:tcW w:w="992" w:type="dxa"/>
            <w:tcBorders>
              <w:top w:val="single" w:sz="4" w:space="0" w:color="auto"/>
              <w:bottom w:val="single" w:sz="4" w:space="0" w:color="auto"/>
            </w:tcBorders>
          </w:tcPr>
          <w:p>
            <w:pPr>
              <w:pStyle w:val="yTableNAm"/>
              <w:jc w:val="center"/>
            </w:pPr>
            <w:r>
              <w:rPr>
                <w:b/>
                <w:bCs/>
              </w:rPr>
              <w:t>Class 3 (c/kL)</w:t>
            </w:r>
          </w:p>
        </w:tc>
        <w:tc>
          <w:tcPr>
            <w:tcW w:w="992" w:type="dxa"/>
            <w:tcBorders>
              <w:top w:val="single" w:sz="4" w:space="0" w:color="auto"/>
              <w:bottom w:val="single" w:sz="4" w:space="0" w:color="auto"/>
            </w:tcBorders>
          </w:tcPr>
          <w:p>
            <w:pPr>
              <w:pStyle w:val="yTableNAm"/>
              <w:jc w:val="center"/>
            </w:pPr>
            <w:r>
              <w:rPr>
                <w:b/>
                <w:bCs/>
              </w:rPr>
              <w:t>Class 4 (c/kL)</w:t>
            </w:r>
          </w:p>
        </w:tc>
        <w:tc>
          <w:tcPr>
            <w:tcW w:w="994" w:type="dxa"/>
            <w:tcBorders>
              <w:top w:val="single" w:sz="4" w:space="0" w:color="auto"/>
              <w:bottom w:val="single" w:sz="4" w:space="0" w:color="auto"/>
            </w:tcBorders>
          </w:tcPr>
          <w:p>
            <w:pPr>
              <w:pStyle w:val="yTableNAm"/>
              <w:jc w:val="center"/>
            </w:pPr>
            <w:r>
              <w:rPr>
                <w:b/>
                <w:bCs/>
              </w:rPr>
              <w:t>Class 5 (c/kL)</w:t>
            </w:r>
          </w:p>
        </w:tc>
      </w:tr>
      <w:tr>
        <w:trPr>
          <w:cantSplit/>
        </w:trPr>
        <w:tc>
          <w:tcPr>
            <w:tcW w:w="1417" w:type="dxa"/>
          </w:tcPr>
          <w:p>
            <w:pPr>
              <w:pStyle w:val="yTableNAm"/>
            </w:pPr>
            <w:r>
              <w:t>Up to 150</w:t>
            </w:r>
          </w:p>
        </w:tc>
        <w:tc>
          <w:tcPr>
            <w:tcW w:w="992" w:type="dxa"/>
            <w:vAlign w:val="bottom"/>
          </w:tcPr>
          <w:p>
            <w:pPr>
              <w:pStyle w:val="yTableNAm"/>
              <w:jc w:val="center"/>
            </w:pPr>
            <w:r>
              <w:rPr>
                <w:szCs w:val="22"/>
              </w:rPr>
              <w:t>52.0</w:t>
            </w:r>
          </w:p>
        </w:tc>
        <w:tc>
          <w:tcPr>
            <w:tcW w:w="992" w:type="dxa"/>
            <w:vAlign w:val="bottom"/>
          </w:tcPr>
          <w:p>
            <w:pPr>
              <w:pStyle w:val="yTableNAm"/>
              <w:jc w:val="center"/>
            </w:pPr>
            <w:r>
              <w:rPr>
                <w:szCs w:val="22"/>
              </w:rPr>
              <w:t>66.8</w:t>
            </w:r>
          </w:p>
        </w:tc>
        <w:tc>
          <w:tcPr>
            <w:tcW w:w="992" w:type="dxa"/>
            <w:vAlign w:val="bottom"/>
          </w:tcPr>
          <w:p>
            <w:pPr>
              <w:pStyle w:val="yTableNAm"/>
              <w:jc w:val="center"/>
            </w:pPr>
            <w:r>
              <w:rPr>
                <w:szCs w:val="22"/>
              </w:rPr>
              <w:t>66.8</w:t>
            </w:r>
          </w:p>
        </w:tc>
        <w:tc>
          <w:tcPr>
            <w:tcW w:w="992" w:type="dxa"/>
            <w:vAlign w:val="bottom"/>
          </w:tcPr>
          <w:p>
            <w:pPr>
              <w:pStyle w:val="yTableNAm"/>
              <w:jc w:val="center"/>
            </w:pPr>
            <w:r>
              <w:rPr>
                <w:szCs w:val="22"/>
              </w:rPr>
              <w:t>66.8</w:t>
            </w:r>
          </w:p>
        </w:tc>
        <w:tc>
          <w:tcPr>
            <w:tcW w:w="994" w:type="dxa"/>
            <w:vAlign w:val="bottom"/>
          </w:tcPr>
          <w:p>
            <w:pPr>
              <w:pStyle w:val="yTableNAm"/>
              <w:jc w:val="center"/>
            </w:pPr>
            <w:r>
              <w:rPr>
                <w:szCs w:val="22"/>
              </w:rPr>
              <w:t>66.8</w:t>
            </w:r>
          </w:p>
        </w:tc>
      </w:tr>
      <w:tr>
        <w:trPr>
          <w:cantSplit/>
        </w:trPr>
        <w:tc>
          <w:tcPr>
            <w:tcW w:w="1417" w:type="dxa"/>
          </w:tcPr>
          <w:p>
            <w:pPr>
              <w:pStyle w:val="yTableNAm"/>
            </w:pPr>
            <w:r>
              <w:t>Over 150 but not over 350</w:t>
            </w:r>
          </w:p>
        </w:tc>
        <w:tc>
          <w:tcPr>
            <w:tcW w:w="992" w:type="dxa"/>
            <w:vAlign w:val="bottom"/>
          </w:tcPr>
          <w:p>
            <w:pPr>
              <w:pStyle w:val="yTableNAm"/>
              <w:jc w:val="center"/>
            </w:pPr>
            <w:r>
              <w:rPr>
                <w:szCs w:val="22"/>
              </w:rPr>
              <w:t>52.0</w:t>
            </w:r>
          </w:p>
        </w:tc>
        <w:tc>
          <w:tcPr>
            <w:tcW w:w="992" w:type="dxa"/>
            <w:vAlign w:val="bottom"/>
          </w:tcPr>
          <w:p>
            <w:pPr>
              <w:pStyle w:val="yTableNAm"/>
              <w:jc w:val="center"/>
            </w:pPr>
            <w:r>
              <w:rPr>
                <w:szCs w:val="22"/>
              </w:rPr>
              <w:t>66.8</w:t>
            </w:r>
          </w:p>
        </w:tc>
        <w:tc>
          <w:tcPr>
            <w:tcW w:w="992" w:type="dxa"/>
            <w:vAlign w:val="bottom"/>
          </w:tcPr>
          <w:p>
            <w:pPr>
              <w:pStyle w:val="yTableNAm"/>
              <w:jc w:val="center"/>
            </w:pPr>
            <w:r>
              <w:rPr>
                <w:szCs w:val="22"/>
              </w:rPr>
              <w:t>66.8</w:t>
            </w:r>
          </w:p>
        </w:tc>
        <w:tc>
          <w:tcPr>
            <w:tcW w:w="992" w:type="dxa"/>
            <w:vAlign w:val="bottom"/>
          </w:tcPr>
          <w:p>
            <w:pPr>
              <w:pStyle w:val="yTableNAm"/>
              <w:jc w:val="center"/>
            </w:pPr>
            <w:r>
              <w:rPr>
                <w:szCs w:val="22"/>
              </w:rPr>
              <w:t>66.8</w:t>
            </w:r>
          </w:p>
        </w:tc>
        <w:tc>
          <w:tcPr>
            <w:tcW w:w="994" w:type="dxa"/>
            <w:vAlign w:val="bottom"/>
          </w:tcPr>
          <w:p>
            <w:pPr>
              <w:pStyle w:val="yTableNAm"/>
              <w:jc w:val="center"/>
            </w:pPr>
            <w:r>
              <w:rPr>
                <w:szCs w:val="22"/>
              </w:rPr>
              <w:t>66.8</w:t>
            </w:r>
          </w:p>
        </w:tc>
      </w:tr>
      <w:tr>
        <w:trPr>
          <w:cantSplit/>
        </w:trPr>
        <w:tc>
          <w:tcPr>
            <w:tcW w:w="1417" w:type="dxa"/>
          </w:tcPr>
          <w:p>
            <w:pPr>
              <w:pStyle w:val="yTableNAm"/>
            </w:pPr>
            <w:r>
              <w:t>Over 350 but not over 500</w:t>
            </w:r>
          </w:p>
        </w:tc>
        <w:tc>
          <w:tcPr>
            <w:tcW w:w="992" w:type="dxa"/>
            <w:vAlign w:val="bottom"/>
          </w:tcPr>
          <w:p>
            <w:pPr>
              <w:pStyle w:val="yTableNAm"/>
              <w:jc w:val="center"/>
            </w:pPr>
            <w:r>
              <w:rPr>
                <w:szCs w:val="22"/>
              </w:rPr>
              <w:t>67.8</w:t>
            </w:r>
          </w:p>
        </w:tc>
        <w:tc>
          <w:tcPr>
            <w:tcW w:w="992" w:type="dxa"/>
            <w:vAlign w:val="bottom"/>
          </w:tcPr>
          <w:p>
            <w:pPr>
              <w:pStyle w:val="yTableNAm"/>
              <w:jc w:val="center"/>
            </w:pPr>
            <w:r>
              <w:rPr>
                <w:szCs w:val="22"/>
              </w:rPr>
              <w:t>87.4</w:t>
            </w:r>
          </w:p>
        </w:tc>
        <w:tc>
          <w:tcPr>
            <w:tcW w:w="992" w:type="dxa"/>
            <w:vAlign w:val="bottom"/>
          </w:tcPr>
          <w:p>
            <w:pPr>
              <w:pStyle w:val="yTableNAm"/>
              <w:jc w:val="center"/>
            </w:pPr>
            <w:r>
              <w:rPr>
                <w:szCs w:val="22"/>
              </w:rPr>
              <w:t>87.4</w:t>
            </w:r>
          </w:p>
        </w:tc>
        <w:tc>
          <w:tcPr>
            <w:tcW w:w="992" w:type="dxa"/>
            <w:vAlign w:val="bottom"/>
          </w:tcPr>
          <w:p>
            <w:pPr>
              <w:pStyle w:val="yTableNAm"/>
              <w:jc w:val="center"/>
            </w:pPr>
            <w:r>
              <w:rPr>
                <w:szCs w:val="22"/>
              </w:rPr>
              <w:t>87.4</w:t>
            </w:r>
          </w:p>
        </w:tc>
        <w:tc>
          <w:tcPr>
            <w:tcW w:w="994" w:type="dxa"/>
            <w:vAlign w:val="bottom"/>
          </w:tcPr>
          <w:p>
            <w:pPr>
              <w:pStyle w:val="yTableNAm"/>
              <w:jc w:val="center"/>
            </w:pPr>
            <w:r>
              <w:rPr>
                <w:szCs w:val="22"/>
              </w:rPr>
              <w:t>87.4</w:t>
            </w:r>
          </w:p>
        </w:tc>
      </w:tr>
      <w:tr>
        <w:trPr>
          <w:cantSplit/>
        </w:trPr>
        <w:tc>
          <w:tcPr>
            <w:tcW w:w="1417" w:type="dxa"/>
          </w:tcPr>
          <w:p>
            <w:pPr>
              <w:pStyle w:val="yTableNAm"/>
            </w:pPr>
            <w:r>
              <w:t>Over 500 but not over 550</w:t>
            </w:r>
          </w:p>
        </w:tc>
        <w:tc>
          <w:tcPr>
            <w:tcW w:w="992" w:type="dxa"/>
            <w:vAlign w:val="bottom"/>
          </w:tcPr>
          <w:p>
            <w:pPr>
              <w:pStyle w:val="yTableNAm"/>
              <w:jc w:val="center"/>
            </w:pPr>
            <w:r>
              <w:rPr>
                <w:szCs w:val="22"/>
              </w:rPr>
              <w:t>73.8</w:t>
            </w:r>
          </w:p>
        </w:tc>
        <w:tc>
          <w:tcPr>
            <w:tcW w:w="992" w:type="dxa"/>
            <w:vAlign w:val="bottom"/>
          </w:tcPr>
          <w:p>
            <w:pPr>
              <w:pStyle w:val="yTableNAm"/>
              <w:jc w:val="center"/>
            </w:pPr>
            <w:r>
              <w:rPr>
                <w:szCs w:val="22"/>
              </w:rPr>
              <w:t>102.1</w:t>
            </w:r>
          </w:p>
        </w:tc>
        <w:tc>
          <w:tcPr>
            <w:tcW w:w="992" w:type="dxa"/>
            <w:vAlign w:val="bottom"/>
          </w:tcPr>
          <w:p>
            <w:pPr>
              <w:pStyle w:val="yTableNAm"/>
              <w:jc w:val="center"/>
            </w:pPr>
            <w:r>
              <w:rPr>
                <w:szCs w:val="22"/>
              </w:rPr>
              <w:t>130.1</w:t>
            </w:r>
          </w:p>
        </w:tc>
        <w:tc>
          <w:tcPr>
            <w:tcW w:w="992" w:type="dxa"/>
            <w:vAlign w:val="bottom"/>
          </w:tcPr>
          <w:p>
            <w:pPr>
              <w:pStyle w:val="yTableNAm"/>
              <w:jc w:val="center"/>
            </w:pPr>
            <w:r>
              <w:rPr>
                <w:szCs w:val="22"/>
              </w:rPr>
              <w:t>153.1</w:t>
            </w:r>
          </w:p>
        </w:tc>
        <w:tc>
          <w:tcPr>
            <w:tcW w:w="994" w:type="dxa"/>
            <w:vAlign w:val="bottom"/>
          </w:tcPr>
          <w:p>
            <w:pPr>
              <w:pStyle w:val="yTableNAm"/>
              <w:jc w:val="center"/>
            </w:pPr>
            <w:r>
              <w:rPr>
                <w:szCs w:val="22"/>
              </w:rPr>
              <w:t>180.0</w:t>
            </w:r>
          </w:p>
        </w:tc>
      </w:tr>
      <w:tr>
        <w:trPr>
          <w:cantSplit/>
        </w:trPr>
        <w:tc>
          <w:tcPr>
            <w:tcW w:w="1417" w:type="dxa"/>
          </w:tcPr>
          <w:p>
            <w:pPr>
              <w:pStyle w:val="yTableNAm"/>
            </w:pPr>
            <w:r>
              <w:t>Over 550 but not over 600</w:t>
            </w:r>
          </w:p>
        </w:tc>
        <w:tc>
          <w:tcPr>
            <w:tcW w:w="992" w:type="dxa"/>
            <w:vAlign w:val="bottom"/>
          </w:tcPr>
          <w:p>
            <w:pPr>
              <w:pStyle w:val="yTableNAm"/>
              <w:jc w:val="center"/>
            </w:pPr>
            <w:r>
              <w:rPr>
                <w:szCs w:val="22"/>
              </w:rPr>
              <w:t>73.8</w:t>
            </w:r>
          </w:p>
        </w:tc>
        <w:tc>
          <w:tcPr>
            <w:tcW w:w="992" w:type="dxa"/>
            <w:vAlign w:val="bottom"/>
          </w:tcPr>
          <w:p>
            <w:pPr>
              <w:pStyle w:val="yTableNAm"/>
              <w:jc w:val="center"/>
            </w:pPr>
            <w:r>
              <w:rPr>
                <w:szCs w:val="22"/>
              </w:rPr>
              <w:t>102.1</w:t>
            </w:r>
          </w:p>
        </w:tc>
        <w:tc>
          <w:tcPr>
            <w:tcW w:w="992" w:type="dxa"/>
            <w:vAlign w:val="bottom"/>
          </w:tcPr>
          <w:p>
            <w:pPr>
              <w:pStyle w:val="yTableNAm"/>
              <w:jc w:val="center"/>
            </w:pPr>
            <w:r>
              <w:rPr>
                <w:szCs w:val="22"/>
              </w:rPr>
              <w:t>130.1</w:t>
            </w:r>
          </w:p>
        </w:tc>
        <w:tc>
          <w:tcPr>
            <w:tcW w:w="992" w:type="dxa"/>
            <w:vAlign w:val="bottom"/>
          </w:tcPr>
          <w:p>
            <w:pPr>
              <w:pStyle w:val="yTableNAm"/>
              <w:jc w:val="center"/>
            </w:pPr>
            <w:r>
              <w:rPr>
                <w:szCs w:val="22"/>
              </w:rPr>
              <w:t>153.1</w:t>
            </w:r>
          </w:p>
        </w:tc>
        <w:tc>
          <w:tcPr>
            <w:tcW w:w="994" w:type="dxa"/>
            <w:vAlign w:val="bottom"/>
          </w:tcPr>
          <w:p>
            <w:pPr>
              <w:pStyle w:val="yTableNAm"/>
              <w:jc w:val="center"/>
            </w:pPr>
            <w:r>
              <w:rPr>
                <w:szCs w:val="22"/>
              </w:rPr>
              <w:t>180.0</w:t>
            </w:r>
          </w:p>
        </w:tc>
      </w:tr>
      <w:tr>
        <w:trPr>
          <w:cantSplit/>
        </w:trPr>
        <w:tc>
          <w:tcPr>
            <w:tcW w:w="1417" w:type="dxa"/>
          </w:tcPr>
          <w:p>
            <w:pPr>
              <w:pStyle w:val="yTableNAm"/>
            </w:pPr>
            <w:r>
              <w:t>Over 600 but not over 650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vAlign w:val="bottom"/>
          </w:tcPr>
          <w:p>
            <w:pPr>
              <w:pStyle w:val="yTableNAm"/>
              <w:jc w:val="center"/>
            </w:pPr>
            <w:r>
              <w:rPr>
                <w:szCs w:val="22"/>
              </w:rPr>
              <w:t>306.1</w:t>
            </w:r>
          </w:p>
        </w:tc>
        <w:tc>
          <w:tcPr>
            <w:tcW w:w="994" w:type="dxa"/>
            <w:vAlign w:val="bottom"/>
          </w:tcPr>
          <w:p>
            <w:pPr>
              <w:pStyle w:val="yTableNAm"/>
              <w:jc w:val="center"/>
            </w:pPr>
            <w:r>
              <w:rPr>
                <w:szCs w:val="22"/>
              </w:rPr>
              <w:t>360.0</w:t>
            </w:r>
          </w:p>
        </w:tc>
      </w:tr>
      <w:tr>
        <w:trPr>
          <w:cantSplit/>
        </w:trPr>
        <w:tc>
          <w:tcPr>
            <w:tcW w:w="1417" w:type="dxa"/>
          </w:tcPr>
          <w:p>
            <w:pPr>
              <w:pStyle w:val="yTableNAm"/>
            </w:pPr>
            <w:r>
              <w:t>Over 650 but not over 750</w:t>
            </w:r>
          </w:p>
        </w:tc>
        <w:tc>
          <w:tcPr>
            <w:tcW w:w="992" w:type="dxa"/>
            <w:vAlign w:val="bottom"/>
          </w:tcPr>
          <w:p>
            <w:pPr>
              <w:pStyle w:val="yTableNAm"/>
              <w:jc w:val="center"/>
            </w:pPr>
            <w:r>
              <w:rPr>
                <w:szCs w:val="22"/>
              </w:rPr>
              <w:t>147.6</w:t>
            </w:r>
          </w:p>
        </w:tc>
        <w:tc>
          <w:tcPr>
            <w:tcW w:w="992" w:type="dxa"/>
            <w:vAlign w:val="bottom"/>
          </w:tcPr>
          <w:p>
            <w:pPr>
              <w:pStyle w:val="yTableNAm"/>
              <w:jc w:val="center"/>
            </w:pPr>
            <w:r>
              <w:rPr>
                <w:szCs w:val="22"/>
              </w:rPr>
              <w:t>204.2</w:t>
            </w:r>
          </w:p>
        </w:tc>
        <w:tc>
          <w:tcPr>
            <w:tcW w:w="992" w:type="dxa"/>
            <w:vAlign w:val="bottom"/>
          </w:tcPr>
          <w:p>
            <w:pPr>
              <w:pStyle w:val="yTableNAm"/>
              <w:jc w:val="center"/>
            </w:pPr>
            <w:r>
              <w:rPr>
                <w:szCs w:val="22"/>
              </w:rPr>
              <w:t>260.2</w:t>
            </w:r>
          </w:p>
        </w:tc>
        <w:tc>
          <w:tcPr>
            <w:tcW w:w="992" w:type="dxa"/>
            <w:vAlign w:val="bottom"/>
          </w:tcPr>
          <w:p>
            <w:pPr>
              <w:pStyle w:val="yTableNAm"/>
              <w:jc w:val="center"/>
            </w:pPr>
            <w:r>
              <w:rPr>
                <w:szCs w:val="22"/>
              </w:rPr>
              <w:t>306.1</w:t>
            </w:r>
          </w:p>
        </w:tc>
        <w:tc>
          <w:tcPr>
            <w:tcW w:w="994" w:type="dxa"/>
            <w:vAlign w:val="bottom"/>
          </w:tcPr>
          <w:p>
            <w:pPr>
              <w:pStyle w:val="yTableNAm"/>
              <w:jc w:val="center"/>
            </w:pPr>
            <w:r>
              <w:rPr>
                <w:szCs w:val="22"/>
              </w:rPr>
              <w:t>360.0</w:t>
            </w:r>
          </w:p>
        </w:tc>
      </w:tr>
      <w:tr>
        <w:trPr>
          <w:cantSplit/>
        </w:trPr>
        <w:tc>
          <w:tcPr>
            <w:tcW w:w="1417" w:type="dxa"/>
          </w:tcPr>
          <w:p>
            <w:pPr>
              <w:pStyle w:val="yTableNAm"/>
            </w:pPr>
            <w:r>
              <w:t>Over 750 but not over 950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Pr>
          <w:p>
            <w:pPr>
              <w:pStyle w:val="yTableNAm"/>
            </w:pPr>
            <w:r>
              <w:t>Over 950 but not over 1 150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Pr>
          <w:p>
            <w:pPr>
              <w:pStyle w:val="yTableNAm"/>
            </w:pPr>
            <w:r>
              <w:t>Over 1 150 but not over 1 550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Pr>
          <w:p>
            <w:pPr>
              <w:pStyle w:val="yTableNAm"/>
            </w:pPr>
            <w:r>
              <w:t>Over 1 550 but not over 1 950</w:t>
            </w:r>
          </w:p>
        </w:tc>
        <w:tc>
          <w:tcPr>
            <w:tcW w:w="992" w:type="dxa"/>
            <w:vAlign w:val="bottom"/>
          </w:tcPr>
          <w:p>
            <w:pPr>
              <w:pStyle w:val="yTableNAm"/>
              <w:jc w:val="center"/>
            </w:pPr>
            <w:r>
              <w:rPr>
                <w:szCs w:val="22"/>
              </w:rPr>
              <w:t>173.4</w:t>
            </w:r>
          </w:p>
        </w:tc>
        <w:tc>
          <w:tcPr>
            <w:tcW w:w="992" w:type="dxa"/>
            <w:vAlign w:val="bottom"/>
          </w:tcPr>
          <w:p>
            <w:pPr>
              <w:pStyle w:val="yTableNAm"/>
              <w:jc w:val="center"/>
            </w:pPr>
            <w:r>
              <w:rPr>
                <w:szCs w:val="22"/>
              </w:rPr>
              <w:t>239.8</w:t>
            </w:r>
          </w:p>
        </w:tc>
        <w:tc>
          <w:tcPr>
            <w:tcW w:w="992" w:type="dxa"/>
            <w:vAlign w:val="bottom"/>
          </w:tcPr>
          <w:p>
            <w:pPr>
              <w:pStyle w:val="yTableNAm"/>
              <w:jc w:val="center"/>
            </w:pPr>
            <w:r>
              <w:rPr>
                <w:szCs w:val="22"/>
              </w:rPr>
              <w:t>331.7</w:t>
            </w:r>
          </w:p>
        </w:tc>
        <w:tc>
          <w:tcPr>
            <w:tcW w:w="992" w:type="dxa"/>
            <w:vAlign w:val="bottom"/>
          </w:tcPr>
          <w:p>
            <w:pPr>
              <w:pStyle w:val="yTableNAm"/>
              <w:jc w:val="center"/>
            </w:pPr>
            <w:r>
              <w:rPr>
                <w:szCs w:val="22"/>
              </w:rPr>
              <w:t>458.9</w:t>
            </w:r>
          </w:p>
        </w:tc>
        <w:tc>
          <w:tcPr>
            <w:tcW w:w="994" w:type="dxa"/>
            <w:vAlign w:val="bottom"/>
          </w:tcPr>
          <w:p>
            <w:pPr>
              <w:pStyle w:val="yTableNAm"/>
              <w:jc w:val="center"/>
            </w:pPr>
            <w:r>
              <w:rPr>
                <w:szCs w:val="22"/>
              </w:rPr>
              <w:t>634.7</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vAlign w:val="bottom"/>
          </w:tcPr>
          <w:p>
            <w:pPr>
              <w:pStyle w:val="yTableNAm"/>
              <w:jc w:val="center"/>
            </w:pPr>
            <w:r>
              <w:rPr>
                <w:szCs w:val="22"/>
              </w:rPr>
              <w:t>173.4</w:t>
            </w:r>
          </w:p>
        </w:tc>
        <w:tc>
          <w:tcPr>
            <w:tcW w:w="992" w:type="dxa"/>
            <w:tcBorders>
              <w:bottom w:val="single" w:sz="4" w:space="0" w:color="auto"/>
            </w:tcBorders>
            <w:vAlign w:val="bottom"/>
          </w:tcPr>
          <w:p>
            <w:pPr>
              <w:pStyle w:val="yTableNAm"/>
              <w:jc w:val="center"/>
            </w:pPr>
            <w:r>
              <w:rPr>
                <w:szCs w:val="22"/>
              </w:rPr>
              <w:t>239.8</w:t>
            </w:r>
          </w:p>
        </w:tc>
        <w:tc>
          <w:tcPr>
            <w:tcW w:w="992" w:type="dxa"/>
            <w:tcBorders>
              <w:bottom w:val="single" w:sz="4" w:space="0" w:color="auto"/>
            </w:tcBorders>
            <w:vAlign w:val="bottom"/>
          </w:tcPr>
          <w:p>
            <w:pPr>
              <w:pStyle w:val="yTableNAm"/>
              <w:jc w:val="center"/>
            </w:pPr>
            <w:r>
              <w:rPr>
                <w:szCs w:val="22"/>
              </w:rPr>
              <w:t>331.7</w:t>
            </w:r>
          </w:p>
        </w:tc>
        <w:tc>
          <w:tcPr>
            <w:tcW w:w="992" w:type="dxa"/>
            <w:tcBorders>
              <w:bottom w:val="single" w:sz="4" w:space="0" w:color="auto"/>
            </w:tcBorders>
            <w:vAlign w:val="bottom"/>
          </w:tcPr>
          <w:p>
            <w:pPr>
              <w:pStyle w:val="yTableNAm"/>
              <w:jc w:val="center"/>
            </w:pPr>
            <w:r>
              <w:rPr>
                <w:szCs w:val="22"/>
              </w:rPr>
              <w:t>458.9</w:t>
            </w:r>
          </w:p>
        </w:tc>
        <w:tc>
          <w:tcPr>
            <w:tcW w:w="994" w:type="dxa"/>
            <w:tcBorders>
              <w:bottom w:val="single" w:sz="4" w:space="0" w:color="auto"/>
            </w:tcBorders>
            <w:vAlign w:val="bottom"/>
          </w:tcPr>
          <w:p>
            <w:pPr>
              <w:pStyle w:val="yTableNAm"/>
              <w:jc w:val="center"/>
            </w:pPr>
            <w:r>
              <w:rPr>
                <w:szCs w:val="22"/>
              </w:rPr>
              <w:t>634.7</w:t>
            </w:r>
          </w:p>
        </w:tc>
      </w:tr>
    </w:tbl>
    <w:p>
      <w:pPr>
        <w:pStyle w:val="yMiscellaneousBody"/>
        <w:ind w:right="-104"/>
      </w:pPr>
    </w:p>
    <w:tbl>
      <w:tblPr>
        <w:tblW w:w="6377" w:type="dxa"/>
        <w:tblInd w:w="534" w:type="dxa"/>
        <w:tblLayout w:type="fixed"/>
        <w:tblLook w:val="0000" w:firstRow="0" w:lastRow="0" w:firstColumn="0" w:lastColumn="0" w:noHBand="0" w:noVBand="0"/>
      </w:tblPr>
      <w:tblGrid>
        <w:gridCol w:w="774"/>
        <w:gridCol w:w="4302"/>
        <w:gridCol w:w="1301"/>
      </w:tblGrid>
      <w:tr>
        <w:trPr>
          <w:cantSplit/>
        </w:trPr>
        <w:tc>
          <w:tcPr>
            <w:tcW w:w="774" w:type="dxa"/>
          </w:tcPr>
          <w:p>
            <w:pPr>
              <w:pStyle w:val="yTableNAm"/>
            </w:pPr>
            <w:r>
              <w:rPr>
                <w:b/>
              </w:rPr>
              <w:t>24.</w:t>
            </w:r>
          </w:p>
        </w:tc>
        <w:tc>
          <w:tcPr>
            <w:tcW w:w="4302" w:type="dxa"/>
          </w:tcPr>
          <w:p>
            <w:pPr>
              <w:pStyle w:val="yTableNAm"/>
              <w:tabs>
                <w:tab w:val="left" w:leader="dot" w:pos="4876"/>
              </w:tabs>
              <w:ind w:right="158"/>
            </w:pPr>
            <w:r>
              <w:rPr>
                <w:b/>
                <w:bCs/>
              </w:rPr>
              <w:t>Metropolitan non</w:t>
            </w:r>
            <w:r>
              <w:rPr>
                <w:b/>
                <w:bCs/>
              </w:rPr>
              <w:noBreakHyphen/>
              <w:t>residential</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left" w:leader="dot" w:pos="4876"/>
              </w:tabs>
              <w:ind w:right="158"/>
            </w:pPr>
            <w: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176"/>
                <w:tab w:val="left" w:pos="652"/>
                <w:tab w:val="right" w:leader="dot" w:pos="4003"/>
              </w:tabs>
              <w:ind w:left="656" w:right="158" w:hanging="656"/>
            </w:pPr>
            <w:r>
              <w:tab/>
              <w:t>(a)</w:t>
            </w:r>
            <w:r>
              <w:tab/>
              <w:t>in the case of land not mentioned in paragraph (b) </w:t>
            </w:r>
            <w:r>
              <w:tab/>
            </w:r>
          </w:p>
        </w:tc>
        <w:tc>
          <w:tcPr>
            <w:tcW w:w="1301" w:type="dxa"/>
            <w:vAlign w:val="bottom"/>
          </w:tcPr>
          <w:p>
            <w:pPr>
              <w:pStyle w:val="yTableNAm"/>
              <w:tabs>
                <w:tab w:val="clear" w:pos="567"/>
              </w:tabs>
              <w:ind w:left="-108" w:right="-91"/>
            </w:pPr>
            <w:r>
              <w:t>204.1 cents</w:t>
            </w:r>
          </w:p>
        </w:tc>
      </w:tr>
      <w:tr>
        <w:trPr>
          <w:cantSplit/>
        </w:trPr>
        <w:tc>
          <w:tcPr>
            <w:tcW w:w="774" w:type="dxa"/>
          </w:tcPr>
          <w:p>
            <w:pPr>
              <w:pStyle w:val="zyTableNAm"/>
              <w:keepNext/>
            </w:pPr>
          </w:p>
        </w:tc>
        <w:tc>
          <w:tcPr>
            <w:tcW w:w="4302" w:type="dxa"/>
          </w:tcPr>
          <w:p>
            <w:pPr>
              <w:pStyle w:val="yTableNAm"/>
              <w:tabs>
                <w:tab w:val="clear" w:pos="567"/>
                <w:tab w:val="left" w:pos="176"/>
                <w:tab w:val="left" w:pos="652"/>
                <w:tab w:val="right" w:leader="dot" w:pos="4003"/>
              </w:tabs>
              <w:ind w:left="656" w:right="158" w:hanging="656"/>
            </w:pPr>
            <w:r>
              <w:tab/>
              <w:t>(b)</w:t>
            </w:r>
            <w:r>
              <w:tab/>
              <w:t>in the case of land classified as commercial residential —</w:t>
            </w:r>
          </w:p>
        </w:tc>
        <w:tc>
          <w:tcPr>
            <w:tcW w:w="1301" w:type="dxa"/>
            <w:vAlign w:val="bottom"/>
          </w:tcPr>
          <w:p>
            <w:pPr>
              <w:pStyle w:val="yTableNAm"/>
              <w:keepNext/>
            </w:pPr>
          </w:p>
        </w:tc>
      </w:tr>
      <w:tr>
        <w:trPr>
          <w:cantSplit/>
        </w:trPr>
        <w:tc>
          <w:tcPr>
            <w:tcW w:w="774" w:type="dxa"/>
          </w:tcPr>
          <w:p>
            <w:pPr>
              <w:pStyle w:val="zyTableNAm"/>
            </w:pPr>
          </w:p>
        </w:tc>
        <w:tc>
          <w:tcPr>
            <w:tcW w:w="4302" w:type="dxa"/>
          </w:tcPr>
          <w:p>
            <w:pPr>
              <w:pStyle w:val="yTableNAm"/>
              <w:tabs>
                <w:tab w:val="clear" w:pos="567"/>
                <w:tab w:val="left" w:pos="852"/>
                <w:tab w:val="right" w:leader="dot" w:pos="4003"/>
              </w:tabs>
              <w:ind w:left="848" w:right="158" w:hanging="848"/>
            </w:pPr>
            <w:r>
              <w:tab/>
              <w:t xml:space="preserve">up to </w:t>
            </w:r>
            <w:r>
              <w:rPr>
                <w:spacing w:val="-1"/>
              </w:rPr>
              <w:t>150</w:t>
            </w:r>
            <w:r>
              <w:t xml:space="preserve"> kL </w:t>
            </w:r>
            <w:r>
              <w:tab/>
            </w:r>
          </w:p>
        </w:tc>
        <w:tc>
          <w:tcPr>
            <w:tcW w:w="1301" w:type="dxa"/>
            <w:vAlign w:val="bottom"/>
          </w:tcPr>
          <w:p>
            <w:pPr>
              <w:pStyle w:val="yTableNAm"/>
              <w:tabs>
                <w:tab w:val="clear" w:pos="567"/>
              </w:tabs>
              <w:ind w:left="-108" w:right="-91"/>
            </w:pPr>
            <w:r>
              <w:t>133.6 cents</w:t>
            </w:r>
          </w:p>
        </w:tc>
      </w:tr>
      <w:tr>
        <w:trPr>
          <w:cantSplit/>
        </w:trPr>
        <w:tc>
          <w:tcPr>
            <w:tcW w:w="774" w:type="dxa"/>
          </w:tcPr>
          <w:p>
            <w:pPr>
              <w:pStyle w:val="zyTableNAm"/>
            </w:pPr>
          </w:p>
        </w:tc>
        <w:tc>
          <w:tcPr>
            <w:tcW w:w="4302" w:type="dxa"/>
          </w:tcPr>
          <w:p>
            <w:pPr>
              <w:pStyle w:val="yTableNAm"/>
              <w:tabs>
                <w:tab w:val="clear" w:pos="567"/>
                <w:tab w:val="left" w:pos="852"/>
                <w:tab w:val="right" w:leader="dot" w:pos="4003"/>
              </w:tabs>
              <w:ind w:left="848" w:right="158" w:hanging="848"/>
            </w:pPr>
            <w:r>
              <w:tab/>
              <w:t xml:space="preserve">over </w:t>
            </w:r>
            <w:r>
              <w:rPr>
                <w:spacing w:val="-1"/>
              </w:rPr>
              <w:t>150</w:t>
            </w:r>
            <w:r>
              <w:t xml:space="preserve"> kL </w:t>
            </w:r>
            <w:r>
              <w:tab/>
            </w:r>
          </w:p>
        </w:tc>
        <w:tc>
          <w:tcPr>
            <w:tcW w:w="1301" w:type="dxa"/>
            <w:vAlign w:val="bottom"/>
          </w:tcPr>
          <w:p>
            <w:pPr>
              <w:pStyle w:val="yTableNAm"/>
              <w:tabs>
                <w:tab w:val="clear" w:pos="567"/>
              </w:tabs>
              <w:ind w:left="-108" w:right="-91"/>
            </w:pPr>
            <w:r>
              <w:t>204.1 cents</w:t>
            </w:r>
          </w:p>
        </w:tc>
      </w:tr>
      <w:tr>
        <w:trPr>
          <w:cantSplit/>
        </w:trPr>
        <w:tc>
          <w:tcPr>
            <w:tcW w:w="774" w:type="dxa"/>
          </w:tcPr>
          <w:p>
            <w:pPr>
              <w:pStyle w:val="yTableNAm"/>
            </w:pPr>
            <w:r>
              <w:rPr>
                <w:b/>
              </w:rPr>
              <w:t>25.</w:t>
            </w:r>
          </w:p>
        </w:tc>
        <w:tc>
          <w:tcPr>
            <w:tcW w:w="4302" w:type="dxa"/>
          </w:tcPr>
          <w:p>
            <w:pPr>
              <w:pStyle w:val="yTableNAm"/>
              <w:tabs>
                <w:tab w:val="left" w:leader="dot" w:pos="4876"/>
              </w:tabs>
              <w:ind w:right="158"/>
            </w:pPr>
            <w:r>
              <w:rPr>
                <w:b/>
              </w:rPr>
              <w:t>Connected metropolitan exempt</w:t>
            </w:r>
          </w:p>
        </w:tc>
        <w:tc>
          <w:tcPr>
            <w:tcW w:w="1301" w:type="dxa"/>
            <w:vAlign w:val="bottom"/>
          </w:tcPr>
          <w:p>
            <w:pPr>
              <w:pStyle w:val="yTableNAm"/>
              <w:tabs>
                <w:tab w:val="clear" w:pos="567"/>
              </w:tabs>
              <w:ind w:left="-108" w:right="-91"/>
            </w:pPr>
          </w:p>
        </w:tc>
      </w:tr>
      <w:tr>
        <w:trPr>
          <w:cantSplit/>
        </w:trPr>
        <w:tc>
          <w:tcPr>
            <w:tcW w:w="774" w:type="dxa"/>
          </w:tcPr>
          <w:p>
            <w:pPr>
              <w:pStyle w:val="zyTableNAm"/>
            </w:pPr>
          </w:p>
        </w:tc>
        <w:tc>
          <w:tcPr>
            <w:tcW w:w="4302" w:type="dxa"/>
          </w:tcPr>
          <w:p>
            <w:pPr>
              <w:pStyle w:val="yTableNAm"/>
              <w:tabs>
                <w:tab w:val="left" w:leader="dot" w:pos="4876"/>
              </w:tabs>
              <w:ind w:right="158"/>
            </w:pPr>
            <w:r>
              <w:t>For each kilolitre of water, not being water for which a charge is otherwise provided in item 29 or 31, supplied to land described in by</w:t>
            </w:r>
            <w:r>
              <w:noBreakHyphen/>
              <w:t xml:space="preserve">law 4 that is in the metropolitan area and that is not classified as residential </w:t>
            </w:r>
            <w:r>
              <w:tab/>
            </w:r>
          </w:p>
        </w:tc>
        <w:tc>
          <w:tcPr>
            <w:tcW w:w="1301" w:type="dxa"/>
            <w:vAlign w:val="bottom"/>
          </w:tcPr>
          <w:p>
            <w:pPr>
              <w:pStyle w:val="yTableNAm"/>
              <w:tabs>
                <w:tab w:val="clear" w:pos="567"/>
              </w:tabs>
              <w:ind w:left="-108" w:right="-91"/>
            </w:pPr>
            <w:r>
              <w:t>204.1 cents</w:t>
            </w:r>
          </w:p>
        </w:tc>
      </w:tr>
      <w:tr>
        <w:trPr>
          <w:cantSplit/>
        </w:trPr>
        <w:tc>
          <w:tcPr>
            <w:tcW w:w="774" w:type="dxa"/>
          </w:tcPr>
          <w:p>
            <w:pPr>
              <w:pStyle w:val="yTableNAm"/>
            </w:pPr>
            <w:r>
              <w:rPr>
                <w:b/>
              </w:rPr>
              <w:t>26.</w:t>
            </w:r>
          </w:p>
        </w:tc>
        <w:tc>
          <w:tcPr>
            <w:tcW w:w="4302" w:type="dxa"/>
          </w:tcPr>
          <w:p>
            <w:pPr>
              <w:pStyle w:val="yTableNAm"/>
              <w:tabs>
                <w:tab w:val="left" w:leader="dot" w:pos="4876"/>
              </w:tabs>
              <w:ind w:right="158"/>
            </w:pPr>
            <w:r>
              <w:rPr>
                <w:b/>
              </w:rPr>
              <w:t>Connected non</w:t>
            </w:r>
            <w:r>
              <w:rPr>
                <w:b/>
              </w:rPr>
              <w:noBreakHyphen/>
              <w:t>metropolitan residential exempt</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left" w:leader="dot" w:pos="4876"/>
              </w:tabs>
              <w:ind w:right="158"/>
            </w:pPr>
            <w:r>
              <w:t>For each kilolitre of water, not being water for which a charge is otherwise specifically provided in this Division, supplied to land described in by</w:t>
            </w:r>
            <w:r>
              <w:noBreakHyphen/>
              <w:t>law 4 that is comprised in a residential property and is not in the metropolitan area —</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372"/>
                <w:tab w:val="right" w:leader="dot" w:pos="4003"/>
              </w:tabs>
              <w:ind w:right="158"/>
            </w:pPr>
            <w:r>
              <w:tab/>
              <w:t xml:space="preserve">up to 300 kL </w:t>
            </w:r>
            <w:r>
              <w:tab/>
            </w:r>
          </w:p>
        </w:tc>
        <w:tc>
          <w:tcPr>
            <w:tcW w:w="1301" w:type="dxa"/>
            <w:vAlign w:val="bottom"/>
          </w:tcPr>
          <w:p>
            <w:pPr>
              <w:pStyle w:val="yTableNAm"/>
              <w:tabs>
                <w:tab w:val="clear" w:pos="567"/>
              </w:tabs>
              <w:ind w:left="-108" w:right="-91"/>
            </w:pPr>
            <w:r>
              <w:t>174.7 cents</w:t>
            </w:r>
          </w:p>
        </w:tc>
      </w:tr>
      <w:tr>
        <w:trPr>
          <w:cantSplit/>
        </w:trPr>
        <w:tc>
          <w:tcPr>
            <w:tcW w:w="774" w:type="dxa"/>
          </w:tcPr>
          <w:p>
            <w:pPr>
              <w:pStyle w:val="zyTableNAm"/>
            </w:pPr>
          </w:p>
        </w:tc>
        <w:tc>
          <w:tcPr>
            <w:tcW w:w="4302" w:type="dxa"/>
          </w:tcPr>
          <w:p>
            <w:pPr>
              <w:pStyle w:val="yTableNAm"/>
              <w:tabs>
                <w:tab w:val="clear" w:pos="567"/>
                <w:tab w:val="left" w:pos="372"/>
                <w:tab w:val="right" w:leader="dot" w:pos="4003"/>
              </w:tabs>
              <w:ind w:right="158"/>
            </w:pPr>
            <w:r>
              <w:tab/>
              <w:t xml:space="preserve">over 300 kL </w:t>
            </w:r>
            <w:r>
              <w:tab/>
            </w:r>
          </w:p>
        </w:tc>
        <w:tc>
          <w:tcPr>
            <w:tcW w:w="1301" w:type="dxa"/>
            <w:vAlign w:val="bottom"/>
          </w:tcPr>
          <w:p>
            <w:pPr>
              <w:pStyle w:val="yTableNAm"/>
              <w:tabs>
                <w:tab w:val="clear" w:pos="567"/>
              </w:tabs>
              <w:ind w:left="-108" w:right="-91"/>
            </w:pPr>
            <w:r>
              <w:t>192.6 cents</w:t>
            </w:r>
          </w:p>
        </w:tc>
      </w:tr>
      <w:tr>
        <w:trPr>
          <w:cantSplit/>
        </w:trPr>
        <w:tc>
          <w:tcPr>
            <w:tcW w:w="774" w:type="dxa"/>
          </w:tcPr>
          <w:p>
            <w:pPr>
              <w:pStyle w:val="yTableNAm"/>
            </w:pPr>
            <w:r>
              <w:rPr>
                <w:b/>
              </w:rPr>
              <w:t>27.</w:t>
            </w:r>
          </w:p>
        </w:tc>
        <w:tc>
          <w:tcPr>
            <w:tcW w:w="4302" w:type="dxa"/>
          </w:tcPr>
          <w:p>
            <w:pPr>
              <w:pStyle w:val="yTableNAm"/>
              <w:tabs>
                <w:tab w:val="left" w:leader="dot" w:pos="4876"/>
              </w:tabs>
              <w:ind w:right="158"/>
            </w:pPr>
            <w:r>
              <w:rPr>
                <w:b/>
                <w:bCs/>
              </w:rPr>
              <w:t>Non</w:t>
            </w:r>
            <w:r>
              <w:rPr>
                <w:b/>
                <w:bCs/>
              </w:rPr>
              <w:noBreakHyphen/>
              <w:t>metropolitan non</w:t>
            </w:r>
            <w:r>
              <w:rPr>
                <w:b/>
                <w:bCs/>
              </w:rPr>
              <w:noBreakHyphen/>
              <w:t>residential</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left" w:leader="dot" w:pos="4876"/>
              </w:tabs>
              <w:ind w:right="158"/>
            </w:pPr>
            <w: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296"/>
                <w:tab w:val="left" w:pos="776"/>
                <w:tab w:val="left" w:leader="dot" w:pos="4876"/>
              </w:tabs>
              <w:ind w:left="776" w:hanging="776"/>
            </w:pPr>
            <w:r>
              <w:rPr>
                <w:snapToGrid w:val="0"/>
              </w:rPr>
              <w:tab/>
              <w:t>(a)</w:t>
            </w:r>
            <w:r>
              <w:rPr>
                <w:snapToGrid w:val="0"/>
              </w:rPr>
              <w:tab/>
              <w:t>local government —</w:t>
            </w:r>
          </w:p>
        </w:tc>
        <w:tc>
          <w:tcPr>
            <w:tcW w:w="1301"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852"/>
                <w:tab w:val="right" w:leader="dot" w:pos="4003"/>
              </w:tabs>
              <w:ind w:left="848" w:right="158" w:hanging="848"/>
            </w:pPr>
            <w:r>
              <w:tab/>
            </w:r>
            <w:r>
              <w:tab/>
              <w:t xml:space="preserve">up to 300 kL </w:t>
            </w:r>
            <w:r>
              <w:tab/>
            </w:r>
          </w:p>
        </w:tc>
        <w:tc>
          <w:tcPr>
            <w:tcW w:w="1301" w:type="dxa"/>
            <w:vAlign w:val="bottom"/>
          </w:tcPr>
          <w:p>
            <w:pPr>
              <w:pStyle w:val="yTableNAm"/>
              <w:tabs>
                <w:tab w:val="clear" w:pos="567"/>
              </w:tabs>
              <w:ind w:left="-108" w:right="-91"/>
            </w:pPr>
            <w:r>
              <w:t>174.7 cents</w:t>
            </w:r>
          </w:p>
        </w:tc>
      </w:tr>
      <w:tr>
        <w:trPr>
          <w:cantSplit/>
        </w:trPr>
        <w:tc>
          <w:tcPr>
            <w:tcW w:w="774" w:type="dxa"/>
          </w:tcPr>
          <w:p>
            <w:pPr>
              <w:pStyle w:val="zyTableNAm"/>
            </w:pPr>
          </w:p>
        </w:tc>
        <w:tc>
          <w:tcPr>
            <w:tcW w:w="4302" w:type="dxa"/>
          </w:tcPr>
          <w:p>
            <w:pPr>
              <w:pStyle w:val="yTableNAm"/>
              <w:tabs>
                <w:tab w:val="clear" w:pos="567"/>
                <w:tab w:val="left" w:pos="852"/>
                <w:tab w:val="right" w:leader="dot" w:pos="4003"/>
              </w:tabs>
              <w:ind w:left="848" w:right="158" w:hanging="848"/>
            </w:pPr>
            <w:r>
              <w:tab/>
            </w:r>
            <w:r>
              <w:tab/>
              <w:t xml:space="preserve">over 300 kL </w:t>
            </w:r>
            <w:r>
              <w:tab/>
            </w:r>
          </w:p>
        </w:tc>
        <w:tc>
          <w:tcPr>
            <w:tcW w:w="1301" w:type="dxa"/>
            <w:vAlign w:val="bottom"/>
          </w:tcPr>
          <w:p>
            <w:pPr>
              <w:pStyle w:val="yTableNAm"/>
              <w:tabs>
                <w:tab w:val="clear" w:pos="567"/>
              </w:tabs>
              <w:ind w:left="-108" w:right="-91"/>
            </w:pPr>
            <w:r>
              <w:t>192.6 cents</w:t>
            </w:r>
          </w:p>
        </w:tc>
      </w:tr>
      <w:tr>
        <w:trPr>
          <w:cantSplit/>
        </w:trPr>
        <w:tc>
          <w:tcPr>
            <w:tcW w:w="774" w:type="dxa"/>
          </w:tcPr>
          <w:p>
            <w:pPr>
              <w:pStyle w:val="zyTableNAm"/>
            </w:pPr>
          </w:p>
        </w:tc>
        <w:tc>
          <w:tcPr>
            <w:tcW w:w="4302" w:type="dxa"/>
          </w:tcPr>
          <w:p>
            <w:pPr>
              <w:pStyle w:val="yTableNAm"/>
              <w:tabs>
                <w:tab w:val="clear" w:pos="567"/>
                <w:tab w:val="left" w:pos="296"/>
                <w:tab w:val="left" w:pos="776"/>
                <w:tab w:val="left" w:leader="dot" w:pos="4876"/>
              </w:tabs>
              <w:ind w:left="776" w:hanging="776"/>
            </w:pPr>
            <w:r>
              <w:rPr>
                <w:snapToGrid w:val="0"/>
              </w:rPr>
              <w:tab/>
              <w:t>(b)</w:t>
            </w:r>
            <w:r>
              <w:rPr>
                <w:snapToGrid w:val="0"/>
              </w:rPr>
              <w:tab/>
              <w:t>non</w:t>
            </w:r>
            <w:r>
              <w:rPr>
                <w:snapToGrid w:val="0"/>
              </w:rPr>
              <w:noBreakHyphen/>
              <w:t>residential or vacant land (according to the non</w:t>
            </w:r>
            <w:r>
              <w:rPr>
                <w:snapToGrid w:val="0"/>
              </w:rPr>
              <w:noBreakHyphen/>
              <w:t>residential classification of the town/area in which that property is situated, as set out in Schedule 10) —</w:t>
            </w:r>
          </w:p>
        </w:tc>
        <w:tc>
          <w:tcPr>
            <w:tcW w:w="1301" w:type="dxa"/>
            <w:vAlign w:val="bottom"/>
          </w:tcPr>
          <w:p>
            <w:pPr>
              <w:pStyle w:val="yTableNAm"/>
              <w:tabs>
                <w:tab w:val="left" w:pos="852"/>
                <w:tab w:val="left" w:leader="dot" w:pos="4876"/>
              </w:tabs>
              <w:ind w:right="158"/>
            </w:pPr>
          </w:p>
        </w:tc>
      </w:tr>
    </w:tbl>
    <w:p>
      <w:pPr>
        <w:pStyle w:val="yMiscellaneousBody"/>
      </w:pPr>
    </w:p>
    <w:tbl>
      <w:tblPr>
        <w:tblW w:w="6378" w:type="dxa"/>
        <w:tblInd w:w="454" w:type="dxa"/>
        <w:tblLayout w:type="fixed"/>
        <w:tblCellMar>
          <w:left w:w="28" w:type="dxa"/>
          <w:right w:w="28" w:type="dxa"/>
        </w:tblCellMar>
        <w:tblLook w:val="0000" w:firstRow="0" w:lastRow="0" w:firstColumn="0" w:lastColumn="0" w:noHBand="0" w:noVBand="0"/>
      </w:tblPr>
      <w:tblGrid>
        <w:gridCol w:w="1854"/>
        <w:gridCol w:w="2262"/>
        <w:gridCol w:w="2262"/>
      </w:tblGrid>
      <w:tr>
        <w:trPr>
          <w:cantSplit/>
          <w:trHeight w:val="217"/>
          <w:tblHeader/>
        </w:trPr>
        <w:tc>
          <w:tcPr>
            <w:tcW w:w="1854" w:type="dxa"/>
            <w:vMerge w:val="restart"/>
            <w:tcBorders>
              <w:top w:val="single" w:sz="4" w:space="0" w:color="auto"/>
            </w:tcBorders>
          </w:tcPr>
          <w:p>
            <w:pPr>
              <w:pStyle w:val="yTableNAm"/>
              <w:keepNext/>
            </w:pPr>
            <w:r>
              <w:rPr>
                <w:b/>
                <w:bCs/>
              </w:rPr>
              <w:t>Class</w:t>
            </w:r>
          </w:p>
        </w:tc>
        <w:tc>
          <w:tcPr>
            <w:tcW w:w="4524" w:type="dxa"/>
            <w:gridSpan w:val="2"/>
            <w:tcBorders>
              <w:top w:val="single" w:sz="4" w:space="0" w:color="auto"/>
            </w:tcBorders>
          </w:tcPr>
          <w:p>
            <w:pPr>
              <w:pStyle w:val="yTableNAm"/>
              <w:keepNext/>
              <w:jc w:val="center"/>
            </w:pPr>
            <w:r>
              <w:rPr>
                <w:b/>
                <w:bCs/>
              </w:rPr>
              <w:t>Consumption (kL)</w:t>
            </w:r>
          </w:p>
        </w:tc>
      </w:tr>
      <w:tr>
        <w:trPr>
          <w:cantSplit/>
          <w:trHeight w:val="217"/>
          <w:tblHeader/>
        </w:trPr>
        <w:tc>
          <w:tcPr>
            <w:tcW w:w="1854" w:type="dxa"/>
            <w:vMerge/>
            <w:tcBorders>
              <w:bottom w:val="single" w:sz="4" w:space="0" w:color="auto"/>
            </w:tcBorders>
          </w:tcPr>
          <w:p>
            <w:pPr>
              <w:pStyle w:val="zyTableNAm"/>
              <w:keepNext/>
              <w:rPr>
                <w:b/>
                <w:bCs/>
              </w:rPr>
            </w:pPr>
          </w:p>
        </w:tc>
        <w:tc>
          <w:tcPr>
            <w:tcW w:w="2262" w:type="dxa"/>
            <w:tcBorders>
              <w:bottom w:val="single" w:sz="4" w:space="0" w:color="auto"/>
            </w:tcBorders>
          </w:tcPr>
          <w:p>
            <w:pPr>
              <w:pStyle w:val="yTableNAm"/>
              <w:keepNext/>
              <w:jc w:val="center"/>
            </w:pPr>
            <w:r>
              <w:rPr>
                <w:b/>
                <w:bCs/>
              </w:rPr>
              <w:t>Up to 300</w:t>
            </w:r>
          </w:p>
        </w:tc>
        <w:tc>
          <w:tcPr>
            <w:tcW w:w="2262" w:type="dxa"/>
            <w:tcBorders>
              <w:bottom w:val="single" w:sz="4" w:space="0" w:color="auto"/>
            </w:tcBorders>
          </w:tcPr>
          <w:p>
            <w:pPr>
              <w:pStyle w:val="yTableNAm"/>
              <w:keepNext/>
              <w:jc w:val="center"/>
            </w:pPr>
            <w:r>
              <w:rPr>
                <w:b/>
                <w:bCs/>
              </w:rPr>
              <w:t>Over 300</w:t>
            </w:r>
          </w:p>
        </w:tc>
      </w:tr>
      <w:tr>
        <w:tc>
          <w:tcPr>
            <w:tcW w:w="1854" w:type="dxa"/>
            <w:tcBorders>
              <w:top w:val="single" w:sz="4" w:space="0" w:color="auto"/>
            </w:tcBorders>
          </w:tcPr>
          <w:p>
            <w:pPr>
              <w:pStyle w:val="yTableNAm"/>
            </w:pPr>
            <w:r>
              <w:rPr>
                <w:bCs/>
              </w:rPr>
              <w:t>Class 1 (c/kL)</w:t>
            </w:r>
          </w:p>
        </w:tc>
        <w:tc>
          <w:tcPr>
            <w:tcW w:w="2262" w:type="dxa"/>
            <w:tcBorders>
              <w:top w:val="single" w:sz="4" w:space="0" w:color="auto"/>
            </w:tcBorders>
            <w:vAlign w:val="bottom"/>
          </w:tcPr>
          <w:p>
            <w:pPr>
              <w:pStyle w:val="yTableNAm"/>
              <w:jc w:val="center"/>
            </w:pPr>
            <w:r>
              <w:t>174.7</w:t>
            </w:r>
          </w:p>
        </w:tc>
        <w:tc>
          <w:tcPr>
            <w:tcW w:w="2262" w:type="dxa"/>
            <w:tcBorders>
              <w:top w:val="single" w:sz="4" w:space="0" w:color="auto"/>
            </w:tcBorders>
            <w:vAlign w:val="bottom"/>
          </w:tcPr>
          <w:p>
            <w:pPr>
              <w:pStyle w:val="yTableNAm"/>
              <w:jc w:val="center"/>
            </w:pPr>
            <w:r>
              <w:t>192.6</w:t>
            </w:r>
          </w:p>
        </w:tc>
      </w:tr>
      <w:tr>
        <w:tc>
          <w:tcPr>
            <w:tcW w:w="1854" w:type="dxa"/>
          </w:tcPr>
          <w:p>
            <w:pPr>
              <w:pStyle w:val="yTableNAm"/>
            </w:pPr>
            <w:r>
              <w:rPr>
                <w:bCs/>
              </w:rPr>
              <w:t>Class 2 (c/kL)</w:t>
            </w:r>
          </w:p>
        </w:tc>
        <w:tc>
          <w:tcPr>
            <w:tcW w:w="2262" w:type="dxa"/>
            <w:vAlign w:val="bottom"/>
          </w:tcPr>
          <w:p>
            <w:pPr>
              <w:pStyle w:val="yTableNAm"/>
              <w:jc w:val="center"/>
            </w:pPr>
            <w:r>
              <w:t>191.6</w:t>
            </w:r>
          </w:p>
        </w:tc>
        <w:tc>
          <w:tcPr>
            <w:tcW w:w="2262" w:type="dxa"/>
            <w:vAlign w:val="bottom"/>
          </w:tcPr>
          <w:p>
            <w:pPr>
              <w:pStyle w:val="yTableNAm"/>
              <w:jc w:val="center"/>
            </w:pPr>
            <w:r>
              <w:t>209.8</w:t>
            </w:r>
          </w:p>
        </w:tc>
      </w:tr>
      <w:tr>
        <w:tc>
          <w:tcPr>
            <w:tcW w:w="1854" w:type="dxa"/>
          </w:tcPr>
          <w:p>
            <w:pPr>
              <w:pStyle w:val="yTableNAm"/>
            </w:pPr>
            <w:r>
              <w:rPr>
                <w:bCs/>
              </w:rPr>
              <w:t>Class 3 (c/kL)</w:t>
            </w:r>
          </w:p>
        </w:tc>
        <w:tc>
          <w:tcPr>
            <w:tcW w:w="2262" w:type="dxa"/>
            <w:vAlign w:val="bottom"/>
          </w:tcPr>
          <w:p>
            <w:pPr>
              <w:pStyle w:val="yTableNAm"/>
              <w:jc w:val="center"/>
            </w:pPr>
            <w:r>
              <w:t>209.8</w:t>
            </w:r>
          </w:p>
        </w:tc>
        <w:tc>
          <w:tcPr>
            <w:tcW w:w="2262" w:type="dxa"/>
            <w:vAlign w:val="bottom"/>
          </w:tcPr>
          <w:p>
            <w:pPr>
              <w:pStyle w:val="yTableNAm"/>
              <w:jc w:val="center"/>
            </w:pPr>
            <w:r>
              <w:t>228.2</w:t>
            </w:r>
          </w:p>
        </w:tc>
      </w:tr>
      <w:tr>
        <w:tc>
          <w:tcPr>
            <w:tcW w:w="1854" w:type="dxa"/>
          </w:tcPr>
          <w:p>
            <w:pPr>
              <w:pStyle w:val="yTableNAm"/>
            </w:pPr>
            <w:r>
              <w:rPr>
                <w:bCs/>
              </w:rPr>
              <w:t>Class 4 (c/kL)</w:t>
            </w:r>
          </w:p>
        </w:tc>
        <w:tc>
          <w:tcPr>
            <w:tcW w:w="2262" w:type="dxa"/>
            <w:vAlign w:val="bottom"/>
          </w:tcPr>
          <w:p>
            <w:pPr>
              <w:pStyle w:val="yTableNAm"/>
              <w:jc w:val="center"/>
            </w:pPr>
            <w:r>
              <w:t>230.0</w:t>
            </w:r>
          </w:p>
        </w:tc>
        <w:tc>
          <w:tcPr>
            <w:tcW w:w="2262" w:type="dxa"/>
            <w:vAlign w:val="bottom"/>
          </w:tcPr>
          <w:p>
            <w:pPr>
              <w:pStyle w:val="yTableNAm"/>
              <w:jc w:val="center"/>
            </w:pPr>
            <w:r>
              <w:t>248.6</w:t>
            </w:r>
          </w:p>
        </w:tc>
      </w:tr>
      <w:tr>
        <w:tc>
          <w:tcPr>
            <w:tcW w:w="1854" w:type="dxa"/>
          </w:tcPr>
          <w:p>
            <w:pPr>
              <w:pStyle w:val="yTableNAm"/>
            </w:pPr>
            <w:r>
              <w:rPr>
                <w:bCs/>
              </w:rPr>
              <w:t>Class 5 (c/kL)</w:t>
            </w:r>
          </w:p>
        </w:tc>
        <w:tc>
          <w:tcPr>
            <w:tcW w:w="2262" w:type="dxa"/>
            <w:vAlign w:val="bottom"/>
          </w:tcPr>
          <w:p>
            <w:pPr>
              <w:pStyle w:val="yTableNAm"/>
              <w:jc w:val="center"/>
            </w:pPr>
            <w:r>
              <w:t>252.2</w:t>
            </w:r>
          </w:p>
        </w:tc>
        <w:tc>
          <w:tcPr>
            <w:tcW w:w="2262" w:type="dxa"/>
            <w:vAlign w:val="bottom"/>
          </w:tcPr>
          <w:p>
            <w:pPr>
              <w:pStyle w:val="yTableNAm"/>
              <w:jc w:val="center"/>
            </w:pPr>
            <w:r>
              <w:t>270.7</w:t>
            </w:r>
          </w:p>
        </w:tc>
      </w:tr>
      <w:tr>
        <w:tc>
          <w:tcPr>
            <w:tcW w:w="1854" w:type="dxa"/>
          </w:tcPr>
          <w:p>
            <w:pPr>
              <w:pStyle w:val="yTableNAm"/>
            </w:pPr>
            <w:r>
              <w:rPr>
                <w:bCs/>
              </w:rPr>
              <w:t>Class 6 (c/kL)</w:t>
            </w:r>
          </w:p>
        </w:tc>
        <w:tc>
          <w:tcPr>
            <w:tcW w:w="2262" w:type="dxa"/>
            <w:vAlign w:val="bottom"/>
          </w:tcPr>
          <w:p>
            <w:pPr>
              <w:pStyle w:val="yTableNAm"/>
              <w:jc w:val="center"/>
            </w:pPr>
            <w:r>
              <w:t>274.4</w:t>
            </w:r>
          </w:p>
        </w:tc>
        <w:tc>
          <w:tcPr>
            <w:tcW w:w="2262" w:type="dxa"/>
            <w:vAlign w:val="bottom"/>
          </w:tcPr>
          <w:p>
            <w:pPr>
              <w:pStyle w:val="yTableNAm"/>
              <w:jc w:val="center"/>
            </w:pPr>
            <w:r>
              <w:t>294.8</w:t>
            </w:r>
          </w:p>
        </w:tc>
      </w:tr>
      <w:tr>
        <w:tc>
          <w:tcPr>
            <w:tcW w:w="1854" w:type="dxa"/>
          </w:tcPr>
          <w:p>
            <w:pPr>
              <w:pStyle w:val="yTableNAm"/>
            </w:pPr>
            <w:r>
              <w:rPr>
                <w:bCs/>
              </w:rPr>
              <w:t>Class 7 (c/kL)</w:t>
            </w:r>
          </w:p>
        </w:tc>
        <w:tc>
          <w:tcPr>
            <w:tcW w:w="2262" w:type="dxa"/>
            <w:vAlign w:val="bottom"/>
          </w:tcPr>
          <w:p>
            <w:pPr>
              <w:pStyle w:val="yTableNAm"/>
              <w:jc w:val="center"/>
            </w:pPr>
            <w:r>
              <w:t>298.6</w:t>
            </w:r>
          </w:p>
        </w:tc>
        <w:tc>
          <w:tcPr>
            <w:tcW w:w="2262" w:type="dxa"/>
            <w:vAlign w:val="bottom"/>
          </w:tcPr>
          <w:p>
            <w:pPr>
              <w:pStyle w:val="yTableNAm"/>
              <w:jc w:val="center"/>
            </w:pPr>
            <w:r>
              <w:t>321.1</w:t>
            </w:r>
          </w:p>
        </w:tc>
      </w:tr>
      <w:tr>
        <w:tc>
          <w:tcPr>
            <w:tcW w:w="1854" w:type="dxa"/>
          </w:tcPr>
          <w:p>
            <w:pPr>
              <w:pStyle w:val="yTableNAm"/>
            </w:pPr>
            <w:r>
              <w:rPr>
                <w:bCs/>
              </w:rPr>
              <w:t>Class 8 (c/kL)</w:t>
            </w:r>
          </w:p>
        </w:tc>
        <w:tc>
          <w:tcPr>
            <w:tcW w:w="2262" w:type="dxa"/>
            <w:vAlign w:val="bottom"/>
          </w:tcPr>
          <w:p>
            <w:pPr>
              <w:pStyle w:val="yTableNAm"/>
              <w:jc w:val="center"/>
            </w:pPr>
            <w:r>
              <w:t>324.2</w:t>
            </w:r>
          </w:p>
        </w:tc>
        <w:tc>
          <w:tcPr>
            <w:tcW w:w="2262" w:type="dxa"/>
            <w:vAlign w:val="bottom"/>
          </w:tcPr>
          <w:p>
            <w:pPr>
              <w:pStyle w:val="yTableNAm"/>
              <w:jc w:val="center"/>
            </w:pPr>
            <w:r>
              <w:t>349.6</w:t>
            </w:r>
          </w:p>
        </w:tc>
      </w:tr>
      <w:tr>
        <w:tc>
          <w:tcPr>
            <w:tcW w:w="1854" w:type="dxa"/>
          </w:tcPr>
          <w:p>
            <w:pPr>
              <w:pStyle w:val="yTableNAm"/>
            </w:pPr>
            <w:r>
              <w:rPr>
                <w:bCs/>
              </w:rPr>
              <w:t>Class 9 (c/kL)</w:t>
            </w:r>
          </w:p>
        </w:tc>
        <w:tc>
          <w:tcPr>
            <w:tcW w:w="2262" w:type="dxa"/>
            <w:vAlign w:val="bottom"/>
          </w:tcPr>
          <w:p>
            <w:pPr>
              <w:pStyle w:val="yTableNAm"/>
              <w:jc w:val="center"/>
            </w:pPr>
            <w:r>
              <w:t>352.0</w:t>
            </w:r>
          </w:p>
        </w:tc>
        <w:tc>
          <w:tcPr>
            <w:tcW w:w="2262" w:type="dxa"/>
            <w:vAlign w:val="bottom"/>
          </w:tcPr>
          <w:p>
            <w:pPr>
              <w:pStyle w:val="yTableNAm"/>
              <w:jc w:val="center"/>
            </w:pPr>
            <w:r>
              <w:t>380.7</w:t>
            </w:r>
          </w:p>
        </w:tc>
      </w:tr>
      <w:tr>
        <w:tc>
          <w:tcPr>
            <w:tcW w:w="1854" w:type="dxa"/>
          </w:tcPr>
          <w:p>
            <w:pPr>
              <w:pStyle w:val="yTableNAm"/>
            </w:pPr>
            <w:r>
              <w:rPr>
                <w:bCs/>
              </w:rPr>
              <w:t>Class 10 (c/kL)</w:t>
            </w:r>
          </w:p>
        </w:tc>
        <w:tc>
          <w:tcPr>
            <w:tcW w:w="2262" w:type="dxa"/>
            <w:vAlign w:val="bottom"/>
          </w:tcPr>
          <w:p>
            <w:pPr>
              <w:pStyle w:val="yTableNAm"/>
              <w:jc w:val="center"/>
            </w:pPr>
            <w:r>
              <w:t>379.0</w:t>
            </w:r>
          </w:p>
        </w:tc>
        <w:tc>
          <w:tcPr>
            <w:tcW w:w="2262" w:type="dxa"/>
            <w:vAlign w:val="bottom"/>
          </w:tcPr>
          <w:p>
            <w:pPr>
              <w:pStyle w:val="yTableNAm"/>
              <w:jc w:val="center"/>
            </w:pPr>
            <w:r>
              <w:t>414.6</w:t>
            </w:r>
          </w:p>
        </w:tc>
      </w:tr>
      <w:tr>
        <w:tc>
          <w:tcPr>
            <w:tcW w:w="1854" w:type="dxa"/>
          </w:tcPr>
          <w:p>
            <w:pPr>
              <w:pStyle w:val="yTableNAm"/>
            </w:pPr>
            <w:r>
              <w:rPr>
                <w:bCs/>
              </w:rPr>
              <w:t>Class 11 (c/kL)</w:t>
            </w:r>
          </w:p>
        </w:tc>
        <w:tc>
          <w:tcPr>
            <w:tcW w:w="2262" w:type="dxa"/>
            <w:vAlign w:val="bottom"/>
          </w:tcPr>
          <w:p>
            <w:pPr>
              <w:pStyle w:val="yTableNAm"/>
              <w:jc w:val="center"/>
            </w:pPr>
            <w:r>
              <w:t>413.5</w:t>
            </w:r>
          </w:p>
        </w:tc>
        <w:tc>
          <w:tcPr>
            <w:tcW w:w="2262" w:type="dxa"/>
            <w:vAlign w:val="bottom"/>
          </w:tcPr>
          <w:p>
            <w:pPr>
              <w:pStyle w:val="yTableNAm"/>
              <w:jc w:val="center"/>
            </w:pPr>
            <w:r>
              <w:t>451.4</w:t>
            </w:r>
          </w:p>
        </w:tc>
      </w:tr>
      <w:tr>
        <w:tc>
          <w:tcPr>
            <w:tcW w:w="1854" w:type="dxa"/>
          </w:tcPr>
          <w:p>
            <w:pPr>
              <w:pStyle w:val="yTableNAm"/>
            </w:pPr>
            <w:r>
              <w:rPr>
                <w:bCs/>
              </w:rPr>
              <w:t>Class 12 (c/kL)</w:t>
            </w:r>
          </w:p>
        </w:tc>
        <w:tc>
          <w:tcPr>
            <w:tcW w:w="2262" w:type="dxa"/>
            <w:vAlign w:val="bottom"/>
          </w:tcPr>
          <w:p>
            <w:pPr>
              <w:pStyle w:val="yTableNAm"/>
              <w:jc w:val="center"/>
            </w:pPr>
            <w:r>
              <w:t>451.3</w:t>
            </w:r>
          </w:p>
        </w:tc>
        <w:tc>
          <w:tcPr>
            <w:tcW w:w="2262" w:type="dxa"/>
            <w:vAlign w:val="bottom"/>
          </w:tcPr>
          <w:p>
            <w:pPr>
              <w:pStyle w:val="yTableNAm"/>
              <w:jc w:val="center"/>
            </w:pPr>
            <w:r>
              <w:t>491.6</w:t>
            </w:r>
          </w:p>
        </w:tc>
      </w:tr>
      <w:tr>
        <w:tc>
          <w:tcPr>
            <w:tcW w:w="1854" w:type="dxa"/>
          </w:tcPr>
          <w:p>
            <w:pPr>
              <w:pStyle w:val="yTableNAm"/>
            </w:pPr>
            <w:r>
              <w:rPr>
                <w:bCs/>
              </w:rPr>
              <w:t>Class 13 (c/kL)</w:t>
            </w:r>
          </w:p>
        </w:tc>
        <w:tc>
          <w:tcPr>
            <w:tcW w:w="2262" w:type="dxa"/>
            <w:vAlign w:val="bottom"/>
          </w:tcPr>
          <w:p>
            <w:pPr>
              <w:pStyle w:val="yTableNAm"/>
              <w:jc w:val="center"/>
            </w:pPr>
            <w:r>
              <w:t>492.4</w:t>
            </w:r>
          </w:p>
        </w:tc>
        <w:tc>
          <w:tcPr>
            <w:tcW w:w="2262" w:type="dxa"/>
            <w:vAlign w:val="bottom"/>
          </w:tcPr>
          <w:p>
            <w:pPr>
              <w:pStyle w:val="yTableNAm"/>
              <w:jc w:val="center"/>
            </w:pPr>
            <w:r>
              <w:t>535.3</w:t>
            </w:r>
          </w:p>
        </w:tc>
      </w:tr>
      <w:tr>
        <w:tc>
          <w:tcPr>
            <w:tcW w:w="1854" w:type="dxa"/>
          </w:tcPr>
          <w:p>
            <w:pPr>
              <w:pStyle w:val="yTableNAm"/>
            </w:pPr>
            <w:r>
              <w:rPr>
                <w:bCs/>
              </w:rPr>
              <w:t>Class 14 (c/kL)</w:t>
            </w:r>
          </w:p>
        </w:tc>
        <w:tc>
          <w:tcPr>
            <w:tcW w:w="2262" w:type="dxa"/>
            <w:vAlign w:val="bottom"/>
          </w:tcPr>
          <w:p>
            <w:pPr>
              <w:pStyle w:val="yTableNAm"/>
              <w:jc w:val="center"/>
            </w:pPr>
            <w:r>
              <w:t>537.3</w:t>
            </w:r>
          </w:p>
        </w:tc>
        <w:tc>
          <w:tcPr>
            <w:tcW w:w="2262" w:type="dxa"/>
            <w:vAlign w:val="bottom"/>
          </w:tcPr>
          <w:p>
            <w:pPr>
              <w:pStyle w:val="yTableNAm"/>
              <w:jc w:val="center"/>
            </w:pPr>
            <w:r>
              <w:t>582.9</w:t>
            </w:r>
          </w:p>
        </w:tc>
      </w:tr>
      <w:tr>
        <w:tc>
          <w:tcPr>
            <w:tcW w:w="1854" w:type="dxa"/>
            <w:tcBorders>
              <w:bottom w:val="single" w:sz="4" w:space="0" w:color="auto"/>
            </w:tcBorders>
          </w:tcPr>
          <w:p>
            <w:pPr>
              <w:pStyle w:val="yTableNAm"/>
            </w:pPr>
            <w:r>
              <w:rPr>
                <w:bCs/>
              </w:rPr>
              <w:t>Class 15 (c/kL)</w:t>
            </w:r>
          </w:p>
        </w:tc>
        <w:tc>
          <w:tcPr>
            <w:tcW w:w="2262" w:type="dxa"/>
            <w:tcBorders>
              <w:bottom w:val="single" w:sz="4" w:space="0" w:color="auto"/>
            </w:tcBorders>
            <w:vAlign w:val="bottom"/>
          </w:tcPr>
          <w:p>
            <w:pPr>
              <w:pStyle w:val="yTableNAm"/>
              <w:jc w:val="center"/>
            </w:pPr>
            <w:r>
              <w:t>586.2</w:t>
            </w:r>
          </w:p>
        </w:tc>
        <w:tc>
          <w:tcPr>
            <w:tcW w:w="2262" w:type="dxa"/>
            <w:tcBorders>
              <w:bottom w:val="single" w:sz="4" w:space="0" w:color="auto"/>
            </w:tcBorders>
            <w:vAlign w:val="bottom"/>
          </w:tcPr>
          <w:p>
            <w:pPr>
              <w:pStyle w:val="yTableNAm"/>
              <w:jc w:val="center"/>
            </w:pPr>
            <w:r>
              <w:t>634.7</w:t>
            </w:r>
          </w:p>
        </w:tc>
      </w:tr>
    </w:tbl>
    <w:p>
      <w:pPr>
        <w:pStyle w:val="yMiscellaneousBody"/>
      </w:pPr>
    </w:p>
    <w:tbl>
      <w:tblPr>
        <w:tblW w:w="0" w:type="auto"/>
        <w:tblInd w:w="534" w:type="dxa"/>
        <w:tblLook w:val="0000" w:firstRow="0" w:lastRow="0" w:firstColumn="0" w:lastColumn="0" w:noHBand="0" w:noVBand="0"/>
      </w:tblPr>
      <w:tblGrid>
        <w:gridCol w:w="750"/>
        <w:gridCol w:w="4336"/>
        <w:gridCol w:w="1292"/>
      </w:tblGrid>
      <w:tr>
        <w:trPr>
          <w:cantSplit/>
        </w:trPr>
        <w:tc>
          <w:tcPr>
            <w:tcW w:w="750" w:type="dxa"/>
          </w:tcPr>
          <w:p>
            <w:pPr>
              <w:pStyle w:val="zyTableNAm"/>
            </w:pPr>
          </w:p>
        </w:tc>
        <w:tc>
          <w:tcPr>
            <w:tcW w:w="4336" w:type="dxa"/>
          </w:tcPr>
          <w:p>
            <w:pPr>
              <w:pStyle w:val="yTableNAm"/>
              <w:tabs>
                <w:tab w:val="clear" w:pos="567"/>
                <w:tab w:val="left" w:pos="296"/>
                <w:tab w:val="left" w:pos="776"/>
                <w:tab w:val="left" w:leader="dot" w:pos="4876"/>
              </w:tabs>
              <w:ind w:left="776" w:hanging="776"/>
            </w:pPr>
            <w:r>
              <w:rPr>
                <w:snapToGrid w:val="0"/>
              </w:rPr>
              <w:tab/>
              <w:t>(c)</w:t>
            </w:r>
            <w:r>
              <w:rPr>
                <w:snapToGrid w:val="0"/>
              </w:rPr>
              <w:tab/>
              <w:t>farmland —</w:t>
            </w:r>
          </w:p>
        </w:tc>
        <w:tc>
          <w:tcPr>
            <w:tcW w:w="1292" w:type="dxa"/>
            <w:vAlign w:val="bottom"/>
          </w:tcPr>
          <w:p>
            <w:pPr>
              <w:pStyle w:val="yTableNAm"/>
            </w:pPr>
          </w:p>
        </w:tc>
      </w:tr>
      <w:tr>
        <w:trPr>
          <w:cantSplit/>
        </w:trPr>
        <w:tc>
          <w:tcPr>
            <w:tcW w:w="750" w:type="dxa"/>
          </w:tcPr>
          <w:p>
            <w:pPr>
              <w:pStyle w:val="zyTableNAm"/>
            </w:pPr>
          </w:p>
        </w:tc>
        <w:tc>
          <w:tcPr>
            <w:tcW w:w="4336" w:type="dxa"/>
          </w:tcPr>
          <w:p>
            <w:pPr>
              <w:pStyle w:val="yTableNAm"/>
              <w:tabs>
                <w:tab w:val="clear" w:pos="567"/>
                <w:tab w:val="left" w:pos="852"/>
                <w:tab w:val="right" w:leader="dot" w:pos="4003"/>
              </w:tabs>
              <w:ind w:left="848" w:right="158" w:hanging="848"/>
            </w:pPr>
            <w:r>
              <w:tab/>
            </w:r>
            <w:r>
              <w:tab/>
              <w:t xml:space="preserve">all water supplied </w:t>
            </w:r>
            <w:r>
              <w:tab/>
            </w:r>
          </w:p>
        </w:tc>
        <w:tc>
          <w:tcPr>
            <w:tcW w:w="1292" w:type="dxa"/>
            <w:vAlign w:val="bottom"/>
          </w:tcPr>
          <w:p>
            <w:pPr>
              <w:pStyle w:val="yTableNAm"/>
            </w:pPr>
            <w:r>
              <w:t>171.3 cents</w:t>
            </w:r>
          </w:p>
        </w:tc>
      </w:tr>
      <w:tr>
        <w:trPr>
          <w:cantSplit/>
        </w:trPr>
        <w:tc>
          <w:tcPr>
            <w:tcW w:w="750" w:type="dxa"/>
          </w:tcPr>
          <w:p>
            <w:pPr>
              <w:pStyle w:val="zyTableNAm"/>
            </w:pPr>
          </w:p>
        </w:tc>
        <w:tc>
          <w:tcPr>
            <w:tcW w:w="4336" w:type="dxa"/>
          </w:tcPr>
          <w:p>
            <w:pPr>
              <w:pStyle w:val="yTableNAm"/>
              <w:tabs>
                <w:tab w:val="clear" w:pos="567"/>
                <w:tab w:val="left" w:pos="296"/>
                <w:tab w:val="left" w:pos="776"/>
                <w:tab w:val="left" w:leader="dot" w:pos="4876"/>
              </w:tabs>
              <w:ind w:left="776" w:hanging="776"/>
              <w:rPr>
                <w:snapToGrid w:val="0"/>
              </w:rPr>
            </w:pPr>
            <w:r>
              <w:rPr>
                <w:snapToGrid w:val="0"/>
              </w:rPr>
              <w:tab/>
              <w:t>(d)</w:t>
            </w:r>
            <w:r>
              <w:rPr>
                <w:snapToGrid w:val="0"/>
              </w:rPr>
              <w:tab/>
              <w:t>mining —</w:t>
            </w:r>
          </w:p>
        </w:tc>
        <w:tc>
          <w:tcPr>
            <w:tcW w:w="1292" w:type="dxa"/>
            <w:vAlign w:val="bottom"/>
          </w:tcPr>
          <w:p>
            <w:pPr>
              <w:pStyle w:val="yTableNAm"/>
            </w:pPr>
          </w:p>
        </w:tc>
      </w:tr>
      <w:tr>
        <w:trPr>
          <w:cantSplit/>
        </w:trPr>
        <w:tc>
          <w:tcPr>
            <w:tcW w:w="750" w:type="dxa"/>
          </w:tcPr>
          <w:p>
            <w:pPr>
              <w:pStyle w:val="zyTableNAm"/>
            </w:pPr>
          </w:p>
        </w:tc>
        <w:tc>
          <w:tcPr>
            <w:tcW w:w="4336" w:type="dxa"/>
          </w:tcPr>
          <w:p>
            <w:pPr>
              <w:pStyle w:val="yTableNAm"/>
              <w:tabs>
                <w:tab w:val="clear" w:pos="567"/>
                <w:tab w:val="left" w:pos="852"/>
                <w:tab w:val="right" w:leader="dot" w:pos="4003"/>
              </w:tabs>
              <w:ind w:left="848" w:right="158" w:hanging="848"/>
              <w:rPr>
                <w:snapToGrid w:val="0"/>
              </w:rPr>
            </w:pPr>
            <w:r>
              <w:rPr>
                <w:snapToGrid w:val="0"/>
              </w:rPr>
              <w:tab/>
            </w:r>
            <w:r>
              <w:rPr>
                <w:snapToGrid w:val="0"/>
              </w:rPr>
              <w:tab/>
            </w:r>
            <w:r>
              <w:t>all</w:t>
            </w:r>
            <w:r>
              <w:rPr>
                <w:snapToGrid w:val="0"/>
              </w:rPr>
              <w:t xml:space="preserve"> water supplied </w:t>
            </w:r>
            <w:r>
              <w:rPr>
                <w:snapToGrid w:val="0"/>
              </w:rPr>
              <w:tab/>
            </w:r>
          </w:p>
        </w:tc>
        <w:tc>
          <w:tcPr>
            <w:tcW w:w="1292" w:type="dxa"/>
            <w:vAlign w:val="bottom"/>
          </w:tcPr>
          <w:p>
            <w:pPr>
              <w:pStyle w:val="yTableNAm"/>
            </w:pPr>
            <w:r>
              <w:t>322.1 cents</w:t>
            </w:r>
          </w:p>
        </w:tc>
      </w:tr>
      <w:tr>
        <w:trPr>
          <w:cantSplit/>
        </w:trPr>
        <w:tc>
          <w:tcPr>
            <w:tcW w:w="750" w:type="dxa"/>
          </w:tcPr>
          <w:p>
            <w:pPr>
              <w:pStyle w:val="zyTableNAm"/>
            </w:pPr>
          </w:p>
        </w:tc>
        <w:tc>
          <w:tcPr>
            <w:tcW w:w="4336" w:type="dxa"/>
          </w:tcPr>
          <w:p>
            <w:pPr>
              <w:pStyle w:val="yTableNAm"/>
              <w:tabs>
                <w:tab w:val="clear" w:pos="567"/>
                <w:tab w:val="left" w:pos="296"/>
                <w:tab w:val="left" w:pos="776"/>
                <w:tab w:val="left" w:leader="dot" w:pos="4876"/>
              </w:tabs>
              <w:ind w:left="776" w:hanging="776"/>
              <w:rPr>
                <w:snapToGrid w:val="0"/>
              </w:rPr>
            </w:pPr>
            <w:r>
              <w:rPr>
                <w:snapToGrid w:val="0"/>
              </w:rPr>
              <w:tab/>
              <w:t>(e)</w:t>
            </w:r>
            <w:r>
              <w:rPr>
                <w:snapToGrid w:val="0"/>
              </w:rPr>
              <w:tab/>
              <w:t>institutional public —</w:t>
            </w:r>
          </w:p>
        </w:tc>
        <w:tc>
          <w:tcPr>
            <w:tcW w:w="1292" w:type="dxa"/>
            <w:vAlign w:val="bottom"/>
          </w:tcPr>
          <w:p>
            <w:pPr>
              <w:pStyle w:val="yTableNAm"/>
            </w:pPr>
          </w:p>
        </w:tc>
      </w:tr>
      <w:tr>
        <w:trPr>
          <w:cantSplit/>
        </w:trPr>
        <w:tc>
          <w:tcPr>
            <w:tcW w:w="750" w:type="dxa"/>
          </w:tcPr>
          <w:p>
            <w:pPr>
              <w:pStyle w:val="zyTableNAm"/>
            </w:pPr>
          </w:p>
        </w:tc>
        <w:tc>
          <w:tcPr>
            <w:tcW w:w="4336" w:type="dxa"/>
          </w:tcPr>
          <w:p>
            <w:pPr>
              <w:pStyle w:val="yTableNAm"/>
              <w:tabs>
                <w:tab w:val="clear" w:pos="567"/>
                <w:tab w:val="left" w:pos="852"/>
                <w:tab w:val="right" w:leader="dot" w:pos="4003"/>
              </w:tabs>
              <w:ind w:left="848" w:right="158" w:hanging="848"/>
            </w:pPr>
            <w:r>
              <w:tab/>
            </w:r>
            <w:r>
              <w:tab/>
              <w:t xml:space="preserve">up to 300 kL </w:t>
            </w:r>
            <w:r>
              <w:tab/>
            </w:r>
          </w:p>
        </w:tc>
        <w:tc>
          <w:tcPr>
            <w:tcW w:w="1292" w:type="dxa"/>
            <w:vAlign w:val="bottom"/>
          </w:tcPr>
          <w:p>
            <w:pPr>
              <w:pStyle w:val="yTableNAm"/>
            </w:pPr>
            <w:r>
              <w:t>174.7 cents</w:t>
            </w:r>
          </w:p>
        </w:tc>
      </w:tr>
      <w:tr>
        <w:trPr>
          <w:cantSplit/>
        </w:trPr>
        <w:tc>
          <w:tcPr>
            <w:tcW w:w="750" w:type="dxa"/>
          </w:tcPr>
          <w:p>
            <w:pPr>
              <w:pStyle w:val="zyTableNAm"/>
            </w:pPr>
          </w:p>
        </w:tc>
        <w:tc>
          <w:tcPr>
            <w:tcW w:w="4336" w:type="dxa"/>
          </w:tcPr>
          <w:p>
            <w:pPr>
              <w:pStyle w:val="yTableNAm"/>
              <w:tabs>
                <w:tab w:val="clear" w:pos="567"/>
                <w:tab w:val="left" w:pos="852"/>
                <w:tab w:val="right" w:leader="dot" w:pos="4003"/>
              </w:tabs>
              <w:ind w:left="848" w:right="158" w:hanging="848"/>
            </w:pPr>
            <w:r>
              <w:tab/>
            </w:r>
            <w:r>
              <w:tab/>
              <w:t xml:space="preserve">over 300 kL </w:t>
            </w:r>
            <w:r>
              <w:tab/>
            </w:r>
          </w:p>
        </w:tc>
        <w:tc>
          <w:tcPr>
            <w:tcW w:w="1292" w:type="dxa"/>
            <w:vAlign w:val="bottom"/>
          </w:tcPr>
          <w:p>
            <w:pPr>
              <w:pStyle w:val="yTableNAm"/>
            </w:pPr>
            <w:r>
              <w:t>192.6 cents</w:t>
            </w:r>
          </w:p>
        </w:tc>
      </w:tr>
      <w:tr>
        <w:trPr>
          <w:cantSplit/>
        </w:trPr>
        <w:tc>
          <w:tcPr>
            <w:tcW w:w="750" w:type="dxa"/>
          </w:tcPr>
          <w:p>
            <w:pPr>
              <w:pStyle w:val="zyTableNAm"/>
            </w:pPr>
          </w:p>
        </w:tc>
        <w:tc>
          <w:tcPr>
            <w:tcW w:w="4336" w:type="dxa"/>
          </w:tcPr>
          <w:p>
            <w:pPr>
              <w:pStyle w:val="yTableNAm"/>
              <w:tabs>
                <w:tab w:val="clear" w:pos="567"/>
                <w:tab w:val="left" w:pos="296"/>
                <w:tab w:val="left" w:pos="776"/>
                <w:tab w:val="left" w:leader="dot" w:pos="4876"/>
              </w:tabs>
              <w:ind w:left="776" w:hanging="776"/>
            </w:pPr>
            <w:r>
              <w:rPr>
                <w:snapToGrid w:val="0"/>
              </w:rPr>
              <w:tab/>
              <w:t>(f)</w:t>
            </w:r>
            <w:r>
              <w:rPr>
                <w:snapToGrid w:val="0"/>
              </w:rPr>
              <w:tab/>
              <w:t>charitable purposes —</w:t>
            </w:r>
          </w:p>
        </w:tc>
        <w:tc>
          <w:tcPr>
            <w:tcW w:w="1292" w:type="dxa"/>
            <w:vAlign w:val="bottom"/>
          </w:tcPr>
          <w:p>
            <w:pPr>
              <w:pStyle w:val="yTableNAm"/>
            </w:pPr>
          </w:p>
        </w:tc>
      </w:tr>
      <w:tr>
        <w:trPr>
          <w:cantSplit/>
        </w:trPr>
        <w:tc>
          <w:tcPr>
            <w:tcW w:w="750" w:type="dxa"/>
          </w:tcPr>
          <w:p>
            <w:pPr>
              <w:pStyle w:val="zyTableNAm"/>
            </w:pPr>
          </w:p>
        </w:tc>
        <w:tc>
          <w:tcPr>
            <w:tcW w:w="4336" w:type="dxa"/>
          </w:tcPr>
          <w:p>
            <w:pPr>
              <w:pStyle w:val="yTableNAm"/>
              <w:tabs>
                <w:tab w:val="clear" w:pos="567"/>
                <w:tab w:val="left" w:pos="852"/>
                <w:tab w:val="right" w:leader="dot" w:pos="4003"/>
              </w:tabs>
              <w:ind w:left="848" w:right="158" w:hanging="848"/>
            </w:pPr>
            <w:r>
              <w:tab/>
            </w:r>
            <w:r>
              <w:tab/>
              <w:t xml:space="preserve">up to 300 kL </w:t>
            </w:r>
            <w:r>
              <w:tab/>
            </w:r>
          </w:p>
        </w:tc>
        <w:tc>
          <w:tcPr>
            <w:tcW w:w="1292" w:type="dxa"/>
            <w:vAlign w:val="bottom"/>
          </w:tcPr>
          <w:p>
            <w:pPr>
              <w:pStyle w:val="yTableNAm"/>
            </w:pPr>
            <w:r>
              <w:t>174.7 cents</w:t>
            </w:r>
          </w:p>
        </w:tc>
      </w:tr>
      <w:tr>
        <w:trPr>
          <w:cantSplit/>
        </w:trPr>
        <w:tc>
          <w:tcPr>
            <w:tcW w:w="750" w:type="dxa"/>
          </w:tcPr>
          <w:p>
            <w:pPr>
              <w:pStyle w:val="zyTableNAm"/>
            </w:pPr>
          </w:p>
        </w:tc>
        <w:tc>
          <w:tcPr>
            <w:tcW w:w="4336" w:type="dxa"/>
          </w:tcPr>
          <w:p>
            <w:pPr>
              <w:pStyle w:val="yTableNAm"/>
              <w:tabs>
                <w:tab w:val="clear" w:pos="567"/>
                <w:tab w:val="left" w:pos="852"/>
                <w:tab w:val="right" w:leader="dot" w:pos="4003"/>
              </w:tabs>
              <w:ind w:left="848" w:right="158" w:hanging="848"/>
            </w:pPr>
            <w:r>
              <w:tab/>
            </w:r>
            <w:r>
              <w:tab/>
              <w:t xml:space="preserve">over 300 kL </w:t>
            </w:r>
            <w:r>
              <w:tab/>
            </w:r>
          </w:p>
        </w:tc>
        <w:tc>
          <w:tcPr>
            <w:tcW w:w="1292" w:type="dxa"/>
            <w:vAlign w:val="bottom"/>
          </w:tcPr>
          <w:p>
            <w:pPr>
              <w:pStyle w:val="yTableNAm"/>
            </w:pPr>
            <w:r>
              <w:t>192.6 cents</w:t>
            </w:r>
          </w:p>
        </w:tc>
      </w:tr>
      <w:tr>
        <w:trPr>
          <w:cantSplit/>
        </w:trPr>
        <w:tc>
          <w:tcPr>
            <w:tcW w:w="750" w:type="dxa"/>
          </w:tcPr>
          <w:p>
            <w:pPr>
              <w:pStyle w:val="zyTableNAm"/>
            </w:pPr>
          </w:p>
        </w:tc>
        <w:tc>
          <w:tcPr>
            <w:tcW w:w="4336" w:type="dxa"/>
          </w:tcPr>
          <w:p>
            <w:pPr>
              <w:pStyle w:val="yTableNAm"/>
              <w:tabs>
                <w:tab w:val="clear" w:pos="567"/>
                <w:tab w:val="left" w:pos="296"/>
                <w:tab w:val="left" w:pos="776"/>
                <w:tab w:val="left" w:leader="dot" w:pos="4876"/>
              </w:tabs>
              <w:ind w:left="776" w:hanging="776"/>
            </w:pPr>
            <w:r>
              <w:rPr>
                <w:snapToGrid w:val="0"/>
              </w:rPr>
              <w:tab/>
              <w:t>(g)</w:t>
            </w:r>
            <w:r>
              <w:rPr>
                <w:snapToGrid w:val="0"/>
              </w:rPr>
              <w:tab/>
              <w:t>c</w:t>
            </w:r>
            <w:r>
              <w:t>ommercial residential</w:t>
            </w:r>
            <w:r>
              <w:rPr>
                <w:snapToGrid w:val="0"/>
              </w:rPr>
              <w:t xml:space="preserve"> (according to the non</w:t>
            </w:r>
            <w:r>
              <w:rPr>
                <w:snapToGrid w:val="0"/>
              </w:rPr>
              <w:noBreakHyphen/>
              <w:t>residential classification of the town/area in which that property is situated, as set out in Schedule 10) —</w:t>
            </w:r>
          </w:p>
        </w:tc>
        <w:tc>
          <w:tcPr>
            <w:tcW w:w="1292" w:type="dxa"/>
            <w:vAlign w:val="bottom"/>
          </w:tcPr>
          <w:p>
            <w:pPr>
              <w:pStyle w:val="yTableNAm"/>
            </w:pPr>
          </w:p>
        </w:tc>
      </w:tr>
    </w:tbl>
    <w:p>
      <w:pPr>
        <w:pStyle w:val="yMiscellaneousBody"/>
      </w:pPr>
    </w:p>
    <w:tbl>
      <w:tblPr>
        <w:tblW w:w="6378" w:type="dxa"/>
        <w:tblInd w:w="454" w:type="dxa"/>
        <w:tblLayout w:type="fixed"/>
        <w:tblCellMar>
          <w:left w:w="28" w:type="dxa"/>
          <w:right w:w="28" w:type="dxa"/>
        </w:tblCellMar>
        <w:tblLook w:val="0000" w:firstRow="0" w:lastRow="0" w:firstColumn="0" w:lastColumn="0" w:noHBand="0" w:noVBand="0"/>
      </w:tblPr>
      <w:tblGrid>
        <w:gridCol w:w="1856"/>
        <w:gridCol w:w="1507"/>
        <w:gridCol w:w="1507"/>
        <w:gridCol w:w="1508"/>
      </w:tblGrid>
      <w:tr>
        <w:trPr>
          <w:cantSplit/>
          <w:tblHeader/>
        </w:trPr>
        <w:tc>
          <w:tcPr>
            <w:tcW w:w="1856" w:type="dxa"/>
            <w:vMerge w:val="restart"/>
            <w:tcBorders>
              <w:top w:val="single" w:sz="4" w:space="0" w:color="auto"/>
            </w:tcBorders>
          </w:tcPr>
          <w:p>
            <w:pPr>
              <w:pStyle w:val="yTableNAm"/>
            </w:pPr>
            <w:r>
              <w:rPr>
                <w:b/>
                <w:bCs/>
              </w:rPr>
              <w:t>Class</w:t>
            </w:r>
          </w:p>
        </w:tc>
        <w:tc>
          <w:tcPr>
            <w:tcW w:w="4522" w:type="dxa"/>
            <w:gridSpan w:val="3"/>
            <w:tcBorders>
              <w:top w:val="single" w:sz="4" w:space="0" w:color="auto"/>
            </w:tcBorders>
          </w:tcPr>
          <w:p>
            <w:pPr>
              <w:pStyle w:val="yTableNAm"/>
              <w:jc w:val="center"/>
            </w:pPr>
            <w:r>
              <w:rPr>
                <w:b/>
                <w:bCs/>
              </w:rPr>
              <w:t>Consumption (kL)</w:t>
            </w:r>
          </w:p>
        </w:tc>
      </w:tr>
      <w:tr>
        <w:trPr>
          <w:cantSplit/>
          <w:tblHeader/>
        </w:trPr>
        <w:tc>
          <w:tcPr>
            <w:tcW w:w="1856" w:type="dxa"/>
            <w:vMerge/>
            <w:tcBorders>
              <w:bottom w:val="single" w:sz="4" w:space="0" w:color="auto"/>
            </w:tcBorders>
          </w:tcPr>
          <w:p>
            <w:pPr>
              <w:pStyle w:val="zyTableNAm"/>
              <w:rPr>
                <w:b/>
                <w:bCs/>
              </w:rPr>
            </w:pPr>
          </w:p>
        </w:tc>
        <w:tc>
          <w:tcPr>
            <w:tcW w:w="1507" w:type="dxa"/>
            <w:tcBorders>
              <w:bottom w:val="single" w:sz="4" w:space="0" w:color="auto"/>
            </w:tcBorders>
          </w:tcPr>
          <w:p>
            <w:pPr>
              <w:pStyle w:val="yTableNAm"/>
              <w:jc w:val="center"/>
            </w:pPr>
            <w:r>
              <w:rPr>
                <w:b/>
                <w:bCs/>
              </w:rPr>
              <w:t>Up to 150</w:t>
            </w:r>
          </w:p>
        </w:tc>
        <w:tc>
          <w:tcPr>
            <w:tcW w:w="1507" w:type="dxa"/>
            <w:tcBorders>
              <w:bottom w:val="single" w:sz="4" w:space="0" w:color="auto"/>
            </w:tcBorders>
          </w:tcPr>
          <w:p>
            <w:pPr>
              <w:pStyle w:val="yTableNAm"/>
              <w:jc w:val="center"/>
            </w:pPr>
            <w:r>
              <w:rPr>
                <w:b/>
                <w:bCs/>
              </w:rPr>
              <w:t>Over 150 but not over 450</w:t>
            </w:r>
          </w:p>
        </w:tc>
        <w:tc>
          <w:tcPr>
            <w:tcW w:w="1508" w:type="dxa"/>
            <w:tcBorders>
              <w:bottom w:val="single" w:sz="4" w:space="0" w:color="auto"/>
            </w:tcBorders>
          </w:tcPr>
          <w:p>
            <w:pPr>
              <w:pStyle w:val="yTableNAm"/>
              <w:jc w:val="center"/>
            </w:pPr>
            <w:r>
              <w:rPr>
                <w:b/>
                <w:bCs/>
              </w:rPr>
              <w:t>Over 450</w:t>
            </w:r>
          </w:p>
        </w:tc>
      </w:tr>
      <w:tr>
        <w:tc>
          <w:tcPr>
            <w:tcW w:w="1856" w:type="dxa"/>
            <w:tcBorders>
              <w:top w:val="single" w:sz="4" w:space="0" w:color="auto"/>
            </w:tcBorders>
          </w:tcPr>
          <w:p>
            <w:pPr>
              <w:pStyle w:val="yTableNAm"/>
            </w:pPr>
            <w:r>
              <w:rPr>
                <w:bCs/>
              </w:rPr>
              <w:t>Class 1 (c/kL)</w:t>
            </w:r>
          </w:p>
        </w:tc>
        <w:tc>
          <w:tcPr>
            <w:tcW w:w="1507" w:type="dxa"/>
            <w:tcBorders>
              <w:top w:val="single" w:sz="4" w:space="0" w:color="auto"/>
            </w:tcBorders>
            <w:vAlign w:val="bottom"/>
          </w:tcPr>
          <w:p>
            <w:pPr>
              <w:pStyle w:val="yTableNAm"/>
              <w:jc w:val="center"/>
            </w:pPr>
            <w:r>
              <w:t>133.6</w:t>
            </w:r>
          </w:p>
        </w:tc>
        <w:tc>
          <w:tcPr>
            <w:tcW w:w="1507" w:type="dxa"/>
            <w:tcBorders>
              <w:top w:val="single" w:sz="4" w:space="0" w:color="auto"/>
            </w:tcBorders>
            <w:vAlign w:val="bottom"/>
          </w:tcPr>
          <w:p>
            <w:pPr>
              <w:pStyle w:val="yTableNAm"/>
              <w:jc w:val="center"/>
            </w:pPr>
            <w:r>
              <w:t>174.7</w:t>
            </w:r>
          </w:p>
        </w:tc>
        <w:tc>
          <w:tcPr>
            <w:tcW w:w="1508" w:type="dxa"/>
            <w:tcBorders>
              <w:top w:val="single" w:sz="4" w:space="0" w:color="auto"/>
            </w:tcBorders>
            <w:vAlign w:val="bottom"/>
          </w:tcPr>
          <w:p>
            <w:pPr>
              <w:pStyle w:val="yTableNAm"/>
              <w:jc w:val="center"/>
            </w:pPr>
            <w:r>
              <w:t>192.6</w:t>
            </w:r>
          </w:p>
        </w:tc>
      </w:tr>
      <w:tr>
        <w:tc>
          <w:tcPr>
            <w:tcW w:w="1856" w:type="dxa"/>
          </w:tcPr>
          <w:p>
            <w:pPr>
              <w:pStyle w:val="yTableNAm"/>
            </w:pPr>
            <w:r>
              <w:rPr>
                <w:bCs/>
              </w:rPr>
              <w:t>Class 2 (c/kL)</w:t>
            </w:r>
          </w:p>
        </w:tc>
        <w:tc>
          <w:tcPr>
            <w:tcW w:w="1507" w:type="dxa"/>
            <w:vAlign w:val="bottom"/>
          </w:tcPr>
          <w:p>
            <w:pPr>
              <w:pStyle w:val="yTableNAm"/>
              <w:jc w:val="center"/>
            </w:pPr>
            <w:r>
              <w:t>133.6</w:t>
            </w:r>
          </w:p>
        </w:tc>
        <w:tc>
          <w:tcPr>
            <w:tcW w:w="1507" w:type="dxa"/>
            <w:vAlign w:val="bottom"/>
          </w:tcPr>
          <w:p>
            <w:pPr>
              <w:pStyle w:val="yTableNAm"/>
              <w:jc w:val="center"/>
            </w:pPr>
            <w:r>
              <w:t>191.6</w:t>
            </w:r>
          </w:p>
        </w:tc>
        <w:tc>
          <w:tcPr>
            <w:tcW w:w="1508" w:type="dxa"/>
            <w:vAlign w:val="bottom"/>
          </w:tcPr>
          <w:p>
            <w:pPr>
              <w:pStyle w:val="yTableNAm"/>
              <w:jc w:val="center"/>
            </w:pPr>
            <w:r>
              <w:t>209.8</w:t>
            </w:r>
          </w:p>
        </w:tc>
      </w:tr>
      <w:tr>
        <w:tc>
          <w:tcPr>
            <w:tcW w:w="1856" w:type="dxa"/>
          </w:tcPr>
          <w:p>
            <w:pPr>
              <w:pStyle w:val="yTableNAm"/>
            </w:pPr>
            <w:r>
              <w:rPr>
                <w:bCs/>
              </w:rPr>
              <w:t>Class 3 (c/kL)</w:t>
            </w:r>
          </w:p>
        </w:tc>
        <w:tc>
          <w:tcPr>
            <w:tcW w:w="1507" w:type="dxa"/>
            <w:vAlign w:val="bottom"/>
          </w:tcPr>
          <w:p>
            <w:pPr>
              <w:pStyle w:val="yTableNAm"/>
              <w:jc w:val="center"/>
            </w:pPr>
            <w:r>
              <w:t>133.6</w:t>
            </w:r>
          </w:p>
        </w:tc>
        <w:tc>
          <w:tcPr>
            <w:tcW w:w="1507" w:type="dxa"/>
            <w:vAlign w:val="bottom"/>
          </w:tcPr>
          <w:p>
            <w:pPr>
              <w:pStyle w:val="yTableNAm"/>
              <w:jc w:val="center"/>
            </w:pPr>
            <w:r>
              <w:t>209.8</w:t>
            </w:r>
          </w:p>
        </w:tc>
        <w:tc>
          <w:tcPr>
            <w:tcW w:w="1508" w:type="dxa"/>
            <w:vAlign w:val="bottom"/>
          </w:tcPr>
          <w:p>
            <w:pPr>
              <w:pStyle w:val="yTableNAm"/>
              <w:jc w:val="center"/>
            </w:pPr>
            <w:r>
              <w:t>228.2</w:t>
            </w:r>
          </w:p>
        </w:tc>
      </w:tr>
      <w:tr>
        <w:tc>
          <w:tcPr>
            <w:tcW w:w="1856" w:type="dxa"/>
          </w:tcPr>
          <w:p>
            <w:pPr>
              <w:pStyle w:val="yTableNAm"/>
            </w:pPr>
            <w:r>
              <w:rPr>
                <w:bCs/>
              </w:rPr>
              <w:t>Class 4 (c/kL)</w:t>
            </w:r>
          </w:p>
        </w:tc>
        <w:tc>
          <w:tcPr>
            <w:tcW w:w="1507" w:type="dxa"/>
            <w:vAlign w:val="bottom"/>
          </w:tcPr>
          <w:p>
            <w:pPr>
              <w:pStyle w:val="yTableNAm"/>
              <w:jc w:val="center"/>
            </w:pPr>
            <w:r>
              <w:t>133.6</w:t>
            </w:r>
          </w:p>
        </w:tc>
        <w:tc>
          <w:tcPr>
            <w:tcW w:w="1507" w:type="dxa"/>
            <w:vAlign w:val="bottom"/>
          </w:tcPr>
          <w:p>
            <w:pPr>
              <w:pStyle w:val="yTableNAm"/>
              <w:jc w:val="center"/>
            </w:pPr>
            <w:r>
              <w:t>230.0</w:t>
            </w:r>
          </w:p>
        </w:tc>
        <w:tc>
          <w:tcPr>
            <w:tcW w:w="1508" w:type="dxa"/>
            <w:vAlign w:val="bottom"/>
          </w:tcPr>
          <w:p>
            <w:pPr>
              <w:pStyle w:val="yTableNAm"/>
              <w:jc w:val="center"/>
            </w:pPr>
            <w:r>
              <w:t>248.6</w:t>
            </w:r>
          </w:p>
        </w:tc>
      </w:tr>
      <w:tr>
        <w:tc>
          <w:tcPr>
            <w:tcW w:w="1856" w:type="dxa"/>
          </w:tcPr>
          <w:p>
            <w:pPr>
              <w:pStyle w:val="yTableNAm"/>
            </w:pPr>
            <w:r>
              <w:rPr>
                <w:bCs/>
              </w:rPr>
              <w:t>Class 5 (c/kL)</w:t>
            </w:r>
          </w:p>
        </w:tc>
        <w:tc>
          <w:tcPr>
            <w:tcW w:w="1507" w:type="dxa"/>
            <w:vAlign w:val="bottom"/>
          </w:tcPr>
          <w:p>
            <w:pPr>
              <w:pStyle w:val="yTableNAm"/>
              <w:jc w:val="center"/>
            </w:pPr>
            <w:r>
              <w:t>133.6</w:t>
            </w:r>
          </w:p>
        </w:tc>
        <w:tc>
          <w:tcPr>
            <w:tcW w:w="1507" w:type="dxa"/>
            <w:vAlign w:val="bottom"/>
          </w:tcPr>
          <w:p>
            <w:pPr>
              <w:pStyle w:val="yTableNAm"/>
              <w:jc w:val="center"/>
            </w:pPr>
            <w:r>
              <w:t>252.2</w:t>
            </w:r>
          </w:p>
        </w:tc>
        <w:tc>
          <w:tcPr>
            <w:tcW w:w="1508" w:type="dxa"/>
            <w:vAlign w:val="bottom"/>
          </w:tcPr>
          <w:p>
            <w:pPr>
              <w:pStyle w:val="yTableNAm"/>
              <w:jc w:val="center"/>
            </w:pPr>
            <w:r>
              <w:t>270.7</w:t>
            </w:r>
          </w:p>
        </w:tc>
      </w:tr>
      <w:tr>
        <w:tc>
          <w:tcPr>
            <w:tcW w:w="1856" w:type="dxa"/>
          </w:tcPr>
          <w:p>
            <w:pPr>
              <w:pStyle w:val="yTableNAm"/>
            </w:pPr>
            <w:r>
              <w:rPr>
                <w:bCs/>
              </w:rPr>
              <w:t>Class 6 (c/kL)</w:t>
            </w:r>
          </w:p>
        </w:tc>
        <w:tc>
          <w:tcPr>
            <w:tcW w:w="1507" w:type="dxa"/>
            <w:vAlign w:val="bottom"/>
          </w:tcPr>
          <w:p>
            <w:pPr>
              <w:pStyle w:val="yTableNAm"/>
              <w:jc w:val="center"/>
            </w:pPr>
            <w:r>
              <w:t>133.6</w:t>
            </w:r>
          </w:p>
        </w:tc>
        <w:tc>
          <w:tcPr>
            <w:tcW w:w="1507" w:type="dxa"/>
            <w:vAlign w:val="bottom"/>
          </w:tcPr>
          <w:p>
            <w:pPr>
              <w:pStyle w:val="yTableNAm"/>
              <w:jc w:val="center"/>
            </w:pPr>
            <w:r>
              <w:t>274.4</w:t>
            </w:r>
          </w:p>
        </w:tc>
        <w:tc>
          <w:tcPr>
            <w:tcW w:w="1508" w:type="dxa"/>
            <w:vAlign w:val="bottom"/>
          </w:tcPr>
          <w:p>
            <w:pPr>
              <w:pStyle w:val="yTableNAm"/>
              <w:jc w:val="center"/>
            </w:pPr>
            <w:r>
              <w:t>294.8</w:t>
            </w:r>
          </w:p>
        </w:tc>
      </w:tr>
      <w:tr>
        <w:tc>
          <w:tcPr>
            <w:tcW w:w="1856" w:type="dxa"/>
          </w:tcPr>
          <w:p>
            <w:pPr>
              <w:pStyle w:val="yTableNAm"/>
            </w:pPr>
            <w:r>
              <w:rPr>
                <w:bCs/>
              </w:rPr>
              <w:t>Class 7 (c/kL)</w:t>
            </w:r>
          </w:p>
        </w:tc>
        <w:tc>
          <w:tcPr>
            <w:tcW w:w="1507" w:type="dxa"/>
            <w:vAlign w:val="bottom"/>
          </w:tcPr>
          <w:p>
            <w:pPr>
              <w:pStyle w:val="yTableNAm"/>
              <w:jc w:val="center"/>
            </w:pPr>
            <w:r>
              <w:t>133.6</w:t>
            </w:r>
          </w:p>
        </w:tc>
        <w:tc>
          <w:tcPr>
            <w:tcW w:w="1507" w:type="dxa"/>
            <w:vAlign w:val="bottom"/>
          </w:tcPr>
          <w:p>
            <w:pPr>
              <w:pStyle w:val="yTableNAm"/>
              <w:jc w:val="center"/>
            </w:pPr>
            <w:r>
              <w:t>298.6</w:t>
            </w:r>
          </w:p>
        </w:tc>
        <w:tc>
          <w:tcPr>
            <w:tcW w:w="1508" w:type="dxa"/>
            <w:vAlign w:val="bottom"/>
          </w:tcPr>
          <w:p>
            <w:pPr>
              <w:pStyle w:val="yTableNAm"/>
              <w:jc w:val="center"/>
            </w:pPr>
            <w:r>
              <w:t>321.1</w:t>
            </w:r>
          </w:p>
        </w:tc>
      </w:tr>
      <w:tr>
        <w:tc>
          <w:tcPr>
            <w:tcW w:w="1856" w:type="dxa"/>
          </w:tcPr>
          <w:p>
            <w:pPr>
              <w:pStyle w:val="yTableNAm"/>
            </w:pPr>
            <w:r>
              <w:rPr>
                <w:bCs/>
              </w:rPr>
              <w:t>Class 8 (c/kL)</w:t>
            </w:r>
          </w:p>
        </w:tc>
        <w:tc>
          <w:tcPr>
            <w:tcW w:w="1507" w:type="dxa"/>
            <w:vAlign w:val="bottom"/>
          </w:tcPr>
          <w:p>
            <w:pPr>
              <w:pStyle w:val="yTableNAm"/>
              <w:jc w:val="center"/>
            </w:pPr>
            <w:r>
              <w:t>133.6</w:t>
            </w:r>
          </w:p>
        </w:tc>
        <w:tc>
          <w:tcPr>
            <w:tcW w:w="1507" w:type="dxa"/>
            <w:vAlign w:val="bottom"/>
          </w:tcPr>
          <w:p>
            <w:pPr>
              <w:pStyle w:val="yTableNAm"/>
              <w:jc w:val="center"/>
            </w:pPr>
            <w:r>
              <w:t>324.2</w:t>
            </w:r>
          </w:p>
        </w:tc>
        <w:tc>
          <w:tcPr>
            <w:tcW w:w="1508" w:type="dxa"/>
            <w:vAlign w:val="bottom"/>
          </w:tcPr>
          <w:p>
            <w:pPr>
              <w:pStyle w:val="yTableNAm"/>
              <w:jc w:val="center"/>
            </w:pPr>
            <w:r>
              <w:t>349.6</w:t>
            </w:r>
          </w:p>
        </w:tc>
      </w:tr>
      <w:tr>
        <w:tc>
          <w:tcPr>
            <w:tcW w:w="1856" w:type="dxa"/>
          </w:tcPr>
          <w:p>
            <w:pPr>
              <w:pStyle w:val="yTableNAm"/>
            </w:pPr>
            <w:r>
              <w:rPr>
                <w:bCs/>
              </w:rPr>
              <w:t>Class 9 (c/kL)</w:t>
            </w:r>
          </w:p>
        </w:tc>
        <w:tc>
          <w:tcPr>
            <w:tcW w:w="1507" w:type="dxa"/>
            <w:vAlign w:val="bottom"/>
          </w:tcPr>
          <w:p>
            <w:pPr>
              <w:pStyle w:val="yTableNAm"/>
              <w:jc w:val="center"/>
            </w:pPr>
            <w:r>
              <w:t>133.6</w:t>
            </w:r>
          </w:p>
        </w:tc>
        <w:tc>
          <w:tcPr>
            <w:tcW w:w="1507" w:type="dxa"/>
            <w:vAlign w:val="bottom"/>
          </w:tcPr>
          <w:p>
            <w:pPr>
              <w:pStyle w:val="yTableNAm"/>
              <w:jc w:val="center"/>
            </w:pPr>
            <w:r>
              <w:t>352.0</w:t>
            </w:r>
          </w:p>
        </w:tc>
        <w:tc>
          <w:tcPr>
            <w:tcW w:w="1508" w:type="dxa"/>
            <w:vAlign w:val="bottom"/>
          </w:tcPr>
          <w:p>
            <w:pPr>
              <w:pStyle w:val="yTableNAm"/>
              <w:jc w:val="center"/>
            </w:pPr>
            <w:r>
              <w:t>380.7</w:t>
            </w:r>
          </w:p>
        </w:tc>
      </w:tr>
      <w:tr>
        <w:tc>
          <w:tcPr>
            <w:tcW w:w="1856" w:type="dxa"/>
          </w:tcPr>
          <w:p>
            <w:pPr>
              <w:pStyle w:val="yTableNAm"/>
            </w:pPr>
            <w:r>
              <w:rPr>
                <w:bCs/>
              </w:rPr>
              <w:t>Class 10 (c/kL)</w:t>
            </w:r>
          </w:p>
        </w:tc>
        <w:tc>
          <w:tcPr>
            <w:tcW w:w="1507" w:type="dxa"/>
            <w:vAlign w:val="bottom"/>
          </w:tcPr>
          <w:p>
            <w:pPr>
              <w:pStyle w:val="yTableNAm"/>
              <w:jc w:val="center"/>
            </w:pPr>
            <w:r>
              <w:t>133.6</w:t>
            </w:r>
          </w:p>
        </w:tc>
        <w:tc>
          <w:tcPr>
            <w:tcW w:w="1507" w:type="dxa"/>
            <w:vAlign w:val="bottom"/>
          </w:tcPr>
          <w:p>
            <w:pPr>
              <w:pStyle w:val="yTableNAm"/>
              <w:jc w:val="center"/>
            </w:pPr>
            <w:r>
              <w:t>379.0</w:t>
            </w:r>
          </w:p>
        </w:tc>
        <w:tc>
          <w:tcPr>
            <w:tcW w:w="1508" w:type="dxa"/>
            <w:vAlign w:val="bottom"/>
          </w:tcPr>
          <w:p>
            <w:pPr>
              <w:pStyle w:val="yTableNAm"/>
              <w:jc w:val="center"/>
            </w:pPr>
            <w:r>
              <w:t>414.6</w:t>
            </w:r>
          </w:p>
        </w:tc>
      </w:tr>
      <w:tr>
        <w:tc>
          <w:tcPr>
            <w:tcW w:w="1856" w:type="dxa"/>
          </w:tcPr>
          <w:p>
            <w:pPr>
              <w:pStyle w:val="yTableNAm"/>
            </w:pPr>
            <w:r>
              <w:rPr>
                <w:bCs/>
              </w:rPr>
              <w:t>Class 11 (c/kL)</w:t>
            </w:r>
          </w:p>
        </w:tc>
        <w:tc>
          <w:tcPr>
            <w:tcW w:w="1507" w:type="dxa"/>
            <w:vAlign w:val="bottom"/>
          </w:tcPr>
          <w:p>
            <w:pPr>
              <w:pStyle w:val="yTableNAm"/>
              <w:jc w:val="center"/>
            </w:pPr>
            <w:r>
              <w:t>133.6</w:t>
            </w:r>
          </w:p>
        </w:tc>
        <w:tc>
          <w:tcPr>
            <w:tcW w:w="1507" w:type="dxa"/>
            <w:vAlign w:val="bottom"/>
          </w:tcPr>
          <w:p>
            <w:pPr>
              <w:pStyle w:val="yTableNAm"/>
              <w:jc w:val="center"/>
            </w:pPr>
            <w:r>
              <w:t>413.5</w:t>
            </w:r>
          </w:p>
        </w:tc>
        <w:tc>
          <w:tcPr>
            <w:tcW w:w="1508" w:type="dxa"/>
            <w:vAlign w:val="bottom"/>
          </w:tcPr>
          <w:p>
            <w:pPr>
              <w:pStyle w:val="yTableNAm"/>
              <w:jc w:val="center"/>
            </w:pPr>
            <w:r>
              <w:t>451.4</w:t>
            </w:r>
          </w:p>
        </w:tc>
      </w:tr>
      <w:tr>
        <w:tc>
          <w:tcPr>
            <w:tcW w:w="1856" w:type="dxa"/>
          </w:tcPr>
          <w:p>
            <w:pPr>
              <w:pStyle w:val="yTableNAm"/>
            </w:pPr>
            <w:r>
              <w:rPr>
                <w:bCs/>
              </w:rPr>
              <w:t>Class 12 (c/kL)</w:t>
            </w:r>
          </w:p>
        </w:tc>
        <w:tc>
          <w:tcPr>
            <w:tcW w:w="1507" w:type="dxa"/>
            <w:vAlign w:val="bottom"/>
          </w:tcPr>
          <w:p>
            <w:pPr>
              <w:pStyle w:val="yTableNAm"/>
              <w:jc w:val="center"/>
            </w:pPr>
            <w:r>
              <w:t>133.6</w:t>
            </w:r>
          </w:p>
        </w:tc>
        <w:tc>
          <w:tcPr>
            <w:tcW w:w="1507" w:type="dxa"/>
            <w:vAlign w:val="bottom"/>
          </w:tcPr>
          <w:p>
            <w:pPr>
              <w:pStyle w:val="yTableNAm"/>
              <w:jc w:val="center"/>
            </w:pPr>
            <w:r>
              <w:t>451.3</w:t>
            </w:r>
          </w:p>
        </w:tc>
        <w:tc>
          <w:tcPr>
            <w:tcW w:w="1508" w:type="dxa"/>
            <w:vAlign w:val="bottom"/>
          </w:tcPr>
          <w:p>
            <w:pPr>
              <w:pStyle w:val="yTableNAm"/>
              <w:jc w:val="center"/>
            </w:pPr>
            <w:r>
              <w:t>491.6</w:t>
            </w:r>
          </w:p>
        </w:tc>
      </w:tr>
      <w:tr>
        <w:tc>
          <w:tcPr>
            <w:tcW w:w="1856" w:type="dxa"/>
          </w:tcPr>
          <w:p>
            <w:pPr>
              <w:pStyle w:val="yTableNAm"/>
            </w:pPr>
            <w:r>
              <w:rPr>
                <w:bCs/>
              </w:rPr>
              <w:t>Class 13 (c/kL)</w:t>
            </w:r>
          </w:p>
        </w:tc>
        <w:tc>
          <w:tcPr>
            <w:tcW w:w="1507" w:type="dxa"/>
            <w:vAlign w:val="bottom"/>
          </w:tcPr>
          <w:p>
            <w:pPr>
              <w:pStyle w:val="yTableNAm"/>
              <w:jc w:val="center"/>
            </w:pPr>
            <w:r>
              <w:t>133.6</w:t>
            </w:r>
          </w:p>
        </w:tc>
        <w:tc>
          <w:tcPr>
            <w:tcW w:w="1507" w:type="dxa"/>
            <w:vAlign w:val="bottom"/>
          </w:tcPr>
          <w:p>
            <w:pPr>
              <w:pStyle w:val="yTableNAm"/>
              <w:jc w:val="center"/>
            </w:pPr>
            <w:r>
              <w:t>492.4</w:t>
            </w:r>
          </w:p>
        </w:tc>
        <w:tc>
          <w:tcPr>
            <w:tcW w:w="1508" w:type="dxa"/>
            <w:vAlign w:val="bottom"/>
          </w:tcPr>
          <w:p>
            <w:pPr>
              <w:pStyle w:val="yTableNAm"/>
              <w:jc w:val="center"/>
            </w:pPr>
            <w:r>
              <w:t>535.3</w:t>
            </w:r>
          </w:p>
        </w:tc>
      </w:tr>
      <w:tr>
        <w:tc>
          <w:tcPr>
            <w:tcW w:w="1856" w:type="dxa"/>
          </w:tcPr>
          <w:p>
            <w:pPr>
              <w:pStyle w:val="yTableNAm"/>
            </w:pPr>
            <w:r>
              <w:rPr>
                <w:bCs/>
              </w:rPr>
              <w:t>Class 14 (c/kL)</w:t>
            </w:r>
          </w:p>
        </w:tc>
        <w:tc>
          <w:tcPr>
            <w:tcW w:w="1507" w:type="dxa"/>
            <w:vAlign w:val="bottom"/>
          </w:tcPr>
          <w:p>
            <w:pPr>
              <w:pStyle w:val="yTableNAm"/>
              <w:jc w:val="center"/>
            </w:pPr>
            <w:r>
              <w:t>133.6</w:t>
            </w:r>
          </w:p>
        </w:tc>
        <w:tc>
          <w:tcPr>
            <w:tcW w:w="1507" w:type="dxa"/>
            <w:vAlign w:val="bottom"/>
          </w:tcPr>
          <w:p>
            <w:pPr>
              <w:pStyle w:val="yTableNAm"/>
              <w:jc w:val="center"/>
            </w:pPr>
            <w:r>
              <w:t>537.3</w:t>
            </w:r>
          </w:p>
        </w:tc>
        <w:tc>
          <w:tcPr>
            <w:tcW w:w="1508" w:type="dxa"/>
            <w:vAlign w:val="bottom"/>
          </w:tcPr>
          <w:p>
            <w:pPr>
              <w:pStyle w:val="yTableNAm"/>
              <w:jc w:val="center"/>
            </w:pPr>
            <w:r>
              <w:t>582.9</w:t>
            </w:r>
          </w:p>
        </w:tc>
      </w:tr>
      <w:tr>
        <w:tc>
          <w:tcPr>
            <w:tcW w:w="1856" w:type="dxa"/>
            <w:tcBorders>
              <w:bottom w:val="single" w:sz="4" w:space="0" w:color="auto"/>
            </w:tcBorders>
          </w:tcPr>
          <w:p>
            <w:pPr>
              <w:pStyle w:val="yTableNAm"/>
            </w:pPr>
            <w:r>
              <w:rPr>
                <w:bCs/>
              </w:rPr>
              <w:t>Class 15 (c/kL)</w:t>
            </w:r>
          </w:p>
        </w:tc>
        <w:tc>
          <w:tcPr>
            <w:tcW w:w="1507" w:type="dxa"/>
            <w:tcBorders>
              <w:bottom w:val="single" w:sz="4" w:space="0" w:color="auto"/>
            </w:tcBorders>
            <w:vAlign w:val="bottom"/>
          </w:tcPr>
          <w:p>
            <w:pPr>
              <w:pStyle w:val="yTableNAm"/>
              <w:jc w:val="center"/>
            </w:pPr>
            <w:r>
              <w:t>133.6</w:t>
            </w:r>
          </w:p>
        </w:tc>
        <w:tc>
          <w:tcPr>
            <w:tcW w:w="1507" w:type="dxa"/>
            <w:tcBorders>
              <w:bottom w:val="single" w:sz="4" w:space="0" w:color="auto"/>
            </w:tcBorders>
            <w:vAlign w:val="bottom"/>
          </w:tcPr>
          <w:p>
            <w:pPr>
              <w:pStyle w:val="yTableNAm"/>
              <w:jc w:val="center"/>
            </w:pPr>
            <w:r>
              <w:t>586.2</w:t>
            </w:r>
          </w:p>
        </w:tc>
        <w:tc>
          <w:tcPr>
            <w:tcW w:w="1508" w:type="dxa"/>
            <w:tcBorders>
              <w:bottom w:val="single" w:sz="4" w:space="0" w:color="auto"/>
            </w:tcBorders>
            <w:vAlign w:val="bottom"/>
          </w:tcPr>
          <w:p>
            <w:pPr>
              <w:pStyle w:val="yTableNAm"/>
              <w:jc w:val="center"/>
            </w:pPr>
            <w:r>
              <w:t>634.7</w:t>
            </w:r>
          </w:p>
        </w:tc>
      </w:tr>
    </w:tbl>
    <w:p>
      <w:pPr>
        <w:pStyle w:val="yMiscellaneousBody"/>
      </w:pPr>
    </w:p>
    <w:tbl>
      <w:tblPr>
        <w:tblW w:w="6377" w:type="dxa"/>
        <w:tblInd w:w="534" w:type="dxa"/>
        <w:tblLayout w:type="fixed"/>
        <w:tblLook w:val="0000" w:firstRow="0" w:lastRow="0" w:firstColumn="0" w:lastColumn="0" w:noHBand="0" w:noVBand="0"/>
      </w:tblPr>
      <w:tblGrid>
        <w:gridCol w:w="736"/>
        <w:gridCol w:w="4326"/>
        <w:gridCol w:w="1315"/>
      </w:tblGrid>
      <w:tr>
        <w:trPr>
          <w:cantSplit/>
        </w:trPr>
        <w:tc>
          <w:tcPr>
            <w:tcW w:w="736" w:type="dxa"/>
          </w:tcPr>
          <w:p>
            <w:pPr>
              <w:pStyle w:val="yTableNAm"/>
              <w:keepNext/>
            </w:pPr>
            <w:r>
              <w:rPr>
                <w:b/>
              </w:rPr>
              <w:t>28.</w:t>
            </w:r>
          </w:p>
        </w:tc>
        <w:tc>
          <w:tcPr>
            <w:tcW w:w="4326" w:type="dxa"/>
          </w:tcPr>
          <w:p>
            <w:pPr>
              <w:pStyle w:val="yTableNAm"/>
              <w:keepNext/>
              <w:tabs>
                <w:tab w:val="left" w:leader="dot" w:pos="4876"/>
              </w:tabs>
            </w:pPr>
            <w:r>
              <w:rPr>
                <w:b/>
              </w:rPr>
              <w:t>Coral Bay desalinated</w:t>
            </w:r>
          </w:p>
        </w:tc>
        <w:tc>
          <w:tcPr>
            <w:tcW w:w="1315" w:type="dxa"/>
            <w:vAlign w:val="bottom"/>
          </w:tcPr>
          <w:p>
            <w:pPr>
              <w:pStyle w:val="yTableNAm"/>
              <w:keepNext/>
            </w:pPr>
          </w:p>
        </w:tc>
      </w:tr>
      <w:tr>
        <w:trPr>
          <w:cantSplit/>
        </w:trPr>
        <w:tc>
          <w:tcPr>
            <w:tcW w:w="736" w:type="dxa"/>
          </w:tcPr>
          <w:p>
            <w:pPr>
              <w:pStyle w:val="zyTableNAm"/>
              <w:keepNext/>
              <w:keepLines/>
            </w:pPr>
          </w:p>
        </w:tc>
        <w:tc>
          <w:tcPr>
            <w:tcW w:w="4326" w:type="dxa"/>
          </w:tcPr>
          <w:p>
            <w:pPr>
              <w:pStyle w:val="yTableNAm"/>
              <w:tabs>
                <w:tab w:val="left" w:leader="dot" w:pos="4876"/>
              </w:tabs>
            </w:pPr>
            <w:r>
              <w:rPr>
                <w:spacing w:val="-1"/>
              </w:rPr>
              <w:t xml:space="preserve">For each kilolitre of water supplied to land in the Coral Bay Water Area not classified as residential land, being water that has been treated to reduce the level of, or remove, salts </w:t>
            </w:r>
          </w:p>
        </w:tc>
        <w:tc>
          <w:tcPr>
            <w:tcW w:w="1315" w:type="dxa"/>
            <w:vAlign w:val="bottom"/>
          </w:tcPr>
          <w:p>
            <w:pPr>
              <w:pStyle w:val="yTableNAm"/>
            </w:pPr>
            <w:r>
              <w:t>636.9 cents</w:t>
            </w:r>
          </w:p>
        </w:tc>
      </w:tr>
      <w:tr>
        <w:trPr>
          <w:cantSplit/>
        </w:trPr>
        <w:tc>
          <w:tcPr>
            <w:tcW w:w="736" w:type="dxa"/>
          </w:tcPr>
          <w:p>
            <w:pPr>
              <w:pStyle w:val="yTableNAm"/>
            </w:pPr>
            <w:r>
              <w:rPr>
                <w:b/>
              </w:rPr>
              <w:t>29.</w:t>
            </w:r>
          </w:p>
        </w:tc>
        <w:tc>
          <w:tcPr>
            <w:tcW w:w="4326" w:type="dxa"/>
          </w:tcPr>
          <w:p>
            <w:pPr>
              <w:pStyle w:val="yTableNAm"/>
              <w:tabs>
                <w:tab w:val="left" w:leader="dot" w:pos="4876"/>
              </w:tabs>
            </w:pPr>
            <w:r>
              <w:rPr>
                <w:b/>
              </w:rPr>
              <w:t>Denham desalinated</w:t>
            </w:r>
          </w:p>
        </w:tc>
        <w:tc>
          <w:tcPr>
            <w:tcW w:w="1315" w:type="dxa"/>
            <w:vAlign w:val="bottom"/>
          </w:tcPr>
          <w:p>
            <w:pPr>
              <w:pStyle w:val="yTableNAm"/>
            </w:pPr>
          </w:p>
        </w:tc>
      </w:tr>
      <w:tr>
        <w:trPr>
          <w:cantSplit/>
        </w:trPr>
        <w:tc>
          <w:tcPr>
            <w:tcW w:w="736" w:type="dxa"/>
          </w:tcPr>
          <w:p>
            <w:pPr>
              <w:pStyle w:val="zyTableNAm"/>
            </w:pPr>
          </w:p>
        </w:tc>
        <w:tc>
          <w:tcPr>
            <w:tcW w:w="4326" w:type="dxa"/>
          </w:tcPr>
          <w:p>
            <w:pPr>
              <w:pStyle w:val="yTableNAm"/>
              <w:tabs>
                <w:tab w:val="left" w:leader="dot" w:pos="4876"/>
              </w:tabs>
            </w:pPr>
            <w:r>
              <w:t>For each kilolitre of water supplied to land in the Denham Country Water Area, being water that has been treated to reduce the level of, or remove, salts —</w:t>
            </w:r>
          </w:p>
        </w:tc>
        <w:tc>
          <w:tcPr>
            <w:tcW w:w="1315" w:type="dxa"/>
            <w:vAlign w:val="bottom"/>
          </w:tcPr>
          <w:p>
            <w:pPr>
              <w:pStyle w:val="yTableNAm"/>
            </w:pPr>
          </w:p>
        </w:tc>
      </w:tr>
      <w:tr>
        <w:trPr>
          <w:cantSplit/>
        </w:trPr>
        <w:tc>
          <w:tcPr>
            <w:tcW w:w="736" w:type="dxa"/>
          </w:tcPr>
          <w:p>
            <w:pPr>
              <w:pStyle w:val="zyTableNAm"/>
            </w:pPr>
          </w:p>
        </w:tc>
        <w:tc>
          <w:tcPr>
            <w:tcW w:w="4326" w:type="dxa"/>
          </w:tcPr>
          <w:p>
            <w:pPr>
              <w:pStyle w:val="yTableNAm"/>
              <w:tabs>
                <w:tab w:val="clear" w:pos="567"/>
                <w:tab w:val="left" w:pos="296"/>
                <w:tab w:val="left" w:pos="776"/>
                <w:tab w:val="left" w:leader="dot" w:pos="4876"/>
              </w:tabs>
              <w:ind w:left="776" w:hanging="776"/>
            </w:pPr>
            <w:r>
              <w:rPr>
                <w:snapToGrid w:val="0"/>
              </w:rPr>
              <w:tab/>
              <w:t>(a)</w:t>
            </w:r>
            <w:r>
              <w:rPr>
                <w:snapToGrid w:val="0"/>
              </w:rPr>
              <w:tab/>
              <w:t>in the case of land classified as residential —</w:t>
            </w:r>
          </w:p>
        </w:tc>
        <w:tc>
          <w:tcPr>
            <w:tcW w:w="1315" w:type="dxa"/>
            <w:vAlign w:val="bottom"/>
          </w:tcPr>
          <w:p>
            <w:pPr>
              <w:pStyle w:val="yTableNAm"/>
            </w:pPr>
          </w:p>
        </w:tc>
      </w:tr>
      <w:tr>
        <w:trPr>
          <w:cantSplit/>
        </w:trPr>
        <w:tc>
          <w:tcPr>
            <w:tcW w:w="736" w:type="dxa"/>
          </w:tcPr>
          <w:p>
            <w:pPr>
              <w:pStyle w:val="zyTableNAm"/>
            </w:pPr>
          </w:p>
        </w:tc>
        <w:tc>
          <w:tcPr>
            <w:tcW w:w="4326" w:type="dxa"/>
          </w:tcPr>
          <w:p>
            <w:pPr>
              <w:pStyle w:val="yTableNAm"/>
              <w:tabs>
                <w:tab w:val="clear" w:pos="567"/>
                <w:tab w:val="left" w:pos="852"/>
                <w:tab w:val="right" w:leader="dot" w:pos="4003"/>
              </w:tabs>
              <w:ind w:left="848" w:right="158" w:hanging="848"/>
            </w:pPr>
            <w:r>
              <w:tab/>
            </w:r>
            <w:r>
              <w:tab/>
              <w:t xml:space="preserve">up to quota </w:t>
            </w:r>
            <w:r>
              <w:tab/>
            </w:r>
          </w:p>
        </w:tc>
        <w:tc>
          <w:tcPr>
            <w:tcW w:w="1315" w:type="dxa"/>
            <w:vAlign w:val="bottom"/>
          </w:tcPr>
          <w:p>
            <w:pPr>
              <w:pStyle w:val="yTableNAm"/>
            </w:pPr>
            <w:r>
              <w:t>58.7 cents</w:t>
            </w:r>
          </w:p>
        </w:tc>
      </w:tr>
      <w:tr>
        <w:trPr>
          <w:cantSplit/>
        </w:trPr>
        <w:tc>
          <w:tcPr>
            <w:tcW w:w="736" w:type="dxa"/>
          </w:tcPr>
          <w:p>
            <w:pPr>
              <w:pStyle w:val="zyTableNAm"/>
            </w:pPr>
          </w:p>
        </w:tc>
        <w:tc>
          <w:tcPr>
            <w:tcW w:w="4326" w:type="dxa"/>
          </w:tcPr>
          <w:p>
            <w:pPr>
              <w:pStyle w:val="yTableNAm"/>
              <w:tabs>
                <w:tab w:val="clear" w:pos="567"/>
                <w:tab w:val="left" w:pos="852"/>
                <w:tab w:val="right" w:leader="dot" w:pos="4003"/>
              </w:tabs>
              <w:ind w:left="848" w:right="158" w:hanging="848"/>
            </w:pPr>
            <w:r>
              <w:tab/>
            </w:r>
            <w:r>
              <w:tab/>
              <w:t>over quota by up to 1 kL per 7 kL of quota </w:t>
            </w:r>
            <w:r>
              <w:tab/>
            </w:r>
          </w:p>
        </w:tc>
        <w:tc>
          <w:tcPr>
            <w:tcW w:w="1315" w:type="dxa"/>
            <w:vAlign w:val="bottom"/>
          </w:tcPr>
          <w:p>
            <w:pPr>
              <w:pStyle w:val="yTableNAm"/>
            </w:pPr>
            <w:r>
              <w:t>430.8 cents</w:t>
            </w:r>
          </w:p>
        </w:tc>
      </w:tr>
      <w:tr>
        <w:trPr>
          <w:cantSplit/>
        </w:trPr>
        <w:tc>
          <w:tcPr>
            <w:tcW w:w="736" w:type="dxa"/>
          </w:tcPr>
          <w:p>
            <w:pPr>
              <w:pStyle w:val="zyTableNAm"/>
            </w:pPr>
          </w:p>
        </w:tc>
        <w:tc>
          <w:tcPr>
            <w:tcW w:w="4326" w:type="dxa"/>
          </w:tcPr>
          <w:p>
            <w:pPr>
              <w:pStyle w:val="yTableNAm"/>
              <w:tabs>
                <w:tab w:val="clear" w:pos="567"/>
                <w:tab w:val="left" w:pos="852"/>
                <w:tab w:val="right" w:leader="dot" w:pos="4003"/>
              </w:tabs>
              <w:ind w:left="848" w:right="158" w:hanging="848"/>
            </w:pPr>
            <w:r>
              <w:tab/>
            </w:r>
            <w:r>
              <w:tab/>
              <w:t xml:space="preserve">over quota by more than 1 kL per 7 kL of quota </w:t>
            </w:r>
            <w:r>
              <w:tab/>
            </w:r>
          </w:p>
        </w:tc>
        <w:tc>
          <w:tcPr>
            <w:tcW w:w="1315" w:type="dxa"/>
            <w:vAlign w:val="bottom"/>
          </w:tcPr>
          <w:p>
            <w:pPr>
              <w:pStyle w:val="yTableNAm"/>
            </w:pPr>
            <w:r>
              <w:t>1 342.3 cents</w:t>
            </w:r>
          </w:p>
        </w:tc>
      </w:tr>
      <w:tr>
        <w:trPr>
          <w:cantSplit/>
        </w:trPr>
        <w:tc>
          <w:tcPr>
            <w:tcW w:w="736" w:type="dxa"/>
          </w:tcPr>
          <w:p>
            <w:pPr>
              <w:pStyle w:val="zyTableNAm"/>
            </w:pPr>
          </w:p>
        </w:tc>
        <w:tc>
          <w:tcPr>
            <w:tcW w:w="4326" w:type="dxa"/>
          </w:tcPr>
          <w:p>
            <w:pPr>
              <w:pStyle w:val="yTableNAm"/>
              <w:tabs>
                <w:tab w:val="clear" w:pos="567"/>
                <w:tab w:val="left" w:pos="296"/>
                <w:tab w:val="left" w:pos="776"/>
                <w:tab w:val="left" w:leader="dot" w:pos="4876"/>
              </w:tabs>
              <w:ind w:left="776" w:hanging="776"/>
            </w:pPr>
            <w:r>
              <w:rPr>
                <w:snapToGrid w:val="0"/>
              </w:rPr>
              <w:tab/>
            </w:r>
            <w:r>
              <w:rPr>
                <w:snapToGrid w:val="0"/>
              </w:rPr>
              <w:tab/>
              <w:t>where the quota, for each of the periods of 4 consecutive months during the year, is 35 kL or such greater amount as the Corporation may from time to time determine for the land concerned;</w:t>
            </w:r>
          </w:p>
        </w:tc>
        <w:tc>
          <w:tcPr>
            <w:tcW w:w="1315" w:type="dxa"/>
            <w:vAlign w:val="bottom"/>
          </w:tcPr>
          <w:p>
            <w:pPr>
              <w:pStyle w:val="yTableNAm"/>
            </w:pPr>
          </w:p>
        </w:tc>
      </w:tr>
      <w:tr>
        <w:trPr>
          <w:cantSplit/>
        </w:trPr>
        <w:tc>
          <w:tcPr>
            <w:tcW w:w="736" w:type="dxa"/>
          </w:tcPr>
          <w:p>
            <w:pPr>
              <w:pStyle w:val="zyTableNAm"/>
            </w:pPr>
          </w:p>
        </w:tc>
        <w:tc>
          <w:tcPr>
            <w:tcW w:w="4326" w:type="dxa"/>
          </w:tcPr>
          <w:p>
            <w:pPr>
              <w:pStyle w:val="yTableNAm"/>
              <w:tabs>
                <w:tab w:val="clear" w:pos="567"/>
                <w:tab w:val="left" w:pos="296"/>
                <w:tab w:val="left" w:pos="776"/>
                <w:tab w:val="left" w:leader="dot" w:pos="4876"/>
              </w:tabs>
              <w:ind w:left="776" w:hanging="776"/>
            </w:pPr>
            <w:r>
              <w:rPr>
                <w:snapToGrid w:val="0"/>
              </w:rPr>
              <w:tab/>
              <w:t>(b)</w:t>
            </w:r>
            <w:r>
              <w:rPr>
                <w:snapToGrid w:val="0"/>
              </w:rPr>
              <w:tab/>
              <w:t>in the case of land not classified as residential —</w:t>
            </w:r>
          </w:p>
        </w:tc>
        <w:tc>
          <w:tcPr>
            <w:tcW w:w="1315" w:type="dxa"/>
            <w:vAlign w:val="bottom"/>
          </w:tcPr>
          <w:p>
            <w:pPr>
              <w:pStyle w:val="yTableNAm"/>
            </w:pPr>
          </w:p>
        </w:tc>
      </w:tr>
      <w:tr>
        <w:trPr>
          <w:cantSplit/>
        </w:trPr>
        <w:tc>
          <w:tcPr>
            <w:tcW w:w="736" w:type="dxa"/>
          </w:tcPr>
          <w:p>
            <w:pPr>
              <w:pStyle w:val="zyTableNAm"/>
            </w:pPr>
          </w:p>
        </w:tc>
        <w:tc>
          <w:tcPr>
            <w:tcW w:w="4326" w:type="dxa"/>
          </w:tcPr>
          <w:p>
            <w:pPr>
              <w:pStyle w:val="yTableNAm"/>
              <w:tabs>
                <w:tab w:val="clear" w:pos="567"/>
                <w:tab w:val="left" w:pos="852"/>
                <w:tab w:val="right" w:leader="dot" w:pos="4003"/>
              </w:tabs>
              <w:ind w:left="848" w:right="158" w:hanging="848"/>
            </w:pPr>
            <w:r>
              <w:tab/>
            </w:r>
            <w:r>
              <w:tab/>
              <w:t xml:space="preserve">up to quota </w:t>
            </w:r>
            <w:r>
              <w:tab/>
            </w:r>
          </w:p>
        </w:tc>
        <w:tc>
          <w:tcPr>
            <w:tcW w:w="1315" w:type="dxa"/>
            <w:vAlign w:val="bottom"/>
          </w:tcPr>
          <w:p>
            <w:pPr>
              <w:pStyle w:val="yTableNAm"/>
            </w:pPr>
            <w:r>
              <w:t>58.7 cents</w:t>
            </w:r>
          </w:p>
        </w:tc>
      </w:tr>
      <w:tr>
        <w:trPr>
          <w:cantSplit/>
        </w:trPr>
        <w:tc>
          <w:tcPr>
            <w:tcW w:w="736" w:type="dxa"/>
          </w:tcPr>
          <w:p>
            <w:pPr>
              <w:pStyle w:val="zyTableNAm"/>
            </w:pPr>
          </w:p>
        </w:tc>
        <w:tc>
          <w:tcPr>
            <w:tcW w:w="4326" w:type="dxa"/>
          </w:tcPr>
          <w:p>
            <w:pPr>
              <w:pStyle w:val="yTableNAm"/>
              <w:tabs>
                <w:tab w:val="clear" w:pos="567"/>
                <w:tab w:val="left" w:pos="852"/>
                <w:tab w:val="right" w:leader="dot" w:pos="4003"/>
              </w:tabs>
              <w:ind w:left="848" w:right="158" w:hanging="848"/>
            </w:pPr>
            <w:r>
              <w:tab/>
            </w:r>
            <w:r>
              <w:tab/>
              <w:t xml:space="preserve">over quota </w:t>
            </w:r>
            <w:r>
              <w:tab/>
            </w:r>
          </w:p>
        </w:tc>
        <w:tc>
          <w:tcPr>
            <w:tcW w:w="1315" w:type="dxa"/>
            <w:vAlign w:val="bottom"/>
          </w:tcPr>
          <w:p>
            <w:pPr>
              <w:pStyle w:val="yTableNAm"/>
            </w:pPr>
            <w:r>
              <w:t>1 342.3 cents</w:t>
            </w:r>
          </w:p>
        </w:tc>
      </w:tr>
      <w:tr>
        <w:trPr>
          <w:cantSplit/>
        </w:trPr>
        <w:tc>
          <w:tcPr>
            <w:tcW w:w="736" w:type="dxa"/>
          </w:tcPr>
          <w:p>
            <w:pPr>
              <w:pStyle w:val="zyTableNAm"/>
            </w:pPr>
          </w:p>
        </w:tc>
        <w:tc>
          <w:tcPr>
            <w:tcW w:w="4326" w:type="dxa"/>
          </w:tcPr>
          <w:p>
            <w:pPr>
              <w:pStyle w:val="yTableNAm"/>
              <w:tabs>
                <w:tab w:val="clear" w:pos="567"/>
                <w:tab w:val="left" w:pos="296"/>
                <w:tab w:val="left" w:pos="776"/>
                <w:tab w:val="left" w:leader="dot" w:pos="4876"/>
              </w:tabs>
              <w:ind w:left="776" w:hanging="776"/>
            </w:pPr>
            <w:r>
              <w:rPr>
                <w:snapToGrid w:val="0"/>
              </w:rPr>
              <w:tab/>
            </w:r>
            <w:r>
              <w:rPr>
                <w:snapToGrid w:val="0"/>
              </w:rPr>
              <w:tab/>
              <w:t>where the quota for the year is 105 kL or such greater amount as the Corporation may from time to time determine for the land concerned.</w:t>
            </w:r>
          </w:p>
        </w:tc>
        <w:tc>
          <w:tcPr>
            <w:tcW w:w="1315" w:type="dxa"/>
            <w:vAlign w:val="bottom"/>
          </w:tcPr>
          <w:p>
            <w:pPr>
              <w:pStyle w:val="yTableNAm"/>
            </w:pPr>
          </w:p>
        </w:tc>
      </w:tr>
      <w:tr>
        <w:trPr>
          <w:cantSplit/>
        </w:trPr>
        <w:tc>
          <w:tcPr>
            <w:tcW w:w="736" w:type="dxa"/>
          </w:tcPr>
          <w:p>
            <w:pPr>
              <w:pStyle w:val="yTableNAm"/>
            </w:pPr>
            <w:r>
              <w:rPr>
                <w:b/>
              </w:rPr>
              <w:t>30.</w:t>
            </w:r>
          </w:p>
        </w:tc>
        <w:tc>
          <w:tcPr>
            <w:tcW w:w="4326" w:type="dxa"/>
          </w:tcPr>
          <w:p>
            <w:pPr>
              <w:pStyle w:val="yTableNAm"/>
              <w:tabs>
                <w:tab w:val="left" w:leader="dot" w:pos="4876"/>
              </w:tabs>
            </w:pPr>
            <w:r>
              <w:rPr>
                <w:b/>
              </w:rPr>
              <w:t>Local government standpipes</w:t>
            </w:r>
          </w:p>
        </w:tc>
        <w:tc>
          <w:tcPr>
            <w:tcW w:w="1315" w:type="dxa"/>
            <w:vAlign w:val="bottom"/>
          </w:tcPr>
          <w:p>
            <w:pPr>
              <w:pStyle w:val="yTableNAm"/>
            </w:pPr>
          </w:p>
        </w:tc>
      </w:tr>
      <w:tr>
        <w:trPr>
          <w:cantSplit/>
        </w:trPr>
        <w:tc>
          <w:tcPr>
            <w:tcW w:w="736" w:type="dxa"/>
          </w:tcPr>
          <w:p>
            <w:pPr>
              <w:pStyle w:val="zyTableNAm"/>
              <w:keepNext/>
              <w:keepLines/>
            </w:pPr>
          </w:p>
        </w:tc>
        <w:tc>
          <w:tcPr>
            <w:tcW w:w="4326" w:type="dxa"/>
          </w:tcPr>
          <w:p>
            <w:pPr>
              <w:pStyle w:val="yTableNAm"/>
              <w:tabs>
                <w:tab w:val="left" w:leader="dot" w:pos="4876"/>
              </w:tabs>
            </w:pPr>
            <w:r>
              <w:rPr>
                <w:spacing w:val="-1"/>
              </w:rPr>
              <w:t xml:space="preserve">For </w:t>
            </w:r>
            <w:r>
              <w:rPr>
                <w:snapToGrid w:val="0"/>
              </w:rPr>
              <w:t>each</w:t>
            </w:r>
            <w:r>
              <w:rPr>
                <w:spacing w:val="-1"/>
              </w:rPr>
              <w:t xml:space="preserve"> kilolitre of </w:t>
            </w:r>
            <w:r>
              <w:t>water</w:t>
            </w:r>
            <w:r>
              <w:rPr>
                <w:spacing w:val="-1"/>
              </w:rPr>
              <w:t xml:space="preserve"> supplied through a local government standpipe </w:t>
            </w:r>
            <w:r>
              <w:rPr>
                <w:spacing w:val="-1"/>
              </w:rPr>
              <w:tab/>
            </w:r>
          </w:p>
        </w:tc>
        <w:tc>
          <w:tcPr>
            <w:tcW w:w="1315" w:type="dxa"/>
            <w:vAlign w:val="bottom"/>
          </w:tcPr>
          <w:p>
            <w:pPr>
              <w:pStyle w:val="yTableNAm"/>
            </w:pPr>
            <w:r>
              <w:t>171.3 cents</w:t>
            </w:r>
          </w:p>
        </w:tc>
      </w:tr>
      <w:tr>
        <w:trPr>
          <w:cantSplit/>
        </w:trPr>
        <w:tc>
          <w:tcPr>
            <w:tcW w:w="736" w:type="dxa"/>
          </w:tcPr>
          <w:p>
            <w:pPr>
              <w:pStyle w:val="yTableNAm"/>
            </w:pPr>
            <w:r>
              <w:rPr>
                <w:b/>
              </w:rPr>
              <w:t>31.</w:t>
            </w:r>
          </w:p>
        </w:tc>
        <w:tc>
          <w:tcPr>
            <w:tcW w:w="4326" w:type="dxa"/>
          </w:tcPr>
          <w:p>
            <w:pPr>
              <w:pStyle w:val="yTableNAm"/>
              <w:tabs>
                <w:tab w:val="left" w:leader="dot" w:pos="4876"/>
              </w:tabs>
            </w:pPr>
            <w:r>
              <w:rPr>
                <w:b/>
              </w:rPr>
              <w:t>Shipping</w:t>
            </w:r>
          </w:p>
        </w:tc>
        <w:tc>
          <w:tcPr>
            <w:tcW w:w="1315" w:type="dxa"/>
            <w:vAlign w:val="bottom"/>
          </w:tcPr>
          <w:p>
            <w:pPr>
              <w:pStyle w:val="yTableNAm"/>
            </w:pPr>
          </w:p>
        </w:tc>
      </w:tr>
      <w:tr>
        <w:trPr>
          <w:cantSplit/>
        </w:trPr>
        <w:tc>
          <w:tcPr>
            <w:tcW w:w="736" w:type="dxa"/>
          </w:tcPr>
          <w:p>
            <w:pPr>
              <w:pStyle w:val="zyTableNAm"/>
              <w:rPr>
                <w:rStyle w:val="CharSClsNo"/>
              </w:rPr>
            </w:pPr>
          </w:p>
        </w:tc>
        <w:tc>
          <w:tcPr>
            <w:tcW w:w="4326" w:type="dxa"/>
          </w:tcPr>
          <w:p>
            <w:pPr>
              <w:pStyle w:val="yTableNAm"/>
              <w:tabs>
                <w:tab w:val="left" w:leader="dot" w:pos="4876"/>
              </w:tabs>
            </w:pPr>
            <w:r>
              <w:t xml:space="preserve">For </w:t>
            </w:r>
            <w:r>
              <w:rPr>
                <w:snapToGrid w:val="0"/>
              </w:rPr>
              <w:t>each</w:t>
            </w:r>
            <w:r>
              <w:t xml:space="preserve"> kilolitre of water supplied for the purpose of being taken on board any ship in port —</w:t>
            </w:r>
          </w:p>
        </w:tc>
        <w:tc>
          <w:tcPr>
            <w:tcW w:w="1315" w:type="dxa"/>
            <w:vAlign w:val="bottom"/>
          </w:tcPr>
          <w:p>
            <w:pPr>
              <w:pStyle w:val="yTableNAm"/>
            </w:pPr>
          </w:p>
        </w:tc>
      </w:tr>
      <w:tr>
        <w:trPr>
          <w:cantSplit/>
        </w:trPr>
        <w:tc>
          <w:tcPr>
            <w:tcW w:w="736" w:type="dxa"/>
          </w:tcPr>
          <w:p>
            <w:pPr>
              <w:pStyle w:val="zyTableNAm"/>
              <w:rPr>
                <w:rStyle w:val="CharSClsNo"/>
              </w:rPr>
            </w:pPr>
          </w:p>
        </w:tc>
        <w:tc>
          <w:tcPr>
            <w:tcW w:w="4326" w:type="dxa"/>
          </w:tcPr>
          <w:p>
            <w:pPr>
              <w:pStyle w:val="yTableNAm"/>
              <w:tabs>
                <w:tab w:val="clear" w:pos="567"/>
                <w:tab w:val="left" w:pos="296"/>
                <w:tab w:val="left" w:pos="776"/>
                <w:tab w:val="left" w:leader="dot" w:pos="4876"/>
              </w:tabs>
              <w:ind w:left="776" w:hanging="776"/>
              <w:rPr>
                <w:snapToGrid w:val="0"/>
              </w:rPr>
            </w:pPr>
            <w:r>
              <w:rPr>
                <w:snapToGrid w:val="0"/>
              </w:rPr>
              <w:tab/>
              <w:t>(a)</w:t>
            </w:r>
            <w:r>
              <w:rPr>
                <w:snapToGrid w:val="0"/>
              </w:rPr>
              <w:tab/>
              <w:t xml:space="preserve">in the metropolitan area </w:t>
            </w:r>
            <w:r>
              <w:rPr>
                <w:snapToGrid w:val="0"/>
              </w:rPr>
              <w:tab/>
            </w:r>
          </w:p>
        </w:tc>
        <w:tc>
          <w:tcPr>
            <w:tcW w:w="1315" w:type="dxa"/>
            <w:vAlign w:val="bottom"/>
          </w:tcPr>
          <w:p>
            <w:pPr>
              <w:pStyle w:val="yTableNAm"/>
            </w:pPr>
            <w:r>
              <w:t>204.1 cents</w:t>
            </w:r>
          </w:p>
        </w:tc>
      </w:tr>
      <w:tr>
        <w:trPr>
          <w:cantSplit/>
        </w:trPr>
        <w:tc>
          <w:tcPr>
            <w:tcW w:w="736" w:type="dxa"/>
          </w:tcPr>
          <w:p>
            <w:pPr>
              <w:pStyle w:val="zyTableNAm"/>
              <w:rPr>
                <w:rStyle w:val="CharSClsNo"/>
              </w:rPr>
            </w:pPr>
          </w:p>
        </w:tc>
        <w:tc>
          <w:tcPr>
            <w:tcW w:w="4326" w:type="dxa"/>
          </w:tcPr>
          <w:p>
            <w:pPr>
              <w:pStyle w:val="yTableNAm"/>
              <w:tabs>
                <w:tab w:val="clear" w:pos="567"/>
                <w:tab w:val="left" w:pos="296"/>
                <w:tab w:val="left" w:pos="776"/>
                <w:tab w:val="left" w:leader="dot" w:pos="4876"/>
              </w:tabs>
              <w:ind w:left="776" w:hanging="776"/>
              <w:rPr>
                <w:snapToGrid w:val="0"/>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315" w:type="dxa"/>
            <w:vAlign w:val="bottom"/>
          </w:tcPr>
          <w:p>
            <w:pPr>
              <w:pStyle w:val="yTableNAm"/>
            </w:pPr>
          </w:p>
        </w:tc>
      </w:tr>
    </w:tbl>
    <w:p>
      <w:pPr>
        <w:pStyle w:val="yMiscellaneousBody"/>
      </w:pPr>
    </w:p>
    <w:tbl>
      <w:tblPr>
        <w:tblW w:w="6377" w:type="dxa"/>
        <w:tblInd w:w="454" w:type="dxa"/>
        <w:tblLayout w:type="fixed"/>
        <w:tblCellMar>
          <w:left w:w="28" w:type="dxa"/>
          <w:right w:w="28" w:type="dxa"/>
        </w:tblCellMar>
        <w:tblLook w:val="0000" w:firstRow="0" w:lastRow="0" w:firstColumn="0" w:lastColumn="0" w:noHBand="0" w:noVBand="0"/>
      </w:tblPr>
      <w:tblGrid>
        <w:gridCol w:w="1842"/>
        <w:gridCol w:w="2339"/>
        <w:gridCol w:w="2196"/>
      </w:tblGrid>
      <w:tr>
        <w:trPr>
          <w:cantSplit/>
          <w:trHeight w:val="217"/>
          <w:tblHeader/>
        </w:trPr>
        <w:tc>
          <w:tcPr>
            <w:tcW w:w="1842" w:type="dxa"/>
            <w:vMerge w:val="restart"/>
            <w:tcBorders>
              <w:top w:val="single" w:sz="4" w:space="0" w:color="auto"/>
            </w:tcBorders>
          </w:tcPr>
          <w:p>
            <w:pPr>
              <w:pStyle w:val="yTableNAm"/>
            </w:pPr>
            <w:r>
              <w:rPr>
                <w:b/>
                <w:bCs/>
              </w:rPr>
              <w:t>Class</w:t>
            </w:r>
          </w:p>
        </w:tc>
        <w:tc>
          <w:tcPr>
            <w:tcW w:w="4535" w:type="dxa"/>
            <w:gridSpan w:val="2"/>
            <w:tcBorders>
              <w:top w:val="single" w:sz="4" w:space="0" w:color="auto"/>
            </w:tcBorders>
          </w:tcPr>
          <w:p>
            <w:pPr>
              <w:pStyle w:val="yTableNAm"/>
              <w:jc w:val="center"/>
            </w:pPr>
            <w:r>
              <w:rPr>
                <w:b/>
                <w:bCs/>
              </w:rPr>
              <w:t>Consumption (kL)</w:t>
            </w:r>
          </w:p>
        </w:tc>
      </w:tr>
      <w:tr>
        <w:trPr>
          <w:cantSplit/>
          <w:trHeight w:val="217"/>
          <w:tblHeader/>
        </w:trPr>
        <w:tc>
          <w:tcPr>
            <w:tcW w:w="1842" w:type="dxa"/>
            <w:vMerge/>
            <w:tcBorders>
              <w:bottom w:val="single" w:sz="4" w:space="0" w:color="auto"/>
            </w:tcBorders>
          </w:tcPr>
          <w:p>
            <w:pPr>
              <w:pStyle w:val="zyTableNAm"/>
              <w:rPr>
                <w:b/>
                <w:bCs/>
              </w:rPr>
            </w:pPr>
          </w:p>
        </w:tc>
        <w:tc>
          <w:tcPr>
            <w:tcW w:w="2339" w:type="dxa"/>
            <w:tcBorders>
              <w:bottom w:val="single" w:sz="4" w:space="0" w:color="auto"/>
            </w:tcBorders>
          </w:tcPr>
          <w:p>
            <w:pPr>
              <w:pStyle w:val="yTableNAm"/>
              <w:jc w:val="center"/>
            </w:pPr>
            <w:r>
              <w:rPr>
                <w:b/>
                <w:bCs/>
              </w:rPr>
              <w:t>Up to 300</w:t>
            </w:r>
          </w:p>
        </w:tc>
        <w:tc>
          <w:tcPr>
            <w:tcW w:w="2196" w:type="dxa"/>
            <w:tcBorders>
              <w:bottom w:val="single" w:sz="4" w:space="0" w:color="auto"/>
            </w:tcBorders>
          </w:tcPr>
          <w:p>
            <w:pPr>
              <w:pStyle w:val="yTableNAm"/>
              <w:jc w:val="center"/>
            </w:pPr>
            <w:r>
              <w:rPr>
                <w:b/>
                <w:bCs/>
              </w:rPr>
              <w:t>Over 300</w:t>
            </w:r>
          </w:p>
        </w:tc>
      </w:tr>
      <w:tr>
        <w:tc>
          <w:tcPr>
            <w:tcW w:w="1842" w:type="dxa"/>
            <w:tcBorders>
              <w:top w:val="single" w:sz="4" w:space="0" w:color="auto"/>
            </w:tcBorders>
          </w:tcPr>
          <w:p>
            <w:pPr>
              <w:pStyle w:val="yTableNAm"/>
            </w:pPr>
            <w:r>
              <w:rPr>
                <w:bCs/>
              </w:rPr>
              <w:t>Class 1 (c/kL)</w:t>
            </w:r>
          </w:p>
        </w:tc>
        <w:tc>
          <w:tcPr>
            <w:tcW w:w="2339" w:type="dxa"/>
            <w:tcBorders>
              <w:top w:val="single" w:sz="4" w:space="0" w:color="auto"/>
            </w:tcBorders>
            <w:vAlign w:val="bottom"/>
          </w:tcPr>
          <w:p>
            <w:pPr>
              <w:pStyle w:val="yTableNAm"/>
              <w:jc w:val="center"/>
            </w:pPr>
            <w:r>
              <w:t>174.7</w:t>
            </w:r>
          </w:p>
        </w:tc>
        <w:tc>
          <w:tcPr>
            <w:tcW w:w="2196" w:type="dxa"/>
            <w:tcBorders>
              <w:top w:val="single" w:sz="4" w:space="0" w:color="auto"/>
            </w:tcBorders>
            <w:vAlign w:val="bottom"/>
          </w:tcPr>
          <w:p>
            <w:pPr>
              <w:pStyle w:val="yTableNAm"/>
              <w:jc w:val="center"/>
            </w:pPr>
            <w:r>
              <w:t>192.6</w:t>
            </w:r>
          </w:p>
        </w:tc>
      </w:tr>
      <w:tr>
        <w:tc>
          <w:tcPr>
            <w:tcW w:w="1842" w:type="dxa"/>
          </w:tcPr>
          <w:p>
            <w:pPr>
              <w:pStyle w:val="yTableNAm"/>
            </w:pPr>
            <w:r>
              <w:rPr>
                <w:bCs/>
              </w:rPr>
              <w:t>Class 2 (c/kL)</w:t>
            </w:r>
          </w:p>
        </w:tc>
        <w:tc>
          <w:tcPr>
            <w:tcW w:w="2339" w:type="dxa"/>
            <w:vAlign w:val="bottom"/>
          </w:tcPr>
          <w:p>
            <w:pPr>
              <w:pStyle w:val="yTableNAm"/>
              <w:jc w:val="center"/>
            </w:pPr>
            <w:r>
              <w:t>191.6</w:t>
            </w:r>
          </w:p>
        </w:tc>
        <w:tc>
          <w:tcPr>
            <w:tcW w:w="2196" w:type="dxa"/>
            <w:vAlign w:val="bottom"/>
          </w:tcPr>
          <w:p>
            <w:pPr>
              <w:pStyle w:val="yTableNAm"/>
              <w:jc w:val="center"/>
            </w:pPr>
            <w:r>
              <w:t>209.8</w:t>
            </w:r>
          </w:p>
        </w:tc>
      </w:tr>
      <w:tr>
        <w:tc>
          <w:tcPr>
            <w:tcW w:w="1842" w:type="dxa"/>
          </w:tcPr>
          <w:p>
            <w:pPr>
              <w:pStyle w:val="yTableNAm"/>
            </w:pPr>
            <w:r>
              <w:rPr>
                <w:bCs/>
              </w:rPr>
              <w:t>Class 3 (c/kL)</w:t>
            </w:r>
          </w:p>
        </w:tc>
        <w:tc>
          <w:tcPr>
            <w:tcW w:w="2339" w:type="dxa"/>
            <w:vAlign w:val="bottom"/>
          </w:tcPr>
          <w:p>
            <w:pPr>
              <w:pStyle w:val="yTableNAm"/>
              <w:jc w:val="center"/>
            </w:pPr>
            <w:r>
              <w:t>209.8</w:t>
            </w:r>
          </w:p>
        </w:tc>
        <w:tc>
          <w:tcPr>
            <w:tcW w:w="2196" w:type="dxa"/>
            <w:vAlign w:val="bottom"/>
          </w:tcPr>
          <w:p>
            <w:pPr>
              <w:pStyle w:val="yTableNAm"/>
              <w:jc w:val="center"/>
            </w:pPr>
            <w:r>
              <w:t>228.2</w:t>
            </w:r>
          </w:p>
        </w:tc>
      </w:tr>
      <w:tr>
        <w:tc>
          <w:tcPr>
            <w:tcW w:w="1842" w:type="dxa"/>
          </w:tcPr>
          <w:p>
            <w:pPr>
              <w:pStyle w:val="yTableNAm"/>
            </w:pPr>
            <w:r>
              <w:rPr>
                <w:bCs/>
              </w:rPr>
              <w:t>Class 4 (c/kL)</w:t>
            </w:r>
          </w:p>
        </w:tc>
        <w:tc>
          <w:tcPr>
            <w:tcW w:w="2339" w:type="dxa"/>
            <w:vAlign w:val="bottom"/>
          </w:tcPr>
          <w:p>
            <w:pPr>
              <w:pStyle w:val="yTableNAm"/>
              <w:jc w:val="center"/>
            </w:pPr>
            <w:r>
              <w:t>230.0</w:t>
            </w:r>
          </w:p>
        </w:tc>
        <w:tc>
          <w:tcPr>
            <w:tcW w:w="2196" w:type="dxa"/>
            <w:vAlign w:val="bottom"/>
          </w:tcPr>
          <w:p>
            <w:pPr>
              <w:pStyle w:val="yTableNAm"/>
              <w:jc w:val="center"/>
            </w:pPr>
            <w:r>
              <w:t>248.6</w:t>
            </w:r>
          </w:p>
        </w:tc>
      </w:tr>
      <w:tr>
        <w:tc>
          <w:tcPr>
            <w:tcW w:w="1842" w:type="dxa"/>
          </w:tcPr>
          <w:p>
            <w:pPr>
              <w:pStyle w:val="yTableNAm"/>
            </w:pPr>
            <w:r>
              <w:rPr>
                <w:bCs/>
              </w:rPr>
              <w:t>Class 5 (c/kL)</w:t>
            </w:r>
          </w:p>
        </w:tc>
        <w:tc>
          <w:tcPr>
            <w:tcW w:w="2339" w:type="dxa"/>
            <w:vAlign w:val="bottom"/>
          </w:tcPr>
          <w:p>
            <w:pPr>
              <w:pStyle w:val="yTableNAm"/>
              <w:jc w:val="center"/>
            </w:pPr>
            <w:r>
              <w:t>252.2</w:t>
            </w:r>
          </w:p>
        </w:tc>
        <w:tc>
          <w:tcPr>
            <w:tcW w:w="2196" w:type="dxa"/>
            <w:vAlign w:val="bottom"/>
          </w:tcPr>
          <w:p>
            <w:pPr>
              <w:pStyle w:val="yTableNAm"/>
              <w:jc w:val="center"/>
            </w:pPr>
            <w:r>
              <w:t>270.7</w:t>
            </w:r>
          </w:p>
        </w:tc>
      </w:tr>
      <w:tr>
        <w:tc>
          <w:tcPr>
            <w:tcW w:w="1842" w:type="dxa"/>
          </w:tcPr>
          <w:p>
            <w:pPr>
              <w:pStyle w:val="yTableNAm"/>
            </w:pPr>
            <w:r>
              <w:rPr>
                <w:bCs/>
              </w:rPr>
              <w:t>Class 6 (c/kL)</w:t>
            </w:r>
          </w:p>
        </w:tc>
        <w:tc>
          <w:tcPr>
            <w:tcW w:w="2339" w:type="dxa"/>
            <w:vAlign w:val="bottom"/>
          </w:tcPr>
          <w:p>
            <w:pPr>
              <w:pStyle w:val="yTableNAm"/>
              <w:jc w:val="center"/>
            </w:pPr>
            <w:r>
              <w:t>274.4</w:t>
            </w:r>
          </w:p>
        </w:tc>
        <w:tc>
          <w:tcPr>
            <w:tcW w:w="2196" w:type="dxa"/>
            <w:vAlign w:val="bottom"/>
          </w:tcPr>
          <w:p>
            <w:pPr>
              <w:pStyle w:val="yTableNAm"/>
              <w:jc w:val="center"/>
            </w:pPr>
            <w:r>
              <w:t>294.8</w:t>
            </w:r>
          </w:p>
        </w:tc>
      </w:tr>
      <w:tr>
        <w:tc>
          <w:tcPr>
            <w:tcW w:w="1842" w:type="dxa"/>
          </w:tcPr>
          <w:p>
            <w:pPr>
              <w:pStyle w:val="yTableNAm"/>
            </w:pPr>
            <w:r>
              <w:rPr>
                <w:bCs/>
              </w:rPr>
              <w:t>Class 7 (c/kL)</w:t>
            </w:r>
          </w:p>
        </w:tc>
        <w:tc>
          <w:tcPr>
            <w:tcW w:w="2339" w:type="dxa"/>
            <w:vAlign w:val="bottom"/>
          </w:tcPr>
          <w:p>
            <w:pPr>
              <w:pStyle w:val="yTableNAm"/>
              <w:jc w:val="center"/>
            </w:pPr>
            <w:r>
              <w:t>298.6</w:t>
            </w:r>
          </w:p>
        </w:tc>
        <w:tc>
          <w:tcPr>
            <w:tcW w:w="2196" w:type="dxa"/>
            <w:vAlign w:val="bottom"/>
          </w:tcPr>
          <w:p>
            <w:pPr>
              <w:pStyle w:val="yTableNAm"/>
              <w:jc w:val="center"/>
            </w:pPr>
            <w:r>
              <w:t>321.1</w:t>
            </w:r>
          </w:p>
        </w:tc>
      </w:tr>
      <w:tr>
        <w:tc>
          <w:tcPr>
            <w:tcW w:w="1842" w:type="dxa"/>
          </w:tcPr>
          <w:p>
            <w:pPr>
              <w:pStyle w:val="yTableNAm"/>
            </w:pPr>
            <w:r>
              <w:rPr>
                <w:bCs/>
              </w:rPr>
              <w:t>Class 8 (c/kL)</w:t>
            </w:r>
          </w:p>
        </w:tc>
        <w:tc>
          <w:tcPr>
            <w:tcW w:w="2339" w:type="dxa"/>
            <w:vAlign w:val="bottom"/>
          </w:tcPr>
          <w:p>
            <w:pPr>
              <w:pStyle w:val="yTableNAm"/>
              <w:jc w:val="center"/>
            </w:pPr>
            <w:r>
              <w:t>324.2</w:t>
            </w:r>
          </w:p>
        </w:tc>
        <w:tc>
          <w:tcPr>
            <w:tcW w:w="2196" w:type="dxa"/>
            <w:vAlign w:val="bottom"/>
          </w:tcPr>
          <w:p>
            <w:pPr>
              <w:pStyle w:val="yTableNAm"/>
              <w:jc w:val="center"/>
            </w:pPr>
            <w:r>
              <w:t>349.6</w:t>
            </w:r>
          </w:p>
        </w:tc>
      </w:tr>
      <w:tr>
        <w:tc>
          <w:tcPr>
            <w:tcW w:w="1842" w:type="dxa"/>
          </w:tcPr>
          <w:p>
            <w:pPr>
              <w:pStyle w:val="yTableNAm"/>
            </w:pPr>
            <w:r>
              <w:rPr>
                <w:bCs/>
              </w:rPr>
              <w:t>Class 9 (c/kL)</w:t>
            </w:r>
          </w:p>
        </w:tc>
        <w:tc>
          <w:tcPr>
            <w:tcW w:w="2339" w:type="dxa"/>
            <w:vAlign w:val="bottom"/>
          </w:tcPr>
          <w:p>
            <w:pPr>
              <w:pStyle w:val="yTableNAm"/>
              <w:jc w:val="center"/>
            </w:pPr>
            <w:r>
              <w:t>352.0</w:t>
            </w:r>
          </w:p>
        </w:tc>
        <w:tc>
          <w:tcPr>
            <w:tcW w:w="2196" w:type="dxa"/>
            <w:vAlign w:val="bottom"/>
          </w:tcPr>
          <w:p>
            <w:pPr>
              <w:pStyle w:val="yTableNAm"/>
              <w:jc w:val="center"/>
            </w:pPr>
            <w:r>
              <w:t>380.7</w:t>
            </w:r>
          </w:p>
        </w:tc>
      </w:tr>
      <w:tr>
        <w:tc>
          <w:tcPr>
            <w:tcW w:w="1842" w:type="dxa"/>
          </w:tcPr>
          <w:p>
            <w:pPr>
              <w:pStyle w:val="yTableNAm"/>
            </w:pPr>
            <w:r>
              <w:rPr>
                <w:bCs/>
              </w:rPr>
              <w:t>Class 10 (c/kL)</w:t>
            </w:r>
          </w:p>
        </w:tc>
        <w:tc>
          <w:tcPr>
            <w:tcW w:w="2339" w:type="dxa"/>
            <w:vAlign w:val="bottom"/>
          </w:tcPr>
          <w:p>
            <w:pPr>
              <w:pStyle w:val="yTableNAm"/>
              <w:jc w:val="center"/>
            </w:pPr>
            <w:r>
              <w:t>379.0</w:t>
            </w:r>
          </w:p>
        </w:tc>
        <w:tc>
          <w:tcPr>
            <w:tcW w:w="2196" w:type="dxa"/>
            <w:vAlign w:val="bottom"/>
          </w:tcPr>
          <w:p>
            <w:pPr>
              <w:pStyle w:val="yTableNAm"/>
              <w:jc w:val="center"/>
            </w:pPr>
            <w:r>
              <w:t>414.6</w:t>
            </w:r>
          </w:p>
        </w:tc>
      </w:tr>
      <w:tr>
        <w:tc>
          <w:tcPr>
            <w:tcW w:w="1842" w:type="dxa"/>
          </w:tcPr>
          <w:p>
            <w:pPr>
              <w:pStyle w:val="yTableNAm"/>
            </w:pPr>
            <w:r>
              <w:rPr>
                <w:bCs/>
              </w:rPr>
              <w:t>Class 11 (c/kL)</w:t>
            </w:r>
          </w:p>
        </w:tc>
        <w:tc>
          <w:tcPr>
            <w:tcW w:w="2339" w:type="dxa"/>
            <w:vAlign w:val="bottom"/>
          </w:tcPr>
          <w:p>
            <w:pPr>
              <w:pStyle w:val="yTableNAm"/>
              <w:jc w:val="center"/>
            </w:pPr>
            <w:r>
              <w:t>413.5</w:t>
            </w:r>
          </w:p>
        </w:tc>
        <w:tc>
          <w:tcPr>
            <w:tcW w:w="2196" w:type="dxa"/>
            <w:vAlign w:val="bottom"/>
          </w:tcPr>
          <w:p>
            <w:pPr>
              <w:pStyle w:val="yTableNAm"/>
              <w:jc w:val="center"/>
            </w:pPr>
            <w:r>
              <w:t>451.4</w:t>
            </w:r>
          </w:p>
        </w:tc>
      </w:tr>
      <w:tr>
        <w:tc>
          <w:tcPr>
            <w:tcW w:w="1842" w:type="dxa"/>
          </w:tcPr>
          <w:p>
            <w:pPr>
              <w:pStyle w:val="yTableNAm"/>
            </w:pPr>
            <w:r>
              <w:rPr>
                <w:bCs/>
              </w:rPr>
              <w:t>Class 12 (c/kL)</w:t>
            </w:r>
          </w:p>
        </w:tc>
        <w:tc>
          <w:tcPr>
            <w:tcW w:w="2339" w:type="dxa"/>
            <w:vAlign w:val="bottom"/>
          </w:tcPr>
          <w:p>
            <w:pPr>
              <w:pStyle w:val="yTableNAm"/>
              <w:jc w:val="center"/>
            </w:pPr>
            <w:r>
              <w:t>451.3</w:t>
            </w:r>
          </w:p>
        </w:tc>
        <w:tc>
          <w:tcPr>
            <w:tcW w:w="2196" w:type="dxa"/>
            <w:vAlign w:val="bottom"/>
          </w:tcPr>
          <w:p>
            <w:pPr>
              <w:pStyle w:val="yTableNAm"/>
              <w:jc w:val="center"/>
            </w:pPr>
            <w:r>
              <w:t>491.6</w:t>
            </w:r>
          </w:p>
        </w:tc>
      </w:tr>
      <w:tr>
        <w:tc>
          <w:tcPr>
            <w:tcW w:w="1842" w:type="dxa"/>
          </w:tcPr>
          <w:p>
            <w:pPr>
              <w:pStyle w:val="yTableNAm"/>
            </w:pPr>
            <w:r>
              <w:rPr>
                <w:bCs/>
              </w:rPr>
              <w:t>Class 13 (c/kL)</w:t>
            </w:r>
          </w:p>
        </w:tc>
        <w:tc>
          <w:tcPr>
            <w:tcW w:w="2339" w:type="dxa"/>
            <w:vAlign w:val="bottom"/>
          </w:tcPr>
          <w:p>
            <w:pPr>
              <w:pStyle w:val="yTableNAm"/>
              <w:jc w:val="center"/>
            </w:pPr>
            <w:r>
              <w:t>492.4</w:t>
            </w:r>
          </w:p>
        </w:tc>
        <w:tc>
          <w:tcPr>
            <w:tcW w:w="2196" w:type="dxa"/>
            <w:vAlign w:val="bottom"/>
          </w:tcPr>
          <w:p>
            <w:pPr>
              <w:pStyle w:val="yTableNAm"/>
              <w:jc w:val="center"/>
            </w:pPr>
            <w:r>
              <w:t>535.3</w:t>
            </w:r>
          </w:p>
        </w:tc>
      </w:tr>
      <w:tr>
        <w:tc>
          <w:tcPr>
            <w:tcW w:w="1842" w:type="dxa"/>
          </w:tcPr>
          <w:p>
            <w:pPr>
              <w:pStyle w:val="yTableNAm"/>
            </w:pPr>
            <w:r>
              <w:rPr>
                <w:bCs/>
              </w:rPr>
              <w:t>Class 14 (c/kL)</w:t>
            </w:r>
          </w:p>
        </w:tc>
        <w:tc>
          <w:tcPr>
            <w:tcW w:w="2339" w:type="dxa"/>
            <w:vAlign w:val="bottom"/>
          </w:tcPr>
          <w:p>
            <w:pPr>
              <w:pStyle w:val="yTableNAm"/>
              <w:jc w:val="center"/>
            </w:pPr>
            <w:r>
              <w:t>537.3</w:t>
            </w:r>
          </w:p>
        </w:tc>
        <w:tc>
          <w:tcPr>
            <w:tcW w:w="2196" w:type="dxa"/>
            <w:vAlign w:val="bottom"/>
          </w:tcPr>
          <w:p>
            <w:pPr>
              <w:pStyle w:val="yTableNAm"/>
              <w:jc w:val="center"/>
            </w:pPr>
            <w:r>
              <w:t>582.9</w:t>
            </w:r>
          </w:p>
        </w:tc>
      </w:tr>
      <w:tr>
        <w:tc>
          <w:tcPr>
            <w:tcW w:w="1842" w:type="dxa"/>
            <w:tcBorders>
              <w:bottom w:val="single" w:sz="4" w:space="0" w:color="auto"/>
            </w:tcBorders>
          </w:tcPr>
          <w:p>
            <w:pPr>
              <w:pStyle w:val="yTableNAm"/>
            </w:pPr>
            <w:r>
              <w:rPr>
                <w:bCs/>
              </w:rPr>
              <w:t>Class 15 (c/kL)</w:t>
            </w:r>
          </w:p>
        </w:tc>
        <w:tc>
          <w:tcPr>
            <w:tcW w:w="2339" w:type="dxa"/>
            <w:tcBorders>
              <w:bottom w:val="single" w:sz="4" w:space="0" w:color="auto"/>
            </w:tcBorders>
            <w:vAlign w:val="bottom"/>
          </w:tcPr>
          <w:p>
            <w:pPr>
              <w:pStyle w:val="yTableNAm"/>
              <w:jc w:val="center"/>
            </w:pPr>
            <w:r>
              <w:t>586.2</w:t>
            </w:r>
          </w:p>
        </w:tc>
        <w:tc>
          <w:tcPr>
            <w:tcW w:w="2196" w:type="dxa"/>
            <w:tcBorders>
              <w:bottom w:val="single" w:sz="4" w:space="0" w:color="auto"/>
            </w:tcBorders>
            <w:vAlign w:val="bottom"/>
          </w:tcPr>
          <w:p>
            <w:pPr>
              <w:pStyle w:val="yTableNAm"/>
              <w:jc w:val="center"/>
            </w:pPr>
            <w:r>
              <w:t>634.7</w:t>
            </w:r>
          </w:p>
        </w:tc>
      </w:tr>
    </w:tbl>
    <w:p>
      <w:pPr>
        <w:pStyle w:val="yMiscellaneousBody"/>
      </w:pPr>
    </w:p>
    <w:tbl>
      <w:tblPr>
        <w:tblW w:w="0" w:type="auto"/>
        <w:tblInd w:w="534" w:type="dxa"/>
        <w:tblLook w:val="0000" w:firstRow="0" w:lastRow="0" w:firstColumn="0" w:lastColumn="0" w:noHBand="0" w:noVBand="0"/>
      </w:tblPr>
      <w:tblGrid>
        <w:gridCol w:w="708"/>
        <w:gridCol w:w="4326"/>
        <w:gridCol w:w="1329"/>
      </w:tblGrid>
      <w:tr>
        <w:trPr>
          <w:cantSplit/>
        </w:trPr>
        <w:tc>
          <w:tcPr>
            <w:tcW w:w="708" w:type="dxa"/>
          </w:tcPr>
          <w:p>
            <w:pPr>
              <w:pStyle w:val="yTableNAm"/>
            </w:pPr>
            <w:r>
              <w:rPr>
                <w:b/>
              </w:rPr>
              <w:t>32.</w:t>
            </w:r>
          </w:p>
        </w:tc>
        <w:tc>
          <w:tcPr>
            <w:tcW w:w="4326" w:type="dxa"/>
          </w:tcPr>
          <w:p>
            <w:pPr>
              <w:pStyle w:val="yTableNAm"/>
              <w:tabs>
                <w:tab w:val="left" w:leader="dot" w:pos="4876"/>
              </w:tabs>
            </w:pPr>
            <w:r>
              <w:rPr>
                <w:b/>
              </w:rPr>
              <w:t>Stock</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left" w:leader="dot" w:pos="4876"/>
              </w:tabs>
            </w:pPr>
            <w:r>
              <w:rPr>
                <w:spacing w:val="-1"/>
              </w:rPr>
              <w:t xml:space="preserve">For each kilolitre of water supplied for the purpose of watering stock on land that is not the subject of a charge under item 10 </w:t>
            </w:r>
            <w:r>
              <w:rPr>
                <w:spacing w:val="-1"/>
              </w:rPr>
              <w:tab/>
            </w:r>
          </w:p>
        </w:tc>
        <w:tc>
          <w:tcPr>
            <w:tcW w:w="1329" w:type="dxa"/>
            <w:vAlign w:val="bottom"/>
          </w:tcPr>
          <w:p>
            <w:pPr>
              <w:pStyle w:val="yTableNAm"/>
            </w:pPr>
            <w:r>
              <w:rPr>
                <w:spacing w:val="-1"/>
              </w:rPr>
              <w:t xml:space="preserve">171.3 </w:t>
            </w:r>
            <w:r>
              <w:t>cents</w:t>
            </w:r>
          </w:p>
        </w:tc>
      </w:tr>
      <w:tr>
        <w:trPr>
          <w:cantSplit/>
        </w:trPr>
        <w:tc>
          <w:tcPr>
            <w:tcW w:w="708" w:type="dxa"/>
          </w:tcPr>
          <w:p>
            <w:pPr>
              <w:pStyle w:val="yTableNAm"/>
            </w:pPr>
            <w:r>
              <w:rPr>
                <w:b/>
              </w:rPr>
              <w:t>33.</w:t>
            </w:r>
          </w:p>
        </w:tc>
        <w:tc>
          <w:tcPr>
            <w:tcW w:w="4326" w:type="dxa"/>
          </w:tcPr>
          <w:p>
            <w:pPr>
              <w:pStyle w:val="yTableNAm"/>
              <w:tabs>
                <w:tab w:val="left" w:leader="dot" w:pos="4876"/>
              </w:tabs>
            </w:pPr>
            <w:r>
              <w:rPr>
                <w:b/>
              </w:rPr>
              <w:t>Building</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left" w:leader="dot" w:pos="4876"/>
              </w:tabs>
            </w:pPr>
            <w:r>
              <w:t>For each kilolitre of water supplied to land that is neither a residential property, nor any other property held for residential purposes, through a water supply connection that is provided for building purposes —</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clear" w:pos="567"/>
                <w:tab w:val="left" w:pos="296"/>
                <w:tab w:val="left" w:pos="776"/>
                <w:tab w:val="left" w:leader="dot" w:pos="4876"/>
              </w:tabs>
              <w:ind w:left="776" w:hanging="776"/>
              <w:rPr>
                <w:snapToGrid w:val="0"/>
              </w:rPr>
            </w:pPr>
            <w:r>
              <w:rPr>
                <w:snapToGrid w:val="0"/>
              </w:rPr>
              <w:tab/>
              <w:t>(a)</w:t>
            </w:r>
            <w:r>
              <w:rPr>
                <w:snapToGrid w:val="0"/>
              </w:rPr>
              <w:tab/>
              <w:t>in the metropolitan area, the charge that would apply under item 24 if the water supplied through that connection were the only water supplied to the land;</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clear" w:pos="567"/>
                <w:tab w:val="left" w:pos="296"/>
                <w:tab w:val="left" w:pos="776"/>
                <w:tab w:val="left" w:leader="dot" w:pos="4876"/>
              </w:tabs>
              <w:ind w:left="776" w:hanging="776"/>
              <w:rPr>
                <w:snapToGrid w:val="0"/>
              </w:rPr>
            </w:pPr>
            <w:r>
              <w:rPr>
                <w:snapToGrid w:val="0"/>
              </w:rPr>
              <w:tab/>
              <w:t>(b)</w:t>
            </w:r>
            <w:r>
              <w:rPr>
                <w:snapToGrid w:val="0"/>
              </w:rPr>
              <w:tab/>
              <w:t>not in the metropolitan area, the charge that would apply under item 27(b) if the water supplied through that connection were the only water supplied to the land.</w:t>
            </w:r>
          </w:p>
        </w:tc>
        <w:tc>
          <w:tcPr>
            <w:tcW w:w="1329" w:type="dxa"/>
            <w:vAlign w:val="bottom"/>
          </w:tcPr>
          <w:p>
            <w:pPr>
              <w:pStyle w:val="yTableNAm"/>
            </w:pPr>
          </w:p>
        </w:tc>
      </w:tr>
      <w:tr>
        <w:trPr>
          <w:cantSplit/>
        </w:trPr>
        <w:tc>
          <w:tcPr>
            <w:tcW w:w="708" w:type="dxa"/>
          </w:tcPr>
          <w:p>
            <w:pPr>
              <w:pStyle w:val="yTableNAm"/>
            </w:pPr>
            <w:r>
              <w:rPr>
                <w:b/>
              </w:rPr>
              <w:t>34.</w:t>
            </w:r>
          </w:p>
        </w:tc>
        <w:tc>
          <w:tcPr>
            <w:tcW w:w="4326" w:type="dxa"/>
          </w:tcPr>
          <w:p>
            <w:pPr>
              <w:pStyle w:val="yTableNAm"/>
              <w:tabs>
                <w:tab w:val="left" w:leader="dot" w:pos="4876"/>
              </w:tabs>
            </w:pPr>
            <w:r>
              <w:rPr>
                <w:b/>
              </w:rPr>
              <w:t>Metropolitan hydrant standpipes</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left" w:leader="dot" w:pos="4876"/>
              </w:tabs>
            </w:pPr>
            <w:r>
              <w:rPr>
                <w:spacing w:val="-1"/>
              </w:rPr>
              <w:t xml:space="preserve">For each kilolitre of water supplied through a hydrant standpipe in the metropolitan area </w:t>
            </w:r>
            <w:r>
              <w:rPr>
                <w:spacing w:val="-1"/>
              </w:rPr>
              <w:tab/>
            </w:r>
          </w:p>
        </w:tc>
        <w:tc>
          <w:tcPr>
            <w:tcW w:w="1329" w:type="dxa"/>
            <w:vAlign w:val="bottom"/>
          </w:tcPr>
          <w:p>
            <w:pPr>
              <w:pStyle w:val="yTableNAm"/>
            </w:pPr>
            <w:r>
              <w:rPr>
                <w:spacing w:val="-1"/>
              </w:rPr>
              <w:t>204.1 cents</w:t>
            </w:r>
          </w:p>
        </w:tc>
      </w:tr>
    </w:tbl>
    <w:p>
      <w:pPr>
        <w:pStyle w:val="yFootnotesection"/>
      </w:pPr>
      <w:r>
        <w:tab/>
        <w:t>[Division 2 inserted in Gazette 20 Jun 2012 p. 2708</w:t>
      </w:r>
      <w:r>
        <w:noBreakHyphen/>
        <w:t>19.]</w:t>
      </w:r>
    </w:p>
    <w:p>
      <w:pPr>
        <w:pStyle w:val="yHeading3"/>
      </w:pPr>
      <w:bookmarkStart w:id="662" w:name="_Toc84427986"/>
      <w:bookmarkStart w:id="663" w:name="_Toc328403431"/>
      <w:bookmarkStart w:id="664" w:name="_Toc328471480"/>
      <w:r>
        <w:rPr>
          <w:rStyle w:val="CharSDivNo"/>
        </w:rPr>
        <w:t>Division 3</w:t>
      </w:r>
      <w:r>
        <w:rPr>
          <w:b w:val="0"/>
        </w:rPr>
        <w:t> — </w:t>
      </w:r>
      <w:r>
        <w:rPr>
          <w:rStyle w:val="CharSDivText"/>
        </w:rPr>
        <w:t>Formula for the purposes of by</w:t>
      </w:r>
      <w:r>
        <w:rPr>
          <w:rStyle w:val="CharSDivText"/>
        </w:rPr>
        <w:noBreakHyphen/>
        <w:t>law 17(3)</w:t>
      </w:r>
      <w:bookmarkEnd w:id="662"/>
      <w:bookmarkEnd w:id="663"/>
      <w:bookmarkEnd w:id="664"/>
    </w:p>
    <w:p>
      <w:pPr>
        <w:pStyle w:val="yFootnoteheading"/>
        <w:keepNext/>
        <w:spacing w:after="60"/>
      </w:pPr>
      <w:r>
        <w:tab/>
        <w:t>[Heading inserted in Gazette 20 Jun 2012 p. 2720.]</w:t>
      </w:r>
    </w:p>
    <w:p>
      <w:pPr>
        <w:pStyle w:val="yHeading5"/>
      </w:pPr>
      <w:bookmarkStart w:id="665" w:name="_Toc84427987"/>
      <w:bookmarkStart w:id="666" w:name="_Toc328471481"/>
      <w:r>
        <w:t>35.</w:t>
      </w:r>
      <w:r>
        <w:rPr>
          <w:b w:val="0"/>
        </w:rPr>
        <w:tab/>
      </w:r>
      <w:r>
        <w:t>Formula for the purposes of by</w:t>
      </w:r>
      <w:r>
        <w:noBreakHyphen/>
        <w:t>law 17(3)</w:t>
      </w:r>
      <w:bookmarkEnd w:id="665"/>
      <w:bookmarkEnd w:id="666"/>
    </w:p>
    <w:p>
      <w:pPr>
        <w:pStyle w:val="ySubsection"/>
      </w:pPr>
      <w:r>
        <w:tab/>
      </w:r>
      <w:r>
        <w:tab/>
        <w:t>The formula for the purposes of by</w:t>
      </w:r>
      <w:r>
        <w:noBreakHyphen/>
        <w:t xml:space="preserve">law 17(3) is as follows — </w:t>
      </w:r>
    </w:p>
    <w:p>
      <w:pPr>
        <w:pStyle w:val="Equation"/>
        <w:spacing w:before="120"/>
        <w:jc w:val="center"/>
        <w:rPr>
          <w:del w:id="667" w:author="Master Repository Process" w:date="2021-10-06T15:57:00Z"/>
        </w:rPr>
      </w:pPr>
      <w:del w:id="668" w:author="Master Repository Process" w:date="2021-10-06T15:57:00Z">
        <w:r>
          <w:rPr>
            <w:position w:val="-10"/>
          </w:rPr>
          <w:drawing>
            <wp:inline distT="0" distB="0" distL="0" distR="0">
              <wp:extent cx="409575" cy="2000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del>
    </w:p>
    <w:p>
      <w:pPr>
        <w:pStyle w:val="Equation"/>
        <w:spacing w:before="120"/>
        <w:jc w:val="center"/>
        <w:rPr>
          <w:ins w:id="669" w:author="Master Repository Process" w:date="2021-10-06T15:57:00Z"/>
        </w:rPr>
      </w:pPr>
      <w:ins w:id="670" w:author="Master Repository Process" w:date="2021-10-06T15:57:00Z">
        <w:r>
          <w:rPr>
            <w:position w:val="-10"/>
          </w:rPr>
          <w:drawing>
            <wp:inline distT="0" distB="0" distL="0" distR="0">
              <wp:extent cx="409575" cy="198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9575" cy="198120"/>
                      </a:xfrm>
                      <a:prstGeom prst="rect">
                        <a:avLst/>
                      </a:prstGeom>
                      <a:noFill/>
                      <a:ln>
                        <a:noFill/>
                      </a:ln>
                    </pic:spPr>
                  </pic:pic>
                </a:graphicData>
              </a:graphic>
            </wp:inline>
          </w:drawing>
        </w:r>
      </w:ins>
    </w:p>
    <w:p>
      <w:pPr>
        <w:pStyle w:val="ySubsection"/>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120"/>
        <w:jc w:val="center"/>
        <w:rPr>
          <w:del w:id="671" w:author="Master Repository Process" w:date="2021-10-06T15:57:00Z"/>
        </w:rPr>
      </w:pPr>
      <w:del w:id="672" w:author="Master Repository Process" w:date="2021-10-06T15:57:00Z">
        <w:r>
          <w:rPr>
            <w:position w:val="-10"/>
          </w:rPr>
          <w:drawing>
            <wp:inline distT="0" distB="0" distL="0" distR="0">
              <wp:extent cx="409575" cy="20002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del>
    </w:p>
    <w:p>
      <w:pPr>
        <w:pStyle w:val="Equation"/>
        <w:spacing w:before="120"/>
        <w:jc w:val="center"/>
        <w:rPr>
          <w:ins w:id="673" w:author="Master Repository Process" w:date="2021-10-06T15:57:00Z"/>
        </w:rPr>
      </w:pPr>
      <w:ins w:id="674" w:author="Master Repository Process" w:date="2021-10-06T15:57:00Z">
        <w:r>
          <w:rPr>
            <w:position w:val="-10"/>
          </w:rPr>
          <w:drawing>
            <wp:inline distT="0" distB="0" distL="0" distR="0">
              <wp:extent cx="409575" cy="19812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9575" cy="198120"/>
                      </a:xfrm>
                      <a:prstGeom prst="rect">
                        <a:avLst/>
                      </a:prstGeom>
                      <a:noFill/>
                      <a:ln>
                        <a:noFill/>
                      </a:ln>
                    </pic:spPr>
                  </pic:pic>
                </a:graphicData>
              </a:graphic>
            </wp:inline>
          </w:drawing>
        </w:r>
      </w:ins>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section"/>
      </w:pPr>
      <w:r>
        <w:tab/>
        <w:t>[Division 3 inserted in Gazette 20 Jun 2012 p. 2720.]</w:t>
      </w:r>
    </w:p>
    <w:p>
      <w:pPr>
        <w:pStyle w:val="yHeading3"/>
      </w:pPr>
      <w:bookmarkStart w:id="675" w:name="_Toc84427988"/>
      <w:bookmarkStart w:id="676" w:name="_Toc328403433"/>
      <w:bookmarkStart w:id="677" w:name="_Toc328471482"/>
      <w:r>
        <w:rPr>
          <w:rStyle w:val="CharSDivNo"/>
        </w:rPr>
        <w:t>Division 4</w:t>
      </w:r>
      <w:r>
        <w:rPr>
          <w:b w:val="0"/>
        </w:rPr>
        <w:t> — </w:t>
      </w:r>
      <w:r>
        <w:rPr>
          <w:rStyle w:val="CharSDivText"/>
        </w:rPr>
        <w:t>Capital infrastructure charges determined under by</w:t>
      </w:r>
      <w:r>
        <w:rPr>
          <w:rStyle w:val="CharSDivText"/>
        </w:rPr>
        <w:noBreakHyphen/>
        <w:t>law 19A</w:t>
      </w:r>
      <w:bookmarkEnd w:id="675"/>
      <w:bookmarkEnd w:id="676"/>
      <w:bookmarkEnd w:id="677"/>
    </w:p>
    <w:p>
      <w:pPr>
        <w:pStyle w:val="yFootnoteheading"/>
        <w:keepNext/>
        <w:spacing w:after="60"/>
      </w:pPr>
      <w:r>
        <w:tab/>
        <w:t>[Heading inserted in Gazette 20 Jun 2012 p. 2720.]</w:t>
      </w:r>
    </w:p>
    <w:p>
      <w:pPr>
        <w:pStyle w:val="yHeading5"/>
      </w:pPr>
      <w:bookmarkStart w:id="678" w:name="_Toc84427989"/>
      <w:bookmarkStart w:id="679" w:name="_Toc328471483"/>
      <w:r>
        <w:t>36.</w:t>
      </w:r>
      <w:r>
        <w:rPr>
          <w:b w:val="0"/>
        </w:rPr>
        <w:tab/>
      </w:r>
      <w:r>
        <w:t>Capital infrastructure charges determined under by</w:t>
      </w:r>
      <w:r>
        <w:noBreakHyphen/>
        <w:t>law 19A</w:t>
      </w:r>
      <w:bookmarkEnd w:id="678"/>
      <w:bookmarkEnd w:id="679"/>
    </w:p>
    <w:p>
      <w:pPr>
        <w:pStyle w:val="ySubsection"/>
        <w:keepNext/>
      </w:pPr>
      <w:r>
        <w:tab/>
      </w:r>
      <w:r>
        <w:tab/>
        <w:t>The capital infrastructure charges determined under by</w:t>
      </w:r>
      <w:r>
        <w:noBreakHyphen/>
        <w:t xml:space="preserve">law 19A are as follows — </w:t>
      </w:r>
    </w:p>
    <w:p>
      <w:pPr>
        <w:pStyle w:val="yMiscellaneousBody"/>
        <w:keepNext/>
      </w:pPr>
    </w:p>
    <w:tbl>
      <w:tblPr>
        <w:tblW w:w="6626" w:type="dxa"/>
        <w:tblInd w:w="198" w:type="dxa"/>
        <w:tblLayout w:type="fixed"/>
        <w:tblCellMar>
          <w:left w:w="56" w:type="dxa"/>
          <w:right w:w="56" w:type="dxa"/>
        </w:tblCellMar>
        <w:tblLook w:val="0000" w:firstRow="0" w:lastRow="0" w:firstColumn="0" w:lastColumn="0" w:noHBand="0" w:noVBand="0"/>
      </w:tblPr>
      <w:tblGrid>
        <w:gridCol w:w="1559"/>
        <w:gridCol w:w="1701"/>
        <w:gridCol w:w="1701"/>
        <w:gridCol w:w="1665"/>
      </w:tblGrid>
      <w:tr>
        <w:trPr>
          <w:tblHeader/>
        </w:trPr>
        <w:tc>
          <w:tcPr>
            <w:tcW w:w="1559" w:type="dxa"/>
            <w:tcBorders>
              <w:top w:val="single" w:sz="4" w:space="0" w:color="auto"/>
            </w:tcBorders>
          </w:tcPr>
          <w:p>
            <w:pPr>
              <w:pStyle w:val="yTableNAm"/>
              <w:keepNext/>
              <w:jc w:val="center"/>
            </w:pPr>
            <w:r>
              <w:rPr>
                <w:b/>
                <w:bCs/>
              </w:rPr>
              <w:br w:type="page"/>
              <w:t>Column 1</w:t>
            </w:r>
          </w:p>
        </w:tc>
        <w:tc>
          <w:tcPr>
            <w:tcW w:w="1701" w:type="dxa"/>
            <w:tcBorders>
              <w:top w:val="single" w:sz="4" w:space="0" w:color="auto"/>
            </w:tcBorders>
          </w:tcPr>
          <w:p>
            <w:pPr>
              <w:pStyle w:val="yTableNAm"/>
              <w:keepNext/>
              <w:jc w:val="center"/>
            </w:pPr>
            <w:r>
              <w:rPr>
                <w:b/>
                <w:bCs/>
              </w:rPr>
              <w:t>Column 2</w:t>
            </w:r>
          </w:p>
        </w:tc>
        <w:tc>
          <w:tcPr>
            <w:tcW w:w="1701" w:type="dxa"/>
            <w:tcBorders>
              <w:top w:val="single" w:sz="4" w:space="0" w:color="auto"/>
            </w:tcBorders>
          </w:tcPr>
          <w:p>
            <w:pPr>
              <w:pStyle w:val="yTableNAm"/>
              <w:keepNext/>
              <w:jc w:val="center"/>
            </w:pPr>
            <w:r>
              <w:rPr>
                <w:b/>
                <w:bCs/>
              </w:rPr>
              <w:t>Column 3</w:t>
            </w:r>
          </w:p>
        </w:tc>
        <w:tc>
          <w:tcPr>
            <w:tcW w:w="1665" w:type="dxa"/>
            <w:tcBorders>
              <w:top w:val="single" w:sz="4" w:space="0" w:color="auto"/>
            </w:tcBorders>
          </w:tcPr>
          <w:p>
            <w:pPr>
              <w:pStyle w:val="yTableNAm"/>
              <w:keepNext/>
              <w:jc w:val="center"/>
            </w:pPr>
            <w:r>
              <w:rPr>
                <w:b/>
                <w:bCs/>
              </w:rPr>
              <w:t>Column 4</w:t>
            </w:r>
          </w:p>
        </w:tc>
      </w:tr>
      <w:tr>
        <w:trPr>
          <w:tblHeader/>
        </w:trPr>
        <w:tc>
          <w:tcPr>
            <w:tcW w:w="1559" w:type="dxa"/>
            <w:tcBorders>
              <w:bottom w:val="single" w:sz="4" w:space="0" w:color="auto"/>
            </w:tcBorders>
          </w:tcPr>
          <w:p>
            <w:pPr>
              <w:pStyle w:val="yTableNAm"/>
              <w:keepNext/>
              <w:jc w:val="center"/>
            </w:pPr>
            <w:r>
              <w:rPr>
                <w:b/>
                <w:bCs/>
                <w:i/>
              </w:rPr>
              <w:t>Area</w:t>
            </w:r>
          </w:p>
        </w:tc>
        <w:tc>
          <w:tcPr>
            <w:tcW w:w="1701" w:type="dxa"/>
            <w:tcBorders>
              <w:bottom w:val="single" w:sz="4" w:space="0" w:color="auto"/>
            </w:tcBorders>
          </w:tcPr>
          <w:p>
            <w:pPr>
              <w:pStyle w:val="yTableNAm"/>
              <w:keepNext/>
              <w:jc w:val="center"/>
            </w:pPr>
            <w:r>
              <w:rPr>
                <w:b/>
                <w:bCs/>
                <w:i/>
              </w:rPr>
              <w:t>Single Charge</w:t>
            </w:r>
          </w:p>
        </w:tc>
        <w:tc>
          <w:tcPr>
            <w:tcW w:w="1701" w:type="dxa"/>
            <w:tcBorders>
              <w:bottom w:val="single" w:sz="4" w:space="0" w:color="auto"/>
            </w:tcBorders>
          </w:tcPr>
          <w:p>
            <w:pPr>
              <w:pStyle w:val="yTableNAm"/>
              <w:keepNext/>
              <w:jc w:val="center"/>
            </w:pPr>
            <w:r>
              <w:rPr>
                <w:b/>
                <w:bCs/>
                <w:i/>
              </w:rPr>
              <w:t>Annual Charge</w:t>
            </w:r>
          </w:p>
        </w:tc>
        <w:tc>
          <w:tcPr>
            <w:tcW w:w="1665" w:type="dxa"/>
            <w:tcBorders>
              <w:bottom w:val="single" w:sz="4" w:space="0" w:color="auto"/>
            </w:tcBorders>
          </w:tcPr>
          <w:p>
            <w:pPr>
              <w:pStyle w:val="yTableNAm"/>
              <w:keepNext/>
              <w:jc w:val="center"/>
            </w:pPr>
            <w:r>
              <w:rPr>
                <w:b/>
                <w:bCs/>
                <w:i/>
              </w:rPr>
              <w:t>No. of years</w:t>
            </w:r>
          </w:p>
        </w:tc>
      </w:tr>
      <w:tr>
        <w:tc>
          <w:tcPr>
            <w:tcW w:w="1559" w:type="dxa"/>
            <w:tcBorders>
              <w:bottom w:val="single" w:sz="4" w:space="0" w:color="auto"/>
            </w:tcBorders>
          </w:tcPr>
          <w:p>
            <w:pPr>
              <w:pStyle w:val="yTableNAm"/>
              <w:jc w:val="center"/>
            </w:pPr>
            <w:r>
              <w:t>Nilgen</w:t>
            </w:r>
          </w:p>
        </w:tc>
        <w:tc>
          <w:tcPr>
            <w:tcW w:w="1701" w:type="dxa"/>
            <w:tcBorders>
              <w:bottom w:val="single" w:sz="4" w:space="0" w:color="auto"/>
            </w:tcBorders>
          </w:tcPr>
          <w:p>
            <w:pPr>
              <w:pStyle w:val="yTableNAm"/>
              <w:jc w:val="center"/>
            </w:pPr>
            <w:r>
              <w:t>$3 120.00</w:t>
            </w:r>
          </w:p>
        </w:tc>
        <w:tc>
          <w:tcPr>
            <w:tcW w:w="1701" w:type="dxa"/>
            <w:tcBorders>
              <w:bottom w:val="single" w:sz="4" w:space="0" w:color="auto"/>
            </w:tcBorders>
          </w:tcPr>
          <w:p>
            <w:pPr>
              <w:pStyle w:val="yTableNAm"/>
              <w:jc w:val="center"/>
            </w:pPr>
            <w:r>
              <w:t>$463.80</w:t>
            </w:r>
          </w:p>
        </w:tc>
        <w:tc>
          <w:tcPr>
            <w:tcW w:w="1665" w:type="dxa"/>
            <w:tcBorders>
              <w:bottom w:val="single" w:sz="4" w:space="0" w:color="auto"/>
            </w:tcBorders>
          </w:tcPr>
          <w:p>
            <w:pPr>
              <w:pStyle w:val="yTableNAm"/>
              <w:jc w:val="center"/>
            </w:pPr>
            <w:r>
              <w:t>10</w:t>
            </w:r>
          </w:p>
        </w:tc>
      </w:tr>
    </w:tbl>
    <w:p>
      <w:pPr>
        <w:pStyle w:val="yFootnotesection"/>
      </w:pPr>
      <w:r>
        <w:tab/>
        <w:t>[Division 4 inserted in Gazette 20 Jun 2012 p. 2720.]</w:t>
      </w:r>
    </w:p>
    <w:p>
      <w:pPr>
        <w:pStyle w:val="yScheduleHeading"/>
      </w:pPr>
      <w:bookmarkStart w:id="680" w:name="_Toc84427990"/>
      <w:bookmarkStart w:id="681" w:name="_Toc328403435"/>
      <w:bookmarkStart w:id="682" w:name="_Toc328471484"/>
      <w:bookmarkStart w:id="683" w:name="_Toc170879125"/>
      <w:bookmarkStart w:id="684" w:name="_Toc170894773"/>
      <w:bookmarkStart w:id="685" w:name="_Toc175712739"/>
      <w:bookmarkStart w:id="686" w:name="_Toc175970680"/>
      <w:bookmarkStart w:id="687" w:name="_Toc176335399"/>
      <w:bookmarkStart w:id="688" w:name="_Toc176338974"/>
      <w:bookmarkStart w:id="689" w:name="_Toc178742999"/>
      <w:bookmarkStart w:id="690" w:name="_Toc179363422"/>
      <w:bookmarkStart w:id="691" w:name="_Toc179604491"/>
      <w:bookmarkStart w:id="692" w:name="_Toc180204684"/>
      <w:bookmarkStart w:id="693" w:name="_Toc180204900"/>
      <w:bookmarkStart w:id="694" w:name="_Toc185844645"/>
      <w:bookmarkStart w:id="695" w:name="_Toc185845265"/>
      <w:bookmarkStart w:id="696" w:name="_Toc185927230"/>
      <w:bookmarkStart w:id="697" w:name="_Toc202506071"/>
      <w:bookmarkStart w:id="698" w:name="_Toc202672803"/>
      <w:bookmarkStart w:id="699" w:name="_Toc202691788"/>
      <w:bookmarkStart w:id="700" w:name="_Toc265743588"/>
      <w:bookmarkStart w:id="701" w:name="_Toc297540771"/>
      <w:bookmarkStart w:id="702" w:name="_Toc297541199"/>
      <w:bookmarkStart w:id="703" w:name="_Toc139771097"/>
      <w:bookmarkStart w:id="704" w:name="_Toc139771475"/>
      <w:bookmarkStart w:id="705" w:name="_Toc151191690"/>
      <w:bookmarkStart w:id="706" w:name="_Toc151260583"/>
      <w:bookmarkStart w:id="707" w:name="_Toc164158690"/>
      <w:bookmarkStart w:id="708" w:name="_Toc164221062"/>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Pr>
          <w:rStyle w:val="CharSchNo"/>
        </w:rPr>
        <w:t>Schedule 2</w:t>
      </w:r>
      <w:r>
        <w:t> — </w:t>
      </w:r>
      <w:r>
        <w:rPr>
          <w:rStyle w:val="CharSchText"/>
        </w:rPr>
        <w:t xml:space="preserve">Charges for water supply under the </w:t>
      </w:r>
      <w:r>
        <w:rPr>
          <w:rStyle w:val="CharSchText"/>
          <w:i/>
        </w:rPr>
        <w:t>Rights in Water and Irrigation Act 1914</w:t>
      </w:r>
      <w:r>
        <w:rPr>
          <w:rStyle w:val="CharSchText"/>
        </w:rPr>
        <w:t xml:space="preserve"> for 2012/2013</w:t>
      </w:r>
      <w:bookmarkEnd w:id="680"/>
      <w:bookmarkEnd w:id="681"/>
      <w:bookmarkEnd w:id="682"/>
    </w:p>
    <w:p>
      <w:pPr>
        <w:pStyle w:val="yShoulderClause"/>
      </w:pPr>
      <w:r>
        <w:t>[bl. 20]</w:t>
      </w:r>
    </w:p>
    <w:p>
      <w:pPr>
        <w:pStyle w:val="yFootnoteheading"/>
        <w:spacing w:after="60"/>
      </w:pPr>
      <w:r>
        <w:tab/>
        <w:t>[Heading inserted in Gazette 20 Jun 2012 p. 2721.]</w:t>
      </w:r>
    </w:p>
    <w:p>
      <w:pPr>
        <w:pStyle w:val="yHeading3"/>
      </w:pPr>
      <w:bookmarkStart w:id="709" w:name="_Toc84427991"/>
      <w:bookmarkStart w:id="710" w:name="_Toc328403436"/>
      <w:bookmarkStart w:id="711" w:name="_Toc328471485"/>
      <w:r>
        <w:rPr>
          <w:rStyle w:val="CharSDivNo"/>
        </w:rPr>
        <w:t>Division 1</w:t>
      </w:r>
      <w:r>
        <w:t> — </w:t>
      </w:r>
      <w:r>
        <w:rPr>
          <w:rStyle w:val="CharSDivText"/>
        </w:rPr>
        <w:t>Fixed charges</w:t>
      </w:r>
      <w:bookmarkEnd w:id="709"/>
      <w:bookmarkEnd w:id="710"/>
      <w:bookmarkEnd w:id="711"/>
    </w:p>
    <w:p>
      <w:pPr>
        <w:pStyle w:val="yFootnoteheading"/>
        <w:spacing w:after="60"/>
      </w:pPr>
      <w:r>
        <w:tab/>
        <w:t>[Heading inserted in Gazette 20 Jun 2012 p. 2721.]</w:t>
      </w:r>
    </w:p>
    <w:tbl>
      <w:tblPr>
        <w:tblW w:w="0" w:type="auto"/>
        <w:tblInd w:w="534" w:type="dxa"/>
        <w:tblLook w:val="0000" w:firstRow="0" w:lastRow="0" w:firstColumn="0" w:lastColumn="0" w:noHBand="0" w:noVBand="0"/>
      </w:tblPr>
      <w:tblGrid>
        <w:gridCol w:w="850"/>
        <w:gridCol w:w="4235"/>
        <w:gridCol w:w="1457"/>
      </w:tblGrid>
      <w:tr>
        <w:trPr>
          <w:cantSplit/>
        </w:trPr>
        <w:tc>
          <w:tcPr>
            <w:tcW w:w="850" w:type="dxa"/>
          </w:tcPr>
          <w:p>
            <w:pPr>
              <w:pStyle w:val="yTableNAm"/>
              <w:rPr>
                <w:b/>
                <w:bCs/>
              </w:rPr>
            </w:pPr>
            <w:r>
              <w:rPr>
                <w:b/>
                <w:bCs/>
              </w:rPr>
              <w:t>1.</w:t>
            </w:r>
          </w:p>
        </w:tc>
        <w:tc>
          <w:tcPr>
            <w:tcW w:w="5692" w:type="dxa"/>
            <w:gridSpan w:val="2"/>
          </w:tcPr>
          <w:p>
            <w:pPr>
              <w:pStyle w:val="yTableNAm"/>
              <w:tabs>
                <w:tab w:val="right" w:leader="dot" w:pos="4253"/>
              </w:tabs>
              <w:rPr>
                <w:b/>
                <w:bCs/>
              </w:rPr>
            </w:pPr>
            <w:r>
              <w:rPr>
                <w:b/>
                <w:bCs/>
              </w:rPr>
              <w:t xml:space="preserve">Supply under the </w:t>
            </w:r>
            <w:r>
              <w:rPr>
                <w:b/>
                <w:bCs/>
                <w:i/>
              </w:rPr>
              <w:t>Ord Irrigation District By</w:t>
            </w:r>
            <w:r>
              <w:rPr>
                <w:b/>
                <w:bCs/>
                <w:i/>
              </w:rPr>
              <w:noBreakHyphen/>
              <w:t xml:space="preserve">laws 1963 </w:t>
            </w:r>
            <w:r>
              <w:rPr>
                <w:b/>
                <w:bCs/>
              </w:rPr>
              <w:t>by</w:t>
            </w:r>
            <w:r>
              <w:rPr>
                <w:b/>
                <w:bCs/>
              </w:rPr>
              <w:noBreakHyphen/>
              <w:t>law 31A</w:t>
            </w:r>
            <w:r>
              <w:rPr>
                <w:b/>
                <w:bCs/>
                <w:iCs/>
              </w:rPr>
              <w:t xml:space="preserve"> other</w:t>
            </w:r>
            <w:r>
              <w:rPr>
                <w:b/>
                <w:bCs/>
              </w:rPr>
              <w:t xml:space="preserve"> than under Division 2</w:t>
            </w:r>
          </w:p>
        </w:tc>
      </w:tr>
      <w:tr>
        <w:trPr>
          <w:cantSplit/>
        </w:trPr>
        <w:tc>
          <w:tcPr>
            <w:tcW w:w="850" w:type="dxa"/>
          </w:tcPr>
          <w:p>
            <w:pPr>
              <w:pStyle w:val="yTableNAm"/>
            </w:pPr>
          </w:p>
        </w:tc>
        <w:tc>
          <w:tcPr>
            <w:tcW w:w="4235" w:type="dxa"/>
          </w:tcPr>
          <w:p>
            <w:pPr>
              <w:pStyle w:val="yTableNAm"/>
              <w:tabs>
                <w:tab w:val="right" w:leader="dot" w:pos="4253"/>
              </w:tabs>
            </w:pPr>
            <w:r>
              <w:t xml:space="preserve">In respect of land to which water is supplied under the </w:t>
            </w:r>
            <w:r>
              <w:rPr>
                <w:i/>
              </w:rPr>
              <w:t>Ord Irrigation District By</w:t>
            </w:r>
            <w:r>
              <w:rPr>
                <w:i/>
              </w:rPr>
              <w:noBreakHyphen/>
              <w:t>laws 1963</w:t>
            </w:r>
            <w:r>
              <w:t xml:space="preserve"> by</w:t>
            </w:r>
            <w:r>
              <w:noBreakHyphen/>
              <w:t>law 31A, for purposes other than those mentioned in Division 2, an amount per supply point of —</w:t>
            </w:r>
          </w:p>
        </w:tc>
        <w:tc>
          <w:tcPr>
            <w:tcW w:w="1457" w:type="dxa"/>
            <w:vAlign w:val="bottom"/>
          </w:tcPr>
          <w:p>
            <w:pPr>
              <w:pStyle w:val="yTableNAm"/>
              <w:tabs>
                <w:tab w:val="clear" w:pos="567"/>
                <w:tab w:val="left" w:pos="335"/>
                <w:tab w:val="right" w:leader="dot" w:pos="4253"/>
              </w:tabs>
            </w:pPr>
          </w:p>
        </w:tc>
      </w:tr>
      <w:tr>
        <w:trPr>
          <w:cantSplit/>
        </w:trPr>
        <w:tc>
          <w:tcPr>
            <w:tcW w:w="850" w:type="dxa"/>
          </w:tcPr>
          <w:p>
            <w:pPr>
              <w:pStyle w:val="yTableNAm"/>
            </w:pPr>
          </w:p>
        </w:tc>
        <w:tc>
          <w:tcPr>
            <w:tcW w:w="4235" w:type="dxa"/>
          </w:tcPr>
          <w:p>
            <w:pPr>
              <w:pStyle w:val="yTableNAm"/>
              <w:tabs>
                <w:tab w:val="clear" w:pos="567"/>
                <w:tab w:val="left" w:pos="351"/>
                <w:tab w:val="left" w:pos="918"/>
                <w:tab w:val="right" w:leader="dot" w:pos="4253"/>
              </w:tabs>
              <w:ind w:left="918" w:hanging="918"/>
            </w:pPr>
            <w:r>
              <w:tab/>
              <w:t>(a)</w:t>
            </w:r>
            <w:r>
              <w:tab/>
              <w:t xml:space="preserve">where the supply is assured </w:t>
            </w:r>
            <w:r>
              <w:tab/>
            </w:r>
          </w:p>
        </w:tc>
        <w:tc>
          <w:tcPr>
            <w:tcW w:w="1457" w:type="dxa"/>
            <w:vAlign w:val="bottom"/>
          </w:tcPr>
          <w:p>
            <w:pPr>
              <w:pStyle w:val="yTableNAm"/>
              <w:tabs>
                <w:tab w:val="clear" w:pos="567"/>
                <w:tab w:val="left" w:pos="335"/>
                <w:tab w:val="right" w:leader="dot" w:pos="4253"/>
              </w:tabs>
            </w:pPr>
            <w:r>
              <w:t>$242.50</w:t>
            </w:r>
          </w:p>
        </w:tc>
      </w:tr>
      <w:tr>
        <w:trPr>
          <w:cantSplit/>
        </w:trPr>
        <w:tc>
          <w:tcPr>
            <w:tcW w:w="850" w:type="dxa"/>
          </w:tcPr>
          <w:p>
            <w:pPr>
              <w:pStyle w:val="yTableNAm"/>
            </w:pPr>
          </w:p>
        </w:tc>
        <w:tc>
          <w:tcPr>
            <w:tcW w:w="4235" w:type="dxa"/>
          </w:tcPr>
          <w:p>
            <w:pPr>
              <w:pStyle w:val="yTableNAm"/>
              <w:tabs>
                <w:tab w:val="clear" w:pos="567"/>
                <w:tab w:val="left" w:pos="351"/>
                <w:tab w:val="left" w:pos="918"/>
                <w:tab w:val="right" w:leader="dot" w:pos="4253"/>
              </w:tabs>
              <w:ind w:left="918" w:hanging="918"/>
            </w:pPr>
            <w:r>
              <w:tab/>
              <w:t>(b)</w:t>
            </w:r>
            <w:r>
              <w:tab/>
              <w:t xml:space="preserve">where the supply is not assured </w:t>
            </w:r>
            <w:r>
              <w:tab/>
            </w:r>
          </w:p>
        </w:tc>
        <w:tc>
          <w:tcPr>
            <w:tcW w:w="1457" w:type="dxa"/>
            <w:vAlign w:val="bottom"/>
          </w:tcPr>
          <w:p>
            <w:pPr>
              <w:pStyle w:val="yTableNAm"/>
              <w:tabs>
                <w:tab w:val="clear" w:pos="567"/>
                <w:tab w:val="left" w:pos="335"/>
                <w:tab w:val="right" w:leader="dot" w:pos="4253"/>
              </w:tabs>
            </w:pPr>
            <w:r>
              <w:t>$177.50</w:t>
            </w:r>
          </w:p>
        </w:tc>
      </w:tr>
    </w:tbl>
    <w:p>
      <w:pPr>
        <w:pStyle w:val="yFootnotesection"/>
      </w:pPr>
      <w:r>
        <w:tab/>
        <w:t>[Division 1 inserted in Gazette 20 Jun 2012 p. 2721.]</w:t>
      </w:r>
    </w:p>
    <w:p>
      <w:pPr>
        <w:pStyle w:val="yHeading3"/>
      </w:pPr>
      <w:bookmarkStart w:id="712" w:name="_Toc84427992"/>
      <w:bookmarkStart w:id="713" w:name="_Toc328403437"/>
      <w:bookmarkStart w:id="714" w:name="_Toc328471486"/>
      <w:r>
        <w:rPr>
          <w:rStyle w:val="CharSDivNo"/>
        </w:rPr>
        <w:t>Division 2</w:t>
      </w:r>
      <w:r>
        <w:t> — </w:t>
      </w:r>
      <w:r>
        <w:rPr>
          <w:rStyle w:val="CharSDivText"/>
        </w:rPr>
        <w:t>Variable charges and charges by way of a rate</w:t>
      </w:r>
      <w:bookmarkEnd w:id="712"/>
      <w:bookmarkEnd w:id="713"/>
      <w:bookmarkEnd w:id="714"/>
    </w:p>
    <w:p>
      <w:pPr>
        <w:pStyle w:val="yFootnoteheading"/>
        <w:spacing w:after="60"/>
      </w:pPr>
      <w:r>
        <w:tab/>
        <w:t>[Heading inserted in Gazette 20 Jun 2012 p. 2721.]</w:t>
      </w:r>
    </w:p>
    <w:tbl>
      <w:tblPr>
        <w:tblW w:w="6520" w:type="dxa"/>
        <w:tblInd w:w="534" w:type="dxa"/>
        <w:tblLook w:val="0000" w:firstRow="0" w:lastRow="0" w:firstColumn="0" w:lastColumn="0" w:noHBand="0" w:noVBand="0"/>
      </w:tblPr>
      <w:tblGrid>
        <w:gridCol w:w="850"/>
        <w:gridCol w:w="4243"/>
        <w:gridCol w:w="1427"/>
      </w:tblGrid>
      <w:tr>
        <w:trPr>
          <w:cantSplit/>
        </w:trPr>
        <w:tc>
          <w:tcPr>
            <w:tcW w:w="850" w:type="dxa"/>
          </w:tcPr>
          <w:p>
            <w:pPr>
              <w:pStyle w:val="yTableNAm"/>
              <w:rPr>
                <w:b/>
              </w:rPr>
            </w:pPr>
            <w:r>
              <w:rPr>
                <w:b/>
              </w:rPr>
              <w:t>2.</w:t>
            </w:r>
          </w:p>
        </w:tc>
        <w:tc>
          <w:tcPr>
            <w:tcW w:w="5670" w:type="dxa"/>
            <w:gridSpan w:val="2"/>
          </w:tcPr>
          <w:p>
            <w:pPr>
              <w:pStyle w:val="yTableNAm"/>
              <w:keepNext/>
              <w:keepLines/>
              <w:rPr>
                <w:b/>
                <w:bCs/>
              </w:rPr>
            </w:pPr>
            <w:r>
              <w:rPr>
                <w:b/>
                <w:bCs/>
              </w:rPr>
              <w:t xml:space="preserve">Supply under the </w:t>
            </w:r>
            <w:r>
              <w:rPr>
                <w:b/>
                <w:bCs/>
                <w:i/>
              </w:rPr>
              <w:t>Ord Irrigation District By</w:t>
            </w:r>
            <w:r>
              <w:rPr>
                <w:b/>
                <w:bCs/>
                <w:i/>
              </w:rPr>
              <w:noBreakHyphen/>
              <w:t>laws 1963</w:t>
            </w:r>
            <w:r>
              <w:rPr>
                <w:b/>
                <w:bCs/>
                <w:iCs/>
              </w:rPr>
              <w:t xml:space="preserve"> </w:t>
            </w:r>
            <w:r>
              <w:rPr>
                <w:b/>
                <w:bCs/>
              </w:rPr>
              <w:t>by</w:t>
            </w:r>
            <w:r>
              <w:rPr>
                <w:b/>
                <w:bCs/>
              </w:rPr>
              <w:noBreakHyphen/>
              <w:t>law 31A</w:t>
            </w:r>
          </w:p>
        </w:tc>
      </w:tr>
      <w:tr>
        <w:trPr>
          <w:cantSplit/>
        </w:trPr>
        <w:tc>
          <w:tcPr>
            <w:tcW w:w="850" w:type="dxa"/>
          </w:tcPr>
          <w:p>
            <w:pPr>
              <w:pStyle w:val="yTableNAm"/>
              <w:keepNext/>
              <w:keepLines/>
            </w:pPr>
          </w:p>
        </w:tc>
        <w:tc>
          <w:tcPr>
            <w:tcW w:w="4243" w:type="dxa"/>
          </w:tcPr>
          <w:p>
            <w:pPr>
              <w:pStyle w:val="yTableNAm"/>
              <w:keepNext/>
              <w:keepLines/>
            </w:pPr>
            <w:r>
              <w:t xml:space="preserve">In respect of land to which water is supplied under the </w:t>
            </w:r>
            <w:r>
              <w:rPr>
                <w:i/>
              </w:rPr>
              <w:t>Ord Irrigation District By</w:t>
            </w:r>
            <w:r>
              <w:rPr>
                <w:i/>
              </w:rPr>
              <w:noBreakHyphen/>
              <w:t>laws 1963</w:t>
            </w:r>
            <w:r>
              <w:t xml:space="preserve"> by</w:t>
            </w:r>
            <w:r>
              <w:noBreakHyphen/>
              <w:t>law 31A for the purposes of stock</w:t>
            </w:r>
            <w:r>
              <w:noBreakHyphen/>
              <w:t>water or dust prevention in feed lots —</w:t>
            </w:r>
          </w:p>
        </w:tc>
        <w:tc>
          <w:tcPr>
            <w:tcW w:w="1427" w:type="dxa"/>
            <w:vAlign w:val="bottom"/>
          </w:tcPr>
          <w:p>
            <w:pPr>
              <w:pStyle w:val="yTableNAm"/>
              <w:keepNext/>
              <w:keepLines/>
              <w:tabs>
                <w:tab w:val="clear" w:pos="567"/>
                <w:tab w:val="left" w:pos="327"/>
              </w:tabs>
            </w:pPr>
          </w:p>
        </w:tc>
      </w:tr>
      <w:tr>
        <w:trPr>
          <w:cantSplit/>
        </w:trPr>
        <w:tc>
          <w:tcPr>
            <w:tcW w:w="850" w:type="dxa"/>
          </w:tcPr>
          <w:p>
            <w:pPr>
              <w:pStyle w:val="yTableNAm"/>
            </w:pPr>
          </w:p>
        </w:tc>
        <w:tc>
          <w:tcPr>
            <w:tcW w:w="4243" w:type="dxa"/>
          </w:tcPr>
          <w:p>
            <w:pPr>
              <w:pStyle w:val="yTableNAm"/>
              <w:tabs>
                <w:tab w:val="clear" w:pos="567"/>
                <w:tab w:val="left" w:pos="351"/>
                <w:tab w:val="left" w:pos="918"/>
                <w:tab w:val="right" w:leader="dot" w:pos="4253"/>
              </w:tabs>
              <w:ind w:left="918" w:hanging="918"/>
            </w:pPr>
            <w:r>
              <w:tab/>
              <w:t>(a)</w:t>
            </w:r>
            <w:r>
              <w:tab/>
              <w:t xml:space="preserve">where the maximum area used as a feed lot during the year is not more than 4 hectares </w:t>
            </w:r>
            <w:r>
              <w:tab/>
            </w:r>
          </w:p>
        </w:tc>
        <w:tc>
          <w:tcPr>
            <w:tcW w:w="1427" w:type="dxa"/>
            <w:vAlign w:val="bottom"/>
          </w:tcPr>
          <w:p>
            <w:pPr>
              <w:pStyle w:val="yTableNAm"/>
              <w:tabs>
                <w:tab w:val="clear" w:pos="567"/>
                <w:tab w:val="left" w:pos="327"/>
              </w:tabs>
            </w:pPr>
            <w:r>
              <w:t>$651.00</w:t>
            </w:r>
          </w:p>
        </w:tc>
      </w:tr>
      <w:tr>
        <w:trPr>
          <w:cantSplit/>
        </w:trPr>
        <w:tc>
          <w:tcPr>
            <w:tcW w:w="850" w:type="dxa"/>
          </w:tcPr>
          <w:p>
            <w:pPr>
              <w:pStyle w:val="yTableNAm"/>
              <w:keepNext/>
              <w:keepLines/>
            </w:pPr>
          </w:p>
        </w:tc>
        <w:tc>
          <w:tcPr>
            <w:tcW w:w="4243" w:type="dxa"/>
          </w:tcPr>
          <w:p>
            <w:pPr>
              <w:pStyle w:val="yTableNAm"/>
              <w:tabs>
                <w:tab w:val="clear" w:pos="567"/>
                <w:tab w:val="left" w:pos="351"/>
                <w:tab w:val="left" w:pos="918"/>
                <w:tab w:val="right" w:leader="dot" w:pos="4253"/>
              </w:tabs>
              <w:ind w:left="918" w:hanging="918"/>
            </w:pPr>
            <w:r>
              <w:tab/>
              <w:t>(b)</w:t>
            </w:r>
            <w:r>
              <w:tab/>
              <w:t xml:space="preserve">where the maximum area used as a feed lot during the year is more than 4 hectares, the amount specified in paragraph (a) and, for each hectare (or part thereof) in excess of 4 hectares that is so used, a further amount of </w:t>
            </w:r>
            <w:r>
              <w:tab/>
            </w:r>
          </w:p>
        </w:tc>
        <w:tc>
          <w:tcPr>
            <w:tcW w:w="1427" w:type="dxa"/>
            <w:vAlign w:val="bottom"/>
          </w:tcPr>
          <w:p>
            <w:pPr>
              <w:pStyle w:val="yTableNAm"/>
              <w:keepNext/>
              <w:keepLines/>
              <w:tabs>
                <w:tab w:val="clear" w:pos="567"/>
                <w:tab w:val="left" w:pos="327"/>
              </w:tabs>
            </w:pPr>
            <w:r>
              <w:t>$129.00</w:t>
            </w:r>
          </w:p>
        </w:tc>
      </w:tr>
    </w:tbl>
    <w:p>
      <w:pPr>
        <w:pStyle w:val="yFootnotesection"/>
      </w:pPr>
      <w:r>
        <w:tab/>
        <w:t>[Division 2 inserted in Gazette 20 Jun 2012 p. 2721</w:t>
      </w:r>
      <w:r>
        <w:noBreakHyphen/>
        <w:t>2.]</w:t>
      </w:r>
    </w:p>
    <w:p>
      <w:pPr>
        <w:pStyle w:val="yScheduleHeading"/>
      </w:pPr>
      <w:bookmarkStart w:id="715" w:name="_Toc84427993"/>
      <w:bookmarkStart w:id="716" w:name="_Toc328403438"/>
      <w:bookmarkStart w:id="717" w:name="_Toc328471487"/>
      <w:bookmarkStart w:id="718" w:name="_Toc233448452"/>
      <w:bookmarkStart w:id="719" w:name="_Toc233611727"/>
      <w:bookmarkStart w:id="720" w:name="_Toc234730734"/>
      <w:bookmarkStart w:id="721" w:name="_Toc234733260"/>
      <w:bookmarkStart w:id="722" w:name="_Toc235863997"/>
      <w:bookmarkStart w:id="723" w:name="_Toc235933472"/>
      <w:bookmarkStart w:id="724" w:name="_Toc237164460"/>
      <w:bookmarkStart w:id="725" w:name="_Toc237244344"/>
      <w:bookmarkStart w:id="726" w:name="_Toc237245668"/>
      <w:bookmarkStart w:id="727" w:name="_Toc237245799"/>
      <w:bookmarkStart w:id="728" w:name="_Toc237247941"/>
      <w:bookmarkStart w:id="729" w:name="_Toc237254249"/>
      <w:bookmarkStart w:id="730" w:name="_Toc237309668"/>
      <w:bookmarkStart w:id="731" w:name="_Toc265743657"/>
      <w:bookmarkStart w:id="732" w:name="_Toc297540774"/>
      <w:bookmarkStart w:id="733" w:name="_Toc297541202"/>
      <w:bookmarkStart w:id="734" w:name="_Toc170879127"/>
      <w:bookmarkStart w:id="735" w:name="_Toc170894775"/>
      <w:bookmarkStart w:id="736" w:name="_Toc175712741"/>
      <w:bookmarkStart w:id="737" w:name="_Toc175970682"/>
      <w:bookmarkStart w:id="738" w:name="_Toc176335401"/>
      <w:bookmarkStart w:id="739" w:name="_Toc176338976"/>
      <w:bookmarkStart w:id="740" w:name="_Toc178743001"/>
      <w:bookmarkStart w:id="741" w:name="_Toc179363424"/>
      <w:bookmarkStart w:id="742" w:name="_Toc179604493"/>
      <w:bookmarkStart w:id="743" w:name="_Toc180204686"/>
      <w:bookmarkStart w:id="744" w:name="_Toc180204902"/>
      <w:bookmarkStart w:id="745" w:name="_Toc185844647"/>
      <w:bookmarkStart w:id="746" w:name="_Toc185845267"/>
      <w:bookmarkStart w:id="747" w:name="_Toc185927232"/>
      <w:bookmarkStart w:id="748" w:name="_Toc202506083"/>
      <w:bookmarkStart w:id="749" w:name="_Toc202672815"/>
      <w:bookmarkStart w:id="750" w:name="_Toc20269179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SchNo"/>
        </w:rPr>
        <w:t>Schedule 3</w:t>
      </w:r>
      <w:r>
        <w:t> — </w:t>
      </w:r>
      <w:r>
        <w:rPr>
          <w:rStyle w:val="CharSchText"/>
        </w:rPr>
        <w:t>Charges for sewerage for 2012/2013</w:t>
      </w:r>
      <w:bookmarkEnd w:id="715"/>
      <w:bookmarkEnd w:id="716"/>
      <w:bookmarkEnd w:id="717"/>
    </w:p>
    <w:p>
      <w:pPr>
        <w:pStyle w:val="yShoulderClause"/>
      </w:pPr>
      <w:r>
        <w:t>[bl. 21, 25A, 25B, 25C, 26, 26A and 26B]</w:t>
      </w:r>
    </w:p>
    <w:p>
      <w:pPr>
        <w:pStyle w:val="yFootnoteheading"/>
        <w:spacing w:after="60"/>
      </w:pPr>
      <w:r>
        <w:tab/>
        <w:t>[Heading inserted in Gazette 20 Jun 2012 p. 2722.]</w:t>
      </w:r>
    </w:p>
    <w:p>
      <w:pPr>
        <w:pStyle w:val="yHeading3"/>
      </w:pPr>
      <w:bookmarkStart w:id="751" w:name="_Toc84427994"/>
      <w:bookmarkStart w:id="752" w:name="_Toc328403439"/>
      <w:bookmarkStart w:id="753" w:name="_Toc328471488"/>
      <w:r>
        <w:rPr>
          <w:rStyle w:val="CharSDivNo"/>
        </w:rPr>
        <w:t>Division 1</w:t>
      </w:r>
      <w:r>
        <w:t> — </w:t>
      </w:r>
      <w:r>
        <w:rPr>
          <w:rStyle w:val="CharSDivText"/>
        </w:rPr>
        <w:t>Fixed charges</w:t>
      </w:r>
      <w:bookmarkEnd w:id="751"/>
      <w:bookmarkEnd w:id="752"/>
      <w:bookmarkEnd w:id="753"/>
    </w:p>
    <w:p>
      <w:pPr>
        <w:pStyle w:val="yFootnoteheading"/>
        <w:spacing w:after="60"/>
      </w:pPr>
      <w:r>
        <w:tab/>
        <w:t>[Heading inserted in Gazette 20 Jun 2012 p. 2722.]</w:t>
      </w: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rPr>
                <w:b/>
              </w:rPr>
            </w:pPr>
            <w:r>
              <w:rPr>
                <w:b/>
              </w:rPr>
              <w:t>1.</w:t>
            </w:r>
          </w:p>
        </w:tc>
        <w:tc>
          <w:tcPr>
            <w:tcW w:w="5670" w:type="dxa"/>
            <w:gridSpan w:val="2"/>
          </w:tcPr>
          <w:p>
            <w:pPr>
              <w:pStyle w:val="yTableNAm"/>
              <w:rPr>
                <w:b/>
              </w:rPr>
            </w:pPr>
            <w:r>
              <w:rPr>
                <w:b/>
              </w:rPr>
              <w:t>Connected metropolitan exempt</w:t>
            </w:r>
          </w:p>
        </w:tc>
      </w:tr>
      <w:tr>
        <w:trPr>
          <w:cantSplit/>
        </w:trPr>
        <w:tc>
          <w:tcPr>
            <w:tcW w:w="850" w:type="dxa"/>
          </w:tcPr>
          <w:p>
            <w:pPr>
              <w:pStyle w:val="yTableNAm"/>
            </w:pPr>
          </w:p>
        </w:tc>
        <w:tc>
          <w:tcPr>
            <w:tcW w:w="4236" w:type="dxa"/>
          </w:tcPr>
          <w:p>
            <w:pPr>
              <w:pStyle w:val="yTableNAm"/>
              <w:tabs>
                <w:tab w:val="right" w:leader="dot" w:pos="4253"/>
              </w:tabs>
            </w:pPr>
            <w:r>
              <w:t>In respect of land in the metropolitan area that is classified as —</w:t>
            </w:r>
          </w:p>
        </w:tc>
        <w:tc>
          <w:tcPr>
            <w:tcW w:w="1434" w:type="dxa"/>
            <w:vAlign w:val="bottom"/>
          </w:tcPr>
          <w:p>
            <w:pPr>
              <w:pStyle w:val="yTableNAm"/>
              <w:tabs>
                <w:tab w:val="clear" w:pos="567"/>
                <w:tab w:val="left" w:pos="335"/>
                <w:tab w:val="right" w:leader="dot" w:pos="4253"/>
              </w:tabs>
            </w:pPr>
          </w:p>
        </w:tc>
      </w:tr>
      <w:tr>
        <w:trPr>
          <w:cantSplit/>
        </w:trPr>
        <w:tc>
          <w:tcPr>
            <w:tcW w:w="850" w:type="dxa"/>
          </w:tcPr>
          <w:p>
            <w:pPr>
              <w:pStyle w:val="yTableNAm"/>
            </w:pPr>
          </w:p>
        </w:tc>
        <w:tc>
          <w:tcPr>
            <w:tcW w:w="4236" w:type="dxa"/>
          </w:tcPr>
          <w:p>
            <w:pPr>
              <w:pStyle w:val="yTableNAm"/>
              <w:tabs>
                <w:tab w:val="clear" w:pos="567"/>
                <w:tab w:val="left" w:pos="351"/>
                <w:tab w:val="left" w:pos="743"/>
                <w:tab w:val="right" w:leader="dot" w:pos="4253"/>
              </w:tabs>
              <w:ind w:left="743" w:hanging="743"/>
            </w:pPr>
            <w:r>
              <w:tab/>
              <w:t>(a)</w:t>
            </w:r>
            <w:r>
              <w:tab/>
              <w:t>aged home; or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743"/>
                <w:tab w:val="left" w:pos="1168"/>
                <w:tab w:val="right" w:leader="dot" w:pos="4253"/>
              </w:tabs>
              <w:ind w:left="743" w:hanging="743"/>
              <w:rPr>
                <w:spacing w:val="-1"/>
              </w:rPr>
            </w:pPr>
            <w:r>
              <w:rPr>
                <w:spacing w:val="-1"/>
              </w:rPr>
              <w:tab/>
              <w:t>(b)</w:t>
            </w:r>
            <w:r>
              <w:rPr>
                <w:spacing w:val="-1"/>
              </w:rPr>
              <w:tab/>
              <w:t>charitable or community purposes,</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0"/>
                <w:tab w:val="left" w:pos="351"/>
                <w:tab w:val="right" w:leader="dot" w:pos="4253"/>
              </w:tabs>
              <w:rPr>
                <w:spacing w:val="-1"/>
              </w:rPr>
            </w:pPr>
            <w:r>
              <w:rPr>
                <w:spacing w:val="-1"/>
              </w:rPr>
              <w:t xml:space="preserve">a charge determined by meter size minus the discount as set out in the following Table — </w:t>
            </w:r>
          </w:p>
        </w:tc>
        <w:tc>
          <w:tcPr>
            <w:tcW w:w="1434" w:type="dxa"/>
            <w:vAlign w:val="bottom"/>
          </w:tcPr>
          <w:p>
            <w:pPr>
              <w:pStyle w:val="yTableNAm"/>
              <w:tabs>
                <w:tab w:val="clear" w:pos="567"/>
                <w:tab w:val="left" w:pos="335"/>
                <w:tab w:val="right" w:leader="dot" w:pos="4253"/>
              </w:tabs>
              <w:rPr>
                <w:spacing w:val="-1"/>
              </w:rPr>
            </w:pPr>
          </w:p>
        </w:tc>
      </w:tr>
    </w:tbl>
    <w:p>
      <w:pPr>
        <w:pStyle w:val="yTHeadingNAm"/>
      </w:pPr>
      <w:r>
        <w:rPr>
          <w:bCs w:val="0"/>
        </w:rPr>
        <w:t>Table — charges (</w:t>
      </w:r>
      <w:r>
        <w:rPr>
          <w:bCs w:val="0"/>
          <w:iCs/>
        </w:rPr>
        <w:t>per fixture</w:t>
      </w:r>
      <w:r>
        <w:rPr>
          <w:bCs w:val="0"/>
        </w:rPr>
        <w:t>)</w:t>
      </w:r>
    </w:p>
    <w:tbl>
      <w:tblPr>
        <w:tblW w:w="6520" w:type="dxa"/>
        <w:tblInd w:w="454"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jc w:val="center"/>
              <w:rPr>
                <w:b/>
                <w:bCs/>
              </w:rPr>
            </w:pPr>
            <w:r>
              <w:rPr>
                <w:b/>
                <w:bCs/>
              </w:rPr>
              <w:t>No. of fixtures</w:t>
            </w:r>
          </w:p>
        </w:tc>
        <w:tc>
          <w:tcPr>
            <w:tcW w:w="2173" w:type="dxa"/>
            <w:vMerge w:val="restart"/>
            <w:tcBorders>
              <w:top w:val="single" w:sz="4" w:space="0" w:color="auto"/>
            </w:tcBorders>
          </w:tcPr>
          <w:p>
            <w:pPr>
              <w:pStyle w:val="yTableNAm"/>
              <w:jc w:val="center"/>
              <w:rPr>
                <w:b/>
                <w:bCs/>
              </w:rPr>
            </w:pPr>
            <w:r>
              <w:rPr>
                <w:b/>
                <w:bCs/>
              </w:rPr>
              <w:t>Charges</w:t>
            </w:r>
            <w:r>
              <w:rPr>
                <w:b/>
                <w:bCs/>
              </w:rPr>
              <w:br/>
              <w:t>$</w:t>
            </w:r>
          </w:p>
        </w:tc>
        <w:tc>
          <w:tcPr>
            <w:tcW w:w="2174" w:type="dxa"/>
            <w:gridSpan w:val="2"/>
            <w:tcBorders>
              <w:top w:val="single" w:sz="4" w:space="0" w:color="auto"/>
              <w:bottom w:val="single" w:sz="4" w:space="0" w:color="auto"/>
            </w:tcBorders>
          </w:tcPr>
          <w:p>
            <w:pPr>
              <w:pStyle w:val="yTableNAm"/>
              <w:jc w:val="center"/>
              <w:rPr>
                <w:b/>
                <w:bCs/>
              </w:rP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yTableNAm"/>
              <w:jc w:val="center"/>
              <w:rPr>
                <w:b/>
                <w:bCs/>
              </w:rPr>
            </w:pPr>
          </w:p>
        </w:tc>
        <w:tc>
          <w:tcPr>
            <w:tcW w:w="2173" w:type="dxa"/>
            <w:vMerge/>
            <w:tcBorders>
              <w:bottom w:val="single" w:sz="4" w:space="0" w:color="auto"/>
            </w:tcBorders>
          </w:tcPr>
          <w:p>
            <w:pPr>
              <w:pStyle w:val="yTableNAm"/>
              <w:jc w:val="center"/>
              <w:rPr>
                <w:b/>
                <w:bCs/>
              </w:rPr>
            </w:pPr>
          </w:p>
        </w:tc>
        <w:tc>
          <w:tcPr>
            <w:tcW w:w="1087" w:type="dxa"/>
            <w:tcBorders>
              <w:top w:val="single" w:sz="4" w:space="0" w:color="auto"/>
              <w:bottom w:val="single" w:sz="4" w:space="0" w:color="auto"/>
            </w:tcBorders>
          </w:tcPr>
          <w:p>
            <w:pPr>
              <w:pStyle w:val="yTableNAm"/>
              <w:jc w:val="center"/>
              <w:rPr>
                <w:b/>
                <w:bCs/>
              </w:rPr>
            </w:pPr>
            <w:r>
              <w:rPr>
                <w:b/>
                <w:bCs/>
              </w:rPr>
              <w:t>Item 1(a)</w:t>
            </w:r>
          </w:p>
        </w:tc>
        <w:tc>
          <w:tcPr>
            <w:tcW w:w="1087" w:type="dxa"/>
            <w:tcBorders>
              <w:top w:val="single" w:sz="4" w:space="0" w:color="auto"/>
              <w:bottom w:val="single" w:sz="4" w:space="0" w:color="auto"/>
            </w:tcBorders>
          </w:tcPr>
          <w:p>
            <w:pPr>
              <w:pStyle w:val="yTableNAm"/>
              <w:jc w:val="center"/>
              <w:rPr>
                <w:b/>
                <w:bCs/>
              </w:rPr>
            </w:pPr>
            <w:r>
              <w:rPr>
                <w:b/>
                <w:bCs/>
              </w:rPr>
              <w:t>Item 1(b)</w:t>
            </w:r>
          </w:p>
        </w:tc>
      </w:tr>
      <w:tr>
        <w:trPr>
          <w:cantSplit/>
        </w:trPr>
        <w:tc>
          <w:tcPr>
            <w:tcW w:w="2173" w:type="dxa"/>
          </w:tcPr>
          <w:p>
            <w:pPr>
              <w:pStyle w:val="yTableNAm"/>
              <w:jc w:val="center"/>
            </w:pPr>
            <w:r>
              <w:t>1</w:t>
            </w:r>
          </w:p>
        </w:tc>
        <w:tc>
          <w:tcPr>
            <w:tcW w:w="2173" w:type="dxa"/>
          </w:tcPr>
          <w:p>
            <w:pPr>
              <w:pStyle w:val="yTableNAm"/>
              <w:jc w:val="center"/>
            </w:pPr>
            <w:r>
              <w:t>728.40</w:t>
            </w:r>
          </w:p>
        </w:tc>
        <w:tc>
          <w:tcPr>
            <w:tcW w:w="1087" w:type="dxa"/>
          </w:tcPr>
          <w:p>
            <w:pPr>
              <w:pStyle w:val="yTableNAm"/>
              <w:jc w:val="center"/>
            </w:pPr>
            <w:r>
              <w:t>73.13</w:t>
            </w:r>
          </w:p>
        </w:tc>
        <w:tc>
          <w:tcPr>
            <w:tcW w:w="1087" w:type="dxa"/>
          </w:tcPr>
          <w:p>
            <w:pPr>
              <w:pStyle w:val="yTableNAm"/>
              <w:jc w:val="center"/>
            </w:pPr>
            <w:r>
              <w:t>73.13</w:t>
            </w:r>
          </w:p>
        </w:tc>
      </w:tr>
      <w:tr>
        <w:trPr>
          <w:cantSplit/>
        </w:trPr>
        <w:tc>
          <w:tcPr>
            <w:tcW w:w="2173" w:type="dxa"/>
          </w:tcPr>
          <w:p>
            <w:pPr>
              <w:pStyle w:val="yTableNAm"/>
              <w:jc w:val="center"/>
            </w:pPr>
            <w:r>
              <w:t>2</w:t>
            </w:r>
          </w:p>
        </w:tc>
        <w:tc>
          <w:tcPr>
            <w:tcW w:w="2173" w:type="dxa"/>
          </w:tcPr>
          <w:p>
            <w:pPr>
              <w:pStyle w:val="yTableNAm"/>
              <w:jc w:val="center"/>
            </w:pPr>
            <w:r>
              <w:t>311.80</w:t>
            </w:r>
          </w:p>
        </w:tc>
        <w:tc>
          <w:tcPr>
            <w:tcW w:w="1087" w:type="dxa"/>
          </w:tcPr>
          <w:p>
            <w:pPr>
              <w:pStyle w:val="yTableNAm"/>
              <w:jc w:val="center"/>
            </w:pPr>
            <w:r>
              <w:t>72.38</w:t>
            </w:r>
          </w:p>
        </w:tc>
        <w:tc>
          <w:tcPr>
            <w:tcW w:w="1087" w:type="dxa"/>
          </w:tcPr>
          <w:p>
            <w:pPr>
              <w:pStyle w:val="yTableNAm"/>
              <w:jc w:val="center"/>
            </w:pPr>
            <w:r>
              <w:t>37.24</w:t>
            </w:r>
          </w:p>
        </w:tc>
      </w:tr>
      <w:tr>
        <w:trPr>
          <w:cantSplit/>
        </w:trPr>
        <w:tc>
          <w:tcPr>
            <w:tcW w:w="2173" w:type="dxa"/>
          </w:tcPr>
          <w:p>
            <w:pPr>
              <w:pStyle w:val="yTableNAm"/>
              <w:jc w:val="center"/>
            </w:pPr>
            <w:r>
              <w:t>3</w:t>
            </w:r>
          </w:p>
        </w:tc>
        <w:tc>
          <w:tcPr>
            <w:tcW w:w="2173" w:type="dxa"/>
          </w:tcPr>
          <w:p>
            <w:pPr>
              <w:pStyle w:val="yTableNAm"/>
              <w:jc w:val="center"/>
            </w:pPr>
            <w:r>
              <w:t>416.40</w:t>
            </w:r>
          </w:p>
        </w:tc>
        <w:tc>
          <w:tcPr>
            <w:tcW w:w="1087" w:type="dxa"/>
          </w:tcPr>
          <w:p>
            <w:pPr>
              <w:pStyle w:val="yTableNAm"/>
              <w:jc w:val="center"/>
            </w:pPr>
            <w:r>
              <w:t>79.32</w:t>
            </w:r>
          </w:p>
        </w:tc>
        <w:tc>
          <w:tcPr>
            <w:tcW w:w="1087" w:type="dxa"/>
          </w:tcPr>
          <w:p>
            <w:pPr>
              <w:pStyle w:val="yTableNAm"/>
              <w:jc w:val="center"/>
            </w:pPr>
            <w:r>
              <w:t>53.00</w:t>
            </w:r>
          </w:p>
        </w:tc>
      </w:tr>
      <w:tr>
        <w:trPr>
          <w:cantSplit/>
        </w:trPr>
        <w:tc>
          <w:tcPr>
            <w:tcW w:w="2173" w:type="dxa"/>
            <w:tcBorders>
              <w:bottom w:val="single" w:sz="4" w:space="0" w:color="auto"/>
            </w:tcBorders>
          </w:tcPr>
          <w:p>
            <w:pPr>
              <w:pStyle w:val="yTableNAm"/>
              <w:jc w:val="center"/>
            </w:pPr>
            <w:r>
              <w:t>4+</w:t>
            </w:r>
          </w:p>
        </w:tc>
        <w:tc>
          <w:tcPr>
            <w:tcW w:w="2173" w:type="dxa"/>
            <w:tcBorders>
              <w:bottom w:val="single" w:sz="4" w:space="0" w:color="auto"/>
            </w:tcBorders>
          </w:tcPr>
          <w:p>
            <w:pPr>
              <w:pStyle w:val="yTableNAm"/>
              <w:jc w:val="center"/>
            </w:pPr>
            <w:r>
              <w:t>452.80</w:t>
            </w:r>
          </w:p>
        </w:tc>
        <w:tc>
          <w:tcPr>
            <w:tcW w:w="1087" w:type="dxa"/>
            <w:tcBorders>
              <w:bottom w:val="single" w:sz="4" w:space="0" w:color="auto"/>
            </w:tcBorders>
          </w:tcPr>
          <w:p>
            <w:pPr>
              <w:pStyle w:val="yTableNAm"/>
              <w:jc w:val="center"/>
            </w:pPr>
            <w:r>
              <w:t>80.98</w:t>
            </w:r>
          </w:p>
        </w:tc>
        <w:tc>
          <w:tcPr>
            <w:tcW w:w="1087" w:type="dxa"/>
            <w:tcBorders>
              <w:bottom w:val="single" w:sz="4" w:space="0" w:color="auto"/>
            </w:tcBorders>
          </w:tcPr>
          <w:p>
            <w:pPr>
              <w:pStyle w:val="yTableNAm"/>
              <w:jc w:val="center"/>
            </w:pPr>
            <w:r>
              <w:t>56.78</w:t>
            </w:r>
          </w:p>
        </w:tc>
      </w:tr>
    </w:tbl>
    <w:p>
      <w:pPr>
        <w:pStyle w:val="yMiscellaneousBody"/>
        <w:spacing w:before="0"/>
      </w:pP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rPr>
                <w:b/>
              </w:rPr>
            </w:pPr>
            <w:r>
              <w:rPr>
                <w:b/>
              </w:rPr>
              <w:t>2.</w:t>
            </w:r>
          </w:p>
        </w:tc>
        <w:tc>
          <w:tcPr>
            <w:tcW w:w="4236" w:type="dxa"/>
          </w:tcPr>
          <w:p>
            <w:pPr>
              <w:pStyle w:val="yTableNAm"/>
              <w:rPr>
                <w:b/>
              </w:rPr>
            </w:pPr>
            <w:r>
              <w:rPr>
                <w:b/>
              </w:rPr>
              <w:t>Connected country exempt</w:t>
            </w:r>
          </w:p>
        </w:tc>
        <w:tc>
          <w:tcPr>
            <w:tcW w:w="1434" w:type="dxa"/>
            <w:vAlign w:val="bottom"/>
          </w:tcPr>
          <w:p>
            <w:pPr>
              <w:pStyle w:val="yTableNAm"/>
            </w:pPr>
          </w:p>
        </w:tc>
      </w:tr>
      <w:tr>
        <w:trPr>
          <w:cantSplit/>
        </w:trPr>
        <w:tc>
          <w:tcPr>
            <w:tcW w:w="850" w:type="dxa"/>
          </w:tcPr>
          <w:p>
            <w:pPr>
              <w:pStyle w:val="yTableNAm"/>
              <w:keepNext/>
              <w:keepLines/>
            </w:pPr>
          </w:p>
        </w:tc>
        <w:tc>
          <w:tcPr>
            <w:tcW w:w="4236" w:type="dxa"/>
          </w:tcPr>
          <w:p>
            <w:pPr>
              <w:pStyle w:val="yTableNAm"/>
              <w:keepNext/>
              <w:keepLines/>
              <w:tabs>
                <w:tab w:val="right" w:leader="dot" w:pos="4253"/>
              </w:tabs>
              <w:rPr>
                <w:spacing w:val="-4"/>
              </w:rPr>
            </w:pPr>
            <w:r>
              <w:t>In respect of land in a country sewerage area that is classified as —</w:t>
            </w:r>
          </w:p>
        </w:tc>
        <w:tc>
          <w:tcPr>
            <w:tcW w:w="1434" w:type="dxa"/>
            <w:vAlign w:val="bottom"/>
          </w:tcPr>
          <w:p>
            <w:pPr>
              <w:pStyle w:val="yTableNAm"/>
              <w:keepNext/>
              <w:keepLines/>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918"/>
                <w:tab w:val="right" w:leader="dot" w:pos="4253"/>
              </w:tabs>
              <w:ind w:left="918" w:hanging="918"/>
            </w:pPr>
            <w:r>
              <w:tab/>
              <w:t>(a)</w:t>
            </w:r>
            <w:r>
              <w:tab/>
              <w:t>community residential</w:t>
            </w:r>
            <w:r>
              <w:rPr>
                <w:snapToGrid w:val="0"/>
                <w:spacing w:val="-4"/>
              </w:rPr>
              <w:t>; or</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918"/>
                <w:tab w:val="right" w:leader="dot" w:pos="4253"/>
              </w:tabs>
              <w:ind w:left="918" w:hanging="918"/>
            </w:pPr>
            <w:r>
              <w:rPr>
                <w:spacing w:val="-1"/>
              </w:rPr>
              <w:tab/>
              <w:t>(b)</w:t>
            </w:r>
            <w:r>
              <w:rPr>
                <w:spacing w:val="-1"/>
              </w:rPr>
              <w:tab/>
              <w:t xml:space="preserve">aged home, </w:t>
            </w:r>
            <w:r>
              <w:t>charitable purposes</w:t>
            </w:r>
            <w:r>
              <w:rPr>
                <w:spacing w:val="-1"/>
              </w:rPr>
              <w:t>, community purposes, institutional public or local government,</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0"/>
                <w:tab w:val="right" w:leader="dot" w:pos="4253"/>
              </w:tabs>
            </w:pPr>
            <w:r>
              <w:rPr>
                <w:szCs w:val="22"/>
              </w:rPr>
              <w:t>a charge determined by meter size minus the discount as set out in the following Table —</w:t>
            </w:r>
          </w:p>
        </w:tc>
        <w:tc>
          <w:tcPr>
            <w:tcW w:w="1434" w:type="dxa"/>
            <w:vAlign w:val="bottom"/>
          </w:tcPr>
          <w:p>
            <w:pPr>
              <w:pStyle w:val="yTableNAm"/>
              <w:tabs>
                <w:tab w:val="clear" w:pos="567"/>
                <w:tab w:val="left" w:pos="335"/>
                <w:tab w:val="right" w:leader="dot" w:pos="4253"/>
              </w:tabs>
              <w:rPr>
                <w:spacing w:val="-1"/>
              </w:rPr>
            </w:pPr>
          </w:p>
        </w:tc>
      </w:tr>
    </w:tbl>
    <w:p>
      <w:pPr>
        <w:pStyle w:val="yTHeadingNAm"/>
      </w:pPr>
      <w:r>
        <w:rPr>
          <w:bCs w:val="0"/>
        </w:rPr>
        <w:t>Table — charges (</w:t>
      </w:r>
      <w:r>
        <w:rPr>
          <w:bCs w:val="0"/>
          <w:iCs/>
        </w:rPr>
        <w:t>per fixture</w:t>
      </w:r>
      <w:r>
        <w:rPr>
          <w:bCs w:val="0"/>
        </w:rPr>
        <w:t>)</w:t>
      </w:r>
    </w:p>
    <w:tbl>
      <w:tblPr>
        <w:tblW w:w="6520" w:type="dxa"/>
        <w:tblInd w:w="454"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keepNext/>
              <w:jc w:val="center"/>
              <w:rPr>
                <w:b/>
                <w:bCs/>
              </w:rPr>
            </w:pPr>
            <w:r>
              <w:rPr>
                <w:b/>
                <w:bCs/>
              </w:rPr>
              <w:t>No. of fixtures</w:t>
            </w:r>
          </w:p>
        </w:tc>
        <w:tc>
          <w:tcPr>
            <w:tcW w:w="2173" w:type="dxa"/>
            <w:vMerge w:val="restart"/>
            <w:tcBorders>
              <w:top w:val="single" w:sz="4" w:space="0" w:color="auto"/>
            </w:tcBorders>
          </w:tcPr>
          <w:p>
            <w:pPr>
              <w:pStyle w:val="yTableNAm"/>
              <w:keepNext/>
              <w:jc w:val="center"/>
              <w:rPr>
                <w:b/>
                <w:bCs/>
              </w:rPr>
            </w:pPr>
            <w:r>
              <w:rPr>
                <w:b/>
                <w:bCs/>
              </w:rPr>
              <w:t>Charges</w:t>
            </w:r>
            <w:r>
              <w:rPr>
                <w:b/>
                <w:bCs/>
              </w:rPr>
              <w:br/>
              <w:t>$</w:t>
            </w:r>
          </w:p>
        </w:tc>
        <w:tc>
          <w:tcPr>
            <w:tcW w:w="2174" w:type="dxa"/>
            <w:gridSpan w:val="2"/>
            <w:tcBorders>
              <w:top w:val="single" w:sz="4" w:space="0" w:color="auto"/>
              <w:bottom w:val="single" w:sz="4" w:space="0" w:color="auto"/>
            </w:tcBorders>
          </w:tcPr>
          <w:p>
            <w:pPr>
              <w:pStyle w:val="yTableNAm"/>
              <w:keepNext/>
              <w:jc w:val="center"/>
              <w:rPr>
                <w:b/>
                <w:bCs/>
              </w:rP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yTableNAm"/>
              <w:keepNext/>
              <w:jc w:val="center"/>
              <w:rPr>
                <w:b/>
                <w:bCs/>
              </w:rPr>
            </w:pPr>
          </w:p>
        </w:tc>
        <w:tc>
          <w:tcPr>
            <w:tcW w:w="2173" w:type="dxa"/>
            <w:vMerge/>
            <w:tcBorders>
              <w:bottom w:val="single" w:sz="4" w:space="0" w:color="auto"/>
            </w:tcBorders>
          </w:tcPr>
          <w:p>
            <w:pPr>
              <w:pStyle w:val="yTableNAm"/>
              <w:keepNext/>
              <w:jc w:val="center"/>
              <w:rPr>
                <w:b/>
                <w:bCs/>
              </w:rPr>
            </w:pPr>
          </w:p>
        </w:tc>
        <w:tc>
          <w:tcPr>
            <w:tcW w:w="1087" w:type="dxa"/>
            <w:tcBorders>
              <w:top w:val="single" w:sz="4" w:space="0" w:color="auto"/>
              <w:bottom w:val="single" w:sz="4" w:space="0" w:color="auto"/>
            </w:tcBorders>
          </w:tcPr>
          <w:p>
            <w:pPr>
              <w:pStyle w:val="yTableNAm"/>
              <w:keepNext/>
              <w:jc w:val="center"/>
              <w:rPr>
                <w:b/>
                <w:bCs/>
              </w:rPr>
            </w:pPr>
            <w:r>
              <w:rPr>
                <w:b/>
                <w:bCs/>
              </w:rPr>
              <w:t>Item 2(a)</w:t>
            </w:r>
          </w:p>
        </w:tc>
        <w:tc>
          <w:tcPr>
            <w:tcW w:w="1087" w:type="dxa"/>
            <w:tcBorders>
              <w:top w:val="single" w:sz="4" w:space="0" w:color="auto"/>
              <w:bottom w:val="single" w:sz="4" w:space="0" w:color="auto"/>
            </w:tcBorders>
          </w:tcPr>
          <w:p>
            <w:pPr>
              <w:pStyle w:val="yTableNAm"/>
              <w:keepNext/>
              <w:jc w:val="center"/>
              <w:rPr>
                <w:b/>
                <w:bCs/>
              </w:rPr>
            </w:pPr>
            <w:r>
              <w:rPr>
                <w:b/>
                <w:bCs/>
              </w:rPr>
              <w:t>Item 2(b)</w:t>
            </w:r>
          </w:p>
        </w:tc>
      </w:tr>
      <w:tr>
        <w:trPr>
          <w:cantSplit/>
        </w:trPr>
        <w:tc>
          <w:tcPr>
            <w:tcW w:w="2173" w:type="dxa"/>
          </w:tcPr>
          <w:p>
            <w:pPr>
              <w:pStyle w:val="yTableNAm"/>
              <w:keepNext/>
              <w:jc w:val="center"/>
            </w:pPr>
            <w:r>
              <w:t>1</w:t>
            </w:r>
          </w:p>
        </w:tc>
        <w:tc>
          <w:tcPr>
            <w:tcW w:w="2173" w:type="dxa"/>
            <w:vAlign w:val="bottom"/>
          </w:tcPr>
          <w:p>
            <w:pPr>
              <w:pStyle w:val="yTableNAm"/>
              <w:keepNext/>
              <w:jc w:val="center"/>
            </w:pPr>
            <w:r>
              <w:t>728.40</w:t>
            </w:r>
          </w:p>
        </w:tc>
        <w:tc>
          <w:tcPr>
            <w:tcW w:w="1087" w:type="dxa"/>
          </w:tcPr>
          <w:p>
            <w:pPr>
              <w:pStyle w:val="yTableNAm"/>
              <w:keepNext/>
              <w:jc w:val="center"/>
            </w:pPr>
            <w:r>
              <w:t>88.18</w:t>
            </w:r>
          </w:p>
        </w:tc>
        <w:tc>
          <w:tcPr>
            <w:tcW w:w="1087" w:type="dxa"/>
          </w:tcPr>
          <w:p>
            <w:pPr>
              <w:pStyle w:val="yTableNAm"/>
              <w:keepNext/>
              <w:jc w:val="center"/>
            </w:pPr>
            <w:r>
              <w:t>73.13</w:t>
            </w:r>
          </w:p>
        </w:tc>
      </w:tr>
      <w:tr>
        <w:trPr>
          <w:cantSplit/>
        </w:trPr>
        <w:tc>
          <w:tcPr>
            <w:tcW w:w="2173" w:type="dxa"/>
          </w:tcPr>
          <w:p>
            <w:pPr>
              <w:pStyle w:val="yTableNAm"/>
              <w:jc w:val="center"/>
            </w:pPr>
            <w:r>
              <w:t>2</w:t>
            </w:r>
          </w:p>
        </w:tc>
        <w:tc>
          <w:tcPr>
            <w:tcW w:w="2173" w:type="dxa"/>
            <w:vAlign w:val="bottom"/>
          </w:tcPr>
          <w:p>
            <w:pPr>
              <w:pStyle w:val="yTableNAm"/>
              <w:jc w:val="center"/>
            </w:pPr>
            <w:r>
              <w:t>311.80</w:t>
            </w:r>
          </w:p>
        </w:tc>
        <w:tc>
          <w:tcPr>
            <w:tcW w:w="1087" w:type="dxa"/>
          </w:tcPr>
          <w:p>
            <w:pPr>
              <w:pStyle w:val="yTableNAm"/>
              <w:jc w:val="center"/>
            </w:pPr>
            <w:r>
              <w:t>72.38</w:t>
            </w:r>
          </w:p>
        </w:tc>
        <w:tc>
          <w:tcPr>
            <w:tcW w:w="1087" w:type="dxa"/>
          </w:tcPr>
          <w:p>
            <w:pPr>
              <w:pStyle w:val="yTableNAm"/>
              <w:jc w:val="center"/>
            </w:pPr>
            <w:r>
              <w:t>72.38</w:t>
            </w:r>
          </w:p>
        </w:tc>
      </w:tr>
      <w:tr>
        <w:trPr>
          <w:cantSplit/>
        </w:trPr>
        <w:tc>
          <w:tcPr>
            <w:tcW w:w="2173" w:type="dxa"/>
          </w:tcPr>
          <w:p>
            <w:pPr>
              <w:pStyle w:val="yTableNAm"/>
              <w:jc w:val="center"/>
            </w:pPr>
            <w:r>
              <w:t>3</w:t>
            </w:r>
          </w:p>
        </w:tc>
        <w:tc>
          <w:tcPr>
            <w:tcW w:w="2173" w:type="dxa"/>
            <w:vAlign w:val="bottom"/>
          </w:tcPr>
          <w:p>
            <w:pPr>
              <w:pStyle w:val="yTableNAm"/>
              <w:jc w:val="center"/>
            </w:pPr>
            <w:r>
              <w:t>416.40</w:t>
            </w:r>
          </w:p>
        </w:tc>
        <w:tc>
          <w:tcPr>
            <w:tcW w:w="1087" w:type="dxa"/>
          </w:tcPr>
          <w:p>
            <w:pPr>
              <w:pStyle w:val="yTableNAm"/>
              <w:jc w:val="center"/>
            </w:pPr>
            <w:r>
              <w:t>79.32</w:t>
            </w:r>
          </w:p>
        </w:tc>
        <w:tc>
          <w:tcPr>
            <w:tcW w:w="1087" w:type="dxa"/>
          </w:tcPr>
          <w:p>
            <w:pPr>
              <w:pStyle w:val="yTableNAm"/>
              <w:jc w:val="center"/>
            </w:pPr>
            <w:r>
              <w:t>79.32</w:t>
            </w:r>
          </w:p>
        </w:tc>
      </w:tr>
      <w:tr>
        <w:trPr>
          <w:cantSplit/>
        </w:trPr>
        <w:tc>
          <w:tcPr>
            <w:tcW w:w="2173" w:type="dxa"/>
            <w:tcBorders>
              <w:bottom w:val="single" w:sz="4" w:space="0" w:color="auto"/>
            </w:tcBorders>
          </w:tcPr>
          <w:p>
            <w:pPr>
              <w:pStyle w:val="yTableNAm"/>
              <w:jc w:val="center"/>
            </w:pPr>
            <w:r>
              <w:t>4+</w:t>
            </w:r>
          </w:p>
        </w:tc>
        <w:tc>
          <w:tcPr>
            <w:tcW w:w="2173" w:type="dxa"/>
            <w:tcBorders>
              <w:bottom w:val="single" w:sz="4" w:space="0" w:color="auto"/>
            </w:tcBorders>
            <w:vAlign w:val="bottom"/>
          </w:tcPr>
          <w:p>
            <w:pPr>
              <w:pStyle w:val="yTableNAm"/>
              <w:jc w:val="center"/>
            </w:pPr>
            <w:r>
              <w:t>452.80</w:t>
            </w:r>
          </w:p>
        </w:tc>
        <w:tc>
          <w:tcPr>
            <w:tcW w:w="1087" w:type="dxa"/>
            <w:tcBorders>
              <w:bottom w:val="single" w:sz="4" w:space="0" w:color="auto"/>
            </w:tcBorders>
          </w:tcPr>
          <w:p>
            <w:pPr>
              <w:pStyle w:val="yTableNAm"/>
              <w:jc w:val="center"/>
            </w:pPr>
            <w:r>
              <w:t>80.98</w:t>
            </w:r>
          </w:p>
        </w:tc>
        <w:tc>
          <w:tcPr>
            <w:tcW w:w="1087" w:type="dxa"/>
            <w:tcBorders>
              <w:bottom w:val="single" w:sz="4" w:space="0" w:color="auto"/>
            </w:tcBorders>
          </w:tcPr>
          <w:p>
            <w:pPr>
              <w:pStyle w:val="yTableNAm"/>
              <w:jc w:val="center"/>
            </w:pPr>
            <w:r>
              <w:t>80.98</w:t>
            </w:r>
          </w:p>
        </w:tc>
      </w:tr>
    </w:tbl>
    <w:p>
      <w:pPr>
        <w:pStyle w:val="yMiscellaneousBody"/>
        <w:spacing w:before="0"/>
      </w:pP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rPr>
                <w:b/>
              </w:rPr>
            </w:pPr>
            <w:r>
              <w:rPr>
                <w:b/>
              </w:rPr>
              <w:t>3.</w:t>
            </w:r>
          </w:p>
        </w:tc>
        <w:tc>
          <w:tcPr>
            <w:tcW w:w="4236" w:type="dxa"/>
          </w:tcPr>
          <w:p>
            <w:pPr>
              <w:pStyle w:val="yTableNAm"/>
              <w:tabs>
                <w:tab w:val="right" w:leader="dot" w:pos="4253"/>
              </w:tabs>
              <w:rPr>
                <w:b/>
              </w:rPr>
            </w:pPr>
            <w:r>
              <w:rPr>
                <w:b/>
              </w:rPr>
              <w:t>Strata</w:t>
            </w:r>
            <w:r>
              <w:rPr>
                <w:b/>
              </w:rPr>
              <w:noBreakHyphen/>
              <w:t>titled caravan bay</w:t>
            </w:r>
          </w:p>
        </w:tc>
        <w:tc>
          <w:tcPr>
            <w:tcW w:w="1434" w:type="dxa"/>
            <w:vAlign w:val="bottom"/>
          </w:tcPr>
          <w:p>
            <w:pPr>
              <w:pStyle w:val="yTableNAm"/>
              <w:tabs>
                <w:tab w:val="clear" w:pos="567"/>
                <w:tab w:val="left" w:pos="335"/>
                <w:tab w:val="right" w:leader="dot" w:pos="4253"/>
              </w:tabs>
              <w:rPr>
                <w:b/>
              </w:rPr>
            </w:pPr>
          </w:p>
        </w:tc>
      </w:tr>
      <w:tr>
        <w:trPr>
          <w:cantSplit/>
        </w:trPr>
        <w:tc>
          <w:tcPr>
            <w:tcW w:w="850" w:type="dxa"/>
          </w:tcPr>
          <w:p>
            <w:pPr>
              <w:pStyle w:val="yTableNAm"/>
            </w:pPr>
          </w:p>
        </w:tc>
        <w:tc>
          <w:tcPr>
            <w:tcW w:w="4236" w:type="dxa"/>
          </w:tcPr>
          <w:p>
            <w:pPr>
              <w:pStyle w:val="yTableNAm"/>
              <w:tabs>
                <w:tab w:val="right" w:leader="dot" w:pos="4253"/>
              </w:tabs>
              <w:rPr>
                <w:spacing w:val="-1"/>
              </w:rPr>
            </w:pPr>
            <w:r>
              <w:rPr>
                <w:spacing w:val="-1"/>
              </w:rPr>
              <w:t xml:space="preserve">In </w:t>
            </w:r>
            <w:r>
              <w:t>respect</w:t>
            </w:r>
            <w:r>
              <w:rPr>
                <w:spacing w:val="-1"/>
              </w:rPr>
              <w:t xml:space="preserve"> of each residential property being a single caravan bay that is a lot within the meaning of the </w:t>
            </w:r>
            <w:r>
              <w:rPr>
                <w:i/>
                <w:spacing w:val="-1"/>
              </w:rPr>
              <w:t>Strata Titles Act 1985</w:t>
            </w:r>
            <w:r>
              <w:rPr>
                <w:spacing w:val="-1"/>
              </w:rPr>
              <w:t xml:space="preserve"> </w:t>
            </w:r>
            <w:r>
              <w:rPr>
                <w:spacing w:val="-1"/>
              </w:rPr>
              <w:tab/>
            </w:r>
          </w:p>
        </w:tc>
        <w:tc>
          <w:tcPr>
            <w:tcW w:w="1434" w:type="dxa"/>
            <w:vAlign w:val="bottom"/>
          </w:tcPr>
          <w:p>
            <w:pPr>
              <w:pStyle w:val="yTableNAm"/>
              <w:tabs>
                <w:tab w:val="clear" w:pos="567"/>
                <w:tab w:val="left" w:pos="335"/>
                <w:tab w:val="right" w:leader="dot" w:pos="4253"/>
              </w:tabs>
              <w:rPr>
                <w:spacing w:val="-1"/>
              </w:rPr>
            </w:pPr>
            <w:r>
              <w:rPr>
                <w:spacing w:val="-1"/>
              </w:rPr>
              <w:t>$240.50</w:t>
            </w:r>
          </w:p>
        </w:tc>
      </w:tr>
      <w:tr>
        <w:trPr>
          <w:cantSplit/>
        </w:trPr>
        <w:tc>
          <w:tcPr>
            <w:tcW w:w="850" w:type="dxa"/>
          </w:tcPr>
          <w:p>
            <w:pPr>
              <w:pStyle w:val="yTableNAm"/>
              <w:keepNext/>
              <w:keepLines/>
              <w:rPr>
                <w:b/>
                <w:bCs/>
              </w:rPr>
            </w:pPr>
            <w:r>
              <w:rPr>
                <w:b/>
                <w:bCs/>
              </w:rPr>
              <w:t>4.</w:t>
            </w:r>
          </w:p>
        </w:tc>
        <w:tc>
          <w:tcPr>
            <w:tcW w:w="4236" w:type="dxa"/>
          </w:tcPr>
          <w:p>
            <w:pPr>
              <w:pStyle w:val="yTableNAm"/>
              <w:keepNext/>
              <w:keepLines/>
              <w:tabs>
                <w:tab w:val="right" w:leader="dot" w:pos="4253"/>
              </w:tabs>
              <w:rPr>
                <w:b/>
                <w:bCs/>
              </w:rPr>
            </w:pPr>
            <w:r>
              <w:rPr>
                <w:b/>
                <w:bCs/>
              </w:rPr>
              <w:t>Strata</w:t>
            </w:r>
            <w:r>
              <w:rPr>
                <w:b/>
                <w:bCs/>
              </w:rPr>
              <w:noBreakHyphen/>
              <w:t>titled storage unit and strata</w:t>
            </w:r>
            <w:r>
              <w:rPr>
                <w:b/>
                <w:bCs/>
              </w:rPr>
              <w:noBreakHyphen/>
              <w:t>titled parking bay</w:t>
            </w:r>
          </w:p>
        </w:tc>
        <w:tc>
          <w:tcPr>
            <w:tcW w:w="1434" w:type="dxa"/>
            <w:vAlign w:val="bottom"/>
          </w:tcPr>
          <w:p>
            <w:pPr>
              <w:pStyle w:val="yTableNAm"/>
              <w:keepNext/>
              <w:keepLines/>
              <w:tabs>
                <w:tab w:val="clear" w:pos="567"/>
                <w:tab w:val="left" w:pos="335"/>
                <w:tab w:val="right" w:leader="dot" w:pos="4253"/>
              </w:tabs>
              <w:rPr>
                <w:b/>
                <w:bCs/>
              </w:rPr>
            </w:pPr>
          </w:p>
        </w:tc>
      </w:tr>
      <w:tr>
        <w:trPr>
          <w:cantSplit/>
        </w:trPr>
        <w:tc>
          <w:tcPr>
            <w:tcW w:w="850" w:type="dxa"/>
          </w:tcPr>
          <w:p>
            <w:pPr>
              <w:pStyle w:val="yTableNAm"/>
              <w:keepNext/>
              <w:keepLines/>
            </w:pPr>
          </w:p>
        </w:tc>
        <w:tc>
          <w:tcPr>
            <w:tcW w:w="4236" w:type="dxa"/>
          </w:tcPr>
          <w:p>
            <w:pPr>
              <w:pStyle w:val="yTableNAm"/>
              <w:keepNext/>
              <w:keepLines/>
              <w:tabs>
                <w:tab w:val="right" w:leader="dot" w:pos="4253"/>
              </w:tabs>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r>
              <w:rPr>
                <w:spacing w:val="-1"/>
              </w:rPr>
              <w:tab/>
            </w:r>
          </w:p>
        </w:tc>
        <w:tc>
          <w:tcPr>
            <w:tcW w:w="1434" w:type="dxa"/>
            <w:vAlign w:val="bottom"/>
          </w:tcPr>
          <w:p>
            <w:pPr>
              <w:pStyle w:val="yTableNAm"/>
              <w:keepNext/>
              <w:keepLines/>
              <w:tabs>
                <w:tab w:val="clear" w:pos="567"/>
                <w:tab w:val="left" w:pos="335"/>
                <w:tab w:val="right" w:leader="dot" w:pos="4253"/>
              </w:tabs>
              <w:rPr>
                <w:spacing w:val="-1"/>
              </w:rPr>
            </w:pPr>
            <w:r>
              <w:rPr>
                <w:spacing w:val="-1"/>
              </w:rPr>
              <w:t>$72.20</w:t>
            </w:r>
          </w:p>
        </w:tc>
      </w:tr>
      <w:tr>
        <w:trPr>
          <w:cantSplit/>
        </w:trPr>
        <w:tc>
          <w:tcPr>
            <w:tcW w:w="850" w:type="dxa"/>
          </w:tcPr>
          <w:p>
            <w:pPr>
              <w:pStyle w:val="yTableNAm"/>
              <w:rPr>
                <w:b/>
                <w:bCs/>
              </w:rPr>
            </w:pPr>
            <w:r>
              <w:rPr>
                <w:b/>
              </w:rPr>
              <w:t>5</w:t>
            </w:r>
            <w:r>
              <w:rPr>
                <w:b/>
                <w:bCs/>
              </w:rPr>
              <w:t>.</w:t>
            </w:r>
          </w:p>
        </w:tc>
        <w:tc>
          <w:tcPr>
            <w:tcW w:w="5670" w:type="dxa"/>
            <w:gridSpan w:val="2"/>
          </w:tcPr>
          <w:p>
            <w:pPr>
              <w:pStyle w:val="yTableNAm"/>
              <w:tabs>
                <w:tab w:val="right" w:leader="dot" w:pos="4253"/>
              </w:tabs>
              <w:rPr>
                <w:b/>
                <w:bCs/>
              </w:rPr>
            </w:pPr>
            <w:r>
              <w:rPr>
                <w:b/>
                <w:bCs/>
              </w:rPr>
              <w:t>Non</w:t>
            </w:r>
            <w:r>
              <w:rPr>
                <w:b/>
                <w:bCs/>
              </w:rPr>
              <w:noBreakHyphen/>
              <w:t>residential strata</w:t>
            </w:r>
            <w:r>
              <w:rPr>
                <w:b/>
                <w:bCs/>
              </w:rPr>
              <w:noBreakHyphen/>
              <w:t>titled unit (except a storage unit or parking bay)</w:t>
            </w:r>
          </w:p>
        </w:tc>
      </w:tr>
      <w:tr>
        <w:trPr>
          <w:cantSplit/>
        </w:trPr>
        <w:tc>
          <w:tcPr>
            <w:tcW w:w="850" w:type="dxa"/>
          </w:tcPr>
          <w:p>
            <w:pPr>
              <w:pStyle w:val="yTableNAm"/>
            </w:pPr>
          </w:p>
        </w:tc>
        <w:tc>
          <w:tcPr>
            <w:tcW w:w="4236" w:type="dxa"/>
          </w:tcPr>
          <w:p>
            <w:pPr>
              <w:pStyle w:val="yTableNAm"/>
              <w:tabs>
                <w:tab w:val="right" w:leader="dot" w:pos="4253"/>
              </w:tabs>
              <w:rPr>
                <w:spacing w:val="-1"/>
              </w:rPr>
            </w:pPr>
            <w:r>
              <w:t>In respect of land that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918"/>
                <w:tab w:val="right" w:leader="dot" w:pos="4253"/>
              </w:tabs>
              <w:ind w:left="918" w:hanging="918"/>
              <w:rPr>
                <w:spacing w:val="-1"/>
              </w:rPr>
            </w:pPr>
            <w:r>
              <w:tab/>
              <w:t>(a)</w:t>
            </w:r>
            <w:r>
              <w:tab/>
              <w:t>is classified non</w:t>
            </w:r>
            <w:r>
              <w:noBreakHyphen/>
              <w:t>residential; and</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918"/>
                <w:tab w:val="right" w:leader="dot" w:pos="4253"/>
              </w:tabs>
              <w:ind w:left="918" w:hanging="918"/>
              <w:rPr>
                <w:spacing w:val="-1"/>
              </w:rPr>
            </w:pPr>
            <w:r>
              <w:tab/>
              <w:t>(b)</w:t>
            </w:r>
            <w:r>
              <w:tab/>
              <w:t xml:space="preserve">comprises a unit that is a lot within the meaning of the </w:t>
            </w:r>
            <w:r>
              <w:rPr>
                <w:i/>
              </w:rPr>
              <w:t>Strata Titles Act 1985</w:t>
            </w:r>
            <w:r>
              <w:t>; and</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918"/>
                <w:tab w:val="right" w:leader="dot" w:pos="4253"/>
              </w:tabs>
              <w:ind w:left="918" w:hanging="918"/>
            </w:pPr>
            <w:r>
              <w:tab/>
              <w:t>(c)</w:t>
            </w:r>
            <w:r>
              <w:tab/>
              <w:t>shares a major fixture with another unit described in paragraph (b) and has no other major fixtures that discharge into the sewer; and</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clear" w:pos="567"/>
                <w:tab w:val="left" w:pos="351"/>
                <w:tab w:val="left" w:pos="918"/>
                <w:tab w:val="right" w:leader="dot" w:pos="4253"/>
              </w:tabs>
              <w:ind w:left="918" w:hanging="918"/>
            </w:pPr>
            <w:r>
              <w:tab/>
              <w:t>(d)</w:t>
            </w:r>
            <w:r>
              <w:tab/>
              <w:t>is not land mentioned in item 4,</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pPr>
          </w:p>
        </w:tc>
        <w:tc>
          <w:tcPr>
            <w:tcW w:w="4236" w:type="dxa"/>
          </w:tcPr>
          <w:p>
            <w:pPr>
              <w:pStyle w:val="yTableNAm"/>
              <w:tabs>
                <w:tab w:val="right" w:leader="dot" w:pos="4253"/>
              </w:tabs>
              <w:rPr>
                <w:spacing w:val="-1"/>
              </w:rPr>
            </w:pPr>
            <w:r>
              <w:rPr>
                <w:spacing w:val="-1"/>
              </w:rPr>
              <w:t xml:space="preserve">and </w:t>
            </w:r>
            <w:r>
              <w:t xml:space="preserve">where </w:t>
            </w:r>
            <w:r>
              <w:rPr>
                <w:spacing w:val="-1"/>
              </w:rPr>
              <w:t xml:space="preserve">the total number of major fixtures shared by all the units on the relevant strata plan is less than the number of those units </w:t>
            </w:r>
            <w:r>
              <w:rPr>
                <w:spacing w:val="-1"/>
              </w:rPr>
              <w:tab/>
            </w:r>
          </w:p>
        </w:tc>
        <w:tc>
          <w:tcPr>
            <w:tcW w:w="1434" w:type="dxa"/>
            <w:vAlign w:val="bottom"/>
          </w:tcPr>
          <w:p>
            <w:pPr>
              <w:pStyle w:val="yTableNAm"/>
              <w:tabs>
                <w:tab w:val="clear" w:pos="567"/>
                <w:tab w:val="left" w:pos="335"/>
                <w:tab w:val="right" w:leader="dot" w:pos="4253"/>
              </w:tabs>
              <w:rPr>
                <w:spacing w:val="-1"/>
              </w:rPr>
            </w:pPr>
            <w:r>
              <w:rPr>
                <w:spacing w:val="-1"/>
              </w:rPr>
              <w:t>$452.80</w:t>
            </w:r>
          </w:p>
        </w:tc>
      </w:tr>
      <w:tr>
        <w:trPr>
          <w:cantSplit/>
        </w:trPr>
        <w:tc>
          <w:tcPr>
            <w:tcW w:w="850" w:type="dxa"/>
          </w:tcPr>
          <w:p>
            <w:pPr>
              <w:pStyle w:val="yTableNAm"/>
              <w:rPr>
                <w:b/>
              </w:rPr>
            </w:pPr>
            <w:r>
              <w:rPr>
                <w:b/>
              </w:rPr>
              <w:t>6.</w:t>
            </w:r>
          </w:p>
        </w:tc>
        <w:tc>
          <w:tcPr>
            <w:tcW w:w="5670" w:type="dxa"/>
            <w:gridSpan w:val="2"/>
          </w:tcPr>
          <w:p>
            <w:pPr>
              <w:pStyle w:val="yTableNAm"/>
              <w:tabs>
                <w:tab w:val="right" w:leader="dot" w:pos="4253"/>
              </w:tabs>
              <w:rPr>
                <w:b/>
              </w:rPr>
            </w:pPr>
            <w:r>
              <w:rPr>
                <w:b/>
              </w:rPr>
              <w:t>Land from which industrial waste is discharged into a sewer of the Corporation</w:t>
            </w:r>
          </w:p>
        </w:tc>
      </w:tr>
      <w:tr>
        <w:trPr>
          <w:cantSplit/>
        </w:trPr>
        <w:tc>
          <w:tcPr>
            <w:tcW w:w="850" w:type="dxa"/>
          </w:tcPr>
          <w:p>
            <w:pPr>
              <w:pStyle w:val="yTableNAm"/>
            </w:pPr>
          </w:p>
        </w:tc>
        <w:tc>
          <w:tcPr>
            <w:tcW w:w="4236" w:type="dxa"/>
          </w:tcPr>
          <w:p>
            <w:pPr>
              <w:pStyle w:val="yTableNAm"/>
              <w:tabs>
                <w:tab w:val="right" w:leader="dot" w:pos="4253"/>
              </w:tabs>
            </w:pPr>
            <w:r>
              <w:t xml:space="preserve">Discharge pursuant to permit </w:t>
            </w:r>
            <w:r>
              <w:tab/>
            </w:r>
          </w:p>
        </w:tc>
        <w:tc>
          <w:tcPr>
            <w:tcW w:w="1434" w:type="dxa"/>
            <w:vAlign w:val="bottom"/>
          </w:tcPr>
          <w:p>
            <w:pPr>
              <w:pStyle w:val="yTableNAm"/>
              <w:tabs>
                <w:tab w:val="clear" w:pos="567"/>
                <w:tab w:val="left" w:pos="335"/>
                <w:tab w:val="right" w:leader="dot" w:pos="4253"/>
              </w:tabs>
            </w:pPr>
            <w:r>
              <w:t>$213.10</w:t>
            </w:r>
          </w:p>
        </w:tc>
      </w:tr>
      <w:tr>
        <w:trPr>
          <w:cantSplit/>
        </w:trPr>
        <w:tc>
          <w:tcPr>
            <w:tcW w:w="850" w:type="dxa"/>
          </w:tcPr>
          <w:p>
            <w:pPr>
              <w:pStyle w:val="yTableNAm"/>
              <w:rPr>
                <w:b/>
              </w:rPr>
            </w:pPr>
            <w:r>
              <w:rPr>
                <w:b/>
              </w:rPr>
              <w:t>7.</w:t>
            </w:r>
          </w:p>
        </w:tc>
        <w:tc>
          <w:tcPr>
            <w:tcW w:w="5670" w:type="dxa"/>
            <w:gridSpan w:val="2"/>
          </w:tcPr>
          <w:p>
            <w:pPr>
              <w:pStyle w:val="yTableNAm"/>
              <w:tabs>
                <w:tab w:val="right" w:leader="dot" w:pos="4253"/>
              </w:tabs>
              <w:rPr>
                <w:b/>
              </w:rPr>
            </w:pPr>
            <w:r>
              <w:rPr>
                <w:b/>
              </w:rPr>
              <w:t>Land from which industrial waste is discharged into a sewer of the Corporation through grease arrestor</w:t>
            </w:r>
          </w:p>
        </w:tc>
      </w:tr>
      <w:tr>
        <w:trPr>
          <w:cantSplit/>
        </w:trPr>
        <w:tc>
          <w:tcPr>
            <w:tcW w:w="850" w:type="dxa"/>
          </w:tcPr>
          <w:p>
            <w:pPr>
              <w:pStyle w:val="yTableNAm"/>
              <w:rPr>
                <w:rStyle w:val="CharSClsNo"/>
              </w:rPr>
            </w:pPr>
          </w:p>
        </w:tc>
        <w:tc>
          <w:tcPr>
            <w:tcW w:w="4236" w:type="dxa"/>
          </w:tcPr>
          <w:p>
            <w:pPr>
              <w:pStyle w:val="yTableNAm"/>
              <w:tabs>
                <w:tab w:val="right" w:leader="dot" w:pos="4253"/>
              </w:tabs>
              <w:rPr>
                <w:spacing w:val="-1"/>
              </w:rPr>
            </w:pPr>
            <w:r>
              <w:t>In respect of land the subject of a permit under which industrial waste is discharged into a sewer of the Corporation through one or more grease arrestors, in addition to any other charge applicable to the land under this Schedule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(a)</w:t>
            </w:r>
            <w:r>
              <w:tab/>
              <w:t xml:space="preserve">in respect of each grease arrestor, not being a grease arrestor that is shared with other land the subject of a permit, a charge of </w:t>
            </w:r>
            <w:r>
              <w:tab/>
            </w:r>
          </w:p>
        </w:tc>
        <w:tc>
          <w:tcPr>
            <w:tcW w:w="1434" w:type="dxa"/>
            <w:vAlign w:val="bottom"/>
          </w:tcPr>
          <w:p>
            <w:pPr>
              <w:pStyle w:val="yTableNAm"/>
              <w:tabs>
                <w:tab w:val="clear" w:pos="567"/>
                <w:tab w:val="left" w:pos="335"/>
                <w:tab w:val="right" w:leader="dot" w:pos="4253"/>
              </w:tabs>
              <w:rPr>
                <w:spacing w:val="-1"/>
              </w:rPr>
            </w:pPr>
            <w:r>
              <w:rPr>
                <w:spacing w:val="-1"/>
              </w:rPr>
              <w:t>$93.65</w:t>
            </w: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(b)</w:t>
            </w:r>
            <w:r>
              <w:tab/>
              <w:t xml:space="preserve">in respect of each grease arrestor that is shared with other land the subject of a permit, a charge of </w:t>
            </w:r>
            <w:r>
              <w:tab/>
            </w:r>
          </w:p>
        </w:tc>
        <w:tc>
          <w:tcPr>
            <w:tcW w:w="1434" w:type="dxa"/>
            <w:vAlign w:val="bottom"/>
          </w:tcPr>
          <w:p>
            <w:pPr>
              <w:pStyle w:val="yTableNAm"/>
              <w:tabs>
                <w:tab w:val="clear" w:pos="567"/>
                <w:tab w:val="left" w:pos="335"/>
                <w:tab w:val="right" w:leader="dot" w:pos="4253"/>
              </w:tabs>
            </w:pPr>
            <w:r>
              <w:t>$51.15</w:t>
            </w:r>
          </w:p>
        </w:tc>
      </w:tr>
    </w:tbl>
    <w:p>
      <w:pPr>
        <w:pStyle w:val="yFootnotesection"/>
      </w:pPr>
      <w:r>
        <w:tab/>
        <w:t>[Division 1 inserted in Gazette 20 Jun 2012 p. 2722</w:t>
      </w:r>
      <w:r>
        <w:noBreakHyphen/>
        <w:t>4.]</w:t>
      </w:r>
    </w:p>
    <w:p>
      <w:pPr>
        <w:pStyle w:val="yHeading3"/>
      </w:pPr>
      <w:bookmarkStart w:id="754" w:name="_Toc84427995"/>
      <w:bookmarkStart w:id="755" w:name="_Toc328403440"/>
      <w:bookmarkStart w:id="756" w:name="_Toc328471489"/>
      <w:r>
        <w:rPr>
          <w:rStyle w:val="CharSDivNo"/>
        </w:rPr>
        <w:t>Division 2</w:t>
      </w:r>
      <w:r>
        <w:t> — </w:t>
      </w:r>
      <w:r>
        <w:rPr>
          <w:rStyle w:val="CharSDivText"/>
        </w:rPr>
        <w:t>Variable charges and charges by way of a rate</w:t>
      </w:r>
      <w:bookmarkEnd w:id="754"/>
      <w:bookmarkEnd w:id="755"/>
      <w:bookmarkEnd w:id="756"/>
    </w:p>
    <w:p>
      <w:pPr>
        <w:pStyle w:val="yFootnoteheading"/>
        <w:spacing w:after="60"/>
      </w:pPr>
      <w:r>
        <w:tab/>
        <w:t>[Heading inserted in Gazette 20 Jun 2012 p. 2725.]</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TableNAm"/>
              <w:tabs>
                <w:tab w:val="right" w:leader="dot" w:pos="4253"/>
              </w:tabs>
              <w:rPr>
                <w:b/>
              </w:rPr>
            </w:pPr>
            <w:r>
              <w:rPr>
                <w:b/>
              </w:rPr>
              <w:t>8.</w:t>
            </w:r>
          </w:p>
        </w:tc>
        <w:tc>
          <w:tcPr>
            <w:tcW w:w="5670" w:type="dxa"/>
            <w:gridSpan w:val="2"/>
          </w:tcPr>
          <w:p>
            <w:pPr>
              <w:pStyle w:val="yTableNAm"/>
              <w:tabs>
                <w:tab w:val="right" w:leader="dot" w:pos="4253"/>
              </w:tabs>
              <w:rPr>
                <w:b/>
              </w:rPr>
            </w:pPr>
            <w:r>
              <w:rPr>
                <w:b/>
              </w:rPr>
              <w:t>Metropolitan residential</w:t>
            </w:r>
          </w:p>
        </w:tc>
      </w:tr>
      <w:tr>
        <w:trPr>
          <w:cantSplit/>
        </w:trPr>
        <w:tc>
          <w:tcPr>
            <w:tcW w:w="850" w:type="dxa"/>
          </w:tcPr>
          <w:p>
            <w:pPr>
              <w:pStyle w:val="yTableNAm"/>
              <w:rPr>
                <w:rStyle w:val="CharSClsNo"/>
              </w:rPr>
            </w:pPr>
          </w:p>
        </w:tc>
        <w:tc>
          <w:tcPr>
            <w:tcW w:w="4236" w:type="dxa"/>
          </w:tcPr>
          <w:p>
            <w:pPr>
              <w:pStyle w:val="yTableNAm"/>
              <w:tabs>
                <w:tab w:val="right" w:leader="dot" w:pos="4253"/>
              </w:tabs>
              <w:rPr>
                <w:spacing w:val="-1"/>
              </w:rPr>
            </w:pPr>
            <w:r>
              <w:t>In respect of each residential property in the metropolitan area not being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(a)</w:t>
            </w:r>
            <w:r>
              <w:tab/>
              <w:t>subject to a charge under item 1 or 3; or</w:t>
            </w:r>
          </w:p>
        </w:tc>
        <w:tc>
          <w:tcPr>
            <w:tcW w:w="1434" w:type="dxa"/>
            <w:vAlign w:val="bottom"/>
          </w:tcPr>
          <w:p>
            <w:pPr>
              <w:pStyle w:val="yTableNAm"/>
              <w:tabs>
                <w:tab w:val="clear" w:pos="567"/>
                <w:tab w:val="left" w:pos="335"/>
                <w:tab w:val="right" w:leader="dot" w:pos="4253"/>
              </w:tabs>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(b)</w:t>
            </w:r>
            <w:r>
              <w:tab/>
              <w:t>a caravan park or a nursing home,</w:t>
            </w:r>
          </w:p>
        </w:tc>
        <w:tc>
          <w:tcPr>
            <w:tcW w:w="1434" w:type="dxa"/>
            <w:vAlign w:val="bottom"/>
          </w:tcPr>
          <w:p>
            <w:pPr>
              <w:pStyle w:val="yTableNAm"/>
              <w:tabs>
                <w:tab w:val="clear" w:pos="567"/>
                <w:tab w:val="left" w:pos="335"/>
                <w:tab w:val="right" w:leader="dot" w:pos="4253"/>
              </w:tabs>
            </w:pPr>
          </w:p>
        </w:tc>
      </w:tr>
      <w:tr>
        <w:trPr>
          <w:cantSplit/>
        </w:trPr>
        <w:tc>
          <w:tcPr>
            <w:tcW w:w="850" w:type="dxa"/>
          </w:tcPr>
          <w:p>
            <w:pPr>
              <w:pStyle w:val="yTableNAm"/>
              <w:rPr>
                <w:rStyle w:val="CharSClsNo"/>
              </w:rPr>
            </w:pPr>
          </w:p>
        </w:tc>
        <w:tc>
          <w:tcPr>
            <w:tcW w:w="4236" w:type="dxa"/>
          </w:tcPr>
          <w:p>
            <w:pPr>
              <w:pStyle w:val="yTableNAm"/>
              <w:tabs>
                <w:tab w:val="right" w:leader="dot" w:pos="4253"/>
              </w:tabs>
            </w:pPr>
            <w:r>
              <w:t>an amount for each dollar of the GRV —</w:t>
            </w:r>
          </w:p>
        </w:tc>
        <w:tc>
          <w:tcPr>
            <w:tcW w:w="1434" w:type="dxa"/>
            <w:vAlign w:val="bottom"/>
          </w:tcPr>
          <w:p>
            <w:pPr>
              <w:pStyle w:val="yTableNAm"/>
              <w:tabs>
                <w:tab w:val="clear" w:pos="567"/>
                <w:tab w:val="left" w:pos="335"/>
                <w:tab w:val="right" w:leader="dot" w:pos="4253"/>
              </w:tabs>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rPr>
                <w:spacing w:val="-1"/>
              </w:rPr>
            </w:pPr>
            <w:r>
              <w:tab/>
              <w:t>up</w:t>
            </w:r>
            <w:r>
              <w:rPr>
                <w:spacing w:val="-1"/>
              </w:rPr>
              <w:t xml:space="preserve"> to $16 700 </w:t>
            </w:r>
            <w:r>
              <w:rPr>
                <w:spacing w:val="-1"/>
              </w:rPr>
              <w:tab/>
            </w:r>
          </w:p>
        </w:tc>
        <w:tc>
          <w:tcPr>
            <w:tcW w:w="1434" w:type="dxa"/>
            <w:vAlign w:val="bottom"/>
          </w:tcPr>
          <w:p>
            <w:pPr>
              <w:pStyle w:val="yTableNAm"/>
              <w:tabs>
                <w:tab w:val="clear" w:pos="567"/>
                <w:tab w:val="left" w:pos="335"/>
                <w:tab w:val="right" w:leader="dot" w:pos="4253"/>
              </w:tabs>
              <w:rPr>
                <w:spacing w:val="-1"/>
              </w:rPr>
            </w:pPr>
            <w:r>
              <w:t>4.23 cents</w:t>
            </w:r>
            <w:r>
              <w:rPr>
                <w:spacing w:val="-1"/>
              </w:rPr>
              <w:t>/</w:t>
            </w:r>
            <w:r>
              <w:rPr>
                <w:spacing w:val="-1"/>
              </w:rPr>
              <w:br/>
              <w:t>$ of GRV</w:t>
            </w: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rPr>
                <w:spacing w:val="-1"/>
              </w:rPr>
            </w:pPr>
            <w:r>
              <w:tab/>
              <w:t>over</w:t>
            </w:r>
            <w:r>
              <w:rPr>
                <w:spacing w:val="-1"/>
              </w:rPr>
              <w:t xml:space="preserve"> $</w:t>
            </w:r>
            <w:r>
              <w:t>16</w:t>
            </w:r>
            <w:r>
              <w:rPr>
                <w:spacing w:val="-1"/>
              </w:rPr>
              <w:t xml:space="preserve"> 700 </w:t>
            </w:r>
            <w:r>
              <w:rPr>
                <w:spacing w:val="-1"/>
              </w:rPr>
              <w:tab/>
            </w:r>
          </w:p>
        </w:tc>
        <w:tc>
          <w:tcPr>
            <w:tcW w:w="1434" w:type="dxa"/>
            <w:vAlign w:val="bottom"/>
          </w:tcPr>
          <w:p>
            <w:pPr>
              <w:pStyle w:val="yTableNAm"/>
              <w:tabs>
                <w:tab w:val="clear" w:pos="567"/>
                <w:tab w:val="left" w:pos="335"/>
                <w:tab w:val="right" w:leader="dot" w:pos="4253"/>
              </w:tabs>
              <w:rPr>
                <w:spacing w:val="-1"/>
              </w:rPr>
            </w:pPr>
            <w:r>
              <w:rPr>
                <w:spacing w:val="-1"/>
              </w:rPr>
              <w:t>0.79 cents/</w:t>
            </w:r>
            <w:r>
              <w:rPr>
                <w:spacing w:val="-1"/>
              </w:rPr>
              <w:br/>
              <w:t>$ of GRV</w:t>
            </w:r>
          </w:p>
        </w:tc>
      </w:tr>
      <w:tr>
        <w:trPr>
          <w:cantSplit/>
        </w:trPr>
        <w:tc>
          <w:tcPr>
            <w:tcW w:w="850" w:type="dxa"/>
          </w:tcPr>
          <w:p>
            <w:pPr>
              <w:pStyle w:val="yTableNAm"/>
              <w:rPr>
                <w:rStyle w:val="CharSClsNo"/>
              </w:rPr>
            </w:pPr>
          </w:p>
        </w:tc>
        <w:tc>
          <w:tcPr>
            <w:tcW w:w="4236" w:type="dxa"/>
          </w:tcPr>
          <w:p>
            <w:pPr>
              <w:pStyle w:val="yTableNAm"/>
              <w:tabs>
                <w:tab w:val="right" w:leader="dot" w:pos="4253"/>
              </w:tabs>
              <w:rPr>
                <w:spacing w:val="-1"/>
              </w:rPr>
            </w:pPr>
            <w:r>
              <w:rPr>
                <w:spacing w:val="-1"/>
              </w:rPr>
              <w:t xml:space="preserve">Subject to a minimum of </w:t>
            </w:r>
            <w:r>
              <w:rPr>
                <w:spacing w:val="-1"/>
              </w:rPr>
              <w:tab/>
            </w:r>
          </w:p>
        </w:tc>
        <w:tc>
          <w:tcPr>
            <w:tcW w:w="1434" w:type="dxa"/>
            <w:vAlign w:val="bottom"/>
          </w:tcPr>
          <w:p>
            <w:pPr>
              <w:pStyle w:val="yTableNAm"/>
              <w:tabs>
                <w:tab w:val="clear" w:pos="567"/>
                <w:tab w:val="left" w:pos="335"/>
                <w:tab w:val="right" w:leader="dot" w:pos="4253"/>
              </w:tabs>
              <w:rPr>
                <w:spacing w:val="-1"/>
              </w:rPr>
            </w:pPr>
            <w:r>
              <w:rPr>
                <w:spacing w:val="-1"/>
              </w:rPr>
              <w:t>$313.20</w:t>
            </w:r>
          </w:p>
        </w:tc>
      </w:tr>
      <w:tr>
        <w:trPr>
          <w:cantSplit/>
        </w:trPr>
        <w:tc>
          <w:tcPr>
            <w:tcW w:w="850" w:type="dxa"/>
          </w:tcPr>
          <w:p>
            <w:pPr>
              <w:pStyle w:val="yTableNAm"/>
              <w:tabs>
                <w:tab w:val="right" w:leader="dot" w:pos="4253"/>
              </w:tabs>
              <w:rPr>
                <w:b/>
              </w:rPr>
            </w:pPr>
            <w:r>
              <w:rPr>
                <w:b/>
              </w:rPr>
              <w:t>9</w:t>
            </w:r>
            <w:r>
              <w:rPr>
                <w:b/>
                <w:bCs/>
              </w:rPr>
              <w:t>.</w:t>
            </w:r>
          </w:p>
        </w:tc>
        <w:tc>
          <w:tcPr>
            <w:tcW w:w="4236" w:type="dxa"/>
          </w:tcPr>
          <w:p>
            <w:pPr>
              <w:pStyle w:val="yTableNAm"/>
              <w:tabs>
                <w:tab w:val="right" w:leader="dot" w:pos="4253"/>
              </w:tabs>
              <w:rPr>
                <w:b/>
                <w:bCs/>
                <w:spacing w:val="-1"/>
              </w:rPr>
            </w:pPr>
            <w:r>
              <w:rPr>
                <w:b/>
                <w:bCs/>
              </w:rPr>
              <w:t>Metropolitan vacant land</w:t>
            </w:r>
          </w:p>
        </w:tc>
        <w:tc>
          <w:tcPr>
            <w:tcW w:w="1434" w:type="dxa"/>
            <w:vAlign w:val="bottom"/>
          </w:tcPr>
          <w:p>
            <w:pPr>
              <w:pStyle w:val="yTableNAm"/>
              <w:tabs>
                <w:tab w:val="clear" w:pos="567"/>
                <w:tab w:val="left" w:pos="335"/>
                <w:tab w:val="right" w:leader="dot" w:pos="4253"/>
              </w:tabs>
              <w:rPr>
                <w:b/>
                <w:bCs/>
                <w:spacing w:val="-1"/>
              </w:rPr>
            </w:pPr>
          </w:p>
        </w:tc>
      </w:tr>
      <w:tr>
        <w:trPr>
          <w:cantSplit/>
        </w:trPr>
        <w:tc>
          <w:tcPr>
            <w:tcW w:w="850" w:type="dxa"/>
          </w:tcPr>
          <w:p>
            <w:pPr>
              <w:pStyle w:val="yTableNAm"/>
              <w:rPr>
                <w:rStyle w:val="CharSClsNo"/>
              </w:rPr>
            </w:pPr>
          </w:p>
        </w:tc>
        <w:tc>
          <w:tcPr>
            <w:tcW w:w="4236" w:type="dxa"/>
          </w:tcPr>
          <w:p>
            <w:pPr>
              <w:pStyle w:val="yTableNAm"/>
              <w:tabs>
                <w:tab w:val="right" w:leader="dot" w:pos="4253"/>
              </w:tabs>
              <w:rPr>
                <w:spacing w:val="-1"/>
              </w:rPr>
            </w:pPr>
            <w:r>
              <w:t>In respect of vacant land in the metropolitan area not being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rPr>
                <w:spacing w:val="-1"/>
              </w:rPr>
            </w:pPr>
            <w:r>
              <w:tab/>
              <w:t>(a)</w:t>
            </w:r>
            <w:r>
              <w:tab/>
              <w:t>land comprised in a residential property; or</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rPr>
                <w:spacing w:val="-1"/>
              </w:rPr>
            </w:pPr>
            <w:r>
              <w:tab/>
              <w:t>(b)</w:t>
            </w:r>
            <w:r>
              <w:tab/>
              <w:t>a nursing home; or</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rPr>
                <w:spacing w:val="-1"/>
              </w:rPr>
            </w:pPr>
            <w:r>
              <w:tab/>
              <w:t>(c)</w:t>
            </w:r>
            <w:r>
              <w:tab/>
              <w:t>a caravan park; or</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(d)</w:t>
            </w:r>
            <w:r>
              <w:tab/>
              <w:t>land referred to in item 1 or 3,</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right" w:leader="dot" w:pos="4253"/>
              </w:tabs>
              <w:rPr>
                <w:spacing w:val="-1"/>
              </w:rPr>
            </w:pPr>
            <w:r>
              <w:t xml:space="preserve">an amount of </w:t>
            </w:r>
            <w:r>
              <w:rPr>
                <w:spacing w:val="-1"/>
              </w:rPr>
              <w:tab/>
            </w:r>
          </w:p>
        </w:tc>
        <w:tc>
          <w:tcPr>
            <w:tcW w:w="1434" w:type="dxa"/>
            <w:vAlign w:val="bottom"/>
          </w:tcPr>
          <w:p>
            <w:pPr>
              <w:pStyle w:val="yTableNAm"/>
              <w:tabs>
                <w:tab w:val="clear" w:pos="567"/>
                <w:tab w:val="left" w:pos="335"/>
                <w:tab w:val="right" w:leader="dot" w:pos="4253"/>
              </w:tabs>
              <w:rPr>
                <w:spacing w:val="-1"/>
              </w:rPr>
            </w:pPr>
            <w:r>
              <w:t>2.700 cents/</w:t>
            </w:r>
            <w:r>
              <w:br/>
              <w:t>$ of GRV</w:t>
            </w:r>
          </w:p>
        </w:tc>
      </w:tr>
      <w:tr>
        <w:trPr>
          <w:cantSplit/>
        </w:trPr>
        <w:tc>
          <w:tcPr>
            <w:tcW w:w="850" w:type="dxa"/>
          </w:tcPr>
          <w:p>
            <w:pPr>
              <w:pStyle w:val="yTableNAm"/>
              <w:rPr>
                <w:rStyle w:val="CharSClsNo"/>
              </w:rPr>
            </w:pPr>
          </w:p>
        </w:tc>
        <w:tc>
          <w:tcPr>
            <w:tcW w:w="4236" w:type="dxa"/>
          </w:tcPr>
          <w:p>
            <w:pPr>
              <w:pStyle w:val="yTableNAm"/>
              <w:tabs>
                <w:tab w:val="right" w:leader="dot" w:pos="4253"/>
              </w:tabs>
              <w:rPr>
                <w:spacing w:val="-1"/>
              </w:rPr>
            </w:pPr>
            <w:r>
              <w:rPr>
                <w:spacing w:val="-1"/>
              </w:rPr>
              <w:t xml:space="preserve">subject to a </w:t>
            </w:r>
            <w:r>
              <w:t>minimum</w:t>
            </w:r>
            <w:r>
              <w:rPr>
                <w:spacing w:val="-1"/>
              </w:rPr>
              <w:t xml:space="preserve"> in respect of any vacant land the subject of a separate assessment of </w:t>
            </w:r>
            <w:r>
              <w:rPr>
                <w:spacing w:val="-1"/>
              </w:rPr>
              <w:tab/>
            </w:r>
          </w:p>
        </w:tc>
        <w:tc>
          <w:tcPr>
            <w:tcW w:w="1434" w:type="dxa"/>
            <w:vAlign w:val="bottom"/>
          </w:tcPr>
          <w:p>
            <w:pPr>
              <w:pStyle w:val="yTableNAm"/>
              <w:tabs>
                <w:tab w:val="clear" w:pos="567"/>
                <w:tab w:val="left" w:pos="335"/>
                <w:tab w:val="right" w:leader="dot" w:pos="4253"/>
              </w:tabs>
              <w:rPr>
                <w:spacing w:val="-1"/>
              </w:rPr>
            </w:pPr>
            <w:r>
              <w:rPr>
                <w:spacing w:val="-1"/>
              </w:rPr>
              <w:t>$235.50</w:t>
            </w:r>
          </w:p>
        </w:tc>
      </w:tr>
      <w:tr>
        <w:trPr>
          <w:cantSplit/>
        </w:trPr>
        <w:tc>
          <w:tcPr>
            <w:tcW w:w="850" w:type="dxa"/>
          </w:tcPr>
          <w:p>
            <w:pPr>
              <w:pStyle w:val="yTableNAm"/>
              <w:tabs>
                <w:tab w:val="right" w:leader="dot" w:pos="4253"/>
              </w:tabs>
              <w:rPr>
                <w:b/>
                <w:bCs/>
              </w:rPr>
            </w:pPr>
            <w:r>
              <w:rPr>
                <w:b/>
                <w:bCs/>
              </w:rPr>
              <w:t>10.</w:t>
            </w:r>
          </w:p>
        </w:tc>
        <w:tc>
          <w:tcPr>
            <w:tcW w:w="4236" w:type="dxa"/>
          </w:tcPr>
          <w:p>
            <w:pPr>
              <w:pStyle w:val="yTableNAm"/>
              <w:keepNext/>
              <w:keepLines/>
              <w:tabs>
                <w:tab w:val="right" w:leader="dot" w:pos="4253"/>
              </w:tabs>
              <w:rPr>
                <w:b/>
                <w:bCs/>
              </w:rPr>
            </w:pPr>
            <w:r>
              <w:rPr>
                <w:b/>
                <w:bCs/>
              </w:rPr>
              <w:t>Country</w:t>
            </w:r>
          </w:p>
        </w:tc>
        <w:tc>
          <w:tcPr>
            <w:tcW w:w="1434" w:type="dxa"/>
            <w:vAlign w:val="bottom"/>
          </w:tcPr>
          <w:p>
            <w:pPr>
              <w:pStyle w:val="yTableNAm"/>
              <w:tabs>
                <w:tab w:val="right" w:leader="dot" w:pos="4253"/>
              </w:tabs>
              <w:rPr>
                <w:bCs/>
              </w:rPr>
            </w:pPr>
          </w:p>
        </w:tc>
      </w:tr>
      <w:tr>
        <w:trPr>
          <w:cantSplit/>
        </w:trPr>
        <w:tc>
          <w:tcPr>
            <w:tcW w:w="850" w:type="dxa"/>
          </w:tcPr>
          <w:p>
            <w:pPr>
              <w:pStyle w:val="yTableNAm"/>
              <w:rPr>
                <w:rStyle w:val="CharSClsNo"/>
              </w:rPr>
            </w:pPr>
          </w:p>
        </w:tc>
        <w:tc>
          <w:tcPr>
            <w:tcW w:w="4236" w:type="dxa"/>
          </w:tcPr>
          <w:p>
            <w:pPr>
              <w:pStyle w:val="yTableNAm"/>
              <w:keepNext/>
              <w:keepLines/>
              <w:tabs>
                <w:tab w:val="right" w:leader="dot" w:pos="4253"/>
              </w:tabs>
            </w:pPr>
            <w:r>
              <w:t>In respect of land in a country sewerage area referred to in column 1 of the following Table, not being land referred to in Division 1 or 7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(a)</w:t>
            </w:r>
            <w:r>
              <w:tab/>
              <w:t>where the land is classified as residential, an amount for each dollar of the GRV as set out in column 2 of the Table;</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(b)</w:t>
            </w:r>
            <w:r>
              <w:tab/>
              <w:t>where the land is not classified as residential, an amount for each dollar of the GRV as set out in column 3 of the Table,</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right" w:leader="dot" w:pos="4253"/>
              </w:tabs>
            </w:pPr>
            <w:r>
              <w:t>subject to a minimum in respect of any land the subject of a separate assessment of —</w:t>
            </w:r>
          </w:p>
        </w:tc>
        <w:tc>
          <w:tcPr>
            <w:tcW w:w="1434" w:type="dxa"/>
            <w:vAlign w:val="bottom"/>
          </w:tcPr>
          <w:p>
            <w:pPr>
              <w:pStyle w:val="yTableNAm"/>
              <w:tabs>
                <w:tab w:val="clear" w:pos="567"/>
                <w:tab w:val="left" w:pos="335"/>
                <w:tab w:val="right" w:leader="dot" w:pos="4253"/>
              </w:tabs>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(c)</w:t>
            </w:r>
            <w:r>
              <w:tab/>
              <w:t xml:space="preserve">in the case of land classified as residential </w:t>
            </w:r>
            <w:r>
              <w:tab/>
            </w:r>
          </w:p>
        </w:tc>
        <w:tc>
          <w:tcPr>
            <w:tcW w:w="1434" w:type="dxa"/>
            <w:vAlign w:val="bottom"/>
          </w:tcPr>
          <w:p>
            <w:pPr>
              <w:pStyle w:val="yTableNAm"/>
              <w:tabs>
                <w:tab w:val="clear" w:pos="567"/>
                <w:tab w:val="left" w:pos="335"/>
                <w:tab w:val="right" w:leader="dot" w:pos="4253"/>
              </w:tabs>
            </w:pPr>
            <w:r>
              <w:t>$313.20</w:t>
            </w: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(d)</w:t>
            </w:r>
            <w:r>
              <w:tab/>
              <w:t xml:space="preserve">in the case of land classified as vacant land </w:t>
            </w:r>
            <w:r>
              <w:tab/>
            </w:r>
          </w:p>
        </w:tc>
        <w:tc>
          <w:tcPr>
            <w:tcW w:w="1434" w:type="dxa"/>
            <w:vAlign w:val="bottom"/>
          </w:tcPr>
          <w:p>
            <w:pPr>
              <w:pStyle w:val="yTableNAm"/>
              <w:tabs>
                <w:tab w:val="clear" w:pos="567"/>
                <w:tab w:val="left" w:pos="335"/>
                <w:tab w:val="right" w:leader="dot" w:pos="4253"/>
              </w:tabs>
            </w:pPr>
            <w:r>
              <w:t>$206.10</w:t>
            </w:r>
          </w:p>
        </w:tc>
      </w:tr>
      <w:tr>
        <w:trPr>
          <w:cantSplit/>
        </w:trPr>
        <w:tc>
          <w:tcPr>
            <w:tcW w:w="850" w:type="dxa"/>
          </w:tcPr>
          <w:p>
            <w:pPr>
              <w:pStyle w:val="yTableNAm"/>
              <w:rPr>
                <w:rStyle w:val="CharSClsNo"/>
              </w:rPr>
            </w:pPr>
          </w:p>
        </w:tc>
        <w:tc>
          <w:tcPr>
            <w:tcW w:w="4236" w:type="dxa"/>
          </w:tcPr>
          <w:p>
            <w:pPr>
              <w:pStyle w:val="yTableNAm"/>
              <w:tabs>
                <w:tab w:val="clear" w:pos="567"/>
                <w:tab w:val="left" w:pos="351"/>
                <w:tab w:val="left" w:pos="918"/>
                <w:tab w:val="right" w:leader="dot" w:pos="4253"/>
              </w:tabs>
              <w:ind w:left="918" w:hanging="918"/>
            </w:pPr>
            <w:r>
              <w:tab/>
              <w:t>(e)</w:t>
            </w:r>
            <w:r>
              <w:tab/>
              <w:t xml:space="preserve">in the case of land not classified as residential or vacant land </w:t>
            </w:r>
            <w:r>
              <w:tab/>
            </w:r>
          </w:p>
        </w:tc>
        <w:tc>
          <w:tcPr>
            <w:tcW w:w="1434" w:type="dxa"/>
            <w:vAlign w:val="bottom"/>
          </w:tcPr>
          <w:p>
            <w:pPr>
              <w:pStyle w:val="yTableNAm"/>
              <w:tabs>
                <w:tab w:val="clear" w:pos="567"/>
                <w:tab w:val="left" w:pos="335"/>
                <w:tab w:val="right" w:leader="dot" w:pos="4253"/>
              </w:tabs>
            </w:pPr>
            <w:r>
              <w:t>$728.40</w:t>
            </w:r>
          </w:p>
        </w:tc>
      </w:tr>
      <w:tr>
        <w:trPr>
          <w:cantSplit/>
        </w:trPr>
        <w:tc>
          <w:tcPr>
            <w:tcW w:w="850" w:type="dxa"/>
          </w:tcPr>
          <w:p>
            <w:pPr>
              <w:pStyle w:val="yTableNAm"/>
              <w:rPr>
                <w:rStyle w:val="CharSClsNo"/>
              </w:rPr>
            </w:pPr>
          </w:p>
        </w:tc>
        <w:tc>
          <w:tcPr>
            <w:tcW w:w="4236" w:type="dxa"/>
          </w:tcPr>
          <w:p>
            <w:pPr>
              <w:pStyle w:val="yTableNAm"/>
              <w:tabs>
                <w:tab w:val="right" w:leader="dot" w:pos="4253"/>
              </w:tabs>
            </w:pPr>
            <w:r>
              <w:t xml:space="preserve">and subject to a maximum in respect of any land classified as residential or classified as vacant land and held for residential purposes </w:t>
            </w:r>
            <w:r>
              <w:tab/>
            </w:r>
          </w:p>
        </w:tc>
        <w:tc>
          <w:tcPr>
            <w:tcW w:w="1434" w:type="dxa"/>
            <w:vAlign w:val="bottom"/>
          </w:tcPr>
          <w:p>
            <w:pPr>
              <w:pStyle w:val="yTableNAm"/>
              <w:tabs>
                <w:tab w:val="clear" w:pos="567"/>
                <w:tab w:val="left" w:pos="335"/>
                <w:tab w:val="right" w:leader="dot" w:pos="4253"/>
              </w:tabs>
            </w:pPr>
            <w:r>
              <w:t>$780.40</w:t>
            </w:r>
          </w:p>
        </w:tc>
      </w:tr>
    </w:tbl>
    <w:p>
      <w:pPr>
        <w:pStyle w:val="yMiscellaneousBody"/>
        <w:spacing w:before="0"/>
      </w:pPr>
    </w:p>
    <w:tbl>
      <w:tblPr>
        <w:tblW w:w="0" w:type="auto"/>
        <w:tblInd w:w="567" w:type="dxa"/>
        <w:tblLayout w:type="fixed"/>
        <w:tblCellMar>
          <w:left w:w="141" w:type="dxa"/>
          <w:right w:w="141" w:type="dxa"/>
        </w:tblCellMar>
        <w:tblLook w:val="0000" w:firstRow="0" w:lastRow="0" w:firstColumn="0" w:lastColumn="0" w:noHBand="0" w:noVBand="0"/>
      </w:tblPr>
      <w:tblGrid>
        <w:gridCol w:w="2173"/>
        <w:gridCol w:w="2173"/>
        <w:gridCol w:w="2174"/>
        <w:gridCol w:w="33"/>
      </w:tblGrid>
      <w:tr>
        <w:trPr>
          <w:gridAfter w:val="1"/>
          <w:wAfter w:w="33" w:type="dxa"/>
          <w:cantSplit/>
          <w:trHeight w:hRule="exact" w:val="851"/>
          <w:tblHeader/>
        </w:trPr>
        <w:tc>
          <w:tcPr>
            <w:tcW w:w="2173" w:type="dxa"/>
            <w:tcBorders>
              <w:top w:val="single" w:sz="4" w:space="0" w:color="auto"/>
              <w:bottom w:val="single" w:sz="4" w:space="0" w:color="auto"/>
            </w:tcBorders>
          </w:tcPr>
          <w:p>
            <w:pPr>
              <w:pStyle w:val="yTableNAm"/>
              <w:jc w:val="center"/>
              <w:rPr>
                <w:b/>
              </w:rPr>
            </w:pPr>
            <w:r>
              <w:rPr>
                <w:b/>
              </w:rPr>
              <w:t>Column 1</w:t>
            </w:r>
            <w:r>
              <w:rPr>
                <w:b/>
              </w:rPr>
              <w:br/>
              <w:t>Country sewerage area</w:t>
            </w:r>
          </w:p>
        </w:tc>
        <w:tc>
          <w:tcPr>
            <w:tcW w:w="2173" w:type="dxa"/>
            <w:tcBorders>
              <w:top w:val="single" w:sz="4" w:space="0" w:color="auto"/>
              <w:bottom w:val="single" w:sz="4" w:space="0" w:color="auto"/>
            </w:tcBorders>
          </w:tcPr>
          <w:p>
            <w:pPr>
              <w:pStyle w:val="yTableNAm"/>
              <w:jc w:val="center"/>
              <w:rPr>
                <w:b/>
              </w:rPr>
            </w:pPr>
            <w:r>
              <w:rPr>
                <w:b/>
              </w:rPr>
              <w:t>Column 2</w:t>
            </w:r>
            <w:r>
              <w:rPr>
                <w:b/>
              </w:rPr>
              <w:br/>
              <w:t>(Residential)</w:t>
            </w:r>
            <w:r>
              <w:rPr>
                <w:b/>
              </w:rPr>
              <w:br/>
              <w:t>cents/$ of GRV</w:t>
            </w:r>
          </w:p>
        </w:tc>
        <w:tc>
          <w:tcPr>
            <w:tcW w:w="2174" w:type="dxa"/>
            <w:tcBorders>
              <w:top w:val="single" w:sz="4" w:space="0" w:color="auto"/>
              <w:bottom w:val="single" w:sz="4" w:space="0" w:color="auto"/>
            </w:tcBorders>
          </w:tcPr>
          <w:p>
            <w:pPr>
              <w:pStyle w:val="yTableNAm"/>
              <w:jc w:val="center"/>
              <w:rPr>
                <w:b/>
              </w:rPr>
            </w:pPr>
            <w:r>
              <w:rPr>
                <w:b/>
              </w:rPr>
              <w:t>Column 3</w:t>
            </w:r>
            <w:r>
              <w:rPr>
                <w:b/>
              </w:rPr>
              <w:br/>
              <w:t>(Non</w:t>
            </w:r>
            <w:r>
              <w:rPr>
                <w:b/>
              </w:rPr>
              <w:noBreakHyphen/>
              <w:t>residential)</w:t>
            </w:r>
            <w:r>
              <w:rPr>
                <w:b/>
              </w:rPr>
              <w:br/>
              <w:t>cents/$ of GRV</w:t>
            </w:r>
          </w:p>
        </w:tc>
      </w:tr>
      <w:tr>
        <w:trPr>
          <w:gridAfter w:val="1"/>
          <w:wAfter w:w="33" w:type="dxa"/>
          <w:cantSplit/>
        </w:trPr>
        <w:tc>
          <w:tcPr>
            <w:tcW w:w="2173" w:type="dxa"/>
          </w:tcPr>
          <w:p>
            <w:pPr>
              <w:pStyle w:val="yTableNAm"/>
            </w:pPr>
            <w:r>
              <w:t>Albany</w:t>
            </w:r>
          </w:p>
        </w:tc>
        <w:tc>
          <w:tcPr>
            <w:tcW w:w="2173" w:type="dxa"/>
            <w:vAlign w:val="bottom"/>
          </w:tcPr>
          <w:p>
            <w:pPr>
              <w:pStyle w:val="yTableNAm"/>
              <w:jc w:val="center"/>
            </w:pPr>
            <w:r>
              <w:t>9.067</w:t>
            </w:r>
          </w:p>
        </w:tc>
        <w:tc>
          <w:tcPr>
            <w:tcW w:w="2174" w:type="dxa"/>
            <w:vAlign w:val="bottom"/>
          </w:tcPr>
          <w:p>
            <w:pPr>
              <w:pStyle w:val="yTableNAm"/>
              <w:jc w:val="center"/>
            </w:pPr>
            <w:r>
              <w:t>10.448</w:t>
            </w:r>
          </w:p>
        </w:tc>
      </w:tr>
      <w:tr>
        <w:trPr>
          <w:gridAfter w:val="1"/>
          <w:wAfter w:w="33" w:type="dxa"/>
          <w:cantSplit/>
        </w:trPr>
        <w:tc>
          <w:tcPr>
            <w:tcW w:w="2173" w:type="dxa"/>
          </w:tcPr>
          <w:p>
            <w:pPr>
              <w:pStyle w:val="yTableNAm"/>
            </w:pPr>
            <w:r>
              <w:t>Augusta</w:t>
            </w:r>
          </w:p>
        </w:tc>
        <w:tc>
          <w:tcPr>
            <w:tcW w:w="2173" w:type="dxa"/>
            <w:vAlign w:val="bottom"/>
          </w:tcPr>
          <w:p>
            <w:pPr>
              <w:pStyle w:val="yTableNAm"/>
              <w:jc w:val="center"/>
            </w:pPr>
            <w:r>
              <w:t>9.250</w:t>
            </w:r>
          </w:p>
        </w:tc>
        <w:tc>
          <w:tcPr>
            <w:tcW w:w="2174" w:type="dxa"/>
            <w:vAlign w:val="bottom"/>
          </w:tcPr>
          <w:p>
            <w:pPr>
              <w:pStyle w:val="yTableNAm"/>
              <w:jc w:val="center"/>
            </w:pPr>
            <w:r>
              <w:t>6.605</w:t>
            </w:r>
          </w:p>
        </w:tc>
      </w:tr>
      <w:tr>
        <w:trPr>
          <w:gridAfter w:val="1"/>
          <w:wAfter w:w="33" w:type="dxa"/>
          <w:cantSplit/>
        </w:trPr>
        <w:tc>
          <w:tcPr>
            <w:tcW w:w="2173" w:type="dxa"/>
          </w:tcPr>
          <w:p>
            <w:pPr>
              <w:pStyle w:val="yTableNAm"/>
            </w:pPr>
            <w:r>
              <w:t>Australind</w:t>
            </w:r>
          </w:p>
        </w:tc>
        <w:tc>
          <w:tcPr>
            <w:tcW w:w="2173" w:type="dxa"/>
            <w:vAlign w:val="bottom"/>
          </w:tcPr>
          <w:p>
            <w:pPr>
              <w:pStyle w:val="yTableNAm"/>
              <w:jc w:val="center"/>
            </w:pPr>
            <w:r>
              <w:t>5.894</w:t>
            </w:r>
          </w:p>
        </w:tc>
        <w:tc>
          <w:tcPr>
            <w:tcW w:w="2174" w:type="dxa"/>
            <w:vAlign w:val="bottom"/>
          </w:tcPr>
          <w:p>
            <w:pPr>
              <w:pStyle w:val="yTableNAm"/>
              <w:jc w:val="center"/>
            </w:pPr>
            <w:r>
              <w:t>1.493</w:t>
            </w:r>
          </w:p>
        </w:tc>
      </w:tr>
      <w:tr>
        <w:trPr>
          <w:gridAfter w:val="1"/>
          <w:wAfter w:w="33" w:type="dxa"/>
          <w:cantSplit/>
        </w:trPr>
        <w:tc>
          <w:tcPr>
            <w:tcW w:w="2173" w:type="dxa"/>
          </w:tcPr>
          <w:p>
            <w:pPr>
              <w:pStyle w:val="yTableNAm"/>
            </w:pPr>
            <w:r>
              <w:t>Beverley</w:t>
            </w:r>
          </w:p>
        </w:tc>
        <w:tc>
          <w:tcPr>
            <w:tcW w:w="2173" w:type="dxa"/>
            <w:vAlign w:val="bottom"/>
          </w:tcPr>
          <w:p>
            <w:pPr>
              <w:pStyle w:val="yTableNAm"/>
              <w:jc w:val="center"/>
            </w:pPr>
            <w:r>
              <w:t>9.198</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Binningup</w:t>
            </w:r>
          </w:p>
        </w:tc>
        <w:tc>
          <w:tcPr>
            <w:tcW w:w="2173" w:type="dxa"/>
            <w:vAlign w:val="bottom"/>
          </w:tcPr>
          <w:p>
            <w:pPr>
              <w:pStyle w:val="yTableNAm"/>
              <w:jc w:val="center"/>
            </w:pPr>
            <w:r>
              <w:t>12.000</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Boddington</w:t>
            </w:r>
          </w:p>
        </w:tc>
        <w:tc>
          <w:tcPr>
            <w:tcW w:w="2173" w:type="dxa"/>
            <w:vAlign w:val="bottom"/>
          </w:tcPr>
          <w:p>
            <w:pPr>
              <w:pStyle w:val="yTableNAm"/>
              <w:jc w:val="center"/>
            </w:pPr>
            <w:r>
              <w:t>12.000</w:t>
            </w:r>
          </w:p>
        </w:tc>
        <w:tc>
          <w:tcPr>
            <w:tcW w:w="2174" w:type="dxa"/>
            <w:vAlign w:val="bottom"/>
          </w:tcPr>
          <w:p>
            <w:pPr>
              <w:pStyle w:val="yTableNAm"/>
              <w:jc w:val="center"/>
            </w:pPr>
            <w:r>
              <w:t>9.680</w:t>
            </w:r>
          </w:p>
        </w:tc>
      </w:tr>
      <w:tr>
        <w:trPr>
          <w:gridAfter w:val="1"/>
          <w:wAfter w:w="33" w:type="dxa"/>
          <w:cantSplit/>
        </w:trPr>
        <w:tc>
          <w:tcPr>
            <w:tcW w:w="2173" w:type="dxa"/>
          </w:tcPr>
          <w:p>
            <w:pPr>
              <w:pStyle w:val="yTableNAm"/>
            </w:pPr>
            <w:r>
              <w:t>Boyanup</w:t>
            </w:r>
          </w:p>
        </w:tc>
        <w:tc>
          <w:tcPr>
            <w:tcW w:w="2173" w:type="dxa"/>
            <w:vAlign w:val="bottom"/>
          </w:tcPr>
          <w:p>
            <w:pPr>
              <w:pStyle w:val="yTableNAm"/>
              <w:jc w:val="center"/>
            </w:pPr>
            <w:r>
              <w:t>12.000</w:t>
            </w:r>
          </w:p>
        </w:tc>
        <w:tc>
          <w:tcPr>
            <w:tcW w:w="2174" w:type="dxa"/>
            <w:vAlign w:val="bottom"/>
          </w:tcPr>
          <w:p>
            <w:pPr>
              <w:pStyle w:val="yTableNAm"/>
              <w:jc w:val="center"/>
            </w:pPr>
            <w:r>
              <w:t>5.381</w:t>
            </w:r>
          </w:p>
        </w:tc>
      </w:tr>
      <w:tr>
        <w:trPr>
          <w:gridAfter w:val="1"/>
          <w:wAfter w:w="33" w:type="dxa"/>
          <w:cantSplit/>
        </w:trPr>
        <w:tc>
          <w:tcPr>
            <w:tcW w:w="2173" w:type="dxa"/>
          </w:tcPr>
          <w:p>
            <w:pPr>
              <w:pStyle w:val="yTableNAm"/>
            </w:pPr>
            <w:r>
              <w:t>Bremer Bay</w:t>
            </w:r>
          </w:p>
        </w:tc>
        <w:tc>
          <w:tcPr>
            <w:tcW w:w="2173" w:type="dxa"/>
            <w:vAlign w:val="bottom"/>
          </w:tcPr>
          <w:p>
            <w:pPr>
              <w:pStyle w:val="yTableNAm"/>
              <w:jc w:val="center"/>
            </w:pPr>
            <w:r>
              <w:t>12.000</w:t>
            </w:r>
          </w:p>
        </w:tc>
        <w:tc>
          <w:tcPr>
            <w:tcW w:w="2174" w:type="dxa"/>
            <w:vAlign w:val="bottom"/>
          </w:tcPr>
          <w:p>
            <w:pPr>
              <w:pStyle w:val="yTableNAm"/>
              <w:jc w:val="center"/>
            </w:pPr>
            <w:r>
              <w:t>4.463</w:t>
            </w:r>
          </w:p>
        </w:tc>
      </w:tr>
      <w:tr>
        <w:trPr>
          <w:gridAfter w:val="1"/>
          <w:wAfter w:w="33" w:type="dxa"/>
          <w:cantSplit/>
        </w:trPr>
        <w:tc>
          <w:tcPr>
            <w:tcW w:w="2173" w:type="dxa"/>
          </w:tcPr>
          <w:p>
            <w:pPr>
              <w:pStyle w:val="yTableNAm"/>
            </w:pPr>
            <w:r>
              <w:t>Bridgetown</w:t>
            </w:r>
          </w:p>
        </w:tc>
        <w:tc>
          <w:tcPr>
            <w:tcW w:w="2173" w:type="dxa"/>
            <w:vAlign w:val="bottom"/>
          </w:tcPr>
          <w:p>
            <w:pPr>
              <w:pStyle w:val="yTableNAm"/>
              <w:jc w:val="center"/>
            </w:pPr>
            <w:r>
              <w:t>11.372</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Broome</w:t>
            </w:r>
          </w:p>
        </w:tc>
        <w:tc>
          <w:tcPr>
            <w:tcW w:w="2173" w:type="dxa"/>
            <w:vAlign w:val="bottom"/>
          </w:tcPr>
          <w:p>
            <w:pPr>
              <w:pStyle w:val="yTableNAm"/>
              <w:jc w:val="center"/>
            </w:pPr>
            <w:r>
              <w:t>6.250</w:t>
            </w:r>
          </w:p>
        </w:tc>
        <w:tc>
          <w:tcPr>
            <w:tcW w:w="2174" w:type="dxa"/>
            <w:vAlign w:val="bottom"/>
          </w:tcPr>
          <w:p>
            <w:pPr>
              <w:pStyle w:val="yTableNAm"/>
              <w:jc w:val="center"/>
            </w:pPr>
            <w:r>
              <w:t>2.548</w:t>
            </w:r>
          </w:p>
        </w:tc>
      </w:tr>
      <w:tr>
        <w:trPr>
          <w:gridAfter w:val="1"/>
          <w:wAfter w:w="33" w:type="dxa"/>
          <w:cantSplit/>
        </w:trPr>
        <w:tc>
          <w:tcPr>
            <w:tcW w:w="2173" w:type="dxa"/>
          </w:tcPr>
          <w:p>
            <w:pPr>
              <w:pStyle w:val="yTableNAm"/>
            </w:pPr>
            <w:r>
              <w:t>Brunswick</w:t>
            </w:r>
          </w:p>
        </w:tc>
        <w:tc>
          <w:tcPr>
            <w:tcW w:w="2173" w:type="dxa"/>
            <w:vAlign w:val="bottom"/>
          </w:tcPr>
          <w:p>
            <w:pPr>
              <w:pStyle w:val="yTableNAm"/>
              <w:jc w:val="center"/>
            </w:pPr>
            <w:r>
              <w:t>6.583</w:t>
            </w:r>
          </w:p>
        </w:tc>
        <w:tc>
          <w:tcPr>
            <w:tcW w:w="2174" w:type="dxa"/>
            <w:vAlign w:val="bottom"/>
          </w:tcPr>
          <w:p>
            <w:pPr>
              <w:pStyle w:val="yTableNAm"/>
              <w:jc w:val="center"/>
            </w:pPr>
            <w:r>
              <w:t>10.001</w:t>
            </w:r>
          </w:p>
        </w:tc>
      </w:tr>
      <w:tr>
        <w:trPr>
          <w:gridAfter w:val="1"/>
          <w:wAfter w:w="33" w:type="dxa"/>
          <w:cantSplit/>
        </w:trPr>
        <w:tc>
          <w:tcPr>
            <w:tcW w:w="2173" w:type="dxa"/>
          </w:tcPr>
          <w:p>
            <w:pPr>
              <w:pStyle w:val="yTableNAm"/>
            </w:pPr>
            <w:r>
              <w:t>Bunbury</w:t>
            </w:r>
            <w:r>
              <w:br/>
              <w:t>(1/07/10 Values)</w:t>
            </w:r>
          </w:p>
        </w:tc>
        <w:tc>
          <w:tcPr>
            <w:tcW w:w="2173" w:type="dxa"/>
            <w:vAlign w:val="bottom"/>
          </w:tcPr>
          <w:p>
            <w:pPr>
              <w:pStyle w:val="yTableNAm"/>
              <w:jc w:val="center"/>
            </w:pPr>
            <w:r>
              <w:t>4.198</w:t>
            </w:r>
          </w:p>
        </w:tc>
        <w:tc>
          <w:tcPr>
            <w:tcW w:w="2174" w:type="dxa"/>
            <w:vAlign w:val="bottom"/>
          </w:tcPr>
          <w:p>
            <w:pPr>
              <w:pStyle w:val="yTableNAm"/>
              <w:jc w:val="center"/>
            </w:pPr>
            <w:r>
              <w:t>3.239</w:t>
            </w:r>
          </w:p>
        </w:tc>
      </w:tr>
      <w:tr>
        <w:trPr>
          <w:gridAfter w:val="1"/>
          <w:wAfter w:w="33" w:type="dxa"/>
          <w:cantSplit/>
        </w:trPr>
        <w:tc>
          <w:tcPr>
            <w:tcW w:w="2173" w:type="dxa"/>
          </w:tcPr>
          <w:p>
            <w:pPr>
              <w:pStyle w:val="yTableNAm"/>
            </w:pPr>
            <w:r>
              <w:t>Bunbury</w:t>
            </w:r>
            <w:r>
              <w:br/>
              <w:t>(1/07/11 Values)</w:t>
            </w:r>
          </w:p>
        </w:tc>
        <w:tc>
          <w:tcPr>
            <w:tcW w:w="2173" w:type="dxa"/>
            <w:vAlign w:val="bottom"/>
          </w:tcPr>
          <w:p>
            <w:pPr>
              <w:pStyle w:val="yTableNAm"/>
              <w:jc w:val="center"/>
            </w:pPr>
            <w:r>
              <w:t>5.865</w:t>
            </w:r>
          </w:p>
        </w:tc>
        <w:tc>
          <w:tcPr>
            <w:tcW w:w="2174" w:type="dxa"/>
            <w:vAlign w:val="bottom"/>
          </w:tcPr>
          <w:p>
            <w:pPr>
              <w:pStyle w:val="yTableNAm"/>
              <w:jc w:val="center"/>
            </w:pPr>
            <w:r>
              <w:t>5.755</w:t>
            </w:r>
          </w:p>
        </w:tc>
      </w:tr>
      <w:tr>
        <w:trPr>
          <w:gridAfter w:val="1"/>
          <w:wAfter w:w="33" w:type="dxa"/>
          <w:cantSplit/>
        </w:trPr>
        <w:tc>
          <w:tcPr>
            <w:tcW w:w="2173" w:type="dxa"/>
          </w:tcPr>
          <w:p>
            <w:pPr>
              <w:pStyle w:val="yTableNAm"/>
            </w:pPr>
            <w:r>
              <w:t>Burekup</w:t>
            </w:r>
          </w:p>
        </w:tc>
        <w:tc>
          <w:tcPr>
            <w:tcW w:w="2173" w:type="dxa"/>
            <w:vAlign w:val="bottom"/>
          </w:tcPr>
          <w:p>
            <w:pPr>
              <w:pStyle w:val="yTableNAm"/>
              <w:jc w:val="center"/>
            </w:pPr>
            <w:r>
              <w:t>10.752</w:t>
            </w:r>
          </w:p>
        </w:tc>
        <w:tc>
          <w:tcPr>
            <w:tcW w:w="2174" w:type="dxa"/>
            <w:vAlign w:val="bottom"/>
          </w:tcPr>
          <w:p>
            <w:pPr>
              <w:pStyle w:val="yTableNAm"/>
              <w:jc w:val="center"/>
            </w:pPr>
            <w:r>
              <w:t>5.137</w:t>
            </w:r>
          </w:p>
        </w:tc>
      </w:tr>
      <w:tr>
        <w:trPr>
          <w:gridAfter w:val="1"/>
          <w:wAfter w:w="33" w:type="dxa"/>
          <w:cantSplit/>
        </w:trPr>
        <w:tc>
          <w:tcPr>
            <w:tcW w:w="2173" w:type="dxa"/>
          </w:tcPr>
          <w:p>
            <w:pPr>
              <w:pStyle w:val="yTableNAm"/>
            </w:pPr>
            <w:r>
              <w:t>Busselton</w:t>
            </w:r>
          </w:p>
        </w:tc>
        <w:tc>
          <w:tcPr>
            <w:tcW w:w="2173" w:type="dxa"/>
            <w:vAlign w:val="bottom"/>
          </w:tcPr>
          <w:p>
            <w:pPr>
              <w:pStyle w:val="yTableNAm"/>
              <w:jc w:val="center"/>
            </w:pPr>
            <w:r>
              <w:t>5.020</w:t>
            </w:r>
          </w:p>
        </w:tc>
        <w:tc>
          <w:tcPr>
            <w:tcW w:w="2174" w:type="dxa"/>
            <w:vAlign w:val="bottom"/>
          </w:tcPr>
          <w:p>
            <w:pPr>
              <w:pStyle w:val="yTableNAm"/>
              <w:jc w:val="center"/>
            </w:pPr>
            <w:r>
              <w:t>7.100</w:t>
            </w:r>
          </w:p>
        </w:tc>
      </w:tr>
      <w:tr>
        <w:trPr>
          <w:gridAfter w:val="1"/>
          <w:wAfter w:w="33" w:type="dxa"/>
          <w:cantSplit/>
        </w:trPr>
        <w:tc>
          <w:tcPr>
            <w:tcW w:w="2173" w:type="dxa"/>
          </w:tcPr>
          <w:p>
            <w:pPr>
              <w:pStyle w:val="yTableNAm"/>
            </w:pPr>
            <w:r>
              <w:t>Cape Burney</w:t>
            </w:r>
          </w:p>
        </w:tc>
        <w:tc>
          <w:tcPr>
            <w:tcW w:w="2173" w:type="dxa"/>
            <w:vAlign w:val="bottom"/>
          </w:tcPr>
          <w:p>
            <w:pPr>
              <w:pStyle w:val="yTableNAm"/>
              <w:jc w:val="center"/>
            </w:pPr>
            <w:r>
              <w:t>6.600</w:t>
            </w:r>
          </w:p>
        </w:tc>
        <w:tc>
          <w:tcPr>
            <w:tcW w:w="2174" w:type="dxa"/>
            <w:vAlign w:val="bottom"/>
          </w:tcPr>
          <w:p>
            <w:pPr>
              <w:pStyle w:val="yTableNAm"/>
              <w:jc w:val="center"/>
            </w:pPr>
            <w:r>
              <w:t>4.850</w:t>
            </w:r>
          </w:p>
        </w:tc>
      </w:tr>
      <w:tr>
        <w:trPr>
          <w:gridAfter w:val="1"/>
          <w:wAfter w:w="33" w:type="dxa"/>
          <w:cantSplit/>
        </w:trPr>
        <w:tc>
          <w:tcPr>
            <w:tcW w:w="2173" w:type="dxa"/>
          </w:tcPr>
          <w:p>
            <w:pPr>
              <w:pStyle w:val="yTableNAm"/>
            </w:pPr>
            <w:r>
              <w:t>Capel</w:t>
            </w:r>
          </w:p>
        </w:tc>
        <w:tc>
          <w:tcPr>
            <w:tcW w:w="2173" w:type="dxa"/>
            <w:vAlign w:val="bottom"/>
          </w:tcPr>
          <w:p>
            <w:pPr>
              <w:pStyle w:val="yTableNAm"/>
              <w:jc w:val="center"/>
            </w:pPr>
            <w:r>
              <w:t>11.939</w:t>
            </w:r>
          </w:p>
        </w:tc>
        <w:tc>
          <w:tcPr>
            <w:tcW w:w="2174" w:type="dxa"/>
            <w:vAlign w:val="bottom"/>
          </w:tcPr>
          <w:p>
            <w:pPr>
              <w:pStyle w:val="yTableNAm"/>
              <w:jc w:val="center"/>
            </w:pPr>
            <w:r>
              <w:t>4.211</w:t>
            </w:r>
          </w:p>
        </w:tc>
      </w:tr>
      <w:tr>
        <w:trPr>
          <w:gridAfter w:val="1"/>
          <w:wAfter w:w="33" w:type="dxa"/>
          <w:cantSplit/>
        </w:trPr>
        <w:tc>
          <w:tcPr>
            <w:tcW w:w="2173" w:type="dxa"/>
          </w:tcPr>
          <w:p>
            <w:pPr>
              <w:pStyle w:val="yTableNAm"/>
            </w:pPr>
            <w:r>
              <w:t>Carnarvon</w:t>
            </w:r>
          </w:p>
        </w:tc>
        <w:tc>
          <w:tcPr>
            <w:tcW w:w="2173" w:type="dxa"/>
            <w:vAlign w:val="bottom"/>
          </w:tcPr>
          <w:p>
            <w:pPr>
              <w:pStyle w:val="yTableNAm"/>
              <w:jc w:val="center"/>
            </w:pPr>
            <w:r>
              <w:t>8.666</w:t>
            </w:r>
          </w:p>
        </w:tc>
        <w:tc>
          <w:tcPr>
            <w:tcW w:w="2174" w:type="dxa"/>
            <w:vAlign w:val="bottom"/>
          </w:tcPr>
          <w:p>
            <w:pPr>
              <w:pStyle w:val="yTableNAm"/>
              <w:jc w:val="center"/>
            </w:pPr>
            <w:r>
              <w:t>7.724</w:t>
            </w:r>
          </w:p>
        </w:tc>
      </w:tr>
      <w:tr>
        <w:trPr>
          <w:gridAfter w:val="1"/>
          <w:wAfter w:w="33" w:type="dxa"/>
          <w:cantSplit/>
        </w:trPr>
        <w:tc>
          <w:tcPr>
            <w:tcW w:w="2173" w:type="dxa"/>
          </w:tcPr>
          <w:p>
            <w:pPr>
              <w:pStyle w:val="yTableNAm"/>
            </w:pPr>
            <w:r>
              <w:t>Cervantes</w:t>
            </w:r>
          </w:p>
        </w:tc>
        <w:tc>
          <w:tcPr>
            <w:tcW w:w="2173" w:type="dxa"/>
            <w:vAlign w:val="bottom"/>
          </w:tcPr>
          <w:p>
            <w:pPr>
              <w:pStyle w:val="yTableNAm"/>
              <w:jc w:val="center"/>
            </w:pPr>
            <w:r>
              <w:t>12.000</w:t>
            </w:r>
          </w:p>
        </w:tc>
        <w:tc>
          <w:tcPr>
            <w:tcW w:w="2174" w:type="dxa"/>
            <w:vAlign w:val="bottom"/>
          </w:tcPr>
          <w:p>
            <w:pPr>
              <w:pStyle w:val="yTableNAm"/>
              <w:jc w:val="center"/>
            </w:pPr>
            <w:r>
              <w:t>2.678</w:t>
            </w:r>
          </w:p>
        </w:tc>
      </w:tr>
      <w:tr>
        <w:trPr>
          <w:gridAfter w:val="1"/>
          <w:wAfter w:w="33" w:type="dxa"/>
          <w:cantSplit/>
        </w:trPr>
        <w:tc>
          <w:tcPr>
            <w:tcW w:w="2173" w:type="dxa"/>
          </w:tcPr>
          <w:p>
            <w:pPr>
              <w:pStyle w:val="yTableNAm"/>
            </w:pPr>
            <w:r>
              <w:t>Collie</w:t>
            </w:r>
          </w:p>
        </w:tc>
        <w:tc>
          <w:tcPr>
            <w:tcW w:w="2173" w:type="dxa"/>
            <w:vAlign w:val="bottom"/>
          </w:tcPr>
          <w:p>
            <w:pPr>
              <w:pStyle w:val="yTableNAm"/>
              <w:jc w:val="center"/>
            </w:pPr>
            <w:r>
              <w:t>10.140</w:t>
            </w:r>
          </w:p>
        </w:tc>
        <w:tc>
          <w:tcPr>
            <w:tcW w:w="2174" w:type="dxa"/>
            <w:vAlign w:val="bottom"/>
          </w:tcPr>
          <w:p>
            <w:pPr>
              <w:pStyle w:val="yTableNAm"/>
              <w:jc w:val="center"/>
            </w:pPr>
            <w:r>
              <w:t>8.738</w:t>
            </w:r>
          </w:p>
        </w:tc>
      </w:tr>
      <w:tr>
        <w:trPr>
          <w:gridAfter w:val="1"/>
          <w:wAfter w:w="33" w:type="dxa"/>
          <w:cantSplit/>
        </w:trPr>
        <w:tc>
          <w:tcPr>
            <w:tcW w:w="2173" w:type="dxa"/>
          </w:tcPr>
          <w:p>
            <w:pPr>
              <w:pStyle w:val="yTableNAm"/>
            </w:pPr>
            <w:r>
              <w:t>Coral Bay</w:t>
            </w:r>
          </w:p>
        </w:tc>
        <w:tc>
          <w:tcPr>
            <w:tcW w:w="2173" w:type="dxa"/>
            <w:vAlign w:val="bottom"/>
          </w:tcPr>
          <w:p>
            <w:pPr>
              <w:pStyle w:val="yTableNAm"/>
              <w:jc w:val="center"/>
            </w:pPr>
            <w:r>
              <w:t>12.000</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Corrigin</w:t>
            </w:r>
          </w:p>
        </w:tc>
        <w:tc>
          <w:tcPr>
            <w:tcW w:w="2173" w:type="dxa"/>
            <w:vAlign w:val="bottom"/>
          </w:tcPr>
          <w:p>
            <w:pPr>
              <w:pStyle w:val="yTableNAm"/>
              <w:jc w:val="center"/>
            </w:pPr>
            <w:r>
              <w:t>10.669</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Cowaramup</w:t>
            </w:r>
          </w:p>
        </w:tc>
        <w:tc>
          <w:tcPr>
            <w:tcW w:w="2173" w:type="dxa"/>
            <w:vAlign w:val="bottom"/>
          </w:tcPr>
          <w:p>
            <w:pPr>
              <w:pStyle w:val="yTableNAm"/>
              <w:jc w:val="center"/>
            </w:pPr>
            <w:r>
              <w:t>7.160</w:t>
            </w:r>
          </w:p>
        </w:tc>
        <w:tc>
          <w:tcPr>
            <w:tcW w:w="2174" w:type="dxa"/>
            <w:vAlign w:val="bottom"/>
          </w:tcPr>
          <w:p>
            <w:pPr>
              <w:pStyle w:val="yTableNAm"/>
              <w:jc w:val="center"/>
            </w:pPr>
            <w:r>
              <w:t>8.283</w:t>
            </w:r>
          </w:p>
        </w:tc>
      </w:tr>
      <w:tr>
        <w:trPr>
          <w:gridAfter w:val="1"/>
          <w:wAfter w:w="33" w:type="dxa"/>
          <w:cantSplit/>
        </w:trPr>
        <w:tc>
          <w:tcPr>
            <w:tcW w:w="2173" w:type="dxa"/>
          </w:tcPr>
          <w:p>
            <w:pPr>
              <w:pStyle w:val="yTableNAm"/>
            </w:pPr>
            <w:r>
              <w:t>Cranbrook</w:t>
            </w:r>
          </w:p>
        </w:tc>
        <w:tc>
          <w:tcPr>
            <w:tcW w:w="2173" w:type="dxa"/>
            <w:vAlign w:val="bottom"/>
          </w:tcPr>
          <w:p>
            <w:pPr>
              <w:pStyle w:val="yTableNAm"/>
              <w:jc w:val="center"/>
            </w:pPr>
            <w:r>
              <w:t>12.000</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Cunderdin</w:t>
            </w:r>
          </w:p>
        </w:tc>
        <w:tc>
          <w:tcPr>
            <w:tcW w:w="2173" w:type="dxa"/>
            <w:vAlign w:val="bottom"/>
          </w:tcPr>
          <w:p>
            <w:pPr>
              <w:pStyle w:val="yTableNAm"/>
              <w:jc w:val="center"/>
            </w:pPr>
            <w:r>
              <w:t>7.570</w:t>
            </w:r>
          </w:p>
        </w:tc>
        <w:tc>
          <w:tcPr>
            <w:tcW w:w="2174" w:type="dxa"/>
            <w:vAlign w:val="bottom"/>
          </w:tcPr>
          <w:p>
            <w:pPr>
              <w:pStyle w:val="yTableNAm"/>
              <w:jc w:val="center"/>
            </w:pPr>
            <w:r>
              <w:t>10.826</w:t>
            </w:r>
          </w:p>
        </w:tc>
      </w:tr>
      <w:tr>
        <w:trPr>
          <w:gridAfter w:val="1"/>
          <w:wAfter w:w="33" w:type="dxa"/>
          <w:cantSplit/>
        </w:trPr>
        <w:tc>
          <w:tcPr>
            <w:tcW w:w="2173" w:type="dxa"/>
          </w:tcPr>
          <w:p>
            <w:pPr>
              <w:pStyle w:val="yTableNAm"/>
            </w:pPr>
            <w:r>
              <w:t>Dardanup</w:t>
            </w:r>
          </w:p>
        </w:tc>
        <w:tc>
          <w:tcPr>
            <w:tcW w:w="2173" w:type="dxa"/>
            <w:vAlign w:val="bottom"/>
          </w:tcPr>
          <w:p>
            <w:pPr>
              <w:pStyle w:val="yTableNAm"/>
              <w:jc w:val="center"/>
            </w:pPr>
            <w:r>
              <w:t>12.000</w:t>
            </w:r>
          </w:p>
        </w:tc>
        <w:tc>
          <w:tcPr>
            <w:tcW w:w="2174" w:type="dxa"/>
            <w:vAlign w:val="bottom"/>
          </w:tcPr>
          <w:p>
            <w:pPr>
              <w:pStyle w:val="yTableNAm"/>
              <w:jc w:val="center"/>
            </w:pPr>
            <w:r>
              <w:t>9.003</w:t>
            </w:r>
          </w:p>
        </w:tc>
      </w:tr>
      <w:tr>
        <w:trPr>
          <w:gridAfter w:val="1"/>
          <w:wAfter w:w="33" w:type="dxa"/>
          <w:cantSplit/>
        </w:trPr>
        <w:tc>
          <w:tcPr>
            <w:tcW w:w="2173" w:type="dxa"/>
          </w:tcPr>
          <w:p>
            <w:pPr>
              <w:pStyle w:val="yTableNAm"/>
            </w:pPr>
            <w:r>
              <w:t>Denham</w:t>
            </w:r>
          </w:p>
        </w:tc>
        <w:tc>
          <w:tcPr>
            <w:tcW w:w="2173" w:type="dxa"/>
            <w:vAlign w:val="bottom"/>
          </w:tcPr>
          <w:p>
            <w:pPr>
              <w:pStyle w:val="yTableNAm"/>
              <w:jc w:val="center"/>
            </w:pPr>
            <w:r>
              <w:t>12.000</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Denmark</w:t>
            </w:r>
          </w:p>
        </w:tc>
        <w:tc>
          <w:tcPr>
            <w:tcW w:w="2173" w:type="dxa"/>
            <w:vAlign w:val="bottom"/>
          </w:tcPr>
          <w:p>
            <w:pPr>
              <w:pStyle w:val="yTableNAm"/>
              <w:jc w:val="center"/>
            </w:pPr>
            <w:r>
              <w:t>12.000</w:t>
            </w:r>
          </w:p>
        </w:tc>
        <w:tc>
          <w:tcPr>
            <w:tcW w:w="2174" w:type="dxa"/>
            <w:vAlign w:val="bottom"/>
          </w:tcPr>
          <w:p>
            <w:pPr>
              <w:pStyle w:val="yTableNAm"/>
              <w:jc w:val="center"/>
            </w:pPr>
            <w:r>
              <w:t>9.068</w:t>
            </w:r>
          </w:p>
        </w:tc>
      </w:tr>
      <w:tr>
        <w:trPr>
          <w:gridAfter w:val="1"/>
          <w:wAfter w:w="33" w:type="dxa"/>
          <w:cantSplit/>
        </w:trPr>
        <w:tc>
          <w:tcPr>
            <w:tcW w:w="2173" w:type="dxa"/>
          </w:tcPr>
          <w:p>
            <w:pPr>
              <w:pStyle w:val="yTableNAm"/>
            </w:pPr>
            <w:r>
              <w:t>Derby</w:t>
            </w:r>
          </w:p>
        </w:tc>
        <w:tc>
          <w:tcPr>
            <w:tcW w:w="2173" w:type="dxa"/>
            <w:vAlign w:val="bottom"/>
          </w:tcPr>
          <w:p>
            <w:pPr>
              <w:pStyle w:val="yTableNAm"/>
              <w:jc w:val="center"/>
            </w:pPr>
            <w:r>
              <w:t>8.786</w:t>
            </w:r>
          </w:p>
        </w:tc>
        <w:tc>
          <w:tcPr>
            <w:tcW w:w="2174" w:type="dxa"/>
            <w:vAlign w:val="bottom"/>
          </w:tcPr>
          <w:p>
            <w:pPr>
              <w:pStyle w:val="yTableNAm"/>
              <w:jc w:val="center"/>
            </w:pPr>
            <w:r>
              <w:t>3.671</w:t>
            </w:r>
          </w:p>
        </w:tc>
      </w:tr>
      <w:tr>
        <w:trPr>
          <w:gridAfter w:val="1"/>
          <w:wAfter w:w="33" w:type="dxa"/>
          <w:cantSplit/>
        </w:trPr>
        <w:tc>
          <w:tcPr>
            <w:tcW w:w="2173" w:type="dxa"/>
          </w:tcPr>
          <w:p>
            <w:pPr>
              <w:pStyle w:val="yTableNAm"/>
            </w:pPr>
            <w:r>
              <w:t>Dongara</w:t>
            </w:r>
            <w:r>
              <w:noBreakHyphen/>
              <w:t>Denison</w:t>
            </w:r>
          </w:p>
        </w:tc>
        <w:tc>
          <w:tcPr>
            <w:tcW w:w="2173" w:type="dxa"/>
            <w:vAlign w:val="bottom"/>
          </w:tcPr>
          <w:p>
            <w:pPr>
              <w:pStyle w:val="yTableNAm"/>
              <w:jc w:val="center"/>
            </w:pPr>
            <w:r>
              <w:t>8.508</w:t>
            </w:r>
          </w:p>
        </w:tc>
        <w:tc>
          <w:tcPr>
            <w:tcW w:w="2174" w:type="dxa"/>
            <w:vAlign w:val="bottom"/>
          </w:tcPr>
          <w:p>
            <w:pPr>
              <w:pStyle w:val="yTableNAm"/>
              <w:jc w:val="center"/>
            </w:pPr>
            <w:r>
              <w:t>4.942</w:t>
            </w:r>
          </w:p>
        </w:tc>
      </w:tr>
      <w:tr>
        <w:trPr>
          <w:gridAfter w:val="1"/>
          <w:wAfter w:w="33" w:type="dxa"/>
          <w:cantSplit/>
        </w:trPr>
        <w:tc>
          <w:tcPr>
            <w:tcW w:w="2173" w:type="dxa"/>
          </w:tcPr>
          <w:p>
            <w:pPr>
              <w:pStyle w:val="yTableNAm"/>
            </w:pPr>
            <w:r>
              <w:t>Donnybrook</w:t>
            </w:r>
          </w:p>
        </w:tc>
        <w:tc>
          <w:tcPr>
            <w:tcW w:w="2173" w:type="dxa"/>
            <w:vAlign w:val="bottom"/>
          </w:tcPr>
          <w:p>
            <w:pPr>
              <w:pStyle w:val="yTableNAm"/>
              <w:jc w:val="center"/>
            </w:pPr>
            <w:r>
              <w:t>9.825</w:t>
            </w:r>
          </w:p>
        </w:tc>
        <w:tc>
          <w:tcPr>
            <w:tcW w:w="2174" w:type="dxa"/>
            <w:vAlign w:val="bottom"/>
          </w:tcPr>
          <w:p>
            <w:pPr>
              <w:pStyle w:val="yTableNAm"/>
              <w:jc w:val="center"/>
            </w:pPr>
            <w:r>
              <w:t>5.998</w:t>
            </w:r>
          </w:p>
        </w:tc>
      </w:tr>
      <w:tr>
        <w:trPr>
          <w:gridAfter w:val="1"/>
          <w:wAfter w:w="33" w:type="dxa"/>
          <w:cantSplit/>
        </w:trPr>
        <w:tc>
          <w:tcPr>
            <w:tcW w:w="2173" w:type="dxa"/>
          </w:tcPr>
          <w:p>
            <w:pPr>
              <w:pStyle w:val="yTableNAm"/>
            </w:pPr>
            <w:r>
              <w:t>Dunsborough</w:t>
            </w:r>
          </w:p>
        </w:tc>
        <w:tc>
          <w:tcPr>
            <w:tcW w:w="2173" w:type="dxa"/>
            <w:vAlign w:val="bottom"/>
          </w:tcPr>
          <w:p>
            <w:pPr>
              <w:pStyle w:val="yTableNAm"/>
              <w:jc w:val="center"/>
            </w:pPr>
            <w:r>
              <w:t>6.350</w:t>
            </w:r>
          </w:p>
        </w:tc>
        <w:tc>
          <w:tcPr>
            <w:tcW w:w="2174" w:type="dxa"/>
            <w:vAlign w:val="bottom"/>
          </w:tcPr>
          <w:p>
            <w:pPr>
              <w:pStyle w:val="yTableNAm"/>
              <w:jc w:val="center"/>
            </w:pPr>
            <w:r>
              <w:t>5.335</w:t>
            </w:r>
          </w:p>
        </w:tc>
      </w:tr>
      <w:tr>
        <w:trPr>
          <w:gridAfter w:val="1"/>
          <w:wAfter w:w="33" w:type="dxa"/>
          <w:cantSplit/>
        </w:trPr>
        <w:tc>
          <w:tcPr>
            <w:tcW w:w="2173" w:type="dxa"/>
          </w:tcPr>
          <w:p>
            <w:pPr>
              <w:pStyle w:val="yTableNAm"/>
            </w:pPr>
            <w:r>
              <w:t>Eaton</w:t>
            </w:r>
          </w:p>
        </w:tc>
        <w:tc>
          <w:tcPr>
            <w:tcW w:w="2173" w:type="dxa"/>
            <w:vAlign w:val="bottom"/>
          </w:tcPr>
          <w:p>
            <w:pPr>
              <w:pStyle w:val="yTableNAm"/>
              <w:jc w:val="center"/>
            </w:pPr>
            <w:r>
              <w:t>9.731</w:t>
            </w:r>
          </w:p>
        </w:tc>
        <w:tc>
          <w:tcPr>
            <w:tcW w:w="2174" w:type="dxa"/>
            <w:vAlign w:val="bottom"/>
          </w:tcPr>
          <w:p>
            <w:pPr>
              <w:pStyle w:val="yTableNAm"/>
              <w:jc w:val="center"/>
            </w:pPr>
            <w:r>
              <w:t>5.340</w:t>
            </w:r>
          </w:p>
        </w:tc>
      </w:tr>
      <w:tr>
        <w:trPr>
          <w:gridAfter w:val="1"/>
          <w:wAfter w:w="33" w:type="dxa"/>
          <w:cantSplit/>
        </w:trPr>
        <w:tc>
          <w:tcPr>
            <w:tcW w:w="2173" w:type="dxa"/>
          </w:tcPr>
          <w:p>
            <w:pPr>
              <w:pStyle w:val="yTableNAm"/>
            </w:pPr>
            <w:r>
              <w:t>Eneabba</w:t>
            </w:r>
          </w:p>
        </w:tc>
        <w:tc>
          <w:tcPr>
            <w:tcW w:w="2173" w:type="dxa"/>
            <w:vAlign w:val="bottom"/>
          </w:tcPr>
          <w:p>
            <w:pPr>
              <w:pStyle w:val="yTableNAm"/>
              <w:jc w:val="center"/>
            </w:pPr>
            <w:r>
              <w:t>12.000</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Esperance</w:t>
            </w:r>
          </w:p>
        </w:tc>
        <w:tc>
          <w:tcPr>
            <w:tcW w:w="2173" w:type="dxa"/>
            <w:vAlign w:val="bottom"/>
          </w:tcPr>
          <w:p>
            <w:pPr>
              <w:pStyle w:val="yTableNAm"/>
              <w:jc w:val="center"/>
            </w:pPr>
            <w:r>
              <w:t>7.163</w:t>
            </w:r>
          </w:p>
        </w:tc>
        <w:tc>
          <w:tcPr>
            <w:tcW w:w="2174" w:type="dxa"/>
            <w:vAlign w:val="bottom"/>
          </w:tcPr>
          <w:p>
            <w:pPr>
              <w:pStyle w:val="yTableNAm"/>
              <w:jc w:val="center"/>
            </w:pPr>
            <w:r>
              <w:t>6.297</w:t>
            </w:r>
          </w:p>
        </w:tc>
      </w:tr>
      <w:tr>
        <w:trPr>
          <w:gridAfter w:val="1"/>
          <w:wAfter w:w="33" w:type="dxa"/>
          <w:cantSplit/>
        </w:trPr>
        <w:tc>
          <w:tcPr>
            <w:tcW w:w="2173" w:type="dxa"/>
          </w:tcPr>
          <w:p>
            <w:pPr>
              <w:pStyle w:val="yTableNAm"/>
            </w:pPr>
            <w:r>
              <w:t>Exmouth</w:t>
            </w:r>
          </w:p>
        </w:tc>
        <w:tc>
          <w:tcPr>
            <w:tcW w:w="2173" w:type="dxa"/>
            <w:vAlign w:val="bottom"/>
          </w:tcPr>
          <w:p>
            <w:pPr>
              <w:pStyle w:val="yTableNAm"/>
              <w:jc w:val="center"/>
            </w:pPr>
            <w:r>
              <w:t>3.725</w:t>
            </w:r>
          </w:p>
        </w:tc>
        <w:tc>
          <w:tcPr>
            <w:tcW w:w="2174" w:type="dxa"/>
            <w:vAlign w:val="bottom"/>
          </w:tcPr>
          <w:p>
            <w:pPr>
              <w:pStyle w:val="yTableNAm"/>
              <w:jc w:val="center"/>
            </w:pPr>
            <w:r>
              <w:t>1.474</w:t>
            </w:r>
          </w:p>
        </w:tc>
      </w:tr>
      <w:tr>
        <w:trPr>
          <w:gridAfter w:val="1"/>
          <w:wAfter w:w="33" w:type="dxa"/>
          <w:cantSplit/>
        </w:trPr>
        <w:tc>
          <w:tcPr>
            <w:tcW w:w="2173" w:type="dxa"/>
          </w:tcPr>
          <w:p>
            <w:pPr>
              <w:pStyle w:val="yTableNAm"/>
            </w:pPr>
            <w:r>
              <w:t>Fitzroy Crossing</w:t>
            </w:r>
          </w:p>
        </w:tc>
        <w:tc>
          <w:tcPr>
            <w:tcW w:w="2173" w:type="dxa"/>
            <w:vAlign w:val="bottom"/>
          </w:tcPr>
          <w:p>
            <w:pPr>
              <w:pStyle w:val="yTableNAm"/>
              <w:jc w:val="center"/>
            </w:pPr>
            <w:r>
              <w:t>12.000</w:t>
            </w:r>
          </w:p>
        </w:tc>
        <w:tc>
          <w:tcPr>
            <w:tcW w:w="2174" w:type="dxa"/>
            <w:vAlign w:val="bottom"/>
          </w:tcPr>
          <w:p>
            <w:pPr>
              <w:pStyle w:val="yTableNAm"/>
              <w:jc w:val="center"/>
            </w:pPr>
            <w:r>
              <w:t>10.874</w:t>
            </w:r>
          </w:p>
        </w:tc>
      </w:tr>
      <w:tr>
        <w:trPr>
          <w:gridAfter w:val="1"/>
          <w:wAfter w:w="33" w:type="dxa"/>
          <w:cantSplit/>
        </w:trPr>
        <w:tc>
          <w:tcPr>
            <w:tcW w:w="2173" w:type="dxa"/>
          </w:tcPr>
          <w:p>
            <w:pPr>
              <w:pStyle w:val="yTableNAm"/>
            </w:pPr>
            <w:r>
              <w:t>Geraldton</w:t>
            </w:r>
          </w:p>
        </w:tc>
        <w:tc>
          <w:tcPr>
            <w:tcW w:w="2173" w:type="dxa"/>
            <w:vAlign w:val="bottom"/>
          </w:tcPr>
          <w:p>
            <w:pPr>
              <w:pStyle w:val="yTableNAm"/>
              <w:jc w:val="center"/>
            </w:pPr>
            <w:r>
              <w:t>6.785</w:t>
            </w:r>
          </w:p>
        </w:tc>
        <w:tc>
          <w:tcPr>
            <w:tcW w:w="2174" w:type="dxa"/>
            <w:vAlign w:val="bottom"/>
          </w:tcPr>
          <w:p>
            <w:pPr>
              <w:pStyle w:val="yTableNAm"/>
              <w:jc w:val="center"/>
            </w:pPr>
            <w:r>
              <w:t>6.065</w:t>
            </w:r>
          </w:p>
        </w:tc>
      </w:tr>
      <w:tr>
        <w:trPr>
          <w:gridAfter w:val="1"/>
          <w:wAfter w:w="33" w:type="dxa"/>
          <w:cantSplit/>
        </w:trPr>
        <w:tc>
          <w:tcPr>
            <w:tcW w:w="2173" w:type="dxa"/>
          </w:tcPr>
          <w:p>
            <w:pPr>
              <w:pStyle w:val="yTableNAm"/>
            </w:pPr>
            <w:r>
              <w:t>Gnarabup</w:t>
            </w:r>
          </w:p>
        </w:tc>
        <w:tc>
          <w:tcPr>
            <w:tcW w:w="2173" w:type="dxa"/>
            <w:vAlign w:val="bottom"/>
          </w:tcPr>
          <w:p>
            <w:pPr>
              <w:pStyle w:val="yTableNAm"/>
              <w:jc w:val="center"/>
            </w:pPr>
            <w:r>
              <w:t>5.910</w:t>
            </w:r>
          </w:p>
        </w:tc>
        <w:tc>
          <w:tcPr>
            <w:tcW w:w="2174" w:type="dxa"/>
            <w:vAlign w:val="bottom"/>
          </w:tcPr>
          <w:p>
            <w:pPr>
              <w:pStyle w:val="yTableNAm"/>
              <w:jc w:val="center"/>
            </w:pPr>
            <w:r>
              <w:t>5.947</w:t>
            </w:r>
          </w:p>
        </w:tc>
      </w:tr>
      <w:tr>
        <w:trPr>
          <w:gridAfter w:val="1"/>
          <w:wAfter w:w="33" w:type="dxa"/>
          <w:cantSplit/>
        </w:trPr>
        <w:tc>
          <w:tcPr>
            <w:tcW w:w="2173" w:type="dxa"/>
          </w:tcPr>
          <w:p>
            <w:pPr>
              <w:pStyle w:val="yTableNAm"/>
            </w:pPr>
            <w:r>
              <w:t>Gnowangerup</w:t>
            </w:r>
          </w:p>
        </w:tc>
        <w:tc>
          <w:tcPr>
            <w:tcW w:w="2173" w:type="dxa"/>
            <w:vAlign w:val="bottom"/>
          </w:tcPr>
          <w:p>
            <w:pPr>
              <w:pStyle w:val="yTableNAm"/>
              <w:jc w:val="center"/>
            </w:pPr>
            <w:r>
              <w:t>10.733</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Greenhead</w:t>
            </w:r>
          </w:p>
        </w:tc>
        <w:tc>
          <w:tcPr>
            <w:tcW w:w="2173" w:type="dxa"/>
            <w:vAlign w:val="bottom"/>
          </w:tcPr>
          <w:p>
            <w:pPr>
              <w:pStyle w:val="yTableNAm"/>
              <w:jc w:val="center"/>
            </w:pPr>
            <w:r>
              <w:t>12.000</w:t>
            </w:r>
          </w:p>
        </w:tc>
        <w:tc>
          <w:tcPr>
            <w:tcW w:w="2174" w:type="dxa"/>
            <w:vAlign w:val="bottom"/>
          </w:tcPr>
          <w:p>
            <w:pPr>
              <w:pStyle w:val="yTableNAm"/>
              <w:jc w:val="center"/>
            </w:pPr>
            <w:r>
              <w:t>5.284</w:t>
            </w:r>
          </w:p>
        </w:tc>
      </w:tr>
      <w:tr>
        <w:trPr>
          <w:gridAfter w:val="1"/>
          <w:wAfter w:w="33" w:type="dxa"/>
          <w:cantSplit/>
        </w:trPr>
        <w:tc>
          <w:tcPr>
            <w:tcW w:w="2173" w:type="dxa"/>
          </w:tcPr>
          <w:p>
            <w:pPr>
              <w:pStyle w:val="yTableNAm"/>
            </w:pPr>
            <w:r>
              <w:t>Halls Creek</w:t>
            </w:r>
          </w:p>
        </w:tc>
        <w:tc>
          <w:tcPr>
            <w:tcW w:w="2173" w:type="dxa"/>
            <w:vAlign w:val="bottom"/>
          </w:tcPr>
          <w:p>
            <w:pPr>
              <w:pStyle w:val="yTableNAm"/>
              <w:jc w:val="center"/>
            </w:pPr>
            <w:r>
              <w:t>11.058</w:t>
            </w:r>
          </w:p>
        </w:tc>
        <w:tc>
          <w:tcPr>
            <w:tcW w:w="2174" w:type="dxa"/>
            <w:vAlign w:val="bottom"/>
          </w:tcPr>
          <w:p>
            <w:pPr>
              <w:pStyle w:val="yTableNAm"/>
              <w:jc w:val="center"/>
            </w:pPr>
            <w:r>
              <w:t>9.406</w:t>
            </w:r>
          </w:p>
        </w:tc>
      </w:tr>
      <w:tr>
        <w:trPr>
          <w:gridAfter w:val="1"/>
          <w:wAfter w:w="33" w:type="dxa"/>
          <w:cantSplit/>
        </w:trPr>
        <w:tc>
          <w:tcPr>
            <w:tcW w:w="2173" w:type="dxa"/>
          </w:tcPr>
          <w:p>
            <w:pPr>
              <w:pStyle w:val="yTableNAm"/>
            </w:pPr>
            <w:r>
              <w:t>Harvey</w:t>
            </w:r>
          </w:p>
        </w:tc>
        <w:tc>
          <w:tcPr>
            <w:tcW w:w="2173" w:type="dxa"/>
            <w:vAlign w:val="bottom"/>
          </w:tcPr>
          <w:p>
            <w:pPr>
              <w:pStyle w:val="yTableNAm"/>
              <w:jc w:val="center"/>
            </w:pPr>
            <w:r>
              <w:t>7.006</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Hopetoun</w:t>
            </w:r>
          </w:p>
        </w:tc>
        <w:tc>
          <w:tcPr>
            <w:tcW w:w="2173" w:type="dxa"/>
            <w:vAlign w:val="bottom"/>
          </w:tcPr>
          <w:p>
            <w:pPr>
              <w:pStyle w:val="yTableNAm"/>
              <w:jc w:val="center"/>
            </w:pPr>
            <w:r>
              <w:t>12.000</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Horrocks</w:t>
            </w:r>
          </w:p>
        </w:tc>
        <w:tc>
          <w:tcPr>
            <w:tcW w:w="2173" w:type="dxa"/>
            <w:vAlign w:val="bottom"/>
          </w:tcPr>
          <w:p>
            <w:pPr>
              <w:pStyle w:val="yTableNAm"/>
              <w:jc w:val="center"/>
            </w:pPr>
            <w:r>
              <w:t>12.000</w:t>
            </w:r>
          </w:p>
        </w:tc>
        <w:tc>
          <w:tcPr>
            <w:tcW w:w="2174" w:type="dxa"/>
            <w:vAlign w:val="bottom"/>
          </w:tcPr>
          <w:p>
            <w:pPr>
              <w:pStyle w:val="yTableNAm"/>
              <w:jc w:val="center"/>
            </w:pPr>
            <w:r>
              <w:t>10.453</w:t>
            </w:r>
          </w:p>
        </w:tc>
      </w:tr>
      <w:tr>
        <w:trPr>
          <w:gridAfter w:val="1"/>
          <w:wAfter w:w="33" w:type="dxa"/>
          <w:cantSplit/>
        </w:trPr>
        <w:tc>
          <w:tcPr>
            <w:tcW w:w="2173" w:type="dxa"/>
          </w:tcPr>
          <w:p>
            <w:pPr>
              <w:pStyle w:val="yTableNAm"/>
            </w:pPr>
            <w:r>
              <w:t>Jurien Bay</w:t>
            </w:r>
          </w:p>
        </w:tc>
        <w:tc>
          <w:tcPr>
            <w:tcW w:w="2173" w:type="dxa"/>
            <w:vAlign w:val="bottom"/>
          </w:tcPr>
          <w:p>
            <w:pPr>
              <w:pStyle w:val="yTableNAm"/>
              <w:jc w:val="center"/>
            </w:pPr>
            <w:r>
              <w:t>10.354</w:t>
            </w:r>
          </w:p>
        </w:tc>
        <w:tc>
          <w:tcPr>
            <w:tcW w:w="2174" w:type="dxa"/>
            <w:vAlign w:val="bottom"/>
          </w:tcPr>
          <w:p>
            <w:pPr>
              <w:pStyle w:val="yTableNAm"/>
              <w:jc w:val="center"/>
            </w:pPr>
            <w:r>
              <w:t>4.430</w:t>
            </w:r>
          </w:p>
        </w:tc>
      </w:tr>
      <w:tr>
        <w:trPr>
          <w:gridAfter w:val="1"/>
          <w:wAfter w:w="33" w:type="dxa"/>
          <w:cantSplit/>
        </w:trPr>
        <w:tc>
          <w:tcPr>
            <w:tcW w:w="2173" w:type="dxa"/>
          </w:tcPr>
          <w:p>
            <w:pPr>
              <w:pStyle w:val="yTableNAm"/>
            </w:pPr>
            <w:r>
              <w:t>Kalbarri</w:t>
            </w:r>
          </w:p>
        </w:tc>
        <w:tc>
          <w:tcPr>
            <w:tcW w:w="2173" w:type="dxa"/>
            <w:vAlign w:val="bottom"/>
          </w:tcPr>
          <w:p>
            <w:pPr>
              <w:pStyle w:val="yTableNAm"/>
              <w:jc w:val="center"/>
            </w:pPr>
            <w:r>
              <w:t>6.820</w:t>
            </w:r>
          </w:p>
        </w:tc>
        <w:tc>
          <w:tcPr>
            <w:tcW w:w="2174" w:type="dxa"/>
            <w:vAlign w:val="bottom"/>
          </w:tcPr>
          <w:p>
            <w:pPr>
              <w:pStyle w:val="yTableNAm"/>
              <w:jc w:val="center"/>
            </w:pPr>
            <w:r>
              <w:t>3.504</w:t>
            </w:r>
          </w:p>
        </w:tc>
      </w:tr>
      <w:tr>
        <w:trPr>
          <w:gridAfter w:val="1"/>
          <w:wAfter w:w="33" w:type="dxa"/>
          <w:cantSplit/>
        </w:trPr>
        <w:tc>
          <w:tcPr>
            <w:tcW w:w="2173" w:type="dxa"/>
          </w:tcPr>
          <w:p>
            <w:pPr>
              <w:pStyle w:val="yTableNAm"/>
            </w:pPr>
            <w:r>
              <w:t>Kambalda</w:t>
            </w:r>
          </w:p>
        </w:tc>
        <w:tc>
          <w:tcPr>
            <w:tcW w:w="2173" w:type="dxa"/>
            <w:vAlign w:val="bottom"/>
          </w:tcPr>
          <w:p>
            <w:pPr>
              <w:pStyle w:val="yTableNAm"/>
              <w:jc w:val="center"/>
            </w:pPr>
            <w:r>
              <w:t>6.587</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Karratha</w:t>
            </w:r>
          </w:p>
        </w:tc>
        <w:tc>
          <w:tcPr>
            <w:tcW w:w="2173" w:type="dxa"/>
            <w:vAlign w:val="bottom"/>
          </w:tcPr>
          <w:p>
            <w:pPr>
              <w:pStyle w:val="yTableNAm"/>
              <w:jc w:val="center"/>
            </w:pPr>
            <w:r>
              <w:t>0.926</w:t>
            </w:r>
          </w:p>
        </w:tc>
        <w:tc>
          <w:tcPr>
            <w:tcW w:w="2174" w:type="dxa"/>
            <w:vAlign w:val="bottom"/>
          </w:tcPr>
          <w:p>
            <w:pPr>
              <w:pStyle w:val="yTableNAm"/>
              <w:jc w:val="center"/>
            </w:pPr>
            <w:r>
              <w:t>3.212</w:t>
            </w:r>
          </w:p>
        </w:tc>
      </w:tr>
      <w:tr>
        <w:trPr>
          <w:gridAfter w:val="1"/>
          <w:wAfter w:w="33" w:type="dxa"/>
          <w:cantSplit/>
        </w:trPr>
        <w:tc>
          <w:tcPr>
            <w:tcW w:w="2173" w:type="dxa"/>
          </w:tcPr>
          <w:p>
            <w:pPr>
              <w:pStyle w:val="yTableNAm"/>
            </w:pPr>
            <w:r>
              <w:t>Katanning</w:t>
            </w:r>
          </w:p>
        </w:tc>
        <w:tc>
          <w:tcPr>
            <w:tcW w:w="2173" w:type="dxa"/>
            <w:vAlign w:val="bottom"/>
          </w:tcPr>
          <w:p>
            <w:pPr>
              <w:pStyle w:val="yTableNAm"/>
              <w:jc w:val="center"/>
            </w:pPr>
            <w:r>
              <w:t>6.653</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Kellerberrin</w:t>
            </w:r>
          </w:p>
        </w:tc>
        <w:tc>
          <w:tcPr>
            <w:tcW w:w="2173" w:type="dxa"/>
            <w:vAlign w:val="bottom"/>
          </w:tcPr>
          <w:p>
            <w:pPr>
              <w:pStyle w:val="yTableNAm"/>
              <w:jc w:val="center"/>
            </w:pPr>
            <w:r>
              <w:t>12.000</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Kojonup</w:t>
            </w:r>
          </w:p>
        </w:tc>
        <w:tc>
          <w:tcPr>
            <w:tcW w:w="2173" w:type="dxa"/>
            <w:vAlign w:val="bottom"/>
          </w:tcPr>
          <w:p>
            <w:pPr>
              <w:pStyle w:val="yTableNAm"/>
              <w:jc w:val="center"/>
            </w:pPr>
            <w:r>
              <w:t>9.509</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Kulin</w:t>
            </w:r>
          </w:p>
        </w:tc>
        <w:tc>
          <w:tcPr>
            <w:tcW w:w="2173" w:type="dxa"/>
            <w:vAlign w:val="bottom"/>
          </w:tcPr>
          <w:p>
            <w:pPr>
              <w:pStyle w:val="yTableNAm"/>
              <w:jc w:val="center"/>
            </w:pPr>
            <w:r>
              <w:t>9.130</w:t>
            </w:r>
          </w:p>
        </w:tc>
        <w:tc>
          <w:tcPr>
            <w:tcW w:w="2174" w:type="dxa"/>
            <w:vAlign w:val="bottom"/>
          </w:tcPr>
          <w:p>
            <w:pPr>
              <w:pStyle w:val="yTableNAm"/>
              <w:jc w:val="center"/>
            </w:pPr>
            <w:r>
              <w:t>11.415</w:t>
            </w:r>
          </w:p>
        </w:tc>
      </w:tr>
      <w:tr>
        <w:trPr>
          <w:gridAfter w:val="1"/>
          <w:wAfter w:w="33" w:type="dxa"/>
          <w:cantSplit/>
        </w:trPr>
        <w:tc>
          <w:tcPr>
            <w:tcW w:w="2173" w:type="dxa"/>
          </w:tcPr>
          <w:p>
            <w:pPr>
              <w:pStyle w:val="yTableNAm"/>
            </w:pPr>
            <w:r>
              <w:t>Kununurra</w:t>
            </w:r>
          </w:p>
        </w:tc>
        <w:tc>
          <w:tcPr>
            <w:tcW w:w="2173" w:type="dxa"/>
            <w:vAlign w:val="bottom"/>
          </w:tcPr>
          <w:p>
            <w:pPr>
              <w:pStyle w:val="yTableNAm"/>
              <w:jc w:val="center"/>
            </w:pPr>
            <w:r>
              <w:t>4.134</w:t>
            </w:r>
          </w:p>
        </w:tc>
        <w:tc>
          <w:tcPr>
            <w:tcW w:w="2174" w:type="dxa"/>
            <w:vAlign w:val="bottom"/>
          </w:tcPr>
          <w:p>
            <w:pPr>
              <w:pStyle w:val="yTableNAm"/>
              <w:jc w:val="center"/>
            </w:pPr>
            <w:r>
              <w:t>5.774</w:t>
            </w:r>
          </w:p>
        </w:tc>
      </w:tr>
      <w:tr>
        <w:trPr>
          <w:gridAfter w:val="1"/>
          <w:wAfter w:w="33" w:type="dxa"/>
          <w:cantSplit/>
        </w:trPr>
        <w:tc>
          <w:tcPr>
            <w:tcW w:w="2173" w:type="dxa"/>
          </w:tcPr>
          <w:p>
            <w:pPr>
              <w:pStyle w:val="yTableNAm"/>
            </w:pPr>
            <w:r>
              <w:t>Lancelin</w:t>
            </w:r>
          </w:p>
        </w:tc>
        <w:tc>
          <w:tcPr>
            <w:tcW w:w="2173" w:type="dxa"/>
            <w:vAlign w:val="bottom"/>
          </w:tcPr>
          <w:p>
            <w:pPr>
              <w:pStyle w:val="yTableNAm"/>
              <w:jc w:val="center"/>
            </w:pPr>
            <w:r>
              <w:t>7.350</w:t>
            </w:r>
          </w:p>
        </w:tc>
        <w:tc>
          <w:tcPr>
            <w:tcW w:w="2174" w:type="dxa"/>
            <w:vAlign w:val="bottom"/>
          </w:tcPr>
          <w:p>
            <w:pPr>
              <w:pStyle w:val="yTableNAm"/>
              <w:jc w:val="center"/>
            </w:pPr>
            <w:r>
              <w:t>2.999</w:t>
            </w:r>
          </w:p>
        </w:tc>
      </w:tr>
      <w:tr>
        <w:trPr>
          <w:gridAfter w:val="1"/>
          <w:wAfter w:w="33" w:type="dxa"/>
          <w:cantSplit/>
        </w:trPr>
        <w:tc>
          <w:tcPr>
            <w:tcW w:w="2173" w:type="dxa"/>
          </w:tcPr>
          <w:p>
            <w:pPr>
              <w:pStyle w:val="yTableNAm"/>
            </w:pPr>
            <w:r>
              <w:t>Laverton</w:t>
            </w:r>
          </w:p>
        </w:tc>
        <w:tc>
          <w:tcPr>
            <w:tcW w:w="2173" w:type="dxa"/>
            <w:vAlign w:val="bottom"/>
          </w:tcPr>
          <w:p>
            <w:pPr>
              <w:pStyle w:val="yTableNAm"/>
              <w:jc w:val="center"/>
            </w:pPr>
            <w:r>
              <w:t>9.562</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Ledge Point</w:t>
            </w:r>
          </w:p>
        </w:tc>
        <w:tc>
          <w:tcPr>
            <w:tcW w:w="2173" w:type="dxa"/>
            <w:vAlign w:val="bottom"/>
          </w:tcPr>
          <w:p>
            <w:pPr>
              <w:pStyle w:val="yTableNAm"/>
              <w:jc w:val="center"/>
            </w:pPr>
            <w:r>
              <w:t>5.510</w:t>
            </w:r>
          </w:p>
        </w:tc>
        <w:tc>
          <w:tcPr>
            <w:tcW w:w="2174" w:type="dxa"/>
            <w:vAlign w:val="bottom"/>
          </w:tcPr>
          <w:p>
            <w:pPr>
              <w:pStyle w:val="yTableNAm"/>
              <w:jc w:val="center"/>
            </w:pPr>
            <w:r>
              <w:t>3.723</w:t>
            </w:r>
          </w:p>
        </w:tc>
      </w:tr>
      <w:tr>
        <w:trPr>
          <w:gridAfter w:val="1"/>
          <w:wAfter w:w="33" w:type="dxa"/>
          <w:cantSplit/>
        </w:trPr>
        <w:tc>
          <w:tcPr>
            <w:tcW w:w="2173" w:type="dxa"/>
          </w:tcPr>
          <w:p>
            <w:pPr>
              <w:pStyle w:val="yTableNAm"/>
            </w:pPr>
            <w:r>
              <w:t>Leeman</w:t>
            </w:r>
          </w:p>
        </w:tc>
        <w:tc>
          <w:tcPr>
            <w:tcW w:w="2173" w:type="dxa"/>
            <w:vAlign w:val="bottom"/>
          </w:tcPr>
          <w:p>
            <w:pPr>
              <w:pStyle w:val="yTableNAm"/>
              <w:jc w:val="center"/>
            </w:pPr>
            <w:r>
              <w:t>12.000</w:t>
            </w:r>
          </w:p>
        </w:tc>
        <w:tc>
          <w:tcPr>
            <w:tcW w:w="2174" w:type="dxa"/>
            <w:vAlign w:val="bottom"/>
          </w:tcPr>
          <w:p>
            <w:pPr>
              <w:pStyle w:val="yTableNAm"/>
              <w:jc w:val="center"/>
            </w:pPr>
            <w:r>
              <w:t>6.009</w:t>
            </w:r>
          </w:p>
        </w:tc>
      </w:tr>
      <w:tr>
        <w:trPr>
          <w:gridAfter w:val="1"/>
          <w:wAfter w:w="33" w:type="dxa"/>
          <w:cantSplit/>
        </w:trPr>
        <w:tc>
          <w:tcPr>
            <w:tcW w:w="2173" w:type="dxa"/>
          </w:tcPr>
          <w:p>
            <w:pPr>
              <w:pStyle w:val="yTableNAm"/>
            </w:pPr>
            <w:r>
              <w:t>Leonora</w:t>
            </w:r>
          </w:p>
        </w:tc>
        <w:tc>
          <w:tcPr>
            <w:tcW w:w="2173" w:type="dxa"/>
            <w:vAlign w:val="bottom"/>
          </w:tcPr>
          <w:p>
            <w:pPr>
              <w:pStyle w:val="yTableNAm"/>
              <w:jc w:val="center"/>
            </w:pPr>
            <w:r>
              <w:t>9.004</w:t>
            </w:r>
          </w:p>
        </w:tc>
        <w:tc>
          <w:tcPr>
            <w:tcW w:w="2174" w:type="dxa"/>
            <w:vAlign w:val="bottom"/>
          </w:tcPr>
          <w:p>
            <w:pPr>
              <w:pStyle w:val="yTableNAm"/>
              <w:jc w:val="center"/>
            </w:pPr>
            <w:r>
              <w:t>11.272</w:t>
            </w:r>
          </w:p>
        </w:tc>
      </w:tr>
      <w:tr>
        <w:trPr>
          <w:gridAfter w:val="1"/>
          <w:wAfter w:w="33" w:type="dxa"/>
          <w:cantSplit/>
        </w:trPr>
        <w:tc>
          <w:tcPr>
            <w:tcW w:w="2173" w:type="dxa"/>
          </w:tcPr>
          <w:p>
            <w:pPr>
              <w:pStyle w:val="yTableNAm"/>
            </w:pPr>
            <w:r>
              <w:t>Mandurah</w:t>
            </w:r>
          </w:p>
        </w:tc>
        <w:tc>
          <w:tcPr>
            <w:tcW w:w="2173" w:type="dxa"/>
            <w:vAlign w:val="bottom"/>
          </w:tcPr>
          <w:p>
            <w:pPr>
              <w:pStyle w:val="yTableNAm"/>
              <w:jc w:val="center"/>
            </w:pPr>
            <w:r>
              <w:t>6.119</w:t>
            </w:r>
          </w:p>
        </w:tc>
        <w:tc>
          <w:tcPr>
            <w:tcW w:w="2174" w:type="dxa"/>
            <w:vAlign w:val="bottom"/>
          </w:tcPr>
          <w:p>
            <w:pPr>
              <w:pStyle w:val="yTableNAm"/>
              <w:jc w:val="center"/>
            </w:pPr>
            <w:r>
              <w:t>5.444</w:t>
            </w:r>
          </w:p>
        </w:tc>
      </w:tr>
      <w:tr>
        <w:trPr>
          <w:gridAfter w:val="1"/>
          <w:wAfter w:w="33" w:type="dxa"/>
          <w:cantSplit/>
        </w:trPr>
        <w:tc>
          <w:tcPr>
            <w:tcW w:w="2173" w:type="dxa"/>
          </w:tcPr>
          <w:p>
            <w:pPr>
              <w:pStyle w:val="yTableNAm"/>
            </w:pPr>
            <w:r>
              <w:t>Manjimup</w:t>
            </w:r>
          </w:p>
        </w:tc>
        <w:tc>
          <w:tcPr>
            <w:tcW w:w="2173" w:type="dxa"/>
            <w:vAlign w:val="bottom"/>
          </w:tcPr>
          <w:p>
            <w:pPr>
              <w:pStyle w:val="yTableNAm"/>
              <w:jc w:val="center"/>
            </w:pPr>
            <w:r>
              <w:t>12.000</w:t>
            </w:r>
          </w:p>
        </w:tc>
        <w:tc>
          <w:tcPr>
            <w:tcW w:w="2174" w:type="dxa"/>
            <w:vAlign w:val="bottom"/>
          </w:tcPr>
          <w:p>
            <w:pPr>
              <w:pStyle w:val="yTableNAm"/>
              <w:jc w:val="center"/>
            </w:pPr>
            <w:r>
              <w:t>8.707</w:t>
            </w:r>
          </w:p>
        </w:tc>
      </w:tr>
      <w:tr>
        <w:trPr>
          <w:gridAfter w:val="1"/>
          <w:wAfter w:w="33" w:type="dxa"/>
          <w:cantSplit/>
        </w:trPr>
        <w:tc>
          <w:tcPr>
            <w:tcW w:w="2173" w:type="dxa"/>
          </w:tcPr>
          <w:p>
            <w:pPr>
              <w:pStyle w:val="yTableNAm"/>
            </w:pPr>
            <w:r>
              <w:t>Margaret River</w:t>
            </w:r>
          </w:p>
        </w:tc>
        <w:tc>
          <w:tcPr>
            <w:tcW w:w="2173" w:type="dxa"/>
            <w:vAlign w:val="bottom"/>
          </w:tcPr>
          <w:p>
            <w:pPr>
              <w:pStyle w:val="yTableNAm"/>
              <w:jc w:val="center"/>
            </w:pPr>
            <w:r>
              <w:t>7.869</w:t>
            </w:r>
          </w:p>
        </w:tc>
        <w:tc>
          <w:tcPr>
            <w:tcW w:w="2174" w:type="dxa"/>
            <w:vAlign w:val="bottom"/>
          </w:tcPr>
          <w:p>
            <w:pPr>
              <w:pStyle w:val="yTableNAm"/>
              <w:jc w:val="center"/>
            </w:pPr>
            <w:r>
              <w:t>6.682</w:t>
            </w:r>
          </w:p>
        </w:tc>
      </w:tr>
      <w:tr>
        <w:trPr>
          <w:gridAfter w:val="1"/>
          <w:wAfter w:w="33" w:type="dxa"/>
          <w:cantSplit/>
        </w:trPr>
        <w:tc>
          <w:tcPr>
            <w:tcW w:w="2173" w:type="dxa"/>
          </w:tcPr>
          <w:p>
            <w:pPr>
              <w:pStyle w:val="yTableNAm"/>
            </w:pPr>
            <w:r>
              <w:t>Meckering</w:t>
            </w:r>
          </w:p>
        </w:tc>
        <w:tc>
          <w:tcPr>
            <w:tcW w:w="2173" w:type="dxa"/>
            <w:vAlign w:val="bottom"/>
          </w:tcPr>
          <w:p>
            <w:pPr>
              <w:pStyle w:val="yTableNAm"/>
              <w:jc w:val="center"/>
            </w:pPr>
            <w:r>
              <w:t>10.152</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Merredin</w:t>
            </w:r>
          </w:p>
        </w:tc>
        <w:tc>
          <w:tcPr>
            <w:tcW w:w="2173" w:type="dxa"/>
            <w:vAlign w:val="bottom"/>
          </w:tcPr>
          <w:p>
            <w:pPr>
              <w:pStyle w:val="yTableNAm"/>
              <w:jc w:val="center"/>
            </w:pPr>
            <w:r>
              <w:t>7.976</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Mount Barker</w:t>
            </w:r>
          </w:p>
        </w:tc>
        <w:tc>
          <w:tcPr>
            <w:tcW w:w="2173" w:type="dxa"/>
            <w:vAlign w:val="bottom"/>
          </w:tcPr>
          <w:p>
            <w:pPr>
              <w:pStyle w:val="yTableNAm"/>
              <w:jc w:val="center"/>
            </w:pPr>
            <w:r>
              <w:t>11.226</w:t>
            </w:r>
          </w:p>
        </w:tc>
        <w:tc>
          <w:tcPr>
            <w:tcW w:w="2174" w:type="dxa"/>
            <w:vAlign w:val="bottom"/>
          </w:tcPr>
          <w:p>
            <w:pPr>
              <w:pStyle w:val="yTableNAm"/>
              <w:jc w:val="center"/>
            </w:pPr>
            <w:r>
              <w:t>5.998</w:t>
            </w:r>
          </w:p>
        </w:tc>
      </w:tr>
      <w:tr>
        <w:trPr>
          <w:gridAfter w:val="1"/>
          <w:wAfter w:w="33" w:type="dxa"/>
          <w:cantSplit/>
        </w:trPr>
        <w:tc>
          <w:tcPr>
            <w:tcW w:w="2173" w:type="dxa"/>
          </w:tcPr>
          <w:p>
            <w:pPr>
              <w:pStyle w:val="yTableNAm"/>
            </w:pPr>
            <w:r>
              <w:t>Mukinbudin</w:t>
            </w:r>
          </w:p>
        </w:tc>
        <w:tc>
          <w:tcPr>
            <w:tcW w:w="2173" w:type="dxa"/>
            <w:vAlign w:val="bottom"/>
          </w:tcPr>
          <w:p>
            <w:pPr>
              <w:pStyle w:val="yTableNAm"/>
              <w:jc w:val="center"/>
            </w:pPr>
            <w:r>
              <w:t>12.000</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Nannup</w:t>
            </w:r>
          </w:p>
        </w:tc>
        <w:tc>
          <w:tcPr>
            <w:tcW w:w="2173" w:type="dxa"/>
            <w:vAlign w:val="bottom"/>
          </w:tcPr>
          <w:p>
            <w:pPr>
              <w:pStyle w:val="yTableNAm"/>
              <w:jc w:val="center"/>
            </w:pPr>
            <w:r>
              <w:t>11.479</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Narembeen</w:t>
            </w:r>
          </w:p>
        </w:tc>
        <w:tc>
          <w:tcPr>
            <w:tcW w:w="2173" w:type="dxa"/>
            <w:vAlign w:val="bottom"/>
          </w:tcPr>
          <w:p>
            <w:pPr>
              <w:pStyle w:val="yTableNAm"/>
              <w:jc w:val="center"/>
            </w:pPr>
            <w:r>
              <w:t>11.186</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Narrogin</w:t>
            </w:r>
          </w:p>
        </w:tc>
        <w:tc>
          <w:tcPr>
            <w:tcW w:w="2173" w:type="dxa"/>
            <w:vAlign w:val="bottom"/>
          </w:tcPr>
          <w:p>
            <w:pPr>
              <w:pStyle w:val="yTableNAm"/>
              <w:jc w:val="center"/>
            </w:pPr>
            <w:r>
              <w:t>5.327</w:t>
            </w:r>
          </w:p>
        </w:tc>
        <w:tc>
          <w:tcPr>
            <w:tcW w:w="2174" w:type="dxa"/>
            <w:vAlign w:val="bottom"/>
          </w:tcPr>
          <w:p>
            <w:pPr>
              <w:pStyle w:val="yTableNAm"/>
              <w:jc w:val="center"/>
            </w:pPr>
            <w:r>
              <w:t>8.343</w:t>
            </w:r>
          </w:p>
        </w:tc>
      </w:tr>
      <w:tr>
        <w:trPr>
          <w:gridAfter w:val="1"/>
          <w:wAfter w:w="33" w:type="dxa"/>
          <w:cantSplit/>
        </w:trPr>
        <w:tc>
          <w:tcPr>
            <w:tcW w:w="2173" w:type="dxa"/>
          </w:tcPr>
          <w:p>
            <w:pPr>
              <w:pStyle w:val="yTableNAm"/>
            </w:pPr>
            <w:r>
              <w:t>Newdegate</w:t>
            </w:r>
          </w:p>
        </w:tc>
        <w:tc>
          <w:tcPr>
            <w:tcW w:w="2173" w:type="dxa"/>
            <w:vAlign w:val="bottom"/>
          </w:tcPr>
          <w:p>
            <w:pPr>
              <w:pStyle w:val="yTableNAm"/>
              <w:jc w:val="center"/>
            </w:pPr>
            <w:r>
              <w:t>12.000</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Newman</w:t>
            </w:r>
          </w:p>
        </w:tc>
        <w:tc>
          <w:tcPr>
            <w:tcW w:w="2173" w:type="dxa"/>
            <w:vAlign w:val="bottom"/>
          </w:tcPr>
          <w:p>
            <w:pPr>
              <w:pStyle w:val="yTableNAm"/>
              <w:jc w:val="center"/>
            </w:pPr>
            <w:r>
              <w:t>0.833</w:t>
            </w:r>
          </w:p>
        </w:tc>
        <w:tc>
          <w:tcPr>
            <w:tcW w:w="2174" w:type="dxa"/>
            <w:vAlign w:val="bottom"/>
          </w:tcPr>
          <w:p>
            <w:pPr>
              <w:pStyle w:val="yTableNAm"/>
              <w:jc w:val="center"/>
            </w:pPr>
            <w:r>
              <w:t>0.724</w:t>
            </w:r>
          </w:p>
        </w:tc>
      </w:tr>
      <w:tr>
        <w:trPr>
          <w:gridAfter w:val="1"/>
          <w:wAfter w:w="33" w:type="dxa"/>
          <w:cantSplit/>
        </w:trPr>
        <w:tc>
          <w:tcPr>
            <w:tcW w:w="2173" w:type="dxa"/>
          </w:tcPr>
          <w:p>
            <w:pPr>
              <w:pStyle w:val="yTableNAm"/>
            </w:pPr>
            <w:r>
              <w:t>Northam</w:t>
            </w:r>
          </w:p>
        </w:tc>
        <w:tc>
          <w:tcPr>
            <w:tcW w:w="2173" w:type="dxa"/>
            <w:vAlign w:val="bottom"/>
          </w:tcPr>
          <w:p>
            <w:pPr>
              <w:pStyle w:val="yTableNAm"/>
              <w:jc w:val="center"/>
            </w:pPr>
            <w:r>
              <w:t>7.510</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Onslow</w:t>
            </w:r>
          </w:p>
        </w:tc>
        <w:tc>
          <w:tcPr>
            <w:tcW w:w="2173" w:type="dxa"/>
            <w:vAlign w:val="bottom"/>
          </w:tcPr>
          <w:p>
            <w:pPr>
              <w:pStyle w:val="yTableNAm"/>
              <w:jc w:val="center"/>
            </w:pPr>
            <w:r>
              <w:t>10.517</w:t>
            </w:r>
          </w:p>
        </w:tc>
        <w:tc>
          <w:tcPr>
            <w:tcW w:w="2174" w:type="dxa"/>
            <w:vAlign w:val="bottom"/>
          </w:tcPr>
          <w:p>
            <w:pPr>
              <w:pStyle w:val="yTableNAm"/>
              <w:jc w:val="center"/>
            </w:pPr>
            <w:r>
              <w:t>2.389</w:t>
            </w:r>
          </w:p>
        </w:tc>
      </w:tr>
      <w:tr>
        <w:trPr>
          <w:gridAfter w:val="1"/>
          <w:wAfter w:w="33" w:type="dxa"/>
          <w:cantSplit/>
        </w:trPr>
        <w:tc>
          <w:tcPr>
            <w:tcW w:w="2173" w:type="dxa"/>
          </w:tcPr>
          <w:p>
            <w:pPr>
              <w:pStyle w:val="yTableNAm"/>
            </w:pPr>
            <w:r>
              <w:t>Pemberton</w:t>
            </w:r>
          </w:p>
        </w:tc>
        <w:tc>
          <w:tcPr>
            <w:tcW w:w="2173" w:type="dxa"/>
            <w:vAlign w:val="bottom"/>
          </w:tcPr>
          <w:p>
            <w:pPr>
              <w:pStyle w:val="yTableNAm"/>
              <w:jc w:val="center"/>
            </w:pPr>
            <w:r>
              <w:t>10.986</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Pingelly</w:t>
            </w:r>
          </w:p>
        </w:tc>
        <w:tc>
          <w:tcPr>
            <w:tcW w:w="2173" w:type="dxa"/>
            <w:vAlign w:val="bottom"/>
          </w:tcPr>
          <w:p>
            <w:pPr>
              <w:pStyle w:val="yTableNAm"/>
              <w:jc w:val="center"/>
            </w:pPr>
            <w:r>
              <w:t>9.299</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Pinjarra</w:t>
            </w:r>
          </w:p>
        </w:tc>
        <w:tc>
          <w:tcPr>
            <w:tcW w:w="2173" w:type="dxa"/>
            <w:vAlign w:val="bottom"/>
          </w:tcPr>
          <w:p>
            <w:pPr>
              <w:pStyle w:val="yTableNAm"/>
              <w:jc w:val="center"/>
            </w:pPr>
            <w:r>
              <w:t>6.555</w:t>
            </w:r>
          </w:p>
        </w:tc>
        <w:tc>
          <w:tcPr>
            <w:tcW w:w="2174" w:type="dxa"/>
            <w:vAlign w:val="bottom"/>
          </w:tcPr>
          <w:p>
            <w:pPr>
              <w:pStyle w:val="yTableNAm"/>
              <w:jc w:val="center"/>
            </w:pPr>
            <w:r>
              <w:t>3.834</w:t>
            </w:r>
          </w:p>
        </w:tc>
      </w:tr>
      <w:tr>
        <w:trPr>
          <w:gridAfter w:val="1"/>
          <w:wAfter w:w="33" w:type="dxa"/>
          <w:cantSplit/>
        </w:trPr>
        <w:tc>
          <w:tcPr>
            <w:tcW w:w="2173" w:type="dxa"/>
          </w:tcPr>
          <w:p>
            <w:pPr>
              <w:pStyle w:val="yTableNAm"/>
            </w:pPr>
            <w:r>
              <w:t>Port Hedland</w:t>
            </w:r>
          </w:p>
        </w:tc>
        <w:tc>
          <w:tcPr>
            <w:tcW w:w="2173" w:type="dxa"/>
            <w:vAlign w:val="bottom"/>
          </w:tcPr>
          <w:p>
            <w:pPr>
              <w:pStyle w:val="yTableNAm"/>
              <w:jc w:val="center"/>
            </w:pPr>
            <w:r>
              <w:t>12.000</w:t>
            </w:r>
          </w:p>
        </w:tc>
        <w:tc>
          <w:tcPr>
            <w:tcW w:w="2174" w:type="dxa"/>
            <w:vAlign w:val="bottom"/>
          </w:tcPr>
          <w:p>
            <w:pPr>
              <w:pStyle w:val="yTableNAm"/>
              <w:jc w:val="center"/>
            </w:pPr>
            <w:r>
              <w:t>2.223</w:t>
            </w:r>
          </w:p>
        </w:tc>
      </w:tr>
      <w:tr>
        <w:trPr>
          <w:gridAfter w:val="1"/>
          <w:wAfter w:w="33" w:type="dxa"/>
          <w:cantSplit/>
        </w:trPr>
        <w:tc>
          <w:tcPr>
            <w:tcW w:w="2173" w:type="dxa"/>
          </w:tcPr>
          <w:p>
            <w:pPr>
              <w:pStyle w:val="yTableNAm"/>
            </w:pPr>
            <w:r>
              <w:t>Quairading</w:t>
            </w:r>
          </w:p>
        </w:tc>
        <w:tc>
          <w:tcPr>
            <w:tcW w:w="2173" w:type="dxa"/>
            <w:vAlign w:val="bottom"/>
          </w:tcPr>
          <w:p>
            <w:pPr>
              <w:pStyle w:val="yTableNAm"/>
              <w:jc w:val="center"/>
            </w:pPr>
            <w:r>
              <w:t>12.000</w:t>
            </w:r>
          </w:p>
        </w:tc>
        <w:tc>
          <w:tcPr>
            <w:tcW w:w="2174" w:type="dxa"/>
            <w:vAlign w:val="bottom"/>
          </w:tcPr>
          <w:p>
            <w:pPr>
              <w:pStyle w:val="yTableNAm"/>
              <w:jc w:val="center"/>
            </w:pPr>
            <w:r>
              <w:t>9.810</w:t>
            </w:r>
          </w:p>
        </w:tc>
      </w:tr>
      <w:tr>
        <w:trPr>
          <w:gridAfter w:val="1"/>
          <w:wAfter w:w="33" w:type="dxa"/>
          <w:cantSplit/>
        </w:trPr>
        <w:tc>
          <w:tcPr>
            <w:tcW w:w="2173" w:type="dxa"/>
          </w:tcPr>
          <w:p>
            <w:pPr>
              <w:pStyle w:val="yTableNAm"/>
            </w:pPr>
            <w:r>
              <w:t>Roebourne</w:t>
            </w:r>
          </w:p>
        </w:tc>
        <w:tc>
          <w:tcPr>
            <w:tcW w:w="2173" w:type="dxa"/>
            <w:vAlign w:val="bottom"/>
          </w:tcPr>
          <w:p>
            <w:pPr>
              <w:pStyle w:val="yTableNAm"/>
              <w:jc w:val="center"/>
            </w:pPr>
            <w:r>
              <w:t>7.150</w:t>
            </w:r>
          </w:p>
        </w:tc>
        <w:tc>
          <w:tcPr>
            <w:tcW w:w="2174" w:type="dxa"/>
            <w:vAlign w:val="bottom"/>
          </w:tcPr>
          <w:p>
            <w:pPr>
              <w:pStyle w:val="yTableNAm"/>
              <w:jc w:val="center"/>
            </w:pPr>
            <w:r>
              <w:t>8.630</w:t>
            </w:r>
          </w:p>
        </w:tc>
      </w:tr>
      <w:tr>
        <w:trPr>
          <w:gridAfter w:val="1"/>
          <w:wAfter w:w="33" w:type="dxa"/>
          <w:cantSplit/>
        </w:trPr>
        <w:tc>
          <w:tcPr>
            <w:tcW w:w="2173" w:type="dxa"/>
          </w:tcPr>
          <w:p>
            <w:pPr>
              <w:pStyle w:val="yTableNAm"/>
            </w:pPr>
            <w:r>
              <w:t>Seabird</w:t>
            </w:r>
          </w:p>
        </w:tc>
        <w:tc>
          <w:tcPr>
            <w:tcW w:w="2173" w:type="dxa"/>
            <w:vAlign w:val="bottom"/>
          </w:tcPr>
          <w:p>
            <w:pPr>
              <w:pStyle w:val="yTableNAm"/>
              <w:jc w:val="center"/>
            </w:pPr>
            <w:r>
              <w:t>8.409</w:t>
            </w:r>
          </w:p>
        </w:tc>
        <w:tc>
          <w:tcPr>
            <w:tcW w:w="2174" w:type="dxa"/>
            <w:vAlign w:val="bottom"/>
          </w:tcPr>
          <w:p>
            <w:pPr>
              <w:pStyle w:val="yTableNAm"/>
              <w:jc w:val="center"/>
            </w:pPr>
            <w:r>
              <w:t>6.142</w:t>
            </w:r>
          </w:p>
        </w:tc>
      </w:tr>
      <w:tr>
        <w:tblPrEx>
          <w:tblCellMar>
            <w:left w:w="108" w:type="dxa"/>
            <w:right w:w="108" w:type="dxa"/>
          </w:tblCellMar>
        </w:tblPrEx>
        <w:trPr>
          <w:cantSplit/>
        </w:trPr>
        <w:tc>
          <w:tcPr>
            <w:tcW w:w="2173" w:type="dxa"/>
          </w:tcPr>
          <w:p>
            <w:pPr>
              <w:pStyle w:val="yTableNAm"/>
            </w:pPr>
            <w:r>
              <w:t>Tambellup</w:t>
            </w:r>
          </w:p>
        </w:tc>
        <w:tc>
          <w:tcPr>
            <w:tcW w:w="2173" w:type="dxa"/>
            <w:vAlign w:val="bottom"/>
          </w:tcPr>
          <w:p>
            <w:pPr>
              <w:pStyle w:val="yTableNAm"/>
              <w:jc w:val="center"/>
            </w:pPr>
            <w:r>
              <w:t>12.000</w:t>
            </w:r>
          </w:p>
        </w:tc>
        <w:tc>
          <w:tcPr>
            <w:tcW w:w="2207" w:type="dxa"/>
            <w:gridSpan w:val="2"/>
            <w:vAlign w:val="bottom"/>
          </w:tcPr>
          <w:p>
            <w:pPr>
              <w:pStyle w:val="yTableNAm"/>
              <w:jc w:val="center"/>
            </w:pPr>
            <w:r>
              <w:t>12.000</w:t>
            </w:r>
          </w:p>
        </w:tc>
      </w:tr>
      <w:tr>
        <w:trPr>
          <w:gridAfter w:val="1"/>
          <w:wAfter w:w="33" w:type="dxa"/>
          <w:cantSplit/>
        </w:trPr>
        <w:tc>
          <w:tcPr>
            <w:tcW w:w="2173" w:type="dxa"/>
          </w:tcPr>
          <w:p>
            <w:pPr>
              <w:pStyle w:val="yTableNAm"/>
            </w:pPr>
            <w:r>
              <w:t>Three Springs</w:t>
            </w:r>
          </w:p>
        </w:tc>
        <w:tc>
          <w:tcPr>
            <w:tcW w:w="2173" w:type="dxa"/>
            <w:vAlign w:val="bottom"/>
          </w:tcPr>
          <w:p>
            <w:pPr>
              <w:pStyle w:val="yTableNAm"/>
              <w:jc w:val="center"/>
            </w:pPr>
            <w:r>
              <w:t>7.804</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Toodyay</w:t>
            </w:r>
          </w:p>
        </w:tc>
        <w:tc>
          <w:tcPr>
            <w:tcW w:w="2173" w:type="dxa"/>
            <w:vAlign w:val="bottom"/>
          </w:tcPr>
          <w:p>
            <w:pPr>
              <w:pStyle w:val="yTableNAm"/>
              <w:jc w:val="center"/>
            </w:pPr>
            <w:r>
              <w:t>12.000</w:t>
            </w:r>
          </w:p>
        </w:tc>
        <w:tc>
          <w:tcPr>
            <w:tcW w:w="2174" w:type="dxa"/>
            <w:vAlign w:val="bottom"/>
          </w:tcPr>
          <w:p>
            <w:pPr>
              <w:pStyle w:val="yTableNAm"/>
              <w:jc w:val="center"/>
            </w:pPr>
            <w:r>
              <w:t>8.063</w:t>
            </w:r>
          </w:p>
        </w:tc>
      </w:tr>
      <w:tr>
        <w:trPr>
          <w:gridAfter w:val="1"/>
          <w:wAfter w:w="33" w:type="dxa"/>
          <w:cantSplit/>
        </w:trPr>
        <w:tc>
          <w:tcPr>
            <w:tcW w:w="2173" w:type="dxa"/>
          </w:tcPr>
          <w:p>
            <w:pPr>
              <w:pStyle w:val="yTableNAm"/>
            </w:pPr>
            <w:r>
              <w:t>Wagin</w:t>
            </w:r>
          </w:p>
        </w:tc>
        <w:tc>
          <w:tcPr>
            <w:tcW w:w="2173" w:type="dxa"/>
            <w:vAlign w:val="bottom"/>
          </w:tcPr>
          <w:p>
            <w:pPr>
              <w:pStyle w:val="yTableNAm"/>
              <w:jc w:val="center"/>
            </w:pPr>
            <w:r>
              <w:t>10.625</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Walpole</w:t>
            </w:r>
          </w:p>
        </w:tc>
        <w:tc>
          <w:tcPr>
            <w:tcW w:w="2173" w:type="dxa"/>
            <w:vAlign w:val="bottom"/>
          </w:tcPr>
          <w:p>
            <w:pPr>
              <w:pStyle w:val="yTableNAm"/>
              <w:jc w:val="center"/>
            </w:pPr>
            <w:r>
              <w:t>11.516</w:t>
            </w:r>
          </w:p>
        </w:tc>
        <w:tc>
          <w:tcPr>
            <w:tcW w:w="2174" w:type="dxa"/>
            <w:vAlign w:val="bottom"/>
          </w:tcPr>
          <w:p>
            <w:pPr>
              <w:pStyle w:val="yTableNAm"/>
              <w:jc w:val="center"/>
            </w:pPr>
            <w:r>
              <w:t>10.852</w:t>
            </w:r>
          </w:p>
        </w:tc>
      </w:tr>
      <w:tr>
        <w:trPr>
          <w:gridAfter w:val="1"/>
          <w:wAfter w:w="33" w:type="dxa"/>
          <w:cantSplit/>
        </w:trPr>
        <w:tc>
          <w:tcPr>
            <w:tcW w:w="2173" w:type="dxa"/>
          </w:tcPr>
          <w:p>
            <w:pPr>
              <w:pStyle w:val="yTableNAm"/>
            </w:pPr>
            <w:r>
              <w:t>Waroona</w:t>
            </w:r>
          </w:p>
        </w:tc>
        <w:tc>
          <w:tcPr>
            <w:tcW w:w="2173" w:type="dxa"/>
            <w:vAlign w:val="bottom"/>
          </w:tcPr>
          <w:p>
            <w:pPr>
              <w:pStyle w:val="yTableNAm"/>
              <w:jc w:val="center"/>
            </w:pPr>
            <w:r>
              <w:t>5.664</w:t>
            </w:r>
          </w:p>
        </w:tc>
        <w:tc>
          <w:tcPr>
            <w:tcW w:w="2174" w:type="dxa"/>
            <w:vAlign w:val="bottom"/>
          </w:tcPr>
          <w:p>
            <w:pPr>
              <w:pStyle w:val="yTableNAm"/>
              <w:jc w:val="center"/>
            </w:pPr>
            <w:r>
              <w:t>6.255</w:t>
            </w:r>
          </w:p>
        </w:tc>
      </w:tr>
      <w:tr>
        <w:trPr>
          <w:gridAfter w:val="1"/>
          <w:wAfter w:w="33" w:type="dxa"/>
          <w:cantSplit/>
        </w:trPr>
        <w:tc>
          <w:tcPr>
            <w:tcW w:w="2173" w:type="dxa"/>
          </w:tcPr>
          <w:p>
            <w:pPr>
              <w:pStyle w:val="yTableNAm"/>
            </w:pPr>
            <w:r>
              <w:t>Wickham</w:t>
            </w:r>
          </w:p>
        </w:tc>
        <w:tc>
          <w:tcPr>
            <w:tcW w:w="2173" w:type="dxa"/>
            <w:vAlign w:val="bottom"/>
          </w:tcPr>
          <w:p>
            <w:pPr>
              <w:pStyle w:val="yTableNAm"/>
              <w:jc w:val="center"/>
            </w:pPr>
            <w:r>
              <w:t>4.850</w:t>
            </w:r>
          </w:p>
        </w:tc>
        <w:tc>
          <w:tcPr>
            <w:tcW w:w="2174" w:type="dxa"/>
            <w:vAlign w:val="bottom"/>
          </w:tcPr>
          <w:p>
            <w:pPr>
              <w:pStyle w:val="yTableNAm"/>
              <w:jc w:val="center"/>
            </w:pPr>
            <w:r>
              <w:t>5.445</w:t>
            </w:r>
          </w:p>
        </w:tc>
      </w:tr>
      <w:tr>
        <w:trPr>
          <w:gridAfter w:val="1"/>
          <w:wAfter w:w="33" w:type="dxa"/>
          <w:cantSplit/>
        </w:trPr>
        <w:tc>
          <w:tcPr>
            <w:tcW w:w="2173" w:type="dxa"/>
          </w:tcPr>
          <w:p>
            <w:pPr>
              <w:pStyle w:val="yTableNAm"/>
            </w:pPr>
            <w:r>
              <w:t>Williams</w:t>
            </w:r>
          </w:p>
        </w:tc>
        <w:tc>
          <w:tcPr>
            <w:tcW w:w="2173" w:type="dxa"/>
            <w:vAlign w:val="bottom"/>
          </w:tcPr>
          <w:p>
            <w:pPr>
              <w:pStyle w:val="yTableNAm"/>
              <w:jc w:val="center"/>
            </w:pPr>
            <w:r>
              <w:t>7.377</w:t>
            </w:r>
          </w:p>
        </w:tc>
        <w:tc>
          <w:tcPr>
            <w:tcW w:w="2174" w:type="dxa"/>
            <w:vAlign w:val="bottom"/>
          </w:tcPr>
          <w:p>
            <w:pPr>
              <w:pStyle w:val="yTableNAm"/>
              <w:jc w:val="center"/>
            </w:pPr>
            <w:r>
              <w:t>8.796</w:t>
            </w:r>
          </w:p>
        </w:tc>
      </w:tr>
      <w:tr>
        <w:tblPrEx>
          <w:tblCellMar>
            <w:left w:w="108" w:type="dxa"/>
            <w:right w:w="108" w:type="dxa"/>
          </w:tblCellMar>
        </w:tblPrEx>
        <w:trPr>
          <w:cantSplit/>
        </w:trPr>
        <w:tc>
          <w:tcPr>
            <w:tcW w:w="2173" w:type="dxa"/>
          </w:tcPr>
          <w:p>
            <w:pPr>
              <w:pStyle w:val="yTableNAm"/>
            </w:pPr>
            <w:r>
              <w:t>Wiluna</w:t>
            </w:r>
          </w:p>
        </w:tc>
        <w:tc>
          <w:tcPr>
            <w:tcW w:w="2173" w:type="dxa"/>
            <w:vAlign w:val="bottom"/>
          </w:tcPr>
          <w:p>
            <w:pPr>
              <w:pStyle w:val="yTableNAm"/>
              <w:jc w:val="center"/>
            </w:pPr>
            <w:r>
              <w:t>12.000</w:t>
            </w:r>
          </w:p>
        </w:tc>
        <w:tc>
          <w:tcPr>
            <w:tcW w:w="2207" w:type="dxa"/>
            <w:gridSpan w:val="2"/>
            <w:vAlign w:val="bottom"/>
          </w:tcPr>
          <w:p>
            <w:pPr>
              <w:pStyle w:val="yTableNAm"/>
              <w:jc w:val="center"/>
            </w:pPr>
            <w:r>
              <w:t>12.000</w:t>
            </w:r>
          </w:p>
        </w:tc>
      </w:tr>
      <w:tr>
        <w:trPr>
          <w:gridAfter w:val="1"/>
          <w:wAfter w:w="33" w:type="dxa"/>
          <w:cantSplit/>
        </w:trPr>
        <w:tc>
          <w:tcPr>
            <w:tcW w:w="2173" w:type="dxa"/>
          </w:tcPr>
          <w:p>
            <w:pPr>
              <w:pStyle w:val="yTableNAm"/>
            </w:pPr>
            <w:r>
              <w:t>Wongan Hills</w:t>
            </w:r>
          </w:p>
        </w:tc>
        <w:tc>
          <w:tcPr>
            <w:tcW w:w="2173" w:type="dxa"/>
            <w:vAlign w:val="bottom"/>
          </w:tcPr>
          <w:p>
            <w:pPr>
              <w:pStyle w:val="yTableNAm"/>
              <w:jc w:val="center"/>
            </w:pPr>
            <w:r>
              <w:t>9.250</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Wundowie</w:t>
            </w:r>
          </w:p>
        </w:tc>
        <w:tc>
          <w:tcPr>
            <w:tcW w:w="2173" w:type="dxa"/>
            <w:vAlign w:val="bottom"/>
          </w:tcPr>
          <w:p>
            <w:pPr>
              <w:pStyle w:val="yTableNAm"/>
              <w:jc w:val="center"/>
            </w:pPr>
            <w:r>
              <w:t>8.362</w:t>
            </w:r>
          </w:p>
        </w:tc>
        <w:tc>
          <w:tcPr>
            <w:tcW w:w="2174" w:type="dxa"/>
            <w:vAlign w:val="bottom"/>
          </w:tcPr>
          <w:p>
            <w:pPr>
              <w:pStyle w:val="yTableNAm"/>
              <w:jc w:val="center"/>
            </w:pPr>
            <w:r>
              <w:t>8.755</w:t>
            </w:r>
          </w:p>
        </w:tc>
      </w:tr>
      <w:tr>
        <w:trPr>
          <w:gridAfter w:val="1"/>
          <w:wAfter w:w="33" w:type="dxa"/>
          <w:cantSplit/>
        </w:trPr>
        <w:tc>
          <w:tcPr>
            <w:tcW w:w="2173" w:type="dxa"/>
          </w:tcPr>
          <w:p>
            <w:pPr>
              <w:pStyle w:val="yTableNAm"/>
            </w:pPr>
            <w:r>
              <w:t>Wyalkatchem</w:t>
            </w:r>
          </w:p>
        </w:tc>
        <w:tc>
          <w:tcPr>
            <w:tcW w:w="2173" w:type="dxa"/>
            <w:vAlign w:val="bottom"/>
          </w:tcPr>
          <w:p>
            <w:pPr>
              <w:pStyle w:val="yTableNAm"/>
              <w:jc w:val="center"/>
            </w:pPr>
            <w:r>
              <w:t>11.443</w:t>
            </w:r>
          </w:p>
        </w:tc>
        <w:tc>
          <w:tcPr>
            <w:tcW w:w="2174" w:type="dxa"/>
            <w:vAlign w:val="bottom"/>
          </w:tcPr>
          <w:p>
            <w:pPr>
              <w:pStyle w:val="yTableNAm"/>
              <w:jc w:val="center"/>
            </w:pPr>
            <w:r>
              <w:t>12.000</w:t>
            </w:r>
          </w:p>
        </w:tc>
      </w:tr>
      <w:tr>
        <w:trPr>
          <w:gridAfter w:val="1"/>
          <w:wAfter w:w="33" w:type="dxa"/>
          <w:cantSplit/>
        </w:trPr>
        <w:tc>
          <w:tcPr>
            <w:tcW w:w="2173" w:type="dxa"/>
          </w:tcPr>
          <w:p>
            <w:pPr>
              <w:pStyle w:val="yTableNAm"/>
            </w:pPr>
            <w:r>
              <w:t>Wyndham</w:t>
            </w:r>
          </w:p>
        </w:tc>
        <w:tc>
          <w:tcPr>
            <w:tcW w:w="2173" w:type="dxa"/>
            <w:vAlign w:val="bottom"/>
          </w:tcPr>
          <w:p>
            <w:pPr>
              <w:pStyle w:val="yTableNAm"/>
              <w:jc w:val="center"/>
            </w:pPr>
            <w:r>
              <w:t>8.445</w:t>
            </w:r>
          </w:p>
        </w:tc>
        <w:tc>
          <w:tcPr>
            <w:tcW w:w="2174" w:type="dxa"/>
            <w:vAlign w:val="bottom"/>
          </w:tcPr>
          <w:p>
            <w:pPr>
              <w:pStyle w:val="yTableNAm"/>
              <w:jc w:val="center"/>
            </w:pPr>
            <w:r>
              <w:t>12.000</w:t>
            </w:r>
          </w:p>
        </w:tc>
      </w:tr>
      <w:tr>
        <w:trPr>
          <w:gridAfter w:val="1"/>
          <w:wAfter w:w="33" w:type="dxa"/>
          <w:cantSplit/>
        </w:trPr>
        <w:tc>
          <w:tcPr>
            <w:tcW w:w="2173" w:type="dxa"/>
            <w:tcBorders>
              <w:bottom w:val="single" w:sz="4" w:space="0" w:color="auto"/>
            </w:tcBorders>
          </w:tcPr>
          <w:p>
            <w:pPr>
              <w:pStyle w:val="yTableNAm"/>
            </w:pPr>
            <w:r>
              <w:t>York</w:t>
            </w:r>
          </w:p>
        </w:tc>
        <w:tc>
          <w:tcPr>
            <w:tcW w:w="2173" w:type="dxa"/>
            <w:tcBorders>
              <w:bottom w:val="single" w:sz="4" w:space="0" w:color="auto"/>
            </w:tcBorders>
            <w:vAlign w:val="bottom"/>
          </w:tcPr>
          <w:p>
            <w:pPr>
              <w:pStyle w:val="yTableNAm"/>
              <w:jc w:val="center"/>
            </w:pPr>
            <w:r>
              <w:t>8.673</w:t>
            </w:r>
          </w:p>
        </w:tc>
        <w:tc>
          <w:tcPr>
            <w:tcW w:w="2174" w:type="dxa"/>
            <w:tcBorders>
              <w:bottom w:val="single" w:sz="4" w:space="0" w:color="auto"/>
            </w:tcBorders>
            <w:vAlign w:val="bottom"/>
          </w:tcPr>
          <w:p>
            <w:pPr>
              <w:pStyle w:val="yTableNAm"/>
              <w:jc w:val="center"/>
            </w:pPr>
            <w:r>
              <w:t>12.000</w:t>
            </w:r>
          </w:p>
        </w:tc>
      </w:tr>
    </w:tbl>
    <w:p>
      <w:pPr>
        <w:pStyle w:val="yFootnotesection"/>
      </w:pPr>
      <w:r>
        <w:tab/>
        <w:t>[Division 2 inserted in Gazette 20 Jun 2012 p. 2725</w:t>
      </w:r>
      <w:r>
        <w:noBreakHyphen/>
        <w:t>30.]</w:t>
      </w:r>
    </w:p>
    <w:p>
      <w:pPr>
        <w:pStyle w:val="yHeading3"/>
      </w:pPr>
      <w:bookmarkStart w:id="757" w:name="_Toc84427996"/>
      <w:bookmarkStart w:id="758" w:name="_Toc328403441"/>
      <w:bookmarkStart w:id="759" w:name="_Toc328471490"/>
      <w:r>
        <w:rPr>
          <w:rStyle w:val="CharSDivNo"/>
        </w:rPr>
        <w:t>Division 3</w:t>
      </w:r>
      <w:r>
        <w:t> — </w:t>
      </w:r>
      <w:r>
        <w:rPr>
          <w:rStyle w:val="CharSDivText"/>
        </w:rPr>
        <w:t>Variable charges</w:t>
      </w:r>
      <w:bookmarkEnd w:id="757"/>
      <w:bookmarkEnd w:id="758"/>
      <w:bookmarkEnd w:id="759"/>
    </w:p>
    <w:p>
      <w:pPr>
        <w:pStyle w:val="yFootnoteheading"/>
        <w:spacing w:after="60"/>
      </w:pPr>
      <w:r>
        <w:tab/>
        <w:t>[Heading inserted in Gazette 20 Jun 2012 p. 2730.]</w:t>
      </w:r>
    </w:p>
    <w:tbl>
      <w:tblPr>
        <w:tblW w:w="0" w:type="auto"/>
        <w:tblInd w:w="534" w:type="dxa"/>
        <w:tblLook w:val="0000" w:firstRow="0" w:lastRow="0" w:firstColumn="0" w:lastColumn="0" w:noHBand="0" w:noVBand="0"/>
      </w:tblPr>
      <w:tblGrid>
        <w:gridCol w:w="829"/>
        <w:gridCol w:w="4189"/>
        <w:gridCol w:w="1545"/>
      </w:tblGrid>
      <w:tr>
        <w:trPr>
          <w:cantSplit/>
        </w:trPr>
        <w:tc>
          <w:tcPr>
            <w:tcW w:w="850" w:type="dxa"/>
          </w:tcPr>
          <w:p>
            <w:pPr>
              <w:pStyle w:val="yTableNAm"/>
              <w:rPr>
                <w:b/>
              </w:rPr>
            </w:pPr>
            <w:r>
              <w:rPr>
                <w:b/>
              </w:rPr>
              <w:t>11.</w:t>
            </w:r>
          </w:p>
        </w:tc>
        <w:tc>
          <w:tcPr>
            <w:tcW w:w="5812" w:type="dxa"/>
            <w:gridSpan w:val="2"/>
          </w:tcPr>
          <w:p>
            <w:pPr>
              <w:pStyle w:val="yTableNAm"/>
              <w:rPr>
                <w:b/>
              </w:rPr>
            </w:pPr>
            <w:r>
              <w:rPr>
                <w:b/>
              </w:rPr>
              <w:t>Industrial waste discharged into a sewer of the Corporation pursuant to a permit</w:t>
            </w:r>
          </w:p>
        </w:tc>
      </w:tr>
      <w:tr>
        <w:trPr>
          <w:cantSplit/>
        </w:trPr>
        <w:tc>
          <w:tcPr>
            <w:tcW w:w="850" w:type="dxa"/>
          </w:tcPr>
          <w:p>
            <w:pPr>
              <w:pStyle w:val="yTableNAm"/>
              <w:rPr>
                <w:szCs w:val="22"/>
              </w:rPr>
            </w:pPr>
          </w:p>
        </w:tc>
        <w:tc>
          <w:tcPr>
            <w:tcW w:w="4236" w:type="dxa"/>
          </w:tcPr>
          <w:p>
            <w:pPr>
              <w:pStyle w:val="yTableNAm"/>
              <w:keepNext/>
              <w:keepLines/>
              <w:tabs>
                <w:tab w:val="right" w:leader="dot" w:pos="4253"/>
              </w:tabs>
              <w:rPr>
                <w:spacing w:val="-1"/>
              </w:rPr>
            </w:pPr>
            <w:r>
              <w:t>For industrial waste discharged into a sewer of the Corporation pursuant to a permit —</w:t>
            </w:r>
          </w:p>
        </w:tc>
        <w:tc>
          <w:tcPr>
            <w:tcW w:w="1576" w:type="dxa"/>
          </w:tcPr>
          <w:p>
            <w:pPr>
              <w:pStyle w:val="yTableNAm"/>
              <w:rPr>
                <w:szCs w:val="22"/>
              </w:rPr>
            </w:pP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(a)</w:t>
            </w:r>
            <w:r>
              <w:rPr>
                <w:szCs w:val="22"/>
              </w:rPr>
              <w:tab/>
              <w:t xml:space="preserve">for volume </w:t>
            </w:r>
            <w:r>
              <w:rPr>
                <w:szCs w:val="22"/>
              </w:rPr>
              <w:tab/>
            </w:r>
          </w:p>
        </w:tc>
        <w:tc>
          <w:tcPr>
            <w:tcW w:w="1576" w:type="dxa"/>
            <w:vAlign w:val="bottom"/>
          </w:tcPr>
          <w:p>
            <w:pPr>
              <w:pStyle w:val="yTableNAm"/>
              <w:rPr>
                <w:szCs w:val="22"/>
              </w:rPr>
            </w:pPr>
            <w:r>
              <w:rPr>
                <w:szCs w:val="22"/>
              </w:rPr>
              <w:t>132.0 c/kL</w:t>
            </w:r>
          </w:p>
        </w:tc>
      </w:tr>
      <w:tr>
        <w:trPr>
          <w:cantSplit/>
        </w:trPr>
        <w:tc>
          <w:tcPr>
            <w:tcW w:w="850" w:type="dxa"/>
          </w:tcPr>
          <w:p>
            <w:pPr>
              <w:pStyle w:val="yTableNAm"/>
              <w:rPr>
                <w:szCs w:val="22"/>
              </w:rPr>
            </w:pPr>
          </w:p>
        </w:tc>
        <w:tc>
          <w:tcPr>
            <w:tcW w:w="4236" w:type="dxa"/>
          </w:tcPr>
          <w:p>
            <w:pPr>
              <w:pStyle w:val="yTableNAm"/>
              <w:tabs>
                <w:tab w:val="clear" w:pos="567"/>
                <w:tab w:val="left" w:pos="317"/>
                <w:tab w:val="left" w:pos="743"/>
                <w:tab w:val="right" w:leader="dot" w:pos="4253"/>
              </w:tabs>
              <w:ind w:left="743" w:hanging="709"/>
              <w:rPr>
                <w:szCs w:val="22"/>
              </w:rPr>
            </w:pPr>
            <w:r>
              <w:rPr>
                <w:szCs w:val="22"/>
              </w:rPr>
              <w:tab/>
              <w:t>(b)</w:t>
            </w:r>
            <w:r>
              <w:rPr>
                <w:szCs w:val="22"/>
              </w:rPr>
              <w:tab/>
              <w:t xml:space="preserve">for B.O.D.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5 kg per kL </w:t>
            </w:r>
            <w:r>
              <w:rPr>
                <w:szCs w:val="22"/>
              </w:rPr>
              <w:tab/>
            </w:r>
          </w:p>
        </w:tc>
        <w:tc>
          <w:tcPr>
            <w:tcW w:w="1576" w:type="dxa"/>
            <w:vAlign w:val="bottom"/>
          </w:tcPr>
          <w:p>
            <w:pPr>
              <w:pStyle w:val="yTableNAm"/>
              <w:rPr>
                <w:szCs w:val="22"/>
              </w:rPr>
            </w:pPr>
            <w:r>
              <w:rPr>
                <w:szCs w:val="22"/>
              </w:rPr>
              <w:t>112.0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of over 5 kg per kL </w:t>
            </w:r>
            <w:r>
              <w:rPr>
                <w:szCs w:val="22"/>
              </w:rPr>
              <w:tab/>
            </w:r>
          </w:p>
        </w:tc>
        <w:tc>
          <w:tcPr>
            <w:tcW w:w="1576" w:type="dxa"/>
            <w:vAlign w:val="bottom"/>
          </w:tcPr>
          <w:p>
            <w:pPr>
              <w:pStyle w:val="yTableNAm"/>
              <w:rPr>
                <w:szCs w:val="22"/>
              </w:rPr>
            </w:pPr>
            <w:r>
              <w:rPr>
                <w:szCs w:val="22"/>
              </w:rPr>
              <w:t>226.0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(c)</w:t>
            </w:r>
            <w:r>
              <w:rPr>
                <w:szCs w:val="22"/>
              </w:rPr>
              <w:tab/>
              <w:t xml:space="preserve">for suspended solids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2 kg per kL </w:t>
            </w:r>
            <w:r>
              <w:rPr>
                <w:szCs w:val="22"/>
              </w:rPr>
              <w:tab/>
            </w:r>
          </w:p>
        </w:tc>
        <w:tc>
          <w:tcPr>
            <w:tcW w:w="1576" w:type="dxa"/>
            <w:vAlign w:val="bottom"/>
          </w:tcPr>
          <w:p>
            <w:pPr>
              <w:pStyle w:val="yTableNAm"/>
              <w:rPr>
                <w:szCs w:val="22"/>
              </w:rPr>
            </w:pPr>
            <w:r>
              <w:rPr>
                <w:szCs w:val="22"/>
              </w:rPr>
              <w:t>151.0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of over 2 kg per kL </w:t>
            </w:r>
            <w:r>
              <w:rPr>
                <w:szCs w:val="22"/>
              </w:rPr>
              <w:tab/>
            </w:r>
          </w:p>
        </w:tc>
        <w:tc>
          <w:tcPr>
            <w:tcW w:w="1576" w:type="dxa"/>
            <w:vAlign w:val="bottom"/>
          </w:tcPr>
          <w:p>
            <w:pPr>
              <w:pStyle w:val="yTableNAm"/>
              <w:rPr>
                <w:szCs w:val="22"/>
              </w:rPr>
            </w:pPr>
            <w:r>
              <w:rPr>
                <w:szCs w:val="22"/>
              </w:rPr>
              <w:t>304.0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(d)</w:t>
            </w:r>
            <w:r>
              <w:rPr>
                <w:szCs w:val="22"/>
              </w:rPr>
              <w:tab/>
              <w:t xml:space="preserve">for chemical oxygen demand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10 kg per kL </w:t>
            </w:r>
            <w:r>
              <w:rPr>
                <w:szCs w:val="22"/>
              </w:rPr>
              <w:tab/>
            </w:r>
          </w:p>
        </w:tc>
        <w:tc>
          <w:tcPr>
            <w:tcW w:w="1576" w:type="dxa"/>
            <w:vAlign w:val="bottom"/>
          </w:tcPr>
          <w:p>
            <w:pPr>
              <w:pStyle w:val="yTableNAm"/>
              <w:rPr>
                <w:szCs w:val="22"/>
              </w:rPr>
            </w:pPr>
            <w:r>
              <w:rPr>
                <w:szCs w:val="22"/>
              </w:rPr>
              <w:t>45.0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of over 10 kg per kL </w:t>
            </w:r>
            <w:r>
              <w:rPr>
                <w:szCs w:val="22"/>
              </w:rPr>
              <w:tab/>
            </w:r>
          </w:p>
        </w:tc>
        <w:tc>
          <w:tcPr>
            <w:tcW w:w="1576" w:type="dxa"/>
            <w:vAlign w:val="bottom"/>
          </w:tcPr>
          <w:p>
            <w:pPr>
              <w:pStyle w:val="yTableNAm"/>
              <w:rPr>
                <w:szCs w:val="22"/>
              </w:rPr>
            </w:pPr>
            <w:r>
              <w:rPr>
                <w:szCs w:val="22"/>
              </w:rPr>
              <w:t>91.0 c/kg</w:t>
            </w:r>
          </w:p>
        </w:tc>
      </w:tr>
      <w:tr>
        <w:trPr>
          <w:cantSplit/>
        </w:trPr>
        <w:tc>
          <w:tcPr>
            <w:tcW w:w="850" w:type="dxa"/>
          </w:tcPr>
          <w:p>
            <w:pPr>
              <w:pStyle w:val="yTableNAm"/>
              <w:keepNext/>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(e)</w:t>
            </w:r>
            <w:r>
              <w:rPr>
                <w:szCs w:val="22"/>
              </w:rPr>
              <w:tab/>
              <w:t xml:space="preserve">for oil and grease — </w:t>
            </w:r>
          </w:p>
        </w:tc>
        <w:tc>
          <w:tcPr>
            <w:tcW w:w="1576" w:type="dxa"/>
            <w:vAlign w:val="bottom"/>
          </w:tcPr>
          <w:p>
            <w:pPr>
              <w:pStyle w:val="yTableNAm"/>
              <w:keepNext/>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with a concentration of up to 0.3 kg per kL …..............</w:t>
            </w:r>
          </w:p>
        </w:tc>
        <w:tc>
          <w:tcPr>
            <w:tcW w:w="1576" w:type="dxa"/>
            <w:vAlign w:val="bottom"/>
          </w:tcPr>
          <w:p>
            <w:pPr>
              <w:pStyle w:val="yTableNAm"/>
              <w:rPr>
                <w:szCs w:val="22"/>
              </w:rPr>
            </w:pPr>
            <w:r>
              <w:rPr>
                <w:szCs w:val="22"/>
              </w:rPr>
              <w:t>136.0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0.3 kg per kL but not over 0.6 kg per kL </w:t>
            </w:r>
            <w:r>
              <w:rPr>
                <w:szCs w:val="22"/>
              </w:rPr>
              <w:tab/>
            </w:r>
          </w:p>
        </w:tc>
        <w:tc>
          <w:tcPr>
            <w:tcW w:w="1576" w:type="dxa"/>
            <w:vAlign w:val="bottom"/>
          </w:tcPr>
          <w:p>
            <w:pPr>
              <w:pStyle w:val="yTableNAm"/>
              <w:rPr>
                <w:szCs w:val="22"/>
              </w:rPr>
            </w:pPr>
            <w:r>
              <w:rPr>
                <w:szCs w:val="22"/>
              </w:rPr>
              <w:t>270.0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0.6 kg per kL </w:t>
            </w:r>
            <w:r>
              <w:rPr>
                <w:szCs w:val="22"/>
              </w:rPr>
              <w:tab/>
            </w:r>
          </w:p>
        </w:tc>
        <w:tc>
          <w:tcPr>
            <w:tcW w:w="1576" w:type="dxa"/>
            <w:vAlign w:val="bottom"/>
          </w:tcPr>
          <w:p>
            <w:pPr>
              <w:pStyle w:val="yTableNAm"/>
              <w:rPr>
                <w:szCs w:val="22"/>
              </w:rPr>
            </w:pPr>
            <w:r>
              <w:rPr>
                <w:szCs w:val="22"/>
              </w:rPr>
              <w:t>540.0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(f)</w:t>
            </w:r>
            <w:r>
              <w:rPr>
                <w:szCs w:val="22"/>
              </w:rPr>
              <w:tab/>
              <w:t xml:space="preserve">for acidity (pH &lt; 6)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0.1 kg per kL </w:t>
            </w:r>
            <w:r>
              <w:rPr>
                <w:szCs w:val="22"/>
              </w:rPr>
              <w:tab/>
            </w:r>
          </w:p>
        </w:tc>
        <w:tc>
          <w:tcPr>
            <w:tcW w:w="1576" w:type="dxa"/>
            <w:vAlign w:val="bottom"/>
          </w:tcPr>
          <w:p>
            <w:pPr>
              <w:pStyle w:val="yTableNAm"/>
              <w:rPr>
                <w:szCs w:val="22"/>
              </w:rPr>
            </w:pPr>
            <w:r>
              <w:rPr>
                <w:szCs w:val="22"/>
              </w:rPr>
              <w:t>39.0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0.1 kg per kL but not over 0.3 kg per kL </w:t>
            </w:r>
            <w:r>
              <w:rPr>
                <w:szCs w:val="22"/>
              </w:rPr>
              <w:tab/>
            </w:r>
          </w:p>
        </w:tc>
        <w:tc>
          <w:tcPr>
            <w:tcW w:w="1576" w:type="dxa"/>
            <w:vAlign w:val="bottom"/>
          </w:tcPr>
          <w:p>
            <w:pPr>
              <w:pStyle w:val="yTableNAm"/>
              <w:rPr>
                <w:szCs w:val="22"/>
              </w:rPr>
            </w:pPr>
            <w:r>
              <w:rPr>
                <w:szCs w:val="22"/>
              </w:rPr>
              <w:t>79.0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0.3 kg per kL </w:t>
            </w:r>
            <w:r>
              <w:rPr>
                <w:szCs w:val="22"/>
              </w:rPr>
              <w:tab/>
            </w:r>
          </w:p>
        </w:tc>
        <w:tc>
          <w:tcPr>
            <w:tcW w:w="1576" w:type="dxa"/>
            <w:vAlign w:val="bottom"/>
          </w:tcPr>
          <w:p>
            <w:pPr>
              <w:pStyle w:val="yTableNAm"/>
              <w:rPr>
                <w:szCs w:val="22"/>
              </w:rPr>
            </w:pPr>
            <w:r>
              <w:rPr>
                <w:szCs w:val="22"/>
              </w:rPr>
              <w:t>157.0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(g)</w:t>
            </w:r>
            <w:r>
              <w:rPr>
                <w:szCs w:val="22"/>
              </w:rPr>
              <w:tab/>
              <w:t xml:space="preserve">for alkalinity (pH &gt; 10)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0.1 kg per kL </w:t>
            </w:r>
            <w:r>
              <w:rPr>
                <w:szCs w:val="22"/>
              </w:rPr>
              <w:tab/>
            </w:r>
          </w:p>
        </w:tc>
        <w:tc>
          <w:tcPr>
            <w:tcW w:w="1576" w:type="dxa"/>
            <w:vAlign w:val="bottom"/>
          </w:tcPr>
          <w:p>
            <w:pPr>
              <w:pStyle w:val="yTableNAm"/>
              <w:rPr>
                <w:szCs w:val="22"/>
              </w:rPr>
            </w:pPr>
            <w:r>
              <w:rPr>
                <w:szCs w:val="22"/>
              </w:rPr>
              <w:t>14.0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0.1 kg per kL but not over 0.2 kg per kL </w:t>
            </w:r>
            <w:r>
              <w:rPr>
                <w:szCs w:val="22"/>
              </w:rPr>
              <w:tab/>
            </w:r>
          </w:p>
        </w:tc>
        <w:tc>
          <w:tcPr>
            <w:tcW w:w="1576" w:type="dxa"/>
            <w:vAlign w:val="bottom"/>
          </w:tcPr>
          <w:p>
            <w:pPr>
              <w:pStyle w:val="yTableNAm"/>
              <w:rPr>
                <w:szCs w:val="22"/>
              </w:rPr>
            </w:pPr>
            <w:r>
              <w:rPr>
                <w:szCs w:val="22"/>
              </w:rPr>
              <w:t>29.0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0.2 kg per kL </w:t>
            </w:r>
            <w:r>
              <w:rPr>
                <w:szCs w:val="22"/>
              </w:rPr>
              <w:tab/>
            </w:r>
          </w:p>
        </w:tc>
        <w:tc>
          <w:tcPr>
            <w:tcW w:w="1576" w:type="dxa"/>
            <w:vAlign w:val="bottom"/>
          </w:tcPr>
          <w:p>
            <w:pPr>
              <w:pStyle w:val="yTableNAm"/>
              <w:rPr>
                <w:szCs w:val="22"/>
              </w:rPr>
            </w:pPr>
            <w:r>
              <w:rPr>
                <w:szCs w:val="22"/>
              </w:rPr>
              <w:t>57.0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(h)</w:t>
            </w:r>
            <w:r>
              <w:rPr>
                <w:szCs w:val="22"/>
              </w:rPr>
              <w:tab/>
              <w:t xml:space="preserve">for nitrogen </w:t>
            </w:r>
            <w:r>
              <w:rPr>
                <w:szCs w:val="22"/>
              </w:rPr>
              <w:tab/>
            </w:r>
          </w:p>
        </w:tc>
        <w:tc>
          <w:tcPr>
            <w:tcW w:w="1576" w:type="dxa"/>
            <w:vAlign w:val="bottom"/>
          </w:tcPr>
          <w:p>
            <w:pPr>
              <w:pStyle w:val="yTableNAm"/>
              <w:rPr>
                <w:szCs w:val="22"/>
              </w:rPr>
            </w:pPr>
            <w:r>
              <w:rPr>
                <w:szCs w:val="22"/>
              </w:rPr>
              <w:t>122.0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(i)</w:t>
            </w:r>
            <w:r>
              <w:rPr>
                <w:szCs w:val="22"/>
              </w:rPr>
              <w:tab/>
              <w:t xml:space="preserve">for phosphorus </w:t>
            </w:r>
            <w:r>
              <w:rPr>
                <w:szCs w:val="22"/>
              </w:rPr>
              <w:tab/>
            </w:r>
          </w:p>
        </w:tc>
        <w:tc>
          <w:tcPr>
            <w:tcW w:w="1576" w:type="dxa"/>
            <w:vAlign w:val="bottom"/>
          </w:tcPr>
          <w:p>
            <w:pPr>
              <w:pStyle w:val="yTableNAm"/>
              <w:rPr>
                <w:szCs w:val="22"/>
              </w:rPr>
            </w:pPr>
            <w:r>
              <w:rPr>
                <w:szCs w:val="22"/>
              </w:rPr>
              <w:t>35.0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(j)</w:t>
            </w:r>
            <w:r>
              <w:rPr>
                <w:szCs w:val="22"/>
              </w:rPr>
              <w:tab/>
              <w:t xml:space="preserve">for sulphate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0.05 kg per kL </w:t>
            </w:r>
            <w:r>
              <w:rPr>
                <w:szCs w:val="22"/>
              </w:rPr>
              <w:tab/>
            </w:r>
          </w:p>
        </w:tc>
        <w:tc>
          <w:tcPr>
            <w:tcW w:w="1576" w:type="dxa"/>
            <w:vAlign w:val="bottom"/>
          </w:tcPr>
          <w:p>
            <w:pPr>
              <w:pStyle w:val="yTableNAm"/>
              <w:rPr>
                <w:szCs w:val="22"/>
              </w:rPr>
            </w:pPr>
            <w:r>
              <w:rPr>
                <w:szCs w:val="22"/>
              </w:rPr>
              <w:t>no charge</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of over 0.05 kg per kL </w:t>
            </w:r>
            <w:r>
              <w:rPr>
                <w:szCs w:val="22"/>
              </w:rPr>
              <w:tab/>
            </w:r>
          </w:p>
        </w:tc>
        <w:tc>
          <w:tcPr>
            <w:tcW w:w="1576" w:type="dxa"/>
            <w:vAlign w:val="bottom"/>
          </w:tcPr>
          <w:p>
            <w:pPr>
              <w:pStyle w:val="yTableNAm"/>
              <w:rPr>
                <w:szCs w:val="22"/>
              </w:rPr>
            </w:pPr>
            <w:r>
              <w:rPr>
                <w:szCs w:val="22"/>
              </w:rPr>
              <w:t>64.0 c/kg</w:t>
            </w:r>
          </w:p>
        </w:tc>
      </w:tr>
      <w:tr>
        <w:trPr>
          <w:cantSplit/>
        </w:trPr>
        <w:tc>
          <w:tcPr>
            <w:tcW w:w="850" w:type="dxa"/>
          </w:tcPr>
          <w:p>
            <w:pPr>
              <w:pStyle w:val="yTableNAm"/>
              <w:keepNext/>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(k)</w:t>
            </w:r>
            <w:r>
              <w:rPr>
                <w:szCs w:val="22"/>
              </w:rPr>
              <w:tab/>
              <w:t xml:space="preserve">for total dissolved salts — </w:t>
            </w:r>
          </w:p>
        </w:tc>
        <w:tc>
          <w:tcPr>
            <w:tcW w:w="1576" w:type="dxa"/>
            <w:vAlign w:val="bottom"/>
          </w:tcPr>
          <w:p>
            <w:pPr>
              <w:pStyle w:val="yTableNAm"/>
              <w:keepNext/>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1 kg per kL </w:t>
            </w:r>
            <w:r>
              <w:rPr>
                <w:szCs w:val="22"/>
              </w:rPr>
              <w:tab/>
            </w:r>
          </w:p>
        </w:tc>
        <w:tc>
          <w:tcPr>
            <w:tcW w:w="1576" w:type="dxa"/>
            <w:vAlign w:val="bottom"/>
          </w:tcPr>
          <w:p>
            <w:pPr>
              <w:pStyle w:val="yTableNAm"/>
              <w:rPr>
                <w:szCs w:val="22"/>
              </w:rPr>
            </w:pPr>
            <w:r>
              <w:rPr>
                <w:szCs w:val="22"/>
              </w:rPr>
              <w:t>no charge</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1 kg per kL but not over 3 kg per kL </w:t>
            </w:r>
            <w:r>
              <w:rPr>
                <w:szCs w:val="22"/>
              </w:rPr>
              <w:tab/>
            </w:r>
          </w:p>
        </w:tc>
        <w:tc>
          <w:tcPr>
            <w:tcW w:w="1576" w:type="dxa"/>
            <w:vAlign w:val="bottom"/>
          </w:tcPr>
          <w:p>
            <w:pPr>
              <w:pStyle w:val="yTableNAm"/>
              <w:rPr>
                <w:szCs w:val="22"/>
              </w:rPr>
            </w:pPr>
            <w:r>
              <w:rPr>
                <w:szCs w:val="22"/>
              </w:rPr>
              <w:t>0.1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over 3 kg per kL but not over 6 kg per kL </w:t>
            </w:r>
            <w:r>
              <w:rPr>
                <w:szCs w:val="22"/>
              </w:rPr>
              <w:tab/>
            </w:r>
          </w:p>
        </w:tc>
        <w:tc>
          <w:tcPr>
            <w:tcW w:w="1576" w:type="dxa"/>
            <w:vAlign w:val="bottom"/>
          </w:tcPr>
          <w:p>
            <w:pPr>
              <w:pStyle w:val="yTableNAm"/>
              <w:rPr>
                <w:szCs w:val="22"/>
              </w:rPr>
            </w:pPr>
            <w:r>
              <w:rPr>
                <w:szCs w:val="22"/>
              </w:rPr>
              <w:t>3.7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(iv)</w:t>
            </w:r>
            <w:r>
              <w:rPr>
                <w:szCs w:val="22"/>
              </w:rPr>
              <w:tab/>
              <w:t xml:space="preserve">with a concentration of over 6 kg per kL </w:t>
            </w:r>
            <w:r>
              <w:rPr>
                <w:szCs w:val="22"/>
              </w:rPr>
              <w:tab/>
            </w:r>
          </w:p>
        </w:tc>
        <w:tc>
          <w:tcPr>
            <w:tcW w:w="1576" w:type="dxa"/>
            <w:vAlign w:val="bottom"/>
          </w:tcPr>
          <w:p>
            <w:pPr>
              <w:pStyle w:val="yTableNAm"/>
              <w:rPr>
                <w:szCs w:val="22"/>
              </w:rPr>
            </w:pPr>
            <w:r>
              <w:rPr>
                <w:szCs w:val="22"/>
              </w:rPr>
              <w:t>12.8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(l)</w:t>
            </w:r>
            <w:r>
              <w:rPr>
                <w:szCs w:val="22"/>
              </w:rPr>
              <w:tab/>
              <w:t xml:space="preserve">for chromium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0.03 kg per day but not over 1 kg per day </w:t>
            </w:r>
            <w:r>
              <w:rPr>
                <w:szCs w:val="22"/>
              </w:rPr>
              <w:tab/>
            </w:r>
          </w:p>
        </w:tc>
        <w:tc>
          <w:tcPr>
            <w:tcW w:w="1576" w:type="dxa"/>
            <w:vAlign w:val="bottom"/>
          </w:tcPr>
          <w:p>
            <w:pPr>
              <w:pStyle w:val="yTableNAm"/>
              <w:rPr>
                <w:szCs w:val="22"/>
              </w:rPr>
            </w:pPr>
            <w:r>
              <w:rPr>
                <w:szCs w:val="22"/>
              </w:rPr>
              <w:t>2005.0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1 kg per day </w:t>
            </w:r>
            <w:r>
              <w:rPr>
                <w:szCs w:val="22"/>
              </w:rPr>
              <w:tab/>
            </w:r>
          </w:p>
        </w:tc>
        <w:tc>
          <w:tcPr>
            <w:tcW w:w="1576" w:type="dxa"/>
            <w:vAlign w:val="bottom"/>
          </w:tcPr>
          <w:p>
            <w:pPr>
              <w:pStyle w:val="yTableNAm"/>
              <w:rPr>
                <w:szCs w:val="22"/>
              </w:rPr>
            </w:pPr>
            <w:r>
              <w:rPr>
                <w:szCs w:val="22"/>
              </w:rPr>
              <w:t>8030.0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(m)</w:t>
            </w:r>
            <w:r>
              <w:rPr>
                <w:szCs w:val="22"/>
              </w:rPr>
              <w:tab/>
              <w:t xml:space="preserve">for copper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0.03 kg per day but not over 0.12 kg per day </w:t>
            </w:r>
            <w:r>
              <w:rPr>
                <w:szCs w:val="22"/>
              </w:rPr>
              <w:tab/>
            </w:r>
          </w:p>
        </w:tc>
        <w:tc>
          <w:tcPr>
            <w:tcW w:w="1576" w:type="dxa"/>
            <w:vAlign w:val="bottom"/>
          </w:tcPr>
          <w:p>
            <w:pPr>
              <w:pStyle w:val="yTableNAm"/>
              <w:rPr>
                <w:szCs w:val="22"/>
              </w:rPr>
            </w:pPr>
            <w:r>
              <w:rPr>
                <w:szCs w:val="22"/>
              </w:rPr>
              <w:t>2005.0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0.12 kg per day </w:t>
            </w:r>
            <w:r>
              <w:rPr>
                <w:szCs w:val="22"/>
              </w:rPr>
              <w:tab/>
            </w:r>
          </w:p>
        </w:tc>
        <w:tc>
          <w:tcPr>
            <w:tcW w:w="1576" w:type="dxa"/>
            <w:vAlign w:val="bottom"/>
          </w:tcPr>
          <w:p>
            <w:pPr>
              <w:pStyle w:val="yTableNAm"/>
              <w:rPr>
                <w:szCs w:val="22"/>
              </w:rPr>
            </w:pPr>
            <w:r>
              <w:rPr>
                <w:szCs w:val="22"/>
              </w:rPr>
              <w:t>8030.0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(n)</w:t>
            </w:r>
            <w:r>
              <w:rPr>
                <w:szCs w:val="22"/>
              </w:rPr>
              <w:tab/>
              <w:t xml:space="preserve">for lead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0.03 kg per day but not over 0.3 kg per day </w:t>
            </w:r>
            <w:r>
              <w:rPr>
                <w:szCs w:val="22"/>
              </w:rPr>
              <w:tab/>
            </w:r>
          </w:p>
        </w:tc>
        <w:tc>
          <w:tcPr>
            <w:tcW w:w="1576" w:type="dxa"/>
            <w:vAlign w:val="bottom"/>
          </w:tcPr>
          <w:p>
            <w:pPr>
              <w:pStyle w:val="yTableNAm"/>
              <w:rPr>
                <w:szCs w:val="22"/>
              </w:rPr>
            </w:pPr>
            <w:r>
              <w:rPr>
                <w:szCs w:val="22"/>
              </w:rPr>
              <w:t>2005.0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0.3 kg per day </w:t>
            </w:r>
            <w:r>
              <w:rPr>
                <w:szCs w:val="22"/>
              </w:rPr>
              <w:tab/>
            </w:r>
          </w:p>
        </w:tc>
        <w:tc>
          <w:tcPr>
            <w:tcW w:w="1576" w:type="dxa"/>
            <w:vAlign w:val="bottom"/>
          </w:tcPr>
          <w:p>
            <w:pPr>
              <w:pStyle w:val="yTableNAm"/>
              <w:rPr>
                <w:szCs w:val="22"/>
              </w:rPr>
            </w:pPr>
            <w:r>
              <w:rPr>
                <w:szCs w:val="22"/>
              </w:rPr>
              <w:t>8030.0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(o)</w:t>
            </w:r>
            <w:r>
              <w:rPr>
                <w:szCs w:val="22"/>
              </w:rPr>
              <w:tab/>
              <w:t xml:space="preserve">for nickel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0.006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0.006 kg per day but not over 0.15 kg per day </w:t>
            </w:r>
            <w:r>
              <w:rPr>
                <w:szCs w:val="22"/>
              </w:rPr>
              <w:tab/>
            </w:r>
          </w:p>
        </w:tc>
        <w:tc>
          <w:tcPr>
            <w:tcW w:w="1576" w:type="dxa"/>
            <w:vAlign w:val="bottom"/>
          </w:tcPr>
          <w:p>
            <w:pPr>
              <w:pStyle w:val="yTableNAm"/>
              <w:rPr>
                <w:szCs w:val="22"/>
              </w:rPr>
            </w:pPr>
            <w:r>
              <w:rPr>
                <w:szCs w:val="22"/>
              </w:rPr>
              <w:t>2005.0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0.15 kg per day </w:t>
            </w:r>
            <w:r>
              <w:rPr>
                <w:szCs w:val="22"/>
              </w:rPr>
              <w:tab/>
            </w:r>
          </w:p>
        </w:tc>
        <w:tc>
          <w:tcPr>
            <w:tcW w:w="1576" w:type="dxa"/>
            <w:vAlign w:val="bottom"/>
          </w:tcPr>
          <w:p>
            <w:pPr>
              <w:pStyle w:val="yTableNAm"/>
              <w:rPr>
                <w:szCs w:val="22"/>
              </w:rPr>
            </w:pPr>
            <w:r>
              <w:rPr>
                <w:szCs w:val="22"/>
              </w:rPr>
              <w:t>8030.0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(p)</w:t>
            </w:r>
            <w:r>
              <w:rPr>
                <w:szCs w:val="22"/>
              </w:rPr>
              <w:tab/>
              <w:t xml:space="preserve">for zinc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0.05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0.05 kg per day but not over 0.5 kg per day </w:t>
            </w:r>
            <w:r>
              <w:rPr>
                <w:szCs w:val="22"/>
              </w:rPr>
              <w:tab/>
            </w:r>
          </w:p>
        </w:tc>
        <w:tc>
          <w:tcPr>
            <w:tcW w:w="1576" w:type="dxa"/>
            <w:vAlign w:val="bottom"/>
          </w:tcPr>
          <w:p>
            <w:pPr>
              <w:pStyle w:val="yTableNAm"/>
              <w:rPr>
                <w:szCs w:val="22"/>
              </w:rPr>
            </w:pPr>
            <w:r>
              <w:rPr>
                <w:szCs w:val="22"/>
              </w:rPr>
              <w:t>2005.0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0.5 kg per day </w:t>
            </w:r>
            <w:r>
              <w:rPr>
                <w:szCs w:val="22"/>
              </w:rPr>
              <w:tab/>
            </w:r>
          </w:p>
        </w:tc>
        <w:tc>
          <w:tcPr>
            <w:tcW w:w="1576" w:type="dxa"/>
            <w:vAlign w:val="bottom"/>
          </w:tcPr>
          <w:p>
            <w:pPr>
              <w:pStyle w:val="yTableNAm"/>
              <w:rPr>
                <w:szCs w:val="22"/>
              </w:rPr>
            </w:pPr>
            <w:r>
              <w:rPr>
                <w:szCs w:val="22"/>
              </w:rPr>
              <w:t>8030.0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(q)</w:t>
            </w:r>
            <w:r>
              <w:rPr>
                <w:szCs w:val="22"/>
              </w:rPr>
              <w:tab/>
              <w:t xml:space="preserve">for arsenic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0.001 kg per day but not over 0.04 kg per day </w:t>
            </w:r>
            <w:r>
              <w:rPr>
                <w:szCs w:val="22"/>
              </w:rPr>
              <w:tab/>
            </w:r>
          </w:p>
        </w:tc>
        <w:tc>
          <w:tcPr>
            <w:tcW w:w="1576" w:type="dxa"/>
            <w:vAlign w:val="bottom"/>
          </w:tcPr>
          <w:p>
            <w:pPr>
              <w:pStyle w:val="yTableNAm"/>
              <w:rPr>
                <w:szCs w:val="22"/>
              </w:rPr>
            </w:pPr>
            <w:r>
              <w:rPr>
                <w:szCs w:val="22"/>
              </w:rPr>
              <w:t>10035.0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0.04 kg per day </w:t>
            </w:r>
            <w:r>
              <w:rPr>
                <w:szCs w:val="22"/>
              </w:rPr>
              <w:tab/>
            </w:r>
          </w:p>
        </w:tc>
        <w:tc>
          <w:tcPr>
            <w:tcW w:w="1576" w:type="dxa"/>
            <w:vAlign w:val="bottom"/>
          </w:tcPr>
          <w:p>
            <w:pPr>
              <w:pStyle w:val="yTableNAm"/>
              <w:rPr>
                <w:szCs w:val="22"/>
              </w:rPr>
            </w:pPr>
            <w:r>
              <w:rPr>
                <w:szCs w:val="22"/>
              </w:rPr>
              <w:t>100340.0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(r)</w:t>
            </w:r>
            <w:r>
              <w:rPr>
                <w:szCs w:val="22"/>
              </w:rPr>
              <w:tab/>
              <w:t xml:space="preserve">for cadmium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0.001 kg per day but not over 0.015 kg per day </w:t>
            </w:r>
            <w:r>
              <w:rPr>
                <w:szCs w:val="22"/>
              </w:rPr>
              <w:tab/>
            </w:r>
          </w:p>
        </w:tc>
        <w:tc>
          <w:tcPr>
            <w:tcW w:w="1576" w:type="dxa"/>
            <w:vAlign w:val="bottom"/>
          </w:tcPr>
          <w:p>
            <w:pPr>
              <w:pStyle w:val="yTableNAm"/>
              <w:rPr>
                <w:szCs w:val="22"/>
              </w:rPr>
            </w:pPr>
            <w:r>
              <w:rPr>
                <w:szCs w:val="22"/>
              </w:rPr>
              <w:t>10035.0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0.015 kg per day </w:t>
            </w:r>
            <w:r>
              <w:rPr>
                <w:szCs w:val="22"/>
              </w:rPr>
              <w:tab/>
            </w:r>
          </w:p>
        </w:tc>
        <w:tc>
          <w:tcPr>
            <w:tcW w:w="1576" w:type="dxa"/>
            <w:vAlign w:val="bottom"/>
          </w:tcPr>
          <w:p>
            <w:pPr>
              <w:pStyle w:val="yTableNAm"/>
              <w:rPr>
                <w:szCs w:val="22"/>
              </w:rPr>
            </w:pPr>
            <w:r>
              <w:rPr>
                <w:szCs w:val="22"/>
              </w:rPr>
              <w:t>100340.0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(s)</w:t>
            </w:r>
            <w:r>
              <w:rPr>
                <w:szCs w:val="22"/>
              </w:rPr>
              <w:tab/>
              <w:t xml:space="preserve">for molybdenum or selenium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0.001 kg per day but not over 0.02 kg per day </w:t>
            </w:r>
            <w:r>
              <w:rPr>
                <w:szCs w:val="22"/>
              </w:rPr>
              <w:tab/>
            </w:r>
          </w:p>
        </w:tc>
        <w:tc>
          <w:tcPr>
            <w:tcW w:w="1576" w:type="dxa"/>
            <w:vAlign w:val="bottom"/>
          </w:tcPr>
          <w:p>
            <w:pPr>
              <w:pStyle w:val="yTableNAm"/>
              <w:rPr>
                <w:szCs w:val="22"/>
              </w:rPr>
            </w:pPr>
            <w:r>
              <w:rPr>
                <w:szCs w:val="22"/>
              </w:rPr>
              <w:t>10035.0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0.02 kg per day </w:t>
            </w:r>
            <w:r>
              <w:rPr>
                <w:szCs w:val="22"/>
              </w:rPr>
              <w:tab/>
            </w:r>
          </w:p>
        </w:tc>
        <w:tc>
          <w:tcPr>
            <w:tcW w:w="1576" w:type="dxa"/>
            <w:vAlign w:val="bottom"/>
          </w:tcPr>
          <w:p>
            <w:pPr>
              <w:pStyle w:val="yTableNAm"/>
              <w:rPr>
                <w:szCs w:val="22"/>
              </w:rPr>
            </w:pPr>
            <w:r>
              <w:rPr>
                <w:szCs w:val="22"/>
              </w:rPr>
              <w:t>100340.0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(t)</w:t>
            </w:r>
            <w:r>
              <w:rPr>
                <w:szCs w:val="22"/>
              </w:rPr>
              <w:tab/>
              <w:t xml:space="preserve">for silver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0.002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0.002 kg per day but not over 0.01 kg per day </w:t>
            </w:r>
            <w:r>
              <w:rPr>
                <w:szCs w:val="22"/>
              </w:rPr>
              <w:tab/>
            </w:r>
          </w:p>
        </w:tc>
        <w:tc>
          <w:tcPr>
            <w:tcW w:w="1576" w:type="dxa"/>
            <w:vAlign w:val="bottom"/>
          </w:tcPr>
          <w:p>
            <w:pPr>
              <w:pStyle w:val="yTableNAm"/>
              <w:rPr>
                <w:szCs w:val="22"/>
              </w:rPr>
            </w:pPr>
            <w:r>
              <w:rPr>
                <w:szCs w:val="22"/>
              </w:rPr>
              <w:t>10035.0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0.01 kg per day </w:t>
            </w:r>
            <w:r>
              <w:rPr>
                <w:szCs w:val="22"/>
              </w:rPr>
              <w:tab/>
            </w:r>
          </w:p>
        </w:tc>
        <w:tc>
          <w:tcPr>
            <w:tcW w:w="1576" w:type="dxa"/>
            <w:vAlign w:val="bottom"/>
          </w:tcPr>
          <w:p>
            <w:pPr>
              <w:pStyle w:val="yTableNAm"/>
              <w:rPr>
                <w:szCs w:val="22"/>
              </w:rPr>
            </w:pPr>
            <w:r>
              <w:rPr>
                <w:szCs w:val="22"/>
              </w:rPr>
              <w:t>100340.0 c/kg</w:t>
            </w:r>
          </w:p>
        </w:tc>
      </w:tr>
      <w:tr>
        <w:trPr>
          <w:cantSplit/>
        </w:trPr>
        <w:tc>
          <w:tcPr>
            <w:tcW w:w="850" w:type="dxa"/>
          </w:tcPr>
          <w:p>
            <w:pPr>
              <w:pStyle w:val="yTableNAm"/>
              <w:rPr>
                <w:szCs w:val="22"/>
              </w:rPr>
            </w:pPr>
          </w:p>
        </w:tc>
        <w:tc>
          <w:tcPr>
            <w:tcW w:w="4236" w:type="dxa"/>
          </w:tcPr>
          <w:p>
            <w:pPr>
              <w:pStyle w:val="yTableNAm"/>
              <w:keepNext/>
              <w:keepLines/>
              <w:tabs>
                <w:tab w:val="clear" w:pos="567"/>
                <w:tab w:val="left" w:pos="317"/>
                <w:tab w:val="left" w:pos="743"/>
                <w:tab w:val="right" w:leader="dot" w:pos="4253"/>
              </w:tabs>
              <w:ind w:left="743" w:hanging="709"/>
              <w:rPr>
                <w:szCs w:val="22"/>
              </w:rPr>
            </w:pPr>
            <w:r>
              <w:rPr>
                <w:szCs w:val="22"/>
              </w:rPr>
              <w:tab/>
              <w:t>(u)</w:t>
            </w:r>
            <w:r>
              <w:rPr>
                <w:szCs w:val="22"/>
              </w:rPr>
              <w:tab/>
              <w:t xml:space="preserve">for mercury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w:t>
            </w:r>
            <w:r>
              <w:rPr>
                <w:szCs w:val="22"/>
              </w:rPr>
              <w:tab/>
              <w:t xml:space="preserve">with a concentration of up to 0.0001 kg per day </w:t>
            </w:r>
            <w:r>
              <w:rPr>
                <w:szCs w:val="22"/>
              </w:rPr>
              <w:tab/>
            </w:r>
          </w:p>
        </w:tc>
        <w:tc>
          <w:tcPr>
            <w:tcW w:w="1576" w:type="dxa"/>
            <w:vAlign w:val="bottom"/>
          </w:tcPr>
          <w:p>
            <w:pPr>
              <w:pStyle w:val="yTableNAm"/>
              <w:rPr>
                <w:szCs w:val="22"/>
              </w:rPr>
            </w:pPr>
            <w:r>
              <w:rPr>
                <w:szCs w:val="22"/>
              </w:rPr>
              <w:t>1005.0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w:t>
            </w:r>
            <w:r>
              <w:rPr>
                <w:szCs w:val="22"/>
              </w:rPr>
              <w:tab/>
              <w:t xml:space="preserve">with a concentration over 0.0001 kg per day but not over 0.001 kg per day </w:t>
            </w:r>
            <w:r>
              <w:rPr>
                <w:szCs w:val="22"/>
              </w:rPr>
              <w:tab/>
            </w:r>
          </w:p>
        </w:tc>
        <w:tc>
          <w:tcPr>
            <w:tcW w:w="1576" w:type="dxa"/>
            <w:vAlign w:val="bottom"/>
          </w:tcPr>
          <w:p>
            <w:pPr>
              <w:pStyle w:val="yTableNAm"/>
              <w:rPr>
                <w:szCs w:val="22"/>
              </w:rPr>
            </w:pPr>
            <w:r>
              <w:rPr>
                <w:szCs w:val="22"/>
              </w:rPr>
              <w:t>100340.0 c/kg</w:t>
            </w:r>
          </w:p>
        </w:tc>
      </w:tr>
      <w:tr>
        <w:trPr>
          <w:cantSplit/>
        </w:trPr>
        <w:tc>
          <w:tcPr>
            <w:tcW w:w="850" w:type="dxa"/>
          </w:tcPr>
          <w:p>
            <w:pPr>
              <w:pStyle w:val="yTableNAm"/>
              <w:rPr>
                <w:szCs w:val="22"/>
              </w:rPr>
            </w:pPr>
          </w:p>
        </w:tc>
        <w:tc>
          <w:tcPr>
            <w:tcW w:w="4236" w:type="dxa"/>
          </w:tcPr>
          <w:p>
            <w:pPr>
              <w:pStyle w:val="yTableNAm"/>
              <w:tabs>
                <w:tab w:val="clear" w:pos="567"/>
                <w:tab w:val="left" w:pos="743"/>
                <w:tab w:val="left" w:pos="1168"/>
                <w:tab w:val="right" w:leader="dot" w:pos="4253"/>
              </w:tabs>
              <w:ind w:left="1168" w:hanging="1168"/>
              <w:rPr>
                <w:szCs w:val="22"/>
              </w:rPr>
            </w:pPr>
            <w:r>
              <w:rPr>
                <w:szCs w:val="22"/>
              </w:rPr>
              <w:tab/>
              <w:t>(iii)</w:t>
            </w:r>
            <w:r>
              <w:rPr>
                <w:szCs w:val="22"/>
              </w:rPr>
              <w:tab/>
              <w:t xml:space="preserve">with a concentration of over 0.001 kg per day </w:t>
            </w:r>
            <w:r>
              <w:rPr>
                <w:szCs w:val="22"/>
              </w:rPr>
              <w:tab/>
            </w:r>
          </w:p>
        </w:tc>
        <w:tc>
          <w:tcPr>
            <w:tcW w:w="1576" w:type="dxa"/>
            <w:vAlign w:val="bottom"/>
          </w:tcPr>
          <w:p>
            <w:pPr>
              <w:pStyle w:val="yTableNAm"/>
              <w:rPr>
                <w:szCs w:val="22"/>
              </w:rPr>
            </w:pPr>
            <w:r>
              <w:rPr>
                <w:szCs w:val="22"/>
              </w:rPr>
              <w:t>752565.0 c/kg</w:t>
            </w:r>
          </w:p>
        </w:tc>
      </w:tr>
      <w:tr>
        <w:trPr>
          <w:cantSplit/>
        </w:trPr>
        <w:tc>
          <w:tcPr>
            <w:tcW w:w="850" w:type="dxa"/>
          </w:tcPr>
          <w:p>
            <w:pPr>
              <w:pStyle w:val="yTableNAm"/>
              <w:keepNext/>
              <w:keepLines/>
              <w:rPr>
                <w:b/>
                <w:szCs w:val="22"/>
              </w:rPr>
            </w:pPr>
            <w:r>
              <w:rPr>
                <w:b/>
                <w:szCs w:val="22"/>
              </w:rPr>
              <w:t>12.</w:t>
            </w:r>
          </w:p>
        </w:tc>
        <w:tc>
          <w:tcPr>
            <w:tcW w:w="5812" w:type="dxa"/>
            <w:gridSpan w:val="2"/>
          </w:tcPr>
          <w:p>
            <w:pPr>
              <w:pStyle w:val="yTableNAm"/>
              <w:rPr>
                <w:b/>
                <w:szCs w:val="22"/>
              </w:rPr>
            </w:pPr>
            <w:r>
              <w:rPr>
                <w:b/>
                <w:szCs w:val="22"/>
              </w:rPr>
              <w:t>Effluent discharged from a septic tank effluent pumping system into a sewer of the Corporation</w:t>
            </w:r>
          </w:p>
        </w:tc>
      </w:tr>
      <w:tr>
        <w:trPr>
          <w:cantSplit/>
        </w:trPr>
        <w:tc>
          <w:tcPr>
            <w:tcW w:w="850" w:type="dxa"/>
          </w:tcPr>
          <w:p>
            <w:pPr>
              <w:pStyle w:val="yTableNAm"/>
              <w:keepNext/>
              <w:keepLines/>
              <w:rPr>
                <w:szCs w:val="22"/>
              </w:rPr>
            </w:pPr>
          </w:p>
        </w:tc>
        <w:tc>
          <w:tcPr>
            <w:tcW w:w="4236" w:type="dxa"/>
          </w:tcPr>
          <w:p>
            <w:pPr>
              <w:pStyle w:val="yTableNAm"/>
              <w:tabs>
                <w:tab w:val="right" w:leader="dot" w:pos="5103"/>
              </w:tabs>
              <w:rPr>
                <w:szCs w:val="22"/>
              </w:rPr>
            </w:pPr>
            <w:r>
              <w:rPr>
                <w:szCs w:val="22"/>
              </w:rPr>
              <w:t xml:space="preserve">For effluent discharged from a septic tank effluent pumping system into a sewer of the Corporation </w:t>
            </w:r>
            <w:r>
              <w:rPr>
                <w:szCs w:val="22"/>
              </w:rPr>
              <w:tab/>
            </w:r>
          </w:p>
        </w:tc>
        <w:tc>
          <w:tcPr>
            <w:tcW w:w="1576" w:type="dxa"/>
            <w:vAlign w:val="bottom"/>
          </w:tcPr>
          <w:p>
            <w:pPr>
              <w:pStyle w:val="yTableNAm"/>
              <w:rPr>
                <w:szCs w:val="22"/>
              </w:rPr>
            </w:pPr>
            <w:r>
              <w:rPr>
                <w:szCs w:val="22"/>
              </w:rPr>
              <w:t>150.0 c/kL</w:t>
            </w:r>
          </w:p>
        </w:tc>
      </w:tr>
    </w:tbl>
    <w:p>
      <w:pPr>
        <w:pStyle w:val="yFootnotesection"/>
      </w:pPr>
      <w:r>
        <w:tab/>
        <w:t>[Division 3 inserted in Gazette 20 Jun 2012 p. 2730</w:t>
      </w:r>
      <w:r>
        <w:noBreakHyphen/>
        <w:t>5.]</w:t>
      </w:r>
    </w:p>
    <w:p>
      <w:pPr>
        <w:pStyle w:val="yHeading3"/>
      </w:pPr>
      <w:bookmarkStart w:id="760" w:name="_Toc84427997"/>
      <w:bookmarkStart w:id="761" w:name="_Toc328403442"/>
      <w:bookmarkStart w:id="762" w:name="_Toc328471491"/>
      <w:r>
        <w:rPr>
          <w:rStyle w:val="CharSDivNo"/>
        </w:rPr>
        <w:t>Division 4</w:t>
      </w:r>
      <w:r>
        <w:rPr>
          <w:b w:val="0"/>
        </w:rPr>
        <w:t> </w:t>
      </w:r>
      <w:r>
        <w:t>— </w:t>
      </w:r>
      <w:r>
        <w:rPr>
          <w:rStyle w:val="CharSDivText"/>
        </w:rPr>
        <w:t>Metropolitan combined charges</w:t>
      </w:r>
      <w:bookmarkEnd w:id="760"/>
      <w:bookmarkEnd w:id="761"/>
      <w:bookmarkEnd w:id="762"/>
    </w:p>
    <w:p>
      <w:pPr>
        <w:pStyle w:val="yFootnoteheading"/>
        <w:spacing w:after="60"/>
      </w:pPr>
      <w:r>
        <w:tab/>
        <w:t>[Heading inserted in Gazette 20 Jun 2012 p. 2735.]</w:t>
      </w:r>
    </w:p>
    <w:p>
      <w:pPr>
        <w:pStyle w:val="yHeading5"/>
      </w:pPr>
      <w:bookmarkStart w:id="763" w:name="_Toc84427998"/>
      <w:bookmarkStart w:id="764" w:name="_Toc328471492"/>
      <w:r>
        <w:t>13.</w:t>
      </w:r>
      <w:r>
        <w:tab/>
        <w:t>Metropolitan non</w:t>
      </w:r>
      <w:r>
        <w:noBreakHyphen/>
        <w:t>residential (other than vacant land)</w:t>
      </w:r>
      <w:bookmarkEnd w:id="763"/>
      <w:bookmarkEnd w:id="764"/>
    </w:p>
    <w:p>
      <w:pPr>
        <w:pStyle w:val="ySubsection"/>
      </w:pPr>
      <w:r>
        <w:tab/>
      </w:r>
      <w:r>
        <w:tab/>
        <w:t xml:space="preserve">In respect of </w:t>
      </w:r>
      <w:r>
        <w:rPr>
          <w:snapToGrid w:val="0"/>
        </w:rPr>
        <w:t>land</w:t>
      </w:r>
      <w:r>
        <w:t xml:space="preserve"> in the metropolitan area that is not — </w:t>
      </w:r>
    </w:p>
    <w:p>
      <w:pPr>
        <w:pStyle w:val="yIndenta"/>
      </w:pPr>
      <w:r>
        <w:tab/>
        <w:t>(a)</w:t>
      </w:r>
      <w:r>
        <w:tab/>
        <w:t>comprised in a residential property; and</w:t>
      </w:r>
    </w:p>
    <w:p>
      <w:pPr>
        <w:pStyle w:val="yIndenta"/>
      </w:pPr>
      <w:r>
        <w:tab/>
        <w:t>(b)</w:t>
      </w:r>
      <w:r>
        <w:tab/>
        <w:t>referred to in item 1, 3, 4, 5, 14, 15 or 16,</w:t>
      </w:r>
    </w:p>
    <w:p>
      <w:pPr>
        <w:pStyle w:val="ySubsection"/>
      </w:pPr>
      <w:r>
        <w:tab/>
      </w:r>
      <w:r>
        <w:tab/>
        <w:t xml:space="preserve">the charge is calculated in accordance with the following formula — </w:t>
      </w:r>
    </w:p>
    <w:p>
      <w:pPr>
        <w:pStyle w:val="yIndenta"/>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Indenta"/>
      </w:pPr>
      <w:r>
        <w:tab/>
      </w:r>
      <w:r>
        <w:tab/>
      </w:r>
      <w:r>
        <w:rPr>
          <w:b/>
          <w:bCs/>
        </w:rPr>
        <w:t>P</w:t>
      </w:r>
      <w:r>
        <w:t xml:space="preserve"> + </w:t>
      </w:r>
      <w:r>
        <w:rPr>
          <w:b/>
          <w:bCs/>
        </w:rPr>
        <w:t>Q</w:t>
      </w:r>
    </w:p>
    <w:p>
      <w:pPr>
        <w:pStyle w:val="yIndenta"/>
      </w:pPr>
      <w:r>
        <w:tab/>
      </w:r>
      <w:r>
        <w:tab/>
        <w:t xml:space="preserve">or if — </w:t>
      </w:r>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r>
      <w:r>
        <w:rPr>
          <w:b/>
        </w:rPr>
        <w:tab/>
        <w:t>R</w:t>
      </w:r>
    </w:p>
    <w:p>
      <w:pPr>
        <w:pStyle w:val="yIndenta"/>
      </w:pPr>
      <w:r>
        <w:tab/>
      </w:r>
      <w:r>
        <w:tab/>
        <w:t xml:space="preserve">or if — </w:t>
      </w:r>
    </w:p>
    <w:p>
      <w:pPr>
        <w:pStyle w:val="yIndenta"/>
        <w:rPr>
          <w:b/>
        </w:rPr>
      </w:pPr>
      <w:r>
        <w:rPr>
          <w:b/>
        </w:rPr>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 xml:space="preserve">then — </w:t>
      </w:r>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 xml:space="preserve">where — </w:t>
      </w:r>
    </w:p>
    <w:p>
      <w:pPr>
        <w:pStyle w:val="yIndenta"/>
        <w:tabs>
          <w:tab w:val="left" w:pos="2160"/>
        </w:tabs>
        <w:ind w:left="2880" w:hanging="2880"/>
      </w:pPr>
      <w:r>
        <w:tab/>
      </w:r>
      <w:r>
        <w:tab/>
      </w:r>
      <w:r>
        <w:tab/>
        <w:t>P =</w:t>
      </w:r>
      <w:r>
        <w:tab/>
        <w:t>the annual charge calculated in accordance with the formula in item 18;</w:t>
      </w:r>
    </w:p>
    <w:p>
      <w:pPr>
        <w:pStyle w:val="yIndenta"/>
        <w:tabs>
          <w:tab w:val="left" w:pos="2160"/>
        </w:tabs>
        <w:ind w:left="2880" w:hanging="2880"/>
      </w:pPr>
      <w:r>
        <w:tab/>
      </w:r>
      <w:r>
        <w:tab/>
      </w:r>
      <w:r>
        <w:tab/>
      </w:r>
      <w:r>
        <w:rPr>
          <w:b/>
        </w:rPr>
        <w:t>Q</w:t>
      </w:r>
      <w:r>
        <w:t xml:space="preserve"> =</w:t>
      </w:r>
      <w:r>
        <w:tab/>
        <w:t>the quantity charge calculated in accordance with the formula in item 19;</w:t>
      </w:r>
    </w:p>
    <w:p>
      <w:pPr>
        <w:pStyle w:val="yIndenti0"/>
      </w:pPr>
      <w:r>
        <w:rPr>
          <w:b/>
        </w:rPr>
        <w:tab/>
      </w:r>
      <w:r>
        <w:rPr>
          <w:b/>
        </w:rPr>
        <w:tab/>
        <w:t>R</w:t>
      </w:r>
      <w:r>
        <w:t xml:space="preserve"> =</w:t>
      </w:r>
      <w:r>
        <w:tab/>
        <w:t>the charge calculated in accordance with the following formula — </w:t>
      </w:r>
    </w:p>
    <w:p>
      <w:pPr>
        <w:pStyle w:val="yIndenti0"/>
      </w:pPr>
      <w:r>
        <w:rPr>
          <w:b/>
        </w:rPr>
        <w:tab/>
      </w:r>
      <w:r>
        <w:rPr>
          <w:b/>
        </w:rPr>
        <w:tab/>
      </w:r>
      <w:r>
        <w:rPr>
          <w:b/>
        </w:rPr>
        <w:tab/>
        <w:t>A</w:t>
      </w:r>
      <w:r>
        <w:t xml:space="preserve"> </w:t>
      </w:r>
      <w:r>
        <w:sym w:font="Symbol" w:char="F0B4"/>
      </w:r>
      <w:r>
        <w:t xml:space="preserve"> </w:t>
      </w:r>
      <w:r>
        <w:rPr>
          <w:b/>
        </w:rPr>
        <w:t>S</w:t>
      </w:r>
    </w:p>
    <w:p>
      <w:pPr>
        <w:pStyle w:val="yIndenti0"/>
      </w:pPr>
      <w:r>
        <w:tab/>
      </w:r>
      <w:r>
        <w:tab/>
      </w:r>
      <w:r>
        <w:tab/>
        <w:t xml:space="preserve">where — </w:t>
      </w:r>
    </w:p>
    <w:p>
      <w:pPr>
        <w:pStyle w:val="yIndenti0"/>
        <w:rPr>
          <w:b/>
        </w:rPr>
      </w:pPr>
      <w:r>
        <w:rPr>
          <w:b/>
        </w:rPr>
        <w:tab/>
      </w:r>
      <w:r>
        <w:rPr>
          <w:b/>
        </w:rPr>
        <w:tab/>
        <w:t xml:space="preserve">A </w:t>
      </w:r>
      <w:r>
        <w:t>=</w:t>
      </w:r>
      <w:r>
        <w:rPr>
          <w:b/>
        </w:rPr>
        <w:tab/>
      </w:r>
      <w:r>
        <w:t>the charge payable in the 2011/2012 year</w:t>
      </w:r>
      <w:r>
        <w:rPr>
          <w:b/>
        </w:rPr>
        <w:t>;</w:t>
      </w:r>
    </w:p>
    <w:p>
      <w:pPr>
        <w:pStyle w:val="yIndenti0"/>
      </w:pPr>
      <w:r>
        <w:rPr>
          <w:b/>
        </w:rPr>
        <w:tab/>
      </w:r>
      <w:r>
        <w:rPr>
          <w:b/>
        </w:rPr>
        <w:tab/>
        <w:t xml:space="preserve">S </w:t>
      </w:r>
      <w:r>
        <w:t>=</w:t>
      </w:r>
      <w:r>
        <w:rPr>
          <w:b/>
        </w:rPr>
        <w:tab/>
      </w:r>
      <w:r>
        <w:t>1.136;</w:t>
      </w:r>
    </w:p>
    <w:p>
      <w:pPr>
        <w:pStyle w:val="yIndenti0"/>
      </w:pPr>
      <w:r>
        <w:rPr>
          <w:b/>
        </w:rPr>
        <w:tab/>
      </w:r>
      <w:r>
        <w:rPr>
          <w:b/>
        </w:rPr>
        <w:tab/>
        <w:t xml:space="preserve">N </w:t>
      </w:r>
      <w:r>
        <w:t>=</w:t>
      </w:r>
      <w:r>
        <w:rPr>
          <w:b/>
        </w:rPr>
        <w:tab/>
      </w:r>
      <w:r>
        <w:t>the discharge volume for the 2012/2013 year;</w:t>
      </w:r>
    </w:p>
    <w:p>
      <w:pPr>
        <w:pStyle w:val="yIndenti0"/>
      </w:pPr>
      <w:r>
        <w:rPr>
          <w:b/>
        </w:rPr>
        <w:tab/>
      </w:r>
      <w:r>
        <w:rPr>
          <w:b/>
        </w:rPr>
        <w:tab/>
        <w:t xml:space="preserve">W </w:t>
      </w:r>
      <w:r>
        <w:t>=</w:t>
      </w:r>
      <w:r>
        <w:rPr>
          <w:b/>
        </w:rPr>
        <w:tab/>
      </w:r>
      <w:r>
        <w:t>the discharge volume for the 2011/2012 year;</w:t>
      </w:r>
    </w:p>
    <w:p>
      <w:pPr>
        <w:pStyle w:val="yIndenti0"/>
      </w:pPr>
      <w:r>
        <w:rPr>
          <w:b/>
        </w:rPr>
        <w:tab/>
      </w:r>
      <w:r>
        <w:rPr>
          <w:b/>
        </w:rPr>
        <w:tab/>
        <w:t xml:space="preserve">I </w:t>
      </w:r>
      <w:r>
        <w:t>=</w:t>
      </w:r>
      <w:r>
        <w:rPr>
          <w:b/>
        </w:rPr>
        <w:tab/>
      </w:r>
      <w:r>
        <w:t>2.677.</w:t>
      </w:r>
    </w:p>
    <w:p>
      <w:pPr>
        <w:pStyle w:val="yHeading5"/>
      </w:pPr>
      <w:bookmarkStart w:id="765" w:name="_Toc84427999"/>
      <w:bookmarkStart w:id="766" w:name="_Toc328471493"/>
      <w:r>
        <w:t>14.</w:t>
      </w:r>
      <w:r>
        <w:tab/>
        <w:t>Metropolitan Government trading organisation and non</w:t>
      </w:r>
      <w:r>
        <w:noBreakHyphen/>
        <w:t>commercial Government property</w:t>
      </w:r>
      <w:bookmarkEnd w:id="765"/>
      <w:bookmarkEnd w:id="766"/>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Subsection"/>
      </w:pPr>
      <w:r>
        <w:rPr>
          <w:b/>
        </w:rPr>
        <w:tab/>
      </w:r>
      <w:r>
        <w:rPr>
          <w:b/>
        </w:rPr>
        <w:tab/>
        <w:t>Y</w:t>
      </w:r>
      <w:r>
        <w:t xml:space="preserve"> + </w:t>
      </w:r>
      <w:r>
        <w:rPr>
          <w:b/>
        </w:rPr>
        <w:t>Q</w:t>
      </w:r>
    </w:p>
    <w:p>
      <w:pPr>
        <w:pStyle w:val="ySubsection"/>
      </w:pPr>
      <w:r>
        <w:tab/>
      </w:r>
      <w:r>
        <w:tab/>
        <w:t xml:space="preserve">where — </w:t>
      </w:r>
    </w:p>
    <w:p>
      <w:pPr>
        <w:pStyle w:val="yIndenta"/>
      </w:pPr>
      <w:r>
        <w:rPr>
          <w:b/>
        </w:rPr>
        <w:tab/>
        <w:t>Y</w:t>
      </w:r>
      <w:r>
        <w:t xml:space="preserve"> =</w:t>
      </w:r>
      <w:r>
        <w:tab/>
        <w:t>the charge payable for the relevant number of major fixtures in the 2012/2013 year as set out in the Table to item 18;</w:t>
      </w:r>
    </w:p>
    <w:p>
      <w:pPr>
        <w:pStyle w:val="yIndenta"/>
      </w:pPr>
      <w:r>
        <w:rPr>
          <w:b/>
        </w:rPr>
        <w:tab/>
        <w:t>Q</w:t>
      </w:r>
      <w:r>
        <w:t xml:space="preserve"> =</w:t>
      </w:r>
      <w:r>
        <w:tab/>
        <w:t>the quantity charge calculated in accordance with the formula in item 19.</w:t>
      </w:r>
    </w:p>
    <w:p>
      <w:pPr>
        <w:pStyle w:val="yHeading5"/>
      </w:pPr>
      <w:bookmarkStart w:id="767" w:name="_Toc84428000"/>
      <w:bookmarkStart w:id="768" w:name="_Toc328471494"/>
      <w:r>
        <w:t>15.</w:t>
      </w:r>
      <w:r>
        <w:tab/>
        <w:t>Metropolitan non strata</w:t>
      </w:r>
      <w:r>
        <w:noBreakHyphen/>
        <w:t>titled caravan park with long</w:t>
      </w:r>
      <w:r>
        <w:noBreakHyphen/>
        <w:t>term residential caravan bays</w:t>
      </w:r>
      <w:bookmarkEnd w:id="767"/>
      <w:bookmarkEnd w:id="768"/>
    </w:p>
    <w:p>
      <w:pPr>
        <w:pStyle w:val="ySubsection"/>
      </w:pPr>
      <w:r>
        <w:tab/>
      </w:r>
      <w:r>
        <w:tab/>
        <w:t xml:space="preserve">In respect of a caravan park in the metropolitan area — </w:t>
      </w:r>
    </w:p>
    <w:p>
      <w:pPr>
        <w:pStyle w:val="yIndenta"/>
      </w:pPr>
      <w:r>
        <w:tab/>
        <w:t>(a)</w:t>
      </w:r>
      <w:r>
        <w:tab/>
        <w:t>not consisting of strata</w:t>
      </w:r>
      <w:r>
        <w:noBreakHyphen/>
        <w:t>titled caravan bays referred to in item 3; and</w:t>
      </w:r>
    </w:p>
    <w:p>
      <w:pPr>
        <w:pStyle w:val="yIndenta"/>
      </w:pPr>
      <w:r>
        <w:tab/>
        <w:t>(b)</w:t>
      </w:r>
      <w:r>
        <w:tab/>
        <w:t>having long</w:t>
      </w:r>
      <w:r>
        <w:noBreakHyphen/>
        <w:t xml:space="preserve">term residential caravan bays, the charge payable in accordance with the following formula — </w:t>
      </w:r>
    </w:p>
    <w:p>
      <w:pPr>
        <w:pStyle w:val="yIndenta"/>
      </w:pPr>
      <w:r>
        <w:rPr>
          <w:b/>
        </w:rPr>
        <w:tab/>
      </w:r>
      <w:r>
        <w:rPr>
          <w:b/>
        </w:rPr>
        <w:tab/>
        <w:t>AA</w:t>
      </w:r>
      <w:r>
        <w:t xml:space="preserve"> + </w:t>
      </w:r>
      <w:r>
        <w:rPr>
          <w:b/>
        </w:rPr>
        <w:t>AB</w:t>
      </w:r>
    </w:p>
    <w:p>
      <w:pPr>
        <w:pStyle w:val="yIndenta"/>
      </w:pPr>
      <w:r>
        <w:tab/>
      </w:r>
      <w:r>
        <w:tab/>
        <w:t xml:space="preserve">where — </w:t>
      </w:r>
    </w:p>
    <w:p>
      <w:pPr>
        <w:pStyle w:val="yIndenti0"/>
      </w:pPr>
      <w:r>
        <w:rPr>
          <w:b/>
          <w:bCs/>
        </w:rPr>
        <w:tab/>
        <w:t>AA =</w:t>
      </w:r>
      <w:r>
        <w:tab/>
        <w:t>a charge of $240.50 for each long</w:t>
      </w:r>
      <w:r>
        <w:noBreakHyphen/>
        <w:t>term residential caravan bay;</w:t>
      </w:r>
    </w:p>
    <w:p>
      <w:pPr>
        <w:pStyle w:val="yIndenti0"/>
      </w:pPr>
      <w:r>
        <w:tab/>
        <w:t>AB =</w:t>
      </w:r>
      <w:r>
        <w:tab/>
        <w:t>the charge for any part of the caravan park not comprised in long</w:t>
      </w:r>
      <w:r>
        <w:noBreakHyphen/>
        <w:t xml:space="preserve">term residential caravan bays, calculated in accordance with the following formula — </w:t>
      </w:r>
    </w:p>
    <w:p>
      <w:pPr>
        <w:pStyle w:val="yIndenti0"/>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i0"/>
      </w:pPr>
      <w:r>
        <w:tab/>
      </w:r>
      <w:r>
        <w:tab/>
      </w:r>
      <w:r>
        <w:rPr>
          <w:b/>
        </w:rPr>
        <w:t>Y</w:t>
      </w:r>
      <w:r>
        <w:t xml:space="preserve"> + </w:t>
      </w:r>
      <w:r>
        <w:rPr>
          <w:b/>
        </w:rPr>
        <w:t>Q</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tab/>
      </w:r>
      <w:r>
        <w:tab/>
      </w:r>
      <w:r>
        <w:rPr>
          <w:b/>
        </w:rPr>
        <w:t>N</w:t>
      </w:r>
      <w:r>
        <w:t xml:space="preserve"> </w:t>
      </w:r>
      <w:r>
        <w:sym w:font="Symbol" w:char="F0A3"/>
      </w:r>
      <w:r>
        <w:t xml:space="preserve"> </w:t>
      </w:r>
      <w:r>
        <w:rPr>
          <w:b/>
        </w:rPr>
        <w:t>W</w:t>
      </w:r>
      <w:r>
        <w:t>,</w:t>
      </w:r>
    </w:p>
    <w:p>
      <w:pPr>
        <w:pStyle w:val="yIndenti0"/>
      </w:pPr>
      <w:r>
        <w:tab/>
      </w:r>
      <w:r>
        <w:tab/>
        <w:t xml:space="preserve">then — </w:t>
      </w:r>
    </w:p>
    <w:p>
      <w:pPr>
        <w:pStyle w:val="yIndenti0"/>
        <w:rPr>
          <w:b/>
        </w:rPr>
      </w:pPr>
      <w:r>
        <w:tab/>
      </w:r>
      <w:r>
        <w:tab/>
      </w:r>
      <w:r>
        <w:rPr>
          <w:b/>
        </w:rPr>
        <w:t>R</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tab/>
      </w:r>
      <w:r>
        <w:tab/>
      </w:r>
      <w:r>
        <w:rPr>
          <w:b/>
        </w:rPr>
        <w:t>N</w:t>
      </w:r>
      <w:r>
        <w:t xml:space="preserve"> &gt; </w:t>
      </w:r>
      <w:r>
        <w:rPr>
          <w:b/>
        </w:rPr>
        <w:t>W</w:t>
      </w:r>
      <w:r>
        <w:t>,</w:t>
      </w:r>
    </w:p>
    <w:p>
      <w:pPr>
        <w:pStyle w:val="yIndenti0"/>
      </w:pPr>
      <w:r>
        <w:tab/>
      </w:r>
      <w:r>
        <w:tab/>
        <w:t xml:space="preserve">then — </w:t>
      </w:r>
    </w:p>
    <w:p>
      <w:pPr>
        <w:pStyle w:val="yIndenti0"/>
      </w:pPr>
      <w:r>
        <w:tab/>
      </w: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Indenti0"/>
      </w:pPr>
      <w:r>
        <w:tab/>
      </w:r>
      <w:r>
        <w:tab/>
        <w:t xml:space="preserve">where — </w:t>
      </w:r>
    </w:p>
    <w:p>
      <w:pPr>
        <w:pStyle w:val="yIndenti0"/>
        <w:ind w:left="2880" w:hanging="2880"/>
      </w:pPr>
      <w:r>
        <w:tab/>
      </w:r>
      <w:r>
        <w:tab/>
      </w:r>
      <w:r>
        <w:rPr>
          <w:b/>
        </w:rPr>
        <w:t>Y</w:t>
      </w:r>
      <w:r>
        <w:t xml:space="preserve"> =</w:t>
      </w:r>
      <w:r>
        <w:tab/>
        <w:t>the charge payable for the number of major fixtures in the relevant part of the caravan park in the 2012/2013 year as set out in the Table to item 18;</w:t>
      </w:r>
    </w:p>
    <w:p>
      <w:pPr>
        <w:pStyle w:val="yIndenti0"/>
        <w:ind w:left="2880" w:hanging="2880"/>
      </w:pPr>
      <w:r>
        <w:tab/>
      </w:r>
      <w:r>
        <w:tab/>
      </w:r>
      <w:r>
        <w:rPr>
          <w:b/>
        </w:rPr>
        <w:t xml:space="preserve">Q </w:t>
      </w:r>
      <w:r>
        <w:t>=</w:t>
      </w:r>
      <w:r>
        <w:tab/>
        <w:t>the quantity charge calculated in accordance with the formula in item 19;</w:t>
      </w:r>
    </w:p>
    <w:p>
      <w:pPr>
        <w:pStyle w:val="yIndenti0"/>
        <w:ind w:left="2880" w:hanging="2880"/>
      </w:pPr>
      <w:r>
        <w:tab/>
      </w:r>
      <w:r>
        <w:tab/>
      </w:r>
      <w:r>
        <w:rPr>
          <w:b/>
        </w:rPr>
        <w:t>R</w:t>
      </w:r>
      <w:r>
        <w:t xml:space="preserve"> =</w:t>
      </w:r>
      <w:r>
        <w:tab/>
        <w:t>the charge calculated in accordance with the following formula — </w:t>
      </w:r>
    </w:p>
    <w:p>
      <w:pPr>
        <w:pStyle w:val="yIndenti0"/>
      </w:pPr>
      <w:r>
        <w:tab/>
      </w:r>
      <w:r>
        <w:tab/>
      </w:r>
      <w:r>
        <w:tab/>
      </w:r>
      <w:r>
        <w:rPr>
          <w:b/>
        </w:rPr>
        <w:t>A</w:t>
      </w:r>
      <w:r>
        <w:t xml:space="preserve"> </w:t>
      </w:r>
      <w:r>
        <w:sym w:font="Symbol" w:char="F0B4"/>
      </w:r>
      <w:r>
        <w:t xml:space="preserve"> </w:t>
      </w:r>
      <w:r>
        <w:rPr>
          <w:b/>
        </w:rPr>
        <w:t>S</w:t>
      </w:r>
    </w:p>
    <w:p>
      <w:pPr>
        <w:pStyle w:val="yIndenti0"/>
      </w:pPr>
      <w:r>
        <w:tab/>
      </w:r>
      <w:r>
        <w:tab/>
      </w:r>
      <w:r>
        <w:tab/>
        <w:t xml:space="preserve">where — </w:t>
      </w:r>
    </w:p>
    <w:p>
      <w:pPr>
        <w:pStyle w:val="yIndentA0"/>
      </w:pPr>
      <w:r>
        <w:rPr>
          <w:b/>
        </w:rPr>
        <w:tab/>
        <w:t>A</w:t>
      </w:r>
      <w:r>
        <w:t xml:space="preserve"> =</w:t>
      </w:r>
      <w:r>
        <w:tab/>
        <w:t>the amount payable in the 2011/2012 year;</w:t>
      </w:r>
    </w:p>
    <w:p>
      <w:pPr>
        <w:pStyle w:val="yIndentA0"/>
        <w:rPr>
          <w:b/>
        </w:rPr>
      </w:pPr>
      <w:r>
        <w:rPr>
          <w:b/>
        </w:rPr>
        <w:tab/>
        <w:t>S</w:t>
      </w:r>
      <w:r>
        <w:t xml:space="preserve"> </w:t>
      </w:r>
      <w:r>
        <w:rPr>
          <w:b/>
        </w:rPr>
        <w:t>=</w:t>
      </w:r>
      <w:r>
        <w:rPr>
          <w:b/>
        </w:rPr>
        <w:tab/>
      </w:r>
      <w:r>
        <w:t>1.136;</w:t>
      </w:r>
    </w:p>
    <w:p>
      <w:pPr>
        <w:pStyle w:val="yIndenti0"/>
      </w:pPr>
      <w:r>
        <w:tab/>
      </w:r>
      <w:r>
        <w:tab/>
      </w:r>
      <w:r>
        <w:rPr>
          <w:b/>
        </w:rPr>
        <w:t>N</w:t>
      </w:r>
      <w:r>
        <w:t xml:space="preserve"> =</w:t>
      </w:r>
      <w:r>
        <w:tab/>
        <w:t>the discharge volume for the 2012/2013 year;</w:t>
      </w:r>
    </w:p>
    <w:p>
      <w:pPr>
        <w:pStyle w:val="yIndenti0"/>
      </w:pPr>
      <w:r>
        <w:tab/>
      </w:r>
      <w:r>
        <w:tab/>
      </w:r>
      <w:r>
        <w:rPr>
          <w:b/>
        </w:rPr>
        <w:t>W</w:t>
      </w:r>
      <w:r>
        <w:t xml:space="preserve"> =</w:t>
      </w:r>
      <w:r>
        <w:tab/>
        <w:t>the discharge volume for the 2011/2012 year;</w:t>
      </w:r>
    </w:p>
    <w:p>
      <w:pPr>
        <w:pStyle w:val="yIndenti0"/>
      </w:pPr>
      <w:r>
        <w:tab/>
      </w:r>
      <w:r>
        <w:tab/>
      </w:r>
      <w:r>
        <w:rPr>
          <w:b/>
        </w:rPr>
        <w:t>I</w:t>
      </w:r>
      <w:r>
        <w:t xml:space="preserve"> =</w:t>
      </w:r>
      <w:r>
        <w:tab/>
        <w:t>2.677.</w:t>
      </w:r>
    </w:p>
    <w:p>
      <w:pPr>
        <w:pStyle w:val="yHeading5"/>
      </w:pPr>
      <w:bookmarkStart w:id="769" w:name="_Toc84428001"/>
      <w:bookmarkStart w:id="770" w:name="_Toc328471495"/>
      <w:r>
        <w:t>16.</w:t>
      </w:r>
      <w:r>
        <w:tab/>
        <w:t>Metropolitan nursing home</w:t>
      </w:r>
      <w:bookmarkEnd w:id="769"/>
      <w:bookmarkEnd w:id="770"/>
    </w:p>
    <w:p>
      <w:pPr>
        <w:pStyle w:val="ySubsection"/>
      </w:pPr>
      <w:r>
        <w:tab/>
      </w:r>
      <w:r>
        <w:tab/>
        <w:t>In respect of a nursing home in the metropolitan area, not being a nursing home which is, or is part of, an aged home the charge is calculated in accordance with the following formula —</w:t>
      </w:r>
    </w:p>
    <w:p>
      <w:pPr>
        <w:pStyle w:val="ySubsection"/>
      </w:pPr>
      <w:r>
        <w:tab/>
      </w:r>
      <w:r>
        <w:tab/>
        <w:t>If (</w:t>
      </w:r>
      <w:r>
        <w:rPr>
          <w:b/>
        </w:rPr>
        <w:t>T + Q</w:t>
      </w:r>
      <w:r>
        <w:t xml:space="preserve">) </w:t>
      </w:r>
      <w:r>
        <w:rPr>
          <w:b/>
        </w:rP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xml:space="preserve">, then — </w:t>
      </w:r>
    </w:p>
    <w:p>
      <w:pPr>
        <w:pStyle w:val="ySubsection"/>
        <w:rPr>
          <w:b/>
        </w:rPr>
      </w:pPr>
      <w:r>
        <w:rPr>
          <w:b/>
        </w:rPr>
        <w:tab/>
      </w:r>
      <w:r>
        <w:rPr>
          <w:b/>
        </w:rPr>
        <w:tab/>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the number of beds in the nursing home;</w:t>
      </w:r>
    </w:p>
    <w:p>
      <w:pPr>
        <w:pStyle w:val="yIndenti0"/>
      </w:pPr>
      <w:r>
        <w:rPr>
          <w:b/>
        </w:rPr>
        <w:tab/>
        <w:t>V</w:t>
      </w:r>
      <w:r>
        <w:t xml:space="preserve"> =</w:t>
      </w:r>
      <w:r>
        <w:tab/>
        <w:t>$131.80;</w:t>
      </w:r>
    </w:p>
    <w:p>
      <w:pPr>
        <w:pStyle w:val="yIndenta"/>
      </w:pPr>
      <w:r>
        <w:rPr>
          <w:b/>
        </w:rPr>
        <w:tab/>
        <w:t>Q</w:t>
      </w:r>
      <w:r>
        <w:t xml:space="preserve"> =</w:t>
      </w:r>
      <w:r>
        <w:tab/>
        <w:t>the quantity charge calculated in accordance with the formula in item 19;</w:t>
      </w:r>
    </w:p>
    <w:p>
      <w:pPr>
        <w:pStyle w:val="yIndenta"/>
      </w:pPr>
      <w:r>
        <w:rPr>
          <w:b/>
        </w:rPr>
        <w:tab/>
        <w:t>R</w:t>
      </w:r>
      <w:r>
        <w:t xml:space="preserve"> =</w:t>
      </w:r>
      <w:r>
        <w:tab/>
        <w:t xml:space="preserve">the charge calculated in accordance with the following formula — </w:t>
      </w:r>
    </w:p>
    <w:p>
      <w:pPr>
        <w:pStyle w:val="yIndenta"/>
      </w:pPr>
      <w:r>
        <w:rPr>
          <w:b/>
        </w:rPr>
        <w:tab/>
      </w:r>
      <w:r>
        <w:rPr>
          <w:b/>
        </w:rPr>
        <w:tab/>
        <w:t>A</w:t>
      </w:r>
      <w:r>
        <w:t xml:space="preserve"> </w:t>
      </w:r>
      <w:r>
        <w:sym w:font="Symbol" w:char="F0B4"/>
      </w:r>
      <w:r>
        <w:t xml:space="preserve"> </w:t>
      </w:r>
      <w:r>
        <w:rPr>
          <w:b/>
        </w:rPr>
        <w:t>S</w:t>
      </w:r>
    </w:p>
    <w:p>
      <w:pPr>
        <w:pStyle w:val="yIndenta"/>
      </w:pPr>
      <w:r>
        <w:tab/>
      </w:r>
      <w:r>
        <w:tab/>
        <w:t xml:space="preserve">where — </w:t>
      </w:r>
    </w:p>
    <w:p>
      <w:pPr>
        <w:pStyle w:val="yIndenti0"/>
      </w:pPr>
      <w:r>
        <w:rPr>
          <w:b/>
        </w:rPr>
        <w:tab/>
        <w:t>A</w:t>
      </w:r>
      <w:r>
        <w:t xml:space="preserve"> =</w:t>
      </w:r>
      <w:r>
        <w:tab/>
        <w:t xml:space="preserve">the amount payable in the 2011/2012 year; </w:t>
      </w:r>
    </w:p>
    <w:p>
      <w:pPr>
        <w:pStyle w:val="yIndenti0"/>
      </w:pPr>
      <w:r>
        <w:rPr>
          <w:b/>
        </w:rPr>
        <w:tab/>
        <w:t>S</w:t>
      </w:r>
      <w:r>
        <w:t xml:space="preserve"> =</w:t>
      </w:r>
      <w:r>
        <w:tab/>
        <w:t>1.136.</w:t>
      </w:r>
    </w:p>
    <w:p>
      <w:pPr>
        <w:pStyle w:val="yHeading5"/>
      </w:pPr>
      <w:bookmarkStart w:id="771" w:name="_Toc84428002"/>
      <w:bookmarkStart w:id="772" w:name="_Toc328471496"/>
      <w:r>
        <w:t>17.</w:t>
      </w:r>
      <w:r>
        <w:tab/>
        <w:t>Certain metropolitan strata</w:t>
      </w:r>
      <w:r>
        <w:noBreakHyphen/>
        <w:t>titled units</w:t>
      </w:r>
      <w:bookmarkEnd w:id="771"/>
      <w:bookmarkEnd w:id="772"/>
    </w:p>
    <w:p>
      <w:pPr>
        <w:pStyle w:val="ySubsection"/>
      </w:pPr>
      <w:r>
        <w:tab/>
      </w:r>
      <w:r>
        <w:tab/>
        <w:t>In respect of land in the metropolitan area that —</w:t>
      </w:r>
    </w:p>
    <w:p>
      <w:pPr>
        <w:pStyle w:val="yIndenta"/>
      </w:pPr>
      <w:r>
        <w:tab/>
        <w:t>(a)</w:t>
      </w:r>
      <w:r>
        <w:tab/>
        <w:t>is not classified residential or vacant land;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w:t>
      </w:r>
      <w:r>
        <w:t>the</w:t>
      </w:r>
      <w:r>
        <w:rPr>
          <w:spacing w:val="-1"/>
        </w:rPr>
        <w:t xml:space="preserve"> </w:t>
      </w:r>
      <w:r>
        <w:t>total</w:t>
      </w:r>
      <w:r>
        <w:rPr>
          <w:spacing w:val="-1"/>
        </w:rPr>
        <w:t xml:space="preserve"> number of major fixtures shared by all the units on the relevant strata plan is less than the number of those units,</w:t>
      </w:r>
      <w:r>
        <w:t xml:space="preserve"> an amount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$452.80;</w:t>
      </w:r>
    </w:p>
    <w:p>
      <w:pPr>
        <w:pStyle w:val="yIndenta"/>
      </w:pPr>
      <w:r>
        <w:rPr>
          <w:b/>
        </w:rPr>
        <w:tab/>
        <w:t>Q</w:t>
      </w:r>
      <w:r>
        <w:t xml:space="preserve"> =</w:t>
      </w:r>
      <w:r>
        <w:tab/>
        <w:t>the quantity charge calculated in accordance with the formula in item 19.</w:t>
      </w:r>
    </w:p>
    <w:p>
      <w:pPr>
        <w:pStyle w:val="yFootnotesection"/>
      </w:pPr>
      <w:r>
        <w:tab/>
        <w:t>[Division 4 inserted in Gazette 20 Jun 2012 p. 2735</w:t>
      </w:r>
      <w:r>
        <w:noBreakHyphen/>
        <w:t>9.]</w:t>
      </w:r>
    </w:p>
    <w:p>
      <w:pPr>
        <w:pStyle w:val="yHeading3"/>
      </w:pPr>
      <w:bookmarkStart w:id="773" w:name="_Toc84428003"/>
      <w:bookmarkStart w:id="774" w:name="_Toc328403448"/>
      <w:bookmarkStart w:id="775" w:name="_Toc328471497"/>
      <w:r>
        <w:rPr>
          <w:rStyle w:val="CharSDivNo"/>
        </w:rPr>
        <w:t>Division 5</w:t>
      </w:r>
      <w:r>
        <w:rPr>
          <w:b w:val="0"/>
        </w:rPr>
        <w:t> — </w:t>
      </w:r>
      <w:r>
        <w:rPr>
          <w:rStyle w:val="CharSDivText"/>
        </w:rPr>
        <w:t>Computation of combined metropolitan charges</w:t>
      </w:r>
      <w:bookmarkEnd w:id="773"/>
      <w:bookmarkEnd w:id="774"/>
      <w:bookmarkEnd w:id="775"/>
    </w:p>
    <w:p>
      <w:pPr>
        <w:pStyle w:val="yFootnoteheading"/>
        <w:spacing w:after="60"/>
      </w:pPr>
      <w:r>
        <w:tab/>
        <w:t>[Heading inserted in Gazette 20 Jun 2012 p. 2739.]</w:t>
      </w:r>
    </w:p>
    <w:p>
      <w:pPr>
        <w:pStyle w:val="yHeading5"/>
      </w:pPr>
      <w:bookmarkStart w:id="776" w:name="_Toc84428004"/>
      <w:bookmarkStart w:id="777" w:name="_Toc328471498"/>
      <w:r>
        <w:t>18.</w:t>
      </w:r>
      <w:r>
        <w:tab/>
        <w:t>Formula for annual charge</w:t>
      </w:r>
      <w:bookmarkEnd w:id="776"/>
      <w:bookmarkEnd w:id="777"/>
    </w:p>
    <w:p>
      <w:pPr>
        <w:pStyle w:val="ySubsection"/>
      </w:pPr>
      <w:r>
        <w:tab/>
      </w:r>
      <w:r>
        <w:tab/>
        <w:t>For the purposes of Division 4, the annual charge (</w:t>
      </w:r>
      <w:r>
        <w:rPr>
          <w:rStyle w:val="CharDefText"/>
        </w:rPr>
        <w:t>P</w:t>
      </w:r>
      <w:r>
        <w:t xml:space="preserve">) is calculated according to the following formula —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 xml:space="preserve">where — </w:t>
      </w:r>
    </w:p>
    <w:p>
      <w:pPr>
        <w:pStyle w:val="yIndenta"/>
      </w:pPr>
      <w:r>
        <w:tab/>
      </w:r>
      <w:r>
        <w:rPr>
          <w:b/>
        </w:rPr>
        <w:t>A</w:t>
      </w:r>
      <w:r>
        <w:t xml:space="preserve"> =</w:t>
      </w:r>
      <w:r>
        <w:tab/>
        <w:t>the amount payable in the 2011/2012 year;</w:t>
      </w:r>
    </w:p>
    <w:p>
      <w:pPr>
        <w:pStyle w:val="yIndenta"/>
      </w:pPr>
      <w:r>
        <w:tab/>
      </w:r>
      <w:r>
        <w:rPr>
          <w:b/>
        </w:rPr>
        <w:t>B</w:t>
      </w:r>
      <w:r>
        <w:t xml:space="preserve"> =</w:t>
      </w:r>
      <w:r>
        <w:tab/>
        <w:t>1.136;</w:t>
      </w:r>
    </w:p>
    <w:p>
      <w:pPr>
        <w:pStyle w:val="yIndenta"/>
      </w:pPr>
      <w:r>
        <w:tab/>
      </w:r>
      <w:r>
        <w:rPr>
          <w:b/>
        </w:rPr>
        <w:t>C</w:t>
      </w:r>
      <w:r>
        <w:t xml:space="preserve"> =</w:t>
      </w:r>
      <w:r>
        <w:tab/>
        <w:t>the charge payable for the relevant number of major fixtures for the 2012/2013 year as set out in the Table;</w:t>
      </w:r>
    </w:p>
    <w:p>
      <w:pPr>
        <w:pStyle w:val="yIndenta"/>
      </w:pPr>
      <w:r>
        <w:tab/>
      </w:r>
      <w:r>
        <w:rPr>
          <w:b/>
        </w:rPr>
        <w:t>D</w:t>
      </w:r>
      <w:r>
        <w:t xml:space="preserve"> =</w:t>
      </w:r>
      <w:r>
        <w:tab/>
        <w:t>discharge charge;</w:t>
      </w:r>
    </w:p>
    <w:p>
      <w:pPr>
        <w:pStyle w:val="yIndenta"/>
      </w:pPr>
      <w:r>
        <w:tab/>
      </w:r>
      <w:r>
        <w:rPr>
          <w:b/>
        </w:rPr>
        <w:t>E</w:t>
      </w:r>
      <w:r>
        <w:t xml:space="preserve"> =</w:t>
      </w:r>
      <w:r>
        <w:tab/>
        <w:t>1.000;</w:t>
      </w:r>
    </w:p>
    <w:p>
      <w:pPr>
        <w:pStyle w:val="yIndenta"/>
      </w:pPr>
      <w:r>
        <w:rPr>
          <w:b/>
        </w:rPr>
        <w:tab/>
        <w:t>X</w:t>
      </w:r>
      <w:r>
        <w:t xml:space="preserve"> =</w:t>
      </w:r>
      <w:r>
        <w:tab/>
        <w:t>the amount specified in relation to the 2012/2013 year for the relevant number of major fixtures as set out in the Table.</w:t>
      </w:r>
    </w:p>
    <w:p>
      <w:pPr>
        <w:pStyle w:val="yTHeadingNAm"/>
        <w:rPr>
          <w:bCs w:val="0"/>
        </w:rPr>
      </w:pPr>
      <w:r>
        <w:rPr>
          <w:bCs w:val="0"/>
        </w:rPr>
        <w:t>Table of major fixture</w:t>
      </w:r>
      <w:r>
        <w:rPr>
          <w:bCs w:val="0"/>
        </w:rPr>
        <w:noBreakHyphen/>
        <w:t>based minimum charges</w:t>
      </w:r>
      <w:r>
        <w:rPr>
          <w:bCs w:val="0"/>
        </w:rPr>
        <w:br/>
        <w:t>(per fixture)</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NAm"/>
              <w:jc w:val="center"/>
            </w:pPr>
            <w:r>
              <w:rPr>
                <w:b/>
                <w:bCs/>
              </w:rPr>
              <w:t>No. of fixtures</w:t>
            </w:r>
          </w:p>
        </w:tc>
        <w:tc>
          <w:tcPr>
            <w:tcW w:w="2268" w:type="dxa"/>
            <w:tcBorders>
              <w:top w:val="single" w:sz="4" w:space="0" w:color="auto"/>
              <w:bottom w:val="single" w:sz="4" w:space="0" w:color="auto"/>
            </w:tcBorders>
          </w:tcPr>
          <w:p>
            <w:pPr>
              <w:pStyle w:val="yTableNAm"/>
              <w:jc w:val="center"/>
            </w:pPr>
            <w:r>
              <w:rPr>
                <w:b/>
                <w:bCs/>
              </w:rPr>
              <w:t>Charge</w:t>
            </w:r>
            <w:r>
              <w:rPr>
                <w:b/>
                <w:bCs/>
              </w:rPr>
              <w:br/>
              <w:t>$</w:t>
            </w:r>
          </w:p>
        </w:tc>
      </w:tr>
      <w:tr>
        <w:tc>
          <w:tcPr>
            <w:tcW w:w="2268" w:type="dxa"/>
          </w:tcPr>
          <w:p>
            <w:pPr>
              <w:pStyle w:val="yTableNAm"/>
              <w:jc w:val="center"/>
            </w:pPr>
            <w:r>
              <w:t>1</w:t>
            </w:r>
          </w:p>
        </w:tc>
        <w:tc>
          <w:tcPr>
            <w:tcW w:w="2268" w:type="dxa"/>
          </w:tcPr>
          <w:p>
            <w:pPr>
              <w:pStyle w:val="yTableNAm"/>
              <w:jc w:val="center"/>
            </w:pPr>
            <w:r>
              <w:t>728.40</w:t>
            </w:r>
          </w:p>
        </w:tc>
      </w:tr>
      <w:tr>
        <w:tc>
          <w:tcPr>
            <w:tcW w:w="2268" w:type="dxa"/>
          </w:tcPr>
          <w:p>
            <w:pPr>
              <w:pStyle w:val="yTableNAm"/>
              <w:jc w:val="center"/>
            </w:pPr>
            <w:r>
              <w:t>2</w:t>
            </w:r>
          </w:p>
        </w:tc>
        <w:tc>
          <w:tcPr>
            <w:tcW w:w="2268" w:type="dxa"/>
          </w:tcPr>
          <w:p>
            <w:pPr>
              <w:pStyle w:val="yTableNAm"/>
              <w:jc w:val="center"/>
            </w:pPr>
            <w:r>
              <w:t>311.80</w:t>
            </w:r>
          </w:p>
        </w:tc>
      </w:tr>
      <w:tr>
        <w:tc>
          <w:tcPr>
            <w:tcW w:w="2268" w:type="dxa"/>
          </w:tcPr>
          <w:p>
            <w:pPr>
              <w:pStyle w:val="yTableNAm"/>
              <w:jc w:val="center"/>
            </w:pPr>
            <w:r>
              <w:t>3</w:t>
            </w:r>
          </w:p>
        </w:tc>
        <w:tc>
          <w:tcPr>
            <w:tcW w:w="2268" w:type="dxa"/>
          </w:tcPr>
          <w:p>
            <w:pPr>
              <w:pStyle w:val="yTableNAm"/>
              <w:jc w:val="center"/>
            </w:pPr>
            <w:r>
              <w:t>416.40</w:t>
            </w:r>
          </w:p>
        </w:tc>
      </w:tr>
      <w:tr>
        <w:tc>
          <w:tcPr>
            <w:tcW w:w="2268" w:type="dxa"/>
            <w:tcBorders>
              <w:bottom w:val="single" w:sz="4" w:space="0" w:color="auto"/>
            </w:tcBorders>
          </w:tcPr>
          <w:p>
            <w:pPr>
              <w:pStyle w:val="yTableNAm"/>
              <w:jc w:val="center"/>
            </w:pPr>
            <w:r>
              <w:t>4+</w:t>
            </w:r>
          </w:p>
        </w:tc>
        <w:tc>
          <w:tcPr>
            <w:tcW w:w="2268" w:type="dxa"/>
            <w:tcBorders>
              <w:bottom w:val="single" w:sz="4" w:space="0" w:color="auto"/>
            </w:tcBorders>
          </w:tcPr>
          <w:p>
            <w:pPr>
              <w:pStyle w:val="yTableNAm"/>
              <w:jc w:val="center"/>
            </w:pPr>
            <w:r>
              <w:t>452.80</w:t>
            </w:r>
          </w:p>
        </w:tc>
      </w:tr>
    </w:tbl>
    <w:p>
      <w:pPr>
        <w:pStyle w:val="yHeading5"/>
      </w:pPr>
      <w:bookmarkStart w:id="778" w:name="_Toc84428005"/>
      <w:bookmarkStart w:id="779" w:name="_Toc328471499"/>
      <w:r>
        <w:t>19.</w:t>
      </w:r>
      <w:r>
        <w:tab/>
        <w:t>Formula for quantity charge</w:t>
      </w:r>
      <w:bookmarkEnd w:id="778"/>
      <w:bookmarkEnd w:id="779"/>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2012/2013 year;</w:t>
      </w:r>
    </w:p>
    <w:p>
      <w:pPr>
        <w:pStyle w:val="yIndenta"/>
      </w:pPr>
      <w:r>
        <w:rPr>
          <w:b/>
        </w:rPr>
        <w:tab/>
        <w:t>G</w:t>
      </w:r>
      <w:r>
        <w:t xml:space="preserve"> =</w:t>
      </w:r>
      <w:r>
        <w:tab/>
        <w:t>the discharge factor set for the property for the 2012/2013 year;</w:t>
      </w:r>
    </w:p>
    <w:p>
      <w:pPr>
        <w:pStyle w:val="yIndenta"/>
      </w:pPr>
      <w:r>
        <w:rPr>
          <w:b/>
        </w:rPr>
        <w:tab/>
        <w:t>H</w:t>
      </w:r>
      <w:r>
        <w:t xml:space="preserve"> =</w:t>
      </w:r>
      <w:r>
        <w:tab/>
        <w:t>the discharge allowance for the 2012/2013 year calculated in accordance with item 20;</w:t>
      </w:r>
    </w:p>
    <w:p>
      <w:pPr>
        <w:pStyle w:val="yIndenta"/>
      </w:pPr>
      <w:r>
        <w:rPr>
          <w:b/>
        </w:rPr>
        <w:tab/>
        <w:t>I</w:t>
      </w:r>
      <w:r>
        <w:t xml:space="preserve"> =</w:t>
      </w:r>
      <w:r>
        <w:tab/>
        <w:t>2.677.</w:t>
      </w:r>
    </w:p>
    <w:p>
      <w:pPr>
        <w:pStyle w:val="yHeading5"/>
      </w:pPr>
      <w:bookmarkStart w:id="780" w:name="_Toc84428006"/>
      <w:bookmarkStart w:id="781" w:name="_Toc328471500"/>
      <w:r>
        <w:t>20.</w:t>
      </w:r>
      <w:r>
        <w:tab/>
        <w:t>Discharge allowance</w:t>
      </w:r>
      <w:bookmarkEnd w:id="780"/>
      <w:bookmarkEnd w:id="781"/>
    </w:p>
    <w:p>
      <w:pPr>
        <w:pStyle w:val="ySubsection"/>
        <w:rPr>
          <w:snapToGrid w:val="0"/>
        </w:rPr>
      </w:pPr>
      <w:r>
        <w:rPr>
          <w:snapToGrid w:val="0"/>
        </w:rPr>
        <w:tab/>
      </w:r>
      <w:r>
        <w:rPr>
          <w:snapToGrid w:val="0"/>
        </w:rPr>
        <w:tab/>
        <w:t xml:space="preserve">For the purposes of item 19, the discharge </w:t>
      </w:r>
      <w:r>
        <w:t>allowance</w:t>
      </w:r>
      <w:r>
        <w:rPr>
          <w:snapToGrid w:val="0"/>
        </w:rPr>
        <w:t xml:space="preserve"> is — </w:t>
      </w:r>
    </w:p>
    <w:p>
      <w:pPr>
        <w:pStyle w:val="yIndenta"/>
        <w:rPr>
          <w:snapToGrid w:val="0"/>
        </w:rPr>
      </w:pPr>
      <w:r>
        <w:rPr>
          <w:snapToGrid w:val="0"/>
        </w:rPr>
        <w:tab/>
        <w:t>(a)</w:t>
      </w:r>
      <w:r>
        <w:rPr>
          <w:snapToGrid w:val="0"/>
        </w:rPr>
        <w:tab/>
        <w:t>for land to which item 13 applies that is not mentioned in paragraph (e), 200 kL of water; and</w:t>
      </w:r>
    </w:p>
    <w:p>
      <w:pPr>
        <w:pStyle w:val="yIndenta"/>
        <w:rPr>
          <w:snapToGrid w:val="0"/>
        </w:rPr>
      </w:pPr>
      <w:r>
        <w:rPr>
          <w:snapToGrid w:val="0"/>
        </w:rPr>
        <w:tab/>
        <w:t>(b)</w:t>
      </w:r>
      <w:r>
        <w:rPr>
          <w:snapToGrid w:val="0"/>
        </w:rPr>
        <w:tab/>
        <w:t>for a non</w:t>
      </w:r>
      <w:r>
        <w:rPr>
          <w:snapToGrid w:val="0"/>
        </w:rPr>
        <w:noBreakHyphen/>
        <w:t xml:space="preserve">commercial Government property, or a property held by a </w:t>
      </w:r>
      <w:r>
        <w:t>Government trading organisation</w:t>
      </w:r>
      <w:r>
        <w:rPr>
          <w:snapToGrid w:val="0"/>
        </w:rPr>
        <w:t>, 200 kL of water; and</w:t>
      </w:r>
    </w:p>
    <w:p>
      <w:pPr>
        <w:pStyle w:val="yIndenta"/>
        <w:rPr>
          <w:snapToGrid w:val="0"/>
        </w:rPr>
      </w:pPr>
      <w:r>
        <w:rPr>
          <w:snapToGrid w:val="0"/>
        </w:rPr>
        <w:tab/>
        <w:t>(c)</w:t>
      </w:r>
      <w:r>
        <w:rPr>
          <w:snapToGrid w:val="0"/>
        </w:rPr>
        <w:tab/>
        <w:t>for a caravan park referred to in item 15,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i0"/>
        <w:tabs>
          <w:tab w:val="clear" w:pos="2041"/>
          <w:tab w:val="right" w:pos="2160"/>
        </w:tabs>
      </w:pPr>
      <w:r>
        <w:tab/>
      </w:r>
      <w:r>
        <w:rPr>
          <w:b/>
        </w:rPr>
        <w:t>L =</w:t>
      </w:r>
      <w:r>
        <w:rPr>
          <w:b/>
        </w:rPr>
        <w:tab/>
      </w:r>
      <w:r>
        <w:t>200;</w:t>
      </w:r>
    </w:p>
    <w:p>
      <w:pPr>
        <w:pStyle w:val="yIndenti0"/>
        <w:tabs>
          <w:tab w:val="clear" w:pos="2041"/>
          <w:tab w:val="right" w:pos="2160"/>
        </w:tabs>
      </w:pPr>
      <w:r>
        <w:rPr>
          <w:b/>
        </w:rPr>
        <w:tab/>
        <w:t xml:space="preserve">M </w:t>
      </w:r>
      <w:r>
        <w:t>=</w:t>
      </w:r>
      <w:r>
        <w:tab/>
        <w:t>75 kL of water for each long</w:t>
      </w:r>
      <w:r>
        <w:noBreakHyphen/>
        <w:t>term residential caravan bay;</w:t>
      </w:r>
    </w:p>
    <w:p>
      <w:pPr>
        <w:pStyle w:val="yIndenta"/>
      </w:pPr>
      <w:r>
        <w:tab/>
      </w:r>
      <w:r>
        <w:tab/>
        <w:t>and</w:t>
      </w:r>
    </w:p>
    <w:p>
      <w:pPr>
        <w:pStyle w:val="yIndenta"/>
        <w:rPr>
          <w:snapToGrid w:val="0"/>
        </w:rPr>
      </w:pPr>
      <w:r>
        <w:rPr>
          <w:snapToGrid w:val="0"/>
        </w:rPr>
        <w:tab/>
        <w:t>(d)</w:t>
      </w:r>
      <w:r>
        <w:rPr>
          <w:snapToGrid w:val="0"/>
        </w:rPr>
        <w:tab/>
        <w:t>for a nursing home referred to in item 16, 75 kL of water per bed; and</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section"/>
      </w:pPr>
      <w:r>
        <w:tab/>
        <w:t>[Division 5 inserted in Gazette 20 Jun 2012 p. 2739</w:t>
      </w:r>
      <w:r>
        <w:noBreakHyphen/>
        <w:t>41.]</w:t>
      </w:r>
    </w:p>
    <w:p>
      <w:pPr>
        <w:pStyle w:val="yHeading3"/>
      </w:pPr>
      <w:bookmarkStart w:id="782" w:name="_Toc84428007"/>
      <w:bookmarkStart w:id="783" w:name="_Toc328403452"/>
      <w:bookmarkStart w:id="784" w:name="_Toc328471501"/>
      <w:r>
        <w:rPr>
          <w:rStyle w:val="CharSDivNo"/>
        </w:rPr>
        <w:t>Division 6 </w:t>
      </w:r>
      <w:r>
        <w:t>—</w:t>
      </w:r>
      <w:r>
        <w:rPr>
          <w:rStyle w:val="CharSDivNo"/>
        </w:rPr>
        <w:t> </w:t>
      </w:r>
      <w:r>
        <w:rPr>
          <w:rStyle w:val="CharSDivText"/>
        </w:rPr>
        <w:t>Service charges for industrial waste</w:t>
      </w:r>
      <w:bookmarkEnd w:id="782"/>
      <w:bookmarkEnd w:id="783"/>
      <w:bookmarkEnd w:id="784"/>
    </w:p>
    <w:p>
      <w:pPr>
        <w:pStyle w:val="yFootnoteheading"/>
        <w:spacing w:after="60"/>
      </w:pPr>
      <w:r>
        <w:tab/>
        <w:t>[Heading inserted in Gazette 20 Jun 2012 p. 2742.]</w:t>
      </w:r>
    </w:p>
    <w:tbl>
      <w:tblPr>
        <w:tblW w:w="0" w:type="auto"/>
        <w:tblInd w:w="534" w:type="dxa"/>
        <w:tblLayout w:type="fixed"/>
        <w:tblLook w:val="0000" w:firstRow="0" w:lastRow="0" w:firstColumn="0" w:lastColumn="0" w:noHBand="0" w:noVBand="0"/>
      </w:tblPr>
      <w:tblGrid>
        <w:gridCol w:w="850"/>
        <w:gridCol w:w="4198"/>
        <w:gridCol w:w="14"/>
        <w:gridCol w:w="14"/>
        <w:gridCol w:w="1444"/>
      </w:tblGrid>
      <w:tr>
        <w:trPr>
          <w:cantSplit/>
        </w:trPr>
        <w:tc>
          <w:tcPr>
            <w:tcW w:w="850" w:type="dxa"/>
          </w:tcPr>
          <w:p>
            <w:pPr>
              <w:pStyle w:val="yTableNAm"/>
              <w:rPr>
                <w:b/>
                <w:szCs w:val="22"/>
              </w:rPr>
            </w:pPr>
            <w:r>
              <w:rPr>
                <w:b/>
                <w:szCs w:val="22"/>
              </w:rPr>
              <w:t>21.</w:t>
            </w:r>
          </w:p>
        </w:tc>
        <w:tc>
          <w:tcPr>
            <w:tcW w:w="5670" w:type="dxa"/>
            <w:gridSpan w:val="4"/>
          </w:tcPr>
          <w:p>
            <w:pPr>
              <w:pStyle w:val="yTableNAm"/>
              <w:rPr>
                <w:b/>
                <w:bCs/>
                <w:spacing w:val="-1"/>
                <w:szCs w:val="22"/>
              </w:rPr>
            </w:pPr>
            <w:r>
              <w:rPr>
                <w:b/>
                <w:bCs/>
                <w:szCs w:val="22"/>
              </w:rPr>
              <w:t>Inspection — routine programme</w:t>
            </w:r>
          </w:p>
        </w:tc>
      </w:tr>
      <w:tr>
        <w:tc>
          <w:tcPr>
            <w:tcW w:w="850" w:type="dxa"/>
          </w:tcPr>
          <w:p>
            <w:pPr>
              <w:pStyle w:val="yTableNAm"/>
              <w:rPr>
                <w:szCs w:val="22"/>
              </w:rPr>
            </w:pPr>
          </w:p>
        </w:tc>
        <w:tc>
          <w:tcPr>
            <w:tcW w:w="4226" w:type="dxa"/>
            <w:gridSpan w:val="3"/>
          </w:tcPr>
          <w:p>
            <w:pPr>
              <w:pStyle w:val="yTableNAm"/>
              <w:tabs>
                <w:tab w:val="right" w:leader="dot" w:pos="4253"/>
              </w:tabs>
              <w:rPr>
                <w:szCs w:val="22"/>
              </w:rPr>
            </w:pPr>
            <w:r>
              <w:rPr>
                <w:szCs w:val="22"/>
              </w:rPr>
              <w:t xml:space="preserve">For an inspection for a routine programme </w:t>
            </w:r>
            <w:r>
              <w:rPr>
                <w:szCs w:val="22"/>
              </w:rPr>
              <w:tab/>
            </w:r>
          </w:p>
        </w:tc>
        <w:tc>
          <w:tcPr>
            <w:tcW w:w="1444" w:type="dxa"/>
            <w:vAlign w:val="bottom"/>
          </w:tcPr>
          <w:p>
            <w:pPr>
              <w:pStyle w:val="yTableNAm"/>
              <w:tabs>
                <w:tab w:val="clear" w:pos="567"/>
                <w:tab w:val="left" w:pos="202"/>
              </w:tabs>
              <w:rPr>
                <w:spacing w:val="-1"/>
                <w:szCs w:val="22"/>
              </w:rPr>
            </w:pPr>
            <w:r>
              <w:rPr>
                <w:spacing w:val="-1"/>
                <w:szCs w:val="22"/>
              </w:rPr>
              <w:t>$132.00/hour</w:t>
            </w:r>
          </w:p>
        </w:tc>
      </w:tr>
      <w:tr>
        <w:tc>
          <w:tcPr>
            <w:tcW w:w="850" w:type="dxa"/>
          </w:tcPr>
          <w:p>
            <w:pPr>
              <w:pStyle w:val="yTableNAm"/>
              <w:rPr>
                <w:b/>
                <w:szCs w:val="22"/>
              </w:rPr>
            </w:pPr>
            <w:r>
              <w:rPr>
                <w:b/>
                <w:szCs w:val="22"/>
              </w:rPr>
              <w:t>22.</w:t>
            </w:r>
          </w:p>
        </w:tc>
        <w:tc>
          <w:tcPr>
            <w:tcW w:w="4226" w:type="dxa"/>
            <w:gridSpan w:val="3"/>
          </w:tcPr>
          <w:p>
            <w:pPr>
              <w:pStyle w:val="yTableNAm"/>
              <w:tabs>
                <w:tab w:val="right" w:leader="dot" w:pos="4253"/>
              </w:tabs>
              <w:rPr>
                <w:b/>
                <w:bCs/>
                <w:szCs w:val="22"/>
              </w:rPr>
            </w:pPr>
            <w:r>
              <w:rPr>
                <w:b/>
                <w:bCs/>
                <w:snapToGrid w:val="0"/>
                <w:szCs w:val="22"/>
              </w:rPr>
              <w:t>Meter reading — routine programme</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3"/>
          </w:tcPr>
          <w:p>
            <w:pPr>
              <w:pStyle w:val="yTableNAm"/>
              <w:tabs>
                <w:tab w:val="right" w:leader="dot" w:pos="4253"/>
              </w:tabs>
              <w:rPr>
                <w:szCs w:val="22"/>
              </w:rPr>
            </w:pPr>
            <w:r>
              <w:rPr>
                <w:szCs w:val="22"/>
              </w:rPr>
              <w:t xml:space="preserve">For each meter reading for a routine programme </w:t>
            </w:r>
            <w:r>
              <w:rPr>
                <w:szCs w:val="22"/>
              </w:rPr>
              <w:tab/>
            </w:r>
          </w:p>
        </w:tc>
        <w:tc>
          <w:tcPr>
            <w:tcW w:w="1444" w:type="dxa"/>
            <w:vAlign w:val="bottom"/>
          </w:tcPr>
          <w:p>
            <w:pPr>
              <w:pStyle w:val="yTableNAm"/>
              <w:tabs>
                <w:tab w:val="clear" w:pos="567"/>
                <w:tab w:val="left" w:pos="194"/>
              </w:tabs>
              <w:rPr>
                <w:spacing w:val="-1"/>
                <w:szCs w:val="22"/>
              </w:rPr>
            </w:pPr>
            <w:r>
              <w:rPr>
                <w:spacing w:val="-1"/>
                <w:szCs w:val="22"/>
              </w:rPr>
              <w:t>$24.10</w:t>
            </w:r>
          </w:p>
        </w:tc>
      </w:tr>
      <w:tr>
        <w:tc>
          <w:tcPr>
            <w:tcW w:w="850" w:type="dxa"/>
          </w:tcPr>
          <w:p>
            <w:pPr>
              <w:pStyle w:val="yTableNAm"/>
              <w:rPr>
                <w:b/>
                <w:szCs w:val="22"/>
              </w:rPr>
            </w:pPr>
            <w:r>
              <w:rPr>
                <w:b/>
                <w:szCs w:val="22"/>
              </w:rPr>
              <w:t>23.</w:t>
            </w:r>
          </w:p>
        </w:tc>
        <w:tc>
          <w:tcPr>
            <w:tcW w:w="4226" w:type="dxa"/>
            <w:gridSpan w:val="3"/>
          </w:tcPr>
          <w:p>
            <w:pPr>
              <w:pStyle w:val="yTableNAm"/>
              <w:tabs>
                <w:tab w:val="right" w:leader="dot" w:pos="4253"/>
              </w:tabs>
              <w:rPr>
                <w:b/>
                <w:bCs/>
                <w:szCs w:val="22"/>
              </w:rPr>
            </w:pPr>
            <w:r>
              <w:rPr>
                <w:b/>
                <w:bCs/>
                <w:snapToGrid w:val="0"/>
                <w:szCs w:val="22"/>
              </w:rPr>
              <w:t>Grab samples — routine programme</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3"/>
          </w:tcPr>
          <w:p>
            <w:pPr>
              <w:pStyle w:val="yTableNAm"/>
              <w:tabs>
                <w:tab w:val="right" w:leader="dot" w:pos="4253"/>
              </w:tabs>
              <w:rPr>
                <w:spacing w:val="-12"/>
                <w:szCs w:val="22"/>
              </w:rPr>
            </w:pPr>
            <w:r>
              <w:rPr>
                <w:szCs w:val="22"/>
              </w:rPr>
              <w:t xml:space="preserve">For each grab sample for a routine programme </w:t>
            </w:r>
            <w:r>
              <w:rPr>
                <w:szCs w:val="22"/>
              </w:rPr>
              <w:tab/>
            </w:r>
          </w:p>
        </w:tc>
        <w:tc>
          <w:tcPr>
            <w:tcW w:w="1444" w:type="dxa"/>
            <w:vAlign w:val="bottom"/>
          </w:tcPr>
          <w:p>
            <w:pPr>
              <w:pStyle w:val="yTableNAm"/>
              <w:tabs>
                <w:tab w:val="clear" w:pos="567"/>
                <w:tab w:val="left" w:pos="194"/>
              </w:tabs>
              <w:rPr>
                <w:spacing w:val="-1"/>
                <w:szCs w:val="22"/>
              </w:rPr>
            </w:pPr>
            <w:r>
              <w:rPr>
                <w:spacing w:val="-1"/>
                <w:szCs w:val="22"/>
              </w:rPr>
              <w:t>$280.50</w:t>
            </w:r>
          </w:p>
        </w:tc>
      </w:tr>
      <w:tr>
        <w:tc>
          <w:tcPr>
            <w:tcW w:w="850" w:type="dxa"/>
          </w:tcPr>
          <w:p>
            <w:pPr>
              <w:pStyle w:val="yTableNAm"/>
              <w:keepNext/>
              <w:keepLines/>
              <w:rPr>
                <w:b/>
                <w:szCs w:val="22"/>
              </w:rPr>
            </w:pPr>
            <w:r>
              <w:rPr>
                <w:b/>
                <w:szCs w:val="22"/>
              </w:rPr>
              <w:t>24.</w:t>
            </w:r>
          </w:p>
        </w:tc>
        <w:tc>
          <w:tcPr>
            <w:tcW w:w="4226" w:type="dxa"/>
            <w:gridSpan w:val="3"/>
          </w:tcPr>
          <w:p>
            <w:pPr>
              <w:pStyle w:val="yTableNAm"/>
              <w:keepNext/>
              <w:keepLines/>
              <w:tabs>
                <w:tab w:val="right" w:leader="dot" w:pos="4253"/>
              </w:tabs>
              <w:rPr>
                <w:b/>
                <w:bCs/>
                <w:szCs w:val="22"/>
              </w:rPr>
            </w:pPr>
            <w:r>
              <w:rPr>
                <w:b/>
                <w:bCs/>
                <w:snapToGrid w:val="0"/>
                <w:szCs w:val="22"/>
              </w:rPr>
              <w:t xml:space="preserve">Composite samples — </w:t>
            </w:r>
            <w:r>
              <w:rPr>
                <w:b/>
                <w:bCs/>
                <w:spacing w:val="-1"/>
                <w:szCs w:val="22"/>
              </w:rPr>
              <w:t>routine programme</w:t>
            </w:r>
          </w:p>
        </w:tc>
        <w:tc>
          <w:tcPr>
            <w:tcW w:w="1444" w:type="dxa"/>
            <w:vAlign w:val="bottom"/>
          </w:tcPr>
          <w:p>
            <w:pPr>
              <w:pStyle w:val="yTableNAm"/>
              <w:keepNext/>
              <w:keepLines/>
              <w:tabs>
                <w:tab w:val="clear" w:pos="567"/>
                <w:tab w:val="left" w:pos="194"/>
              </w:tabs>
              <w:rPr>
                <w:spacing w:val="-1"/>
                <w:szCs w:val="22"/>
              </w:rPr>
            </w:pPr>
          </w:p>
        </w:tc>
      </w:tr>
      <w:tr>
        <w:tc>
          <w:tcPr>
            <w:tcW w:w="850" w:type="dxa"/>
          </w:tcPr>
          <w:p>
            <w:pPr>
              <w:pStyle w:val="yTableNAm"/>
              <w:keepNext/>
              <w:keepLines/>
              <w:rPr>
                <w:szCs w:val="22"/>
              </w:rPr>
            </w:pPr>
          </w:p>
        </w:tc>
        <w:tc>
          <w:tcPr>
            <w:tcW w:w="4226" w:type="dxa"/>
            <w:gridSpan w:val="3"/>
          </w:tcPr>
          <w:p>
            <w:pPr>
              <w:pStyle w:val="yTableNAm"/>
              <w:keepNext/>
              <w:keepLines/>
              <w:tabs>
                <w:tab w:val="right" w:leader="dot" w:pos="4253"/>
              </w:tabs>
              <w:rPr>
                <w:spacing w:val="-1"/>
                <w:szCs w:val="22"/>
              </w:rPr>
            </w:pPr>
            <w:r>
              <w:rPr>
                <w:spacing w:val="-1"/>
                <w:szCs w:val="22"/>
              </w:rPr>
              <w:t xml:space="preserve">For each </w:t>
            </w:r>
            <w:r>
              <w:rPr>
                <w:szCs w:val="22"/>
              </w:rPr>
              <w:t>composite sample</w:t>
            </w:r>
            <w:r>
              <w:rPr>
                <w:spacing w:val="-1"/>
                <w:szCs w:val="22"/>
              </w:rPr>
              <w:t xml:space="preserve"> for a routine </w:t>
            </w:r>
            <w:r>
              <w:rPr>
                <w:szCs w:val="22"/>
              </w:rPr>
              <w:t>programme</w:t>
            </w:r>
            <w:r>
              <w:rPr>
                <w:spacing w:val="-1"/>
                <w:szCs w:val="22"/>
              </w:rPr>
              <w:t xml:space="preserve"> </w:t>
            </w:r>
            <w:r>
              <w:rPr>
                <w:spacing w:val="-1"/>
                <w:szCs w:val="22"/>
              </w:rPr>
              <w:tab/>
            </w:r>
          </w:p>
        </w:tc>
        <w:tc>
          <w:tcPr>
            <w:tcW w:w="1444" w:type="dxa"/>
            <w:vAlign w:val="bottom"/>
          </w:tcPr>
          <w:p>
            <w:pPr>
              <w:pStyle w:val="yTableNAm"/>
              <w:keepNext/>
              <w:keepLines/>
              <w:tabs>
                <w:tab w:val="clear" w:pos="567"/>
                <w:tab w:val="left" w:pos="194"/>
              </w:tabs>
              <w:rPr>
                <w:spacing w:val="-1"/>
                <w:szCs w:val="22"/>
              </w:rPr>
            </w:pPr>
            <w:r>
              <w:rPr>
                <w:spacing w:val="-1"/>
                <w:szCs w:val="22"/>
              </w:rPr>
              <w:t>$658.90</w:t>
            </w:r>
          </w:p>
        </w:tc>
      </w:tr>
      <w:tr>
        <w:tc>
          <w:tcPr>
            <w:tcW w:w="850" w:type="dxa"/>
          </w:tcPr>
          <w:p>
            <w:pPr>
              <w:pStyle w:val="yTableNAm"/>
              <w:rPr>
                <w:b/>
                <w:szCs w:val="22"/>
              </w:rPr>
            </w:pPr>
            <w:r>
              <w:rPr>
                <w:b/>
                <w:szCs w:val="22"/>
              </w:rPr>
              <w:t>25.</w:t>
            </w:r>
          </w:p>
        </w:tc>
        <w:tc>
          <w:tcPr>
            <w:tcW w:w="4226" w:type="dxa"/>
            <w:gridSpan w:val="3"/>
          </w:tcPr>
          <w:p>
            <w:pPr>
              <w:pStyle w:val="yTableNAm"/>
              <w:keepNext/>
              <w:tabs>
                <w:tab w:val="right" w:leader="dot" w:pos="4253"/>
              </w:tabs>
              <w:rPr>
                <w:b/>
                <w:bCs/>
                <w:szCs w:val="22"/>
              </w:rPr>
            </w:pPr>
            <w:r>
              <w:rPr>
                <w:b/>
                <w:bCs/>
                <w:szCs w:val="22"/>
              </w:rPr>
              <w:t>Establishment charge — unscheduled visit</w:t>
            </w:r>
          </w:p>
        </w:tc>
        <w:tc>
          <w:tcPr>
            <w:tcW w:w="1444" w:type="dxa"/>
            <w:vAlign w:val="bottom"/>
          </w:tcPr>
          <w:p>
            <w:pPr>
              <w:pStyle w:val="yTableNAm"/>
              <w:keepNext/>
              <w:tabs>
                <w:tab w:val="clear" w:pos="567"/>
                <w:tab w:val="left" w:pos="194"/>
              </w:tabs>
              <w:rPr>
                <w:spacing w:val="-1"/>
                <w:szCs w:val="22"/>
              </w:rPr>
            </w:pPr>
          </w:p>
        </w:tc>
      </w:tr>
      <w:tr>
        <w:tc>
          <w:tcPr>
            <w:tcW w:w="850" w:type="dxa"/>
          </w:tcPr>
          <w:p>
            <w:pPr>
              <w:pStyle w:val="yTableNAm"/>
              <w:rPr>
                <w:szCs w:val="22"/>
              </w:rPr>
            </w:pPr>
          </w:p>
        </w:tc>
        <w:tc>
          <w:tcPr>
            <w:tcW w:w="4226" w:type="dxa"/>
            <w:gridSpan w:val="3"/>
          </w:tcPr>
          <w:p>
            <w:pPr>
              <w:pStyle w:val="yTableNAm"/>
              <w:keepNext/>
              <w:tabs>
                <w:tab w:val="right" w:leader="dot" w:pos="4253"/>
              </w:tabs>
              <w:rPr>
                <w:spacing w:val="-1"/>
                <w:szCs w:val="22"/>
              </w:rPr>
            </w:pPr>
            <w:r>
              <w:rPr>
                <w:spacing w:val="-1"/>
                <w:szCs w:val="22"/>
              </w:rPr>
              <w:t xml:space="preserve">Establishment charge </w:t>
            </w:r>
            <w:r>
              <w:rPr>
                <w:spacing w:val="-12"/>
                <w:szCs w:val="22"/>
              </w:rPr>
              <w:t>for</w:t>
            </w:r>
            <w:r>
              <w:rPr>
                <w:spacing w:val="-1"/>
                <w:szCs w:val="22"/>
              </w:rPr>
              <w:t xml:space="preserve"> an </w:t>
            </w:r>
            <w:r>
              <w:rPr>
                <w:szCs w:val="22"/>
              </w:rPr>
              <w:t>unscheduled</w:t>
            </w:r>
            <w:r>
              <w:rPr>
                <w:spacing w:val="-1"/>
                <w:szCs w:val="22"/>
              </w:rPr>
              <w:t xml:space="preserve"> visit</w:t>
            </w:r>
            <w:r>
              <w:rPr>
                <w:spacing w:val="-1"/>
                <w:szCs w:val="22"/>
              </w:rPr>
              <w:tab/>
              <w:t xml:space="preserve"> </w:t>
            </w:r>
          </w:p>
        </w:tc>
        <w:tc>
          <w:tcPr>
            <w:tcW w:w="1444" w:type="dxa"/>
            <w:vAlign w:val="bottom"/>
          </w:tcPr>
          <w:p>
            <w:pPr>
              <w:pStyle w:val="yTableNAm"/>
              <w:keepNext/>
              <w:tabs>
                <w:tab w:val="clear" w:pos="567"/>
                <w:tab w:val="left" w:pos="194"/>
              </w:tabs>
              <w:rPr>
                <w:spacing w:val="-1"/>
                <w:szCs w:val="22"/>
              </w:rPr>
            </w:pPr>
            <w:r>
              <w:rPr>
                <w:spacing w:val="-1"/>
                <w:szCs w:val="22"/>
              </w:rPr>
              <w:t>$120.00/hour</w:t>
            </w:r>
          </w:p>
        </w:tc>
      </w:tr>
      <w:tr>
        <w:tc>
          <w:tcPr>
            <w:tcW w:w="850" w:type="dxa"/>
          </w:tcPr>
          <w:p>
            <w:pPr>
              <w:pStyle w:val="yTableNAm"/>
              <w:rPr>
                <w:b/>
                <w:szCs w:val="22"/>
              </w:rPr>
            </w:pPr>
            <w:r>
              <w:rPr>
                <w:b/>
                <w:szCs w:val="22"/>
              </w:rPr>
              <w:t>26.</w:t>
            </w:r>
          </w:p>
        </w:tc>
        <w:tc>
          <w:tcPr>
            <w:tcW w:w="4226" w:type="dxa"/>
            <w:gridSpan w:val="3"/>
          </w:tcPr>
          <w:p>
            <w:pPr>
              <w:pStyle w:val="yTableNAm"/>
              <w:tabs>
                <w:tab w:val="right" w:leader="dot" w:pos="4253"/>
              </w:tabs>
              <w:rPr>
                <w:b/>
                <w:bCs/>
                <w:spacing w:val="-1"/>
                <w:szCs w:val="22"/>
              </w:rPr>
            </w:pPr>
            <w:r>
              <w:rPr>
                <w:b/>
                <w:bCs/>
                <w:snapToGrid w:val="0"/>
                <w:szCs w:val="22"/>
              </w:rPr>
              <w:t xml:space="preserve">Product evaluation — </w:t>
            </w:r>
            <w:r>
              <w:rPr>
                <w:b/>
                <w:bCs/>
                <w:spacing w:val="-1"/>
                <w:szCs w:val="22"/>
              </w:rPr>
              <w:t>unscheduled visit</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3"/>
          </w:tcPr>
          <w:p>
            <w:pPr>
              <w:pStyle w:val="yTableNAm"/>
              <w:tabs>
                <w:tab w:val="right" w:leader="dot" w:pos="4253"/>
              </w:tabs>
              <w:rPr>
                <w:spacing w:val="-1"/>
                <w:szCs w:val="22"/>
              </w:rPr>
            </w:pPr>
            <w:r>
              <w:rPr>
                <w:spacing w:val="-1"/>
                <w:szCs w:val="22"/>
              </w:rPr>
              <w:t xml:space="preserve">Product evaluation for an unscheduled visit </w:t>
            </w:r>
            <w:r>
              <w:rPr>
                <w:spacing w:val="-1"/>
                <w:szCs w:val="22"/>
              </w:rPr>
              <w:tab/>
            </w:r>
          </w:p>
        </w:tc>
        <w:tc>
          <w:tcPr>
            <w:tcW w:w="1444" w:type="dxa"/>
            <w:vAlign w:val="bottom"/>
          </w:tcPr>
          <w:p>
            <w:pPr>
              <w:pStyle w:val="yTableNAm"/>
              <w:tabs>
                <w:tab w:val="clear" w:pos="567"/>
                <w:tab w:val="left" w:pos="194"/>
              </w:tabs>
              <w:rPr>
                <w:spacing w:val="-1"/>
                <w:szCs w:val="22"/>
              </w:rPr>
            </w:pPr>
            <w:r>
              <w:rPr>
                <w:spacing w:val="-1"/>
                <w:szCs w:val="22"/>
              </w:rPr>
              <w:t>$150.30/hour</w:t>
            </w:r>
          </w:p>
        </w:tc>
      </w:tr>
      <w:tr>
        <w:tc>
          <w:tcPr>
            <w:tcW w:w="850" w:type="dxa"/>
          </w:tcPr>
          <w:p>
            <w:pPr>
              <w:pStyle w:val="yTableNAm"/>
              <w:rPr>
                <w:b/>
                <w:szCs w:val="22"/>
              </w:rPr>
            </w:pPr>
            <w:r>
              <w:rPr>
                <w:b/>
                <w:szCs w:val="22"/>
              </w:rPr>
              <w:t>27.</w:t>
            </w:r>
          </w:p>
        </w:tc>
        <w:tc>
          <w:tcPr>
            <w:tcW w:w="4226" w:type="dxa"/>
            <w:gridSpan w:val="3"/>
          </w:tcPr>
          <w:p>
            <w:pPr>
              <w:pStyle w:val="yTableNAm"/>
              <w:tabs>
                <w:tab w:val="right" w:leader="dot" w:pos="4253"/>
              </w:tabs>
              <w:rPr>
                <w:b/>
                <w:bCs/>
                <w:spacing w:val="-1"/>
                <w:szCs w:val="22"/>
              </w:rPr>
            </w:pPr>
            <w:r>
              <w:rPr>
                <w:b/>
                <w:bCs/>
                <w:snapToGrid w:val="0"/>
                <w:szCs w:val="22"/>
              </w:rPr>
              <w:t xml:space="preserve">Grab samples — </w:t>
            </w:r>
            <w:r>
              <w:rPr>
                <w:b/>
                <w:bCs/>
                <w:spacing w:val="-1"/>
                <w:szCs w:val="22"/>
              </w:rPr>
              <w:t>unscheduled visit</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3"/>
          </w:tcPr>
          <w:p>
            <w:pPr>
              <w:pStyle w:val="yTableNAm"/>
              <w:tabs>
                <w:tab w:val="right" w:leader="dot" w:pos="4253"/>
              </w:tabs>
              <w:rPr>
                <w:spacing w:val="-1"/>
                <w:szCs w:val="22"/>
              </w:rPr>
            </w:pPr>
            <w:r>
              <w:rPr>
                <w:spacing w:val="-1"/>
                <w:szCs w:val="22"/>
              </w:rPr>
              <w:t xml:space="preserve">For each grab sample for an unscheduled visit </w:t>
            </w:r>
          </w:p>
        </w:tc>
        <w:tc>
          <w:tcPr>
            <w:tcW w:w="1444" w:type="dxa"/>
            <w:vAlign w:val="bottom"/>
          </w:tcPr>
          <w:p>
            <w:pPr>
              <w:pStyle w:val="yTableNAm"/>
              <w:tabs>
                <w:tab w:val="clear" w:pos="567"/>
                <w:tab w:val="left" w:pos="194"/>
              </w:tabs>
              <w:rPr>
                <w:spacing w:val="-1"/>
                <w:szCs w:val="22"/>
              </w:rPr>
            </w:pPr>
            <w:r>
              <w:rPr>
                <w:spacing w:val="-1"/>
                <w:szCs w:val="22"/>
              </w:rPr>
              <w:t>At cost</w:t>
            </w:r>
          </w:p>
        </w:tc>
      </w:tr>
      <w:tr>
        <w:tc>
          <w:tcPr>
            <w:tcW w:w="850" w:type="dxa"/>
          </w:tcPr>
          <w:p>
            <w:pPr>
              <w:pStyle w:val="yTableNAm"/>
              <w:rPr>
                <w:b/>
                <w:szCs w:val="22"/>
              </w:rPr>
            </w:pPr>
            <w:r>
              <w:rPr>
                <w:b/>
                <w:szCs w:val="22"/>
              </w:rPr>
              <w:t>28.</w:t>
            </w:r>
          </w:p>
        </w:tc>
        <w:tc>
          <w:tcPr>
            <w:tcW w:w="4226" w:type="dxa"/>
            <w:gridSpan w:val="3"/>
          </w:tcPr>
          <w:p>
            <w:pPr>
              <w:pStyle w:val="yTableNAm"/>
              <w:tabs>
                <w:tab w:val="right" w:leader="dot" w:pos="4253"/>
              </w:tabs>
              <w:rPr>
                <w:b/>
                <w:bCs/>
                <w:spacing w:val="-1"/>
                <w:szCs w:val="22"/>
              </w:rPr>
            </w:pPr>
            <w:r>
              <w:rPr>
                <w:b/>
                <w:bCs/>
                <w:snapToGrid w:val="0"/>
                <w:szCs w:val="22"/>
              </w:rPr>
              <w:t xml:space="preserve">Composite samples — </w:t>
            </w:r>
            <w:r>
              <w:rPr>
                <w:b/>
                <w:bCs/>
                <w:spacing w:val="-1"/>
                <w:szCs w:val="22"/>
              </w:rPr>
              <w:t>unscheduled visit</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3"/>
          </w:tcPr>
          <w:p>
            <w:pPr>
              <w:pStyle w:val="yTableNAm"/>
              <w:tabs>
                <w:tab w:val="right" w:leader="dot" w:pos="4253"/>
              </w:tabs>
              <w:rPr>
                <w:spacing w:val="-1"/>
                <w:szCs w:val="22"/>
              </w:rPr>
            </w:pPr>
            <w:r>
              <w:rPr>
                <w:spacing w:val="-1"/>
                <w:szCs w:val="22"/>
              </w:rPr>
              <w:t xml:space="preserve">For each composite sample for an unscheduled visit </w:t>
            </w:r>
            <w:r>
              <w:rPr>
                <w:spacing w:val="-1"/>
                <w:szCs w:val="22"/>
              </w:rPr>
              <w:tab/>
            </w:r>
          </w:p>
        </w:tc>
        <w:tc>
          <w:tcPr>
            <w:tcW w:w="1444" w:type="dxa"/>
            <w:vAlign w:val="bottom"/>
          </w:tcPr>
          <w:p>
            <w:pPr>
              <w:pStyle w:val="yTableNAm"/>
              <w:tabs>
                <w:tab w:val="clear" w:pos="567"/>
                <w:tab w:val="left" w:pos="194"/>
              </w:tabs>
              <w:rPr>
                <w:spacing w:val="-1"/>
                <w:szCs w:val="22"/>
              </w:rPr>
            </w:pPr>
            <w:r>
              <w:rPr>
                <w:spacing w:val="-1"/>
                <w:szCs w:val="22"/>
              </w:rPr>
              <w:t>At cost</w:t>
            </w:r>
          </w:p>
        </w:tc>
      </w:tr>
      <w:tr>
        <w:trPr>
          <w:cantSplit/>
        </w:trPr>
        <w:tc>
          <w:tcPr>
            <w:tcW w:w="850" w:type="dxa"/>
          </w:tcPr>
          <w:p>
            <w:pPr>
              <w:pStyle w:val="yTableNAm"/>
              <w:rPr>
                <w:b/>
                <w:szCs w:val="22"/>
              </w:rPr>
            </w:pPr>
            <w:r>
              <w:rPr>
                <w:b/>
                <w:szCs w:val="22"/>
              </w:rPr>
              <w:t>29.</w:t>
            </w:r>
          </w:p>
        </w:tc>
        <w:tc>
          <w:tcPr>
            <w:tcW w:w="5670" w:type="dxa"/>
            <w:gridSpan w:val="4"/>
          </w:tcPr>
          <w:p>
            <w:pPr>
              <w:pStyle w:val="yTableNAm"/>
              <w:rPr>
                <w:b/>
                <w:bCs/>
                <w:spacing w:val="-1"/>
                <w:szCs w:val="22"/>
              </w:rPr>
            </w:pPr>
            <w:r>
              <w:rPr>
                <w:b/>
                <w:bCs/>
                <w:snapToGrid w:val="0"/>
                <w:szCs w:val="22"/>
              </w:rPr>
              <w:t>Non</w:t>
            </w:r>
            <w:r>
              <w:rPr>
                <w:b/>
                <w:bCs/>
                <w:snapToGrid w:val="0"/>
                <w:szCs w:val="22"/>
              </w:rPr>
              <w:noBreakHyphen/>
              <w:t xml:space="preserve">permit </w:t>
            </w:r>
            <w:r>
              <w:rPr>
                <w:b/>
                <w:bCs/>
                <w:spacing w:val="-1"/>
                <w:szCs w:val="22"/>
              </w:rPr>
              <w:t>holders</w:t>
            </w:r>
            <w:r>
              <w:rPr>
                <w:b/>
                <w:bCs/>
                <w:snapToGrid w:val="0"/>
                <w:szCs w:val="22"/>
              </w:rPr>
              <w:t xml:space="preserve"> discharging industrial waste</w:t>
            </w:r>
          </w:p>
        </w:tc>
      </w:tr>
      <w:tr>
        <w:tc>
          <w:tcPr>
            <w:tcW w:w="850" w:type="dxa"/>
          </w:tcPr>
          <w:p>
            <w:pPr>
              <w:pStyle w:val="yTableNAm"/>
              <w:rPr>
                <w:szCs w:val="22"/>
              </w:rPr>
            </w:pPr>
          </w:p>
        </w:tc>
        <w:tc>
          <w:tcPr>
            <w:tcW w:w="4212" w:type="dxa"/>
            <w:gridSpan w:val="2"/>
          </w:tcPr>
          <w:p>
            <w:pPr>
              <w:pStyle w:val="yTableNAm"/>
              <w:tabs>
                <w:tab w:val="right" w:leader="dot" w:pos="4253"/>
              </w:tabs>
              <w:rPr>
                <w:spacing w:val="-1"/>
                <w:szCs w:val="22"/>
              </w:rPr>
            </w:pPr>
            <w:r>
              <w:rPr>
                <w:spacing w:val="-1"/>
                <w:szCs w:val="22"/>
              </w:rPr>
              <w:t>For a one</w:t>
            </w:r>
            <w:r>
              <w:rPr>
                <w:spacing w:val="-1"/>
                <w:szCs w:val="22"/>
              </w:rPr>
              <w:noBreakHyphen/>
              <w:t xml:space="preserve">off discharge of industrial waste by a person who does not hold an industrial waste permit </w:t>
            </w:r>
            <w:r>
              <w:rPr>
                <w:spacing w:val="-1"/>
                <w:szCs w:val="22"/>
              </w:rPr>
              <w:tab/>
            </w:r>
          </w:p>
        </w:tc>
        <w:tc>
          <w:tcPr>
            <w:tcW w:w="1458" w:type="dxa"/>
            <w:gridSpan w:val="2"/>
            <w:vAlign w:val="bottom"/>
          </w:tcPr>
          <w:p>
            <w:pPr>
              <w:pStyle w:val="yTableNAm"/>
              <w:tabs>
                <w:tab w:val="clear" w:pos="567"/>
                <w:tab w:val="left" w:pos="202"/>
              </w:tabs>
              <w:rPr>
                <w:spacing w:val="-1"/>
                <w:szCs w:val="22"/>
              </w:rPr>
            </w:pPr>
            <w:r>
              <w:rPr>
                <w:spacing w:val="-1"/>
                <w:szCs w:val="22"/>
              </w:rPr>
              <w:t>$120.00/hour</w:t>
            </w:r>
          </w:p>
        </w:tc>
      </w:tr>
      <w:tr>
        <w:trPr>
          <w:cantSplit/>
        </w:trPr>
        <w:tc>
          <w:tcPr>
            <w:tcW w:w="850" w:type="dxa"/>
          </w:tcPr>
          <w:p>
            <w:pPr>
              <w:pStyle w:val="yTableNAm"/>
              <w:rPr>
                <w:b/>
                <w:szCs w:val="22"/>
              </w:rPr>
            </w:pPr>
            <w:r>
              <w:rPr>
                <w:b/>
                <w:szCs w:val="22"/>
              </w:rPr>
              <w:t>30.</w:t>
            </w:r>
          </w:p>
        </w:tc>
        <w:tc>
          <w:tcPr>
            <w:tcW w:w="5670" w:type="dxa"/>
            <w:gridSpan w:val="4"/>
          </w:tcPr>
          <w:p>
            <w:pPr>
              <w:pStyle w:val="yTableNAm"/>
              <w:rPr>
                <w:b/>
                <w:bCs/>
                <w:spacing w:val="-1"/>
                <w:szCs w:val="22"/>
              </w:rPr>
            </w:pPr>
            <w:r>
              <w:rPr>
                <w:b/>
                <w:bCs/>
                <w:snapToGrid w:val="0"/>
                <w:szCs w:val="22"/>
              </w:rPr>
              <w:t>Discharging industrial waste from an open area</w:t>
            </w:r>
          </w:p>
        </w:tc>
      </w:tr>
      <w:tr>
        <w:tc>
          <w:tcPr>
            <w:tcW w:w="850" w:type="dxa"/>
          </w:tcPr>
          <w:p>
            <w:pPr>
              <w:pStyle w:val="yTableNAm"/>
              <w:rPr>
                <w:szCs w:val="22"/>
              </w:rPr>
            </w:pPr>
          </w:p>
        </w:tc>
        <w:tc>
          <w:tcPr>
            <w:tcW w:w="4198" w:type="dxa"/>
          </w:tcPr>
          <w:p>
            <w:pPr>
              <w:pStyle w:val="yTableNAm"/>
              <w:tabs>
                <w:tab w:val="right" w:leader="dot" w:pos="4253"/>
              </w:tabs>
              <w:rPr>
                <w:spacing w:val="-1"/>
                <w:szCs w:val="22"/>
              </w:rPr>
            </w:pPr>
            <w:r>
              <w:rPr>
                <w:spacing w:val="-1"/>
                <w:szCs w:val="22"/>
              </w:rPr>
              <w:t xml:space="preserve">For discharging industrial waste from an open area </w:t>
            </w:r>
            <w:r>
              <w:rPr>
                <w:spacing w:val="-1"/>
                <w:szCs w:val="22"/>
              </w:rPr>
              <w:tab/>
            </w:r>
          </w:p>
        </w:tc>
        <w:tc>
          <w:tcPr>
            <w:tcW w:w="1472" w:type="dxa"/>
            <w:gridSpan w:val="3"/>
            <w:vAlign w:val="bottom"/>
          </w:tcPr>
          <w:p>
            <w:pPr>
              <w:pStyle w:val="yTableNAm"/>
              <w:tabs>
                <w:tab w:val="clear" w:pos="567"/>
                <w:tab w:val="left" w:pos="202"/>
              </w:tabs>
              <w:rPr>
                <w:spacing w:val="-1"/>
                <w:szCs w:val="22"/>
              </w:rPr>
            </w:pPr>
            <w:r>
              <w:rPr>
                <w:spacing w:val="-1"/>
                <w:szCs w:val="22"/>
              </w:rPr>
              <w:br/>
              <w:t>$1.42/square metre</w:t>
            </w:r>
          </w:p>
        </w:tc>
      </w:tr>
    </w:tbl>
    <w:p>
      <w:pPr>
        <w:pStyle w:val="yFootnotesection"/>
      </w:pPr>
      <w:r>
        <w:tab/>
        <w:t>[Division 6 inserted in Gazette 20 Jun 2012 p. 2742.]</w:t>
      </w:r>
    </w:p>
    <w:p>
      <w:pPr>
        <w:pStyle w:val="yHeading3"/>
        <w:keepLines/>
      </w:pPr>
      <w:bookmarkStart w:id="785" w:name="_Toc84428008"/>
      <w:bookmarkStart w:id="786" w:name="_Toc328403453"/>
      <w:bookmarkStart w:id="787" w:name="_Toc328471502"/>
      <w:r>
        <w:rPr>
          <w:rStyle w:val="CharSDivNo"/>
        </w:rPr>
        <w:t>Division 7</w:t>
      </w:r>
      <w:r>
        <w:rPr>
          <w:b w:val="0"/>
        </w:rPr>
        <w:t> — </w:t>
      </w:r>
      <w:r>
        <w:rPr>
          <w:rStyle w:val="CharSDivText"/>
        </w:rPr>
        <w:t>Combined charges for country</w:t>
      </w:r>
      <w:bookmarkEnd w:id="785"/>
      <w:bookmarkEnd w:id="786"/>
      <w:bookmarkEnd w:id="787"/>
    </w:p>
    <w:p>
      <w:pPr>
        <w:pStyle w:val="yFootnoteheading"/>
        <w:keepNext/>
        <w:keepLines/>
        <w:spacing w:after="60"/>
      </w:pPr>
      <w:r>
        <w:tab/>
        <w:t>[Heading inserted in Gazette 20 Jun 2012 p. 2743.]</w:t>
      </w:r>
    </w:p>
    <w:p>
      <w:pPr>
        <w:pStyle w:val="zyHeading5"/>
      </w:pPr>
      <w:r>
        <w:t>31.</w:t>
      </w:r>
      <w:r>
        <w:tab/>
        <w:t>Country non</w:t>
      </w:r>
      <w:r>
        <w:noBreakHyphen/>
        <w:t>residential or commercial residential property, Government trading organisations and non-commercial Government property</w:t>
      </w:r>
    </w:p>
    <w:p>
      <w:pPr>
        <w:pStyle w:val="zySubsection"/>
      </w:pPr>
      <w:r>
        <w:tab/>
      </w:r>
      <w:r>
        <w:tab/>
        <w:t>In respect of land in a country sewerage area that is classified as country non</w:t>
      </w:r>
      <w:r>
        <w:noBreakHyphen/>
        <w:t>residential or commercial residential property, Government trading organisation or non-commercial Government property and is not referred to in item 2, 4, 5, 32, 33 or 34, the charge is calculated in accordance with the following formula —</w:t>
      </w:r>
    </w:p>
    <w:p>
      <w:pPr>
        <w:pStyle w:val="zySubsection"/>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zySubsection"/>
      </w:pPr>
      <w:r>
        <w:rPr>
          <w:b/>
        </w:rPr>
        <w:tab/>
      </w:r>
      <w:r>
        <w:rPr>
          <w:b/>
        </w:rPr>
        <w:tab/>
        <w:t>P</w:t>
      </w:r>
      <w:r>
        <w:t xml:space="preserve"> + </w:t>
      </w:r>
      <w:r>
        <w:rPr>
          <w:b/>
        </w:rPr>
        <w:t>Q</w:t>
      </w:r>
    </w:p>
    <w:p>
      <w:pPr>
        <w:pStyle w:val="zySubsection"/>
      </w:pPr>
      <w:r>
        <w:tab/>
      </w:r>
      <w:r>
        <w:tab/>
        <w:t xml:space="preserve">or if — </w:t>
      </w:r>
    </w:p>
    <w:p>
      <w:pPr>
        <w:pStyle w:val="zySubsection"/>
      </w:pPr>
      <w:r>
        <w:tab/>
      </w:r>
      <w:r>
        <w:tab/>
        <w:t>(</w:t>
      </w:r>
      <w:r>
        <w:rPr>
          <w:b/>
        </w:rPr>
        <w:t>P</w:t>
      </w:r>
      <w:r>
        <w:t xml:space="preserve"> + </w:t>
      </w:r>
      <w:r>
        <w:rPr>
          <w:b/>
        </w:rPr>
        <w:t>Q</w:t>
      </w:r>
      <w:r>
        <w:t xml:space="preserve">) &gt; </w:t>
      </w:r>
      <w:r>
        <w:rPr>
          <w:b/>
        </w:rPr>
        <w:t>R</w:t>
      </w:r>
      <w:r>
        <w:t>; and</w:t>
      </w:r>
    </w:p>
    <w:p>
      <w:pPr>
        <w:pStyle w:val="zySubsection"/>
      </w:pPr>
      <w:r>
        <w:rPr>
          <w:b/>
        </w:rPr>
        <w:tab/>
      </w:r>
      <w:r>
        <w:rPr>
          <w:b/>
        </w:rPr>
        <w:tab/>
        <w:t>N</w:t>
      </w:r>
      <w:r>
        <w:t xml:space="preserve"> </w:t>
      </w:r>
      <w:r>
        <w:sym w:font="Symbol" w:char="F0A3"/>
      </w:r>
      <w:r>
        <w:t xml:space="preserve"> </w:t>
      </w:r>
      <w:r>
        <w:rPr>
          <w:b/>
        </w:rPr>
        <w:t>W</w:t>
      </w:r>
      <w:r>
        <w:t>,</w:t>
      </w:r>
    </w:p>
    <w:p>
      <w:pPr>
        <w:pStyle w:val="zySubsection"/>
      </w:pPr>
      <w:r>
        <w:tab/>
      </w:r>
      <w:r>
        <w:tab/>
        <w:t xml:space="preserve">then — </w:t>
      </w:r>
    </w:p>
    <w:p>
      <w:pPr>
        <w:pStyle w:val="zySubsection"/>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zySubsection"/>
      </w:pPr>
      <w:r>
        <w:tab/>
      </w:r>
      <w:r>
        <w:tab/>
        <w:t xml:space="preserve">where — </w:t>
      </w:r>
    </w:p>
    <w:p>
      <w:pPr>
        <w:pStyle w:val="zyIndenta"/>
      </w:pPr>
      <w:r>
        <w:rPr>
          <w:b/>
        </w:rPr>
        <w:tab/>
        <w:t>P</w:t>
      </w:r>
      <w:r>
        <w:t xml:space="preserve"> =</w:t>
      </w:r>
      <w:r>
        <w:tab/>
        <w:t xml:space="preserve">the </w:t>
      </w:r>
      <w:r>
        <w:rPr>
          <w:snapToGrid w:val="0"/>
        </w:rPr>
        <w:t>annual</w:t>
      </w:r>
      <w:r>
        <w:t xml:space="preserve"> charge calculated in accordance with the formula in item 36;</w:t>
      </w:r>
    </w:p>
    <w:p>
      <w:pPr>
        <w:pStyle w:val="zyIndenta"/>
      </w:pPr>
      <w:r>
        <w:rPr>
          <w:b/>
        </w:rPr>
        <w:tab/>
        <w:t>Q</w:t>
      </w:r>
      <w:r>
        <w:t xml:space="preserve"> =</w:t>
      </w:r>
      <w:r>
        <w:tab/>
        <w:t>the quantity charge calculated in accordance with the formula in item 37;</w:t>
      </w:r>
    </w:p>
    <w:p>
      <w:pPr>
        <w:pStyle w:val="zyIndenta"/>
      </w:pPr>
      <w:r>
        <w:rPr>
          <w:b/>
        </w:rPr>
        <w:tab/>
        <w:t>R</w:t>
      </w:r>
      <w:r>
        <w:t xml:space="preserve"> =</w:t>
      </w:r>
      <w:r>
        <w:tab/>
        <w:t>the maximum charge calculated in accordance with the formula in item 35;</w:t>
      </w:r>
    </w:p>
    <w:p>
      <w:pPr>
        <w:pStyle w:val="zyIndenta"/>
      </w:pPr>
      <w:r>
        <w:rPr>
          <w:b/>
        </w:rPr>
        <w:tab/>
        <w:t>N</w:t>
      </w:r>
      <w:r>
        <w:t xml:space="preserve"> =</w:t>
      </w:r>
      <w:r>
        <w:tab/>
        <w:t>the discharge volume for the 2012/2013 year;</w:t>
      </w:r>
    </w:p>
    <w:p>
      <w:pPr>
        <w:pStyle w:val="zyIndenta"/>
      </w:pPr>
      <w:r>
        <w:rPr>
          <w:b/>
        </w:rPr>
        <w:tab/>
        <w:t>W</w:t>
      </w:r>
      <w:r>
        <w:t xml:space="preserve"> =</w:t>
      </w:r>
      <w:r>
        <w:tab/>
        <w:t>the discharge volume for the last available consumption year;</w:t>
      </w:r>
    </w:p>
    <w:p>
      <w:pPr>
        <w:pStyle w:val="zyIndenta"/>
      </w:pPr>
      <w:r>
        <w:rPr>
          <w:b/>
        </w:rPr>
        <w:tab/>
        <w:t>I</w:t>
      </w:r>
      <w:r>
        <w:t xml:space="preserve"> =</w:t>
      </w:r>
      <w:r>
        <w:tab/>
        <w:t>2.677.</w:t>
      </w:r>
    </w:p>
    <w:p>
      <w:pPr>
        <w:pStyle w:val="zyHeading5"/>
      </w:pPr>
      <w:r>
        <w:t>32.</w:t>
      </w:r>
      <w:r>
        <w:tab/>
        <w:t>Country non strata</w:t>
      </w:r>
      <w:r>
        <w:noBreakHyphen/>
        <w:t>titled caravan park with long</w:t>
      </w:r>
      <w:r>
        <w:noBreakHyphen/>
        <w:t>term residential caravan bays</w:t>
      </w:r>
    </w:p>
    <w:p>
      <w:pPr>
        <w:pStyle w:val="zySubsection"/>
        <w:keepNext/>
        <w:keepLines/>
      </w:pPr>
      <w:r>
        <w:tab/>
      </w:r>
      <w:r>
        <w:tab/>
        <w:t>In respect of a caravan park in a country sewerage area —</w:t>
      </w:r>
    </w:p>
    <w:p>
      <w:pPr>
        <w:pStyle w:val="zyIndenta"/>
        <w:keepNext/>
        <w:keepLines/>
      </w:pPr>
      <w:r>
        <w:tab/>
        <w:t>(a)</w:t>
      </w:r>
      <w:r>
        <w:tab/>
        <w:t>not consisting of strata</w:t>
      </w:r>
      <w:r>
        <w:noBreakHyphen/>
        <w:t>titled caravan bays referred to in item 3 of this Schedule; and</w:t>
      </w:r>
    </w:p>
    <w:p>
      <w:pPr>
        <w:pStyle w:val="zyIndenta"/>
      </w:pPr>
      <w:r>
        <w:tab/>
        <w:t>(b)</w:t>
      </w:r>
      <w:r>
        <w:tab/>
        <w:t>having long</w:t>
      </w:r>
      <w:r>
        <w:noBreakHyphen/>
        <w:t>term residential caravan bays,</w:t>
      </w:r>
    </w:p>
    <w:p>
      <w:pPr>
        <w:pStyle w:val="zySubsection"/>
      </w:pPr>
      <w:r>
        <w:tab/>
      </w:r>
      <w:r>
        <w:tab/>
        <w:t xml:space="preserve">the charge payable in accordance with the following formula — </w:t>
      </w:r>
    </w:p>
    <w:p>
      <w:pPr>
        <w:pStyle w:val="zySubsection"/>
      </w:pPr>
      <w:r>
        <w:rPr>
          <w:b/>
        </w:rPr>
        <w:tab/>
      </w:r>
      <w:r>
        <w:rPr>
          <w:b/>
        </w:rPr>
        <w:tab/>
        <w:t>AA</w:t>
      </w:r>
      <w:r>
        <w:t xml:space="preserve"> + </w:t>
      </w:r>
      <w:r>
        <w:rPr>
          <w:b/>
        </w:rPr>
        <w:t>AB</w:t>
      </w:r>
    </w:p>
    <w:p>
      <w:pPr>
        <w:pStyle w:val="zySubsection"/>
      </w:pPr>
      <w:r>
        <w:tab/>
      </w:r>
      <w:r>
        <w:tab/>
        <w:t xml:space="preserve">where — </w:t>
      </w:r>
    </w:p>
    <w:p>
      <w:pPr>
        <w:pStyle w:val="zyIndenta"/>
      </w:pPr>
      <w:r>
        <w:rPr>
          <w:b/>
        </w:rPr>
        <w:tab/>
        <w:t>AA</w:t>
      </w:r>
      <w:r>
        <w:t xml:space="preserve"> =</w:t>
      </w:r>
      <w:r>
        <w:tab/>
        <w:t>a charge of $240.50 for each long</w:t>
      </w:r>
      <w:r>
        <w:noBreakHyphen/>
        <w:t xml:space="preserve">term residential caravan bay; </w:t>
      </w:r>
    </w:p>
    <w:p>
      <w:pPr>
        <w:pStyle w:val="zyIndenta"/>
      </w:pPr>
      <w:r>
        <w:rPr>
          <w:b/>
        </w:rPr>
        <w:tab/>
        <w:t>AB</w:t>
      </w:r>
      <w:r>
        <w:t xml:space="preserve"> =</w:t>
      </w:r>
      <w:r>
        <w:tab/>
        <w:t>the charge for any part of the caravan park not comprised in long</w:t>
      </w:r>
      <w:r>
        <w:noBreakHyphen/>
        <w:t xml:space="preserve">term residential caravan bays, calculated in accordance with the following formula — </w:t>
      </w:r>
    </w:p>
    <w:p>
      <w:pPr>
        <w:pStyle w:val="zyIndenta"/>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zyIndenta"/>
      </w:pPr>
      <w:r>
        <w:rPr>
          <w:b/>
        </w:rPr>
        <w:tab/>
      </w:r>
      <w:r>
        <w:rPr>
          <w:b/>
        </w:rPr>
        <w:tab/>
        <w:t>Y</w:t>
      </w:r>
      <w:r>
        <w:t xml:space="preserve"> + </w:t>
      </w:r>
      <w:r>
        <w:rPr>
          <w:b/>
        </w:rPr>
        <w:t>Q</w:t>
      </w:r>
    </w:p>
    <w:p>
      <w:pPr>
        <w:pStyle w:val="zyIndenta"/>
      </w:pPr>
      <w:r>
        <w:tab/>
      </w:r>
      <w:r>
        <w:tab/>
        <w:t xml:space="preserve">or if — </w:t>
      </w:r>
    </w:p>
    <w:p>
      <w:pPr>
        <w:pStyle w:val="zyIndenta"/>
      </w:pPr>
      <w:r>
        <w:tab/>
      </w:r>
      <w:r>
        <w:tab/>
        <w:t>(</w:t>
      </w:r>
      <w:r>
        <w:rPr>
          <w:b/>
        </w:rPr>
        <w:t>Y</w:t>
      </w:r>
      <w:r>
        <w:t xml:space="preserve"> + </w:t>
      </w:r>
      <w:r>
        <w:rPr>
          <w:b/>
        </w:rPr>
        <w:t>Q</w:t>
      </w:r>
      <w:r>
        <w:t xml:space="preserve">) &gt; </w:t>
      </w:r>
      <w:r>
        <w:rPr>
          <w:b/>
        </w:rPr>
        <w:t>R</w:t>
      </w:r>
      <w:r>
        <w:t>; and</w:t>
      </w:r>
    </w:p>
    <w:p>
      <w:pPr>
        <w:pStyle w:val="zyIndenta"/>
      </w:pPr>
      <w:r>
        <w:rPr>
          <w:b/>
        </w:rPr>
        <w:tab/>
      </w:r>
      <w:r>
        <w:rPr>
          <w:b/>
        </w:rPr>
        <w:tab/>
        <w:t>N</w:t>
      </w:r>
      <w:r>
        <w:t xml:space="preserve"> </w:t>
      </w:r>
      <w:r>
        <w:sym w:font="Symbol" w:char="F0A3"/>
      </w:r>
      <w:r>
        <w:t xml:space="preserve"> </w:t>
      </w:r>
      <w:r>
        <w:rPr>
          <w:b/>
        </w:rPr>
        <w:t>W</w:t>
      </w:r>
      <w:r>
        <w:t>,</w:t>
      </w:r>
    </w:p>
    <w:p>
      <w:pPr>
        <w:pStyle w:val="zyIndenta"/>
      </w:pPr>
      <w:r>
        <w:tab/>
      </w:r>
      <w:r>
        <w:tab/>
        <w:t xml:space="preserve">then — </w:t>
      </w:r>
    </w:p>
    <w:p>
      <w:pPr>
        <w:pStyle w:val="zyIndenta"/>
        <w:rPr>
          <w:b/>
        </w:rPr>
      </w:pPr>
      <w:r>
        <w:rPr>
          <w:b/>
        </w:rPr>
        <w:tab/>
      </w:r>
      <w:r>
        <w:rPr>
          <w:b/>
        </w:rPr>
        <w:tab/>
        <w:t>R</w:t>
      </w:r>
    </w:p>
    <w:p>
      <w:pPr>
        <w:pStyle w:val="zyIndenta"/>
      </w:pPr>
      <w:r>
        <w:tab/>
      </w:r>
      <w:r>
        <w:tab/>
        <w:t xml:space="preserve">or if — </w:t>
      </w:r>
    </w:p>
    <w:p>
      <w:pPr>
        <w:pStyle w:val="zyIndenta"/>
      </w:pPr>
      <w:r>
        <w:tab/>
      </w:r>
      <w:r>
        <w:tab/>
        <w:t>(</w:t>
      </w:r>
      <w:r>
        <w:rPr>
          <w:b/>
        </w:rPr>
        <w:t>Y</w:t>
      </w:r>
      <w:r>
        <w:t xml:space="preserve"> + </w:t>
      </w:r>
      <w:r>
        <w:rPr>
          <w:b/>
        </w:rPr>
        <w:t>Q</w:t>
      </w:r>
      <w:r>
        <w:t xml:space="preserve">) &gt; </w:t>
      </w:r>
      <w:r>
        <w:rPr>
          <w:b/>
        </w:rPr>
        <w:t>R</w:t>
      </w:r>
      <w:r>
        <w:t>; and</w:t>
      </w:r>
    </w:p>
    <w:p>
      <w:pPr>
        <w:pStyle w:val="zyIndenta"/>
      </w:pPr>
      <w:r>
        <w:rPr>
          <w:b/>
        </w:rPr>
        <w:tab/>
      </w:r>
      <w:r>
        <w:rPr>
          <w:b/>
        </w:rPr>
        <w:tab/>
        <w:t>N</w:t>
      </w:r>
      <w:r>
        <w:t xml:space="preserve"> &gt; </w:t>
      </w:r>
      <w:r>
        <w:rPr>
          <w:b/>
        </w:rPr>
        <w:t>W</w:t>
      </w:r>
      <w:r>
        <w:t>,</w:t>
      </w:r>
    </w:p>
    <w:p>
      <w:pPr>
        <w:pStyle w:val="zyIndenta"/>
      </w:pPr>
      <w:r>
        <w:tab/>
      </w:r>
      <w:r>
        <w:tab/>
        <w:t xml:space="preserve">then — </w:t>
      </w:r>
    </w:p>
    <w:p>
      <w:pPr>
        <w:pStyle w:val="zyIndenta"/>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zyIndenta"/>
      </w:pPr>
      <w:r>
        <w:tab/>
      </w:r>
      <w:r>
        <w:tab/>
        <w:t xml:space="preserve">where — </w:t>
      </w:r>
    </w:p>
    <w:p>
      <w:pPr>
        <w:pStyle w:val="zyIndenti"/>
      </w:pPr>
      <w:r>
        <w:rPr>
          <w:b/>
        </w:rPr>
        <w:tab/>
        <w:t>Y</w:t>
      </w:r>
      <w:r>
        <w:t xml:space="preserve"> =</w:t>
      </w:r>
      <w:r>
        <w:tab/>
        <w:t>the charge payable for the number of major fixtures in the relevant part of the caravan park in the 2012/2013 year as set out in the Table to item 36;</w:t>
      </w:r>
    </w:p>
    <w:p>
      <w:pPr>
        <w:pStyle w:val="zyIndenti"/>
      </w:pPr>
      <w:r>
        <w:rPr>
          <w:b/>
        </w:rPr>
        <w:tab/>
        <w:t>Q</w:t>
      </w:r>
      <w:r>
        <w:t xml:space="preserve"> =</w:t>
      </w:r>
      <w:r>
        <w:tab/>
        <w:t>the quantity charge calculated in accordance with the formula in item 37;</w:t>
      </w:r>
    </w:p>
    <w:p>
      <w:pPr>
        <w:pStyle w:val="zyIndenti"/>
      </w:pPr>
      <w:r>
        <w:rPr>
          <w:b/>
        </w:rPr>
        <w:tab/>
        <w:t>R</w:t>
      </w:r>
      <w:r>
        <w:t xml:space="preserve"> =</w:t>
      </w:r>
      <w:r>
        <w:tab/>
        <w:t>the charge calculated in accordance with the formula in item 35;</w:t>
      </w:r>
    </w:p>
    <w:p>
      <w:pPr>
        <w:pStyle w:val="zyIndenti"/>
      </w:pPr>
      <w:r>
        <w:rPr>
          <w:b/>
        </w:rPr>
        <w:tab/>
        <w:t>N =</w:t>
      </w:r>
      <w:r>
        <w:rPr>
          <w:b/>
        </w:rPr>
        <w:tab/>
      </w:r>
      <w:r>
        <w:t>the discharge volume for the 2012/2013 year;</w:t>
      </w:r>
    </w:p>
    <w:p>
      <w:pPr>
        <w:pStyle w:val="zyIndenti"/>
      </w:pPr>
      <w:r>
        <w:rPr>
          <w:b/>
        </w:rPr>
        <w:tab/>
        <w:t>W =</w:t>
      </w:r>
      <w:r>
        <w:rPr>
          <w:b/>
        </w:rPr>
        <w:tab/>
      </w:r>
      <w:r>
        <w:t>the discharge volume for the last available consumption year;</w:t>
      </w:r>
    </w:p>
    <w:p>
      <w:pPr>
        <w:pStyle w:val="zyIndenti"/>
      </w:pPr>
      <w:r>
        <w:rPr>
          <w:b/>
        </w:rPr>
        <w:tab/>
        <w:t>I =</w:t>
      </w:r>
      <w:r>
        <w:rPr>
          <w:b/>
        </w:rPr>
        <w:tab/>
      </w:r>
      <w:r>
        <w:t>2.677.</w:t>
      </w:r>
    </w:p>
    <w:p>
      <w:pPr>
        <w:pStyle w:val="zyHeading5"/>
      </w:pPr>
      <w:r>
        <w:t>33.</w:t>
      </w:r>
      <w:r>
        <w:tab/>
        <w:t>Country nursing home</w:t>
      </w:r>
    </w:p>
    <w:p>
      <w:pPr>
        <w:pStyle w:val="zySubsection"/>
      </w:pPr>
      <w:r>
        <w:tab/>
      </w:r>
      <w:r>
        <w:tab/>
        <w:t>In respect of a nursing home in a country sewerage area, not being a nursing home which is, or is part of, an aged home, the charge is calculated in accordance with the following formula —</w:t>
      </w:r>
    </w:p>
    <w:p>
      <w:pPr>
        <w:pStyle w:val="zySubsection"/>
      </w:pPr>
      <w:r>
        <w:tab/>
      </w:r>
      <w:r>
        <w:tab/>
        <w:t>If (</w:t>
      </w:r>
      <w:r>
        <w:rPr>
          <w:b/>
        </w:rPr>
        <w:t>T</w:t>
      </w:r>
      <w:r>
        <w:t xml:space="preserve"> + </w:t>
      </w:r>
      <w:r>
        <w:rPr>
          <w:b/>
        </w:rPr>
        <w:t>Q</w:t>
      </w:r>
      <w:r>
        <w:t xml:space="preserve">) </w:t>
      </w:r>
      <w:r>
        <w:sym w:font="Symbol" w:char="F0A3"/>
      </w:r>
      <w:r>
        <w:t xml:space="preserve"> </w:t>
      </w:r>
      <w:r>
        <w:rPr>
          <w:b/>
        </w:rPr>
        <w:t>R</w:t>
      </w:r>
      <w:r>
        <w:t xml:space="preserve">, then — </w:t>
      </w:r>
    </w:p>
    <w:p>
      <w:pPr>
        <w:pStyle w:val="zySubsection"/>
      </w:pPr>
      <w:r>
        <w:tab/>
      </w:r>
      <w:r>
        <w:tab/>
      </w:r>
      <w:r>
        <w:rPr>
          <w:b/>
        </w:rPr>
        <w:t>T</w:t>
      </w:r>
      <w:r>
        <w:t xml:space="preserve"> + </w:t>
      </w:r>
      <w:r>
        <w:rPr>
          <w:b/>
        </w:rPr>
        <w:t>Q</w:t>
      </w:r>
    </w:p>
    <w:p>
      <w:pPr>
        <w:pStyle w:val="zySubsection"/>
      </w:pPr>
      <w:r>
        <w:tab/>
      </w:r>
      <w:r>
        <w:tab/>
        <w:t>or if (</w:t>
      </w:r>
      <w:r>
        <w:rPr>
          <w:b/>
        </w:rPr>
        <w:t>T</w:t>
      </w:r>
      <w:r>
        <w:t xml:space="preserve"> + </w:t>
      </w:r>
      <w:r>
        <w:rPr>
          <w:b/>
        </w:rPr>
        <w:t>Q</w:t>
      </w:r>
      <w:r>
        <w:t xml:space="preserve">) &gt; </w:t>
      </w:r>
      <w:r>
        <w:rPr>
          <w:b/>
        </w:rPr>
        <w:t>R</w:t>
      </w:r>
      <w:r>
        <w:t xml:space="preserve">, then — </w:t>
      </w:r>
    </w:p>
    <w:p>
      <w:pPr>
        <w:pStyle w:val="zySubsection"/>
        <w:rPr>
          <w:b/>
        </w:rPr>
      </w:pPr>
      <w:r>
        <w:tab/>
      </w:r>
      <w:r>
        <w:tab/>
      </w:r>
      <w:r>
        <w:rPr>
          <w:b/>
        </w:rPr>
        <w:t>R</w:t>
      </w:r>
    </w:p>
    <w:p>
      <w:pPr>
        <w:pStyle w:val="zySubsection"/>
      </w:pPr>
      <w:r>
        <w:tab/>
      </w:r>
      <w:r>
        <w:tab/>
        <w:t xml:space="preserve">where — </w:t>
      </w:r>
    </w:p>
    <w:p>
      <w:pPr>
        <w:pStyle w:val="zyIndenta"/>
      </w:pPr>
      <w:r>
        <w:rPr>
          <w:b/>
        </w:rPr>
        <w:tab/>
        <w:t>T</w:t>
      </w:r>
      <w:r>
        <w:t xml:space="preserve"> =</w:t>
      </w:r>
      <w:r>
        <w:tab/>
        <w:t>the charge calculated in accordance with the following formula — </w:t>
      </w:r>
    </w:p>
    <w:p>
      <w:pPr>
        <w:pStyle w:val="zyIndenta"/>
      </w:pPr>
      <w:r>
        <w:rPr>
          <w:b/>
        </w:rPr>
        <w:tab/>
      </w:r>
      <w:r>
        <w:rPr>
          <w:b/>
        </w:rPr>
        <w:tab/>
        <w:t>U</w:t>
      </w:r>
      <w:r>
        <w:t xml:space="preserve"> </w:t>
      </w:r>
      <w:r>
        <w:sym w:font="Symbol" w:char="F0B4"/>
      </w:r>
      <w:r>
        <w:t xml:space="preserve"> </w:t>
      </w:r>
      <w:r>
        <w:rPr>
          <w:b/>
        </w:rPr>
        <w:t>V</w:t>
      </w:r>
    </w:p>
    <w:p>
      <w:pPr>
        <w:pStyle w:val="zyIndenta"/>
      </w:pPr>
      <w:r>
        <w:tab/>
      </w:r>
      <w:r>
        <w:tab/>
        <w:t xml:space="preserve">where — </w:t>
      </w:r>
    </w:p>
    <w:p>
      <w:pPr>
        <w:pStyle w:val="zyIndenti"/>
      </w:pPr>
      <w:r>
        <w:rPr>
          <w:b/>
        </w:rPr>
        <w:tab/>
        <w:t>U</w:t>
      </w:r>
      <w:r>
        <w:t xml:space="preserve"> =</w:t>
      </w:r>
      <w:r>
        <w:tab/>
        <w:t xml:space="preserve">the number of beds in the nursing home; </w:t>
      </w:r>
    </w:p>
    <w:p>
      <w:pPr>
        <w:pStyle w:val="zyIndenti"/>
      </w:pPr>
      <w:r>
        <w:rPr>
          <w:b/>
        </w:rPr>
        <w:tab/>
        <w:t>V</w:t>
      </w:r>
      <w:r>
        <w:t xml:space="preserve"> =</w:t>
      </w:r>
      <w:r>
        <w:tab/>
        <w:t>$131.80;</w:t>
      </w:r>
    </w:p>
    <w:p>
      <w:pPr>
        <w:pStyle w:val="zyIndenta"/>
      </w:pPr>
      <w:r>
        <w:rPr>
          <w:b/>
        </w:rPr>
        <w:tab/>
        <w:t>Q</w:t>
      </w:r>
      <w:r>
        <w:t xml:space="preserve"> =</w:t>
      </w:r>
      <w:r>
        <w:tab/>
        <w:t>the quantity charge calculated in accordance with the formula in item 37;</w:t>
      </w:r>
    </w:p>
    <w:p>
      <w:pPr>
        <w:pStyle w:val="zyIndenta"/>
      </w:pPr>
      <w:r>
        <w:rPr>
          <w:b/>
        </w:rPr>
        <w:tab/>
        <w:t>R</w:t>
      </w:r>
      <w:r>
        <w:t xml:space="preserve"> =</w:t>
      </w:r>
      <w:r>
        <w:tab/>
        <w:t>the charge calculated in accordance with the formula in item 35.</w:t>
      </w:r>
    </w:p>
    <w:p>
      <w:pPr>
        <w:pStyle w:val="zyHeading5"/>
      </w:pPr>
      <w:r>
        <w:t>34.</w:t>
      </w:r>
      <w:r>
        <w:tab/>
        <w:t>Certain country strata</w:t>
      </w:r>
      <w:r>
        <w:noBreakHyphen/>
        <w:t>titled units</w:t>
      </w:r>
    </w:p>
    <w:p>
      <w:pPr>
        <w:pStyle w:val="zySubsection"/>
      </w:pPr>
      <w:r>
        <w:tab/>
      </w:r>
      <w:r>
        <w:tab/>
        <w:t>In respect of country non</w:t>
      </w:r>
      <w:r>
        <w:noBreakHyphen/>
        <w:t xml:space="preserve">residential or commercial residential property that is in a country sewerage area that — </w:t>
      </w:r>
    </w:p>
    <w:p>
      <w:pPr>
        <w:pStyle w:val="zyIndenta"/>
      </w:pPr>
      <w:r>
        <w:tab/>
        <w:t>(a)</w:t>
      </w:r>
      <w:r>
        <w:tab/>
      </w:r>
      <w:r>
        <w:rPr>
          <w:snapToGrid w:val="0"/>
        </w:rPr>
        <w:t>comprises</w:t>
      </w:r>
      <w:r>
        <w:t xml:space="preserve"> a unit that is a lot within the meaning of the </w:t>
      </w:r>
      <w:r>
        <w:rPr>
          <w:i/>
        </w:rPr>
        <w:t>Strata Titles Act 1985</w:t>
      </w:r>
      <w:r>
        <w:t>; and</w:t>
      </w:r>
    </w:p>
    <w:p>
      <w:pPr>
        <w:pStyle w:val="zyIndenta"/>
      </w:pPr>
      <w:r>
        <w:tab/>
        <w:t>(b)</w:t>
      </w:r>
      <w:r>
        <w:tab/>
      </w:r>
      <w:r>
        <w:rPr>
          <w:snapToGrid w:val="0"/>
        </w:rPr>
        <w:t>shares</w:t>
      </w:r>
      <w:r>
        <w:t xml:space="preserve"> a major fixture with another unit described in paragraph (a) and </w:t>
      </w:r>
      <w:r>
        <w:rPr>
          <w:spacing w:val="-1"/>
        </w:rPr>
        <w:t>has no other major fixtures that discharge into the sewer,</w:t>
      </w:r>
    </w:p>
    <w:p>
      <w:pPr>
        <w:pStyle w:val="z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 </w:t>
      </w:r>
    </w:p>
    <w:p>
      <w:pPr>
        <w:pStyle w:val="zySubsection"/>
      </w:pPr>
      <w:r>
        <w:tab/>
      </w:r>
      <w:r>
        <w:tab/>
      </w:r>
      <w:r>
        <w:rPr>
          <w:b/>
          <w:bCs/>
        </w:rPr>
        <w:t>T</w:t>
      </w:r>
      <w:r>
        <w:t xml:space="preserve"> + </w:t>
      </w:r>
      <w:r>
        <w:rPr>
          <w:b/>
          <w:bCs/>
        </w:rPr>
        <w:t>Q</w:t>
      </w:r>
    </w:p>
    <w:p>
      <w:pPr>
        <w:pStyle w:val="zySubsection"/>
      </w:pPr>
      <w:r>
        <w:tab/>
      </w:r>
      <w:r>
        <w:tab/>
        <w:t xml:space="preserve">where — </w:t>
      </w:r>
    </w:p>
    <w:p>
      <w:pPr>
        <w:pStyle w:val="zyIndenta"/>
      </w:pPr>
      <w:r>
        <w:rPr>
          <w:b/>
        </w:rPr>
        <w:tab/>
        <w:t>T</w:t>
      </w:r>
      <w:r>
        <w:t xml:space="preserve"> =</w:t>
      </w:r>
      <w:r>
        <w:tab/>
        <w:t>$452.80;</w:t>
      </w:r>
    </w:p>
    <w:p>
      <w:pPr>
        <w:pStyle w:val="zyIndenta"/>
      </w:pPr>
      <w:r>
        <w:rPr>
          <w:b/>
        </w:rPr>
        <w:tab/>
        <w:t>Q</w:t>
      </w:r>
      <w:r>
        <w:t xml:space="preserve"> =</w:t>
      </w:r>
      <w:r>
        <w:tab/>
        <w:t>the quantity charge calculated in accordance with the formula in item 37.</w:t>
      </w:r>
    </w:p>
    <w:p>
      <w:pPr>
        <w:pStyle w:val="zyHeading5"/>
      </w:pPr>
      <w:r>
        <w:t>35.</w:t>
      </w:r>
      <w:r>
        <w:tab/>
        <w:t>Limit on increase</w:t>
      </w:r>
    </w:p>
    <w:p>
      <w:pPr>
        <w:pStyle w:val="zySubsection"/>
      </w:pPr>
      <w:r>
        <w:tab/>
      </w:r>
      <w:r>
        <w:tab/>
        <w:t xml:space="preserve">For the </w:t>
      </w:r>
      <w:r>
        <w:rPr>
          <w:spacing w:val="-1"/>
        </w:rPr>
        <w:t>purposes</w:t>
      </w:r>
      <w:r>
        <w:t xml:space="preserve"> of this Division, the maximum charge (</w:t>
      </w:r>
      <w:r>
        <w:rPr>
          <w:rStyle w:val="CharDefText"/>
        </w:rPr>
        <w:t>R</w:t>
      </w:r>
      <w:r>
        <w:t xml:space="preserve">) is calculated in accordance with the following formula — </w:t>
      </w:r>
    </w:p>
    <w:p>
      <w:pPr>
        <w:pStyle w:val="z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zySubsection"/>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zySubsection"/>
        <w:rPr>
          <w:b/>
        </w:rPr>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z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zySubsection"/>
      </w:pPr>
      <w:r>
        <w:rPr>
          <w:b/>
        </w:rPr>
        <w:tab/>
      </w:r>
      <w:r>
        <w:rPr>
          <w:b/>
        </w:rPr>
        <w:tab/>
      </w:r>
      <w:r>
        <w:t>(</w:t>
      </w:r>
      <w:r>
        <w:rPr>
          <w:b/>
        </w:rPr>
        <w:t xml:space="preserve">A </w:t>
      </w:r>
      <w:r>
        <w:t xml:space="preserve">+ </w:t>
      </w:r>
      <w:r>
        <w:rPr>
          <w:b/>
        </w:rPr>
        <w:t>J</w:t>
      </w:r>
      <w:r>
        <w:t>)</w:t>
      </w:r>
    </w:p>
    <w:p>
      <w:pPr>
        <w:pStyle w:val="z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zySubsection"/>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zySubsection"/>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z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zySubsection"/>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zySubsection"/>
      </w:pPr>
      <w:r>
        <w:tab/>
      </w:r>
      <w:r>
        <w:tab/>
        <w:t xml:space="preserve">where — </w:t>
      </w:r>
    </w:p>
    <w:p>
      <w:pPr>
        <w:pStyle w:val="zyIndenta"/>
      </w:pPr>
      <w:r>
        <w:rPr>
          <w:b/>
        </w:rPr>
        <w:tab/>
        <w:t>P</w:t>
      </w:r>
      <w:r>
        <w:t xml:space="preserve"> =</w:t>
      </w:r>
      <w:r>
        <w:tab/>
        <w:t>the target annual charge, based on the number of major fixtures calculated using the Table in item 36;</w:t>
      </w:r>
    </w:p>
    <w:p>
      <w:pPr>
        <w:pStyle w:val="zyIndenta"/>
      </w:pPr>
      <w:r>
        <w:rPr>
          <w:b/>
        </w:rPr>
        <w:tab/>
        <w:t>Q</w:t>
      </w:r>
      <w:r>
        <w:t xml:space="preserve"> =</w:t>
      </w:r>
      <w:r>
        <w:tab/>
        <w:t>the ultimate discharge charge calculated using the formula in item 37, except that the discharge allowance calculated in accordance with item 38(a) is 200 kL;</w:t>
      </w:r>
    </w:p>
    <w:p>
      <w:pPr>
        <w:pStyle w:val="zyIndenta"/>
      </w:pPr>
      <w:r>
        <w:rPr>
          <w:b/>
        </w:rPr>
        <w:tab/>
        <w:t>A</w:t>
      </w:r>
      <w:r>
        <w:t xml:space="preserve"> =</w:t>
      </w:r>
      <w:r>
        <w:tab/>
        <w:t>the equivalent full year charge payable in the 2011/2012 year;</w:t>
      </w:r>
    </w:p>
    <w:p>
      <w:pPr>
        <w:pStyle w:val="zyIndenta"/>
      </w:pPr>
      <w:r>
        <w:rPr>
          <w:b/>
        </w:rPr>
        <w:tab/>
        <w:t>S</w:t>
      </w:r>
      <w:r>
        <w:t xml:space="preserve"> =</w:t>
      </w:r>
      <w:r>
        <w:tab/>
        <w:t>1.136;</w:t>
      </w:r>
    </w:p>
    <w:p>
      <w:pPr>
        <w:pStyle w:val="zyIndenta"/>
      </w:pPr>
      <w:r>
        <w:rPr>
          <w:b/>
        </w:rPr>
        <w:tab/>
        <w:t>B</w:t>
      </w:r>
      <w:r>
        <w:t xml:space="preserve"> =</w:t>
      </w:r>
      <w:r>
        <w:tab/>
        <w:t>$166.67;</w:t>
      </w:r>
    </w:p>
    <w:p>
      <w:pPr>
        <w:pStyle w:val="zyIndenta"/>
      </w:pPr>
      <w:r>
        <w:rPr>
          <w:b/>
        </w:rPr>
        <w:tab/>
        <w:t>J</w:t>
      </w:r>
      <w:r>
        <w:t xml:space="preserve"> =</w:t>
      </w:r>
      <w:r>
        <w:tab/>
        <w:t>$166.67;</w:t>
      </w:r>
    </w:p>
    <w:p>
      <w:pPr>
        <w:pStyle w:val="zyIndenta"/>
      </w:pPr>
      <w:r>
        <w:rPr>
          <w:b/>
        </w:rPr>
        <w:tab/>
        <w:t>O</w:t>
      </w:r>
      <w:r>
        <w:t xml:space="preserve"> =</w:t>
      </w:r>
      <w:r>
        <w:tab/>
        <w:t>1.</w:t>
      </w:r>
    </w:p>
    <w:p>
      <w:pPr>
        <w:pStyle w:val="yFootnotesection"/>
      </w:pPr>
      <w:r>
        <w:tab/>
        <w:t>[Division 7 inserted in Gazette 20 Jun 2012 p. 2743</w:t>
      </w:r>
      <w:r>
        <w:noBreakHyphen/>
        <w:t>7.]</w:t>
      </w:r>
    </w:p>
    <w:p>
      <w:pPr>
        <w:pStyle w:val="yHeading3"/>
        <w:rPr>
          <w:rStyle w:val="CharSDivNo"/>
        </w:rPr>
      </w:pPr>
      <w:bookmarkStart w:id="788" w:name="_Toc84428009"/>
      <w:bookmarkStart w:id="789" w:name="_Toc328403454"/>
      <w:bookmarkStart w:id="790" w:name="_Toc328471503"/>
      <w:r>
        <w:rPr>
          <w:rStyle w:val="CharSDivNo"/>
        </w:rPr>
        <w:t>Division 8 </w:t>
      </w:r>
      <w:r>
        <w:t>—</w:t>
      </w:r>
      <w:r>
        <w:rPr>
          <w:rStyle w:val="CharSDivNo"/>
        </w:rPr>
        <w:t> </w:t>
      </w:r>
      <w:r>
        <w:rPr>
          <w:rStyle w:val="CharSDivText"/>
        </w:rPr>
        <w:t>Computation of combined charges for country</w:t>
      </w:r>
      <w:bookmarkEnd w:id="788"/>
      <w:bookmarkEnd w:id="789"/>
      <w:bookmarkEnd w:id="790"/>
    </w:p>
    <w:p>
      <w:pPr>
        <w:pStyle w:val="yFootnoteheading"/>
        <w:keepNext/>
        <w:spacing w:after="60"/>
        <w:rPr>
          <w:rStyle w:val="CharSDivNo"/>
        </w:rPr>
      </w:pPr>
      <w:r>
        <w:tab/>
        <w:t>[Heading inserted in Gazette 20 Jun 2012 p. 2747.]</w:t>
      </w:r>
    </w:p>
    <w:p>
      <w:pPr>
        <w:pStyle w:val="zyHeading5"/>
      </w:pPr>
      <w:r>
        <w:t>36.</w:t>
      </w:r>
      <w:r>
        <w:tab/>
        <w:t>Formula for annual charge</w:t>
      </w:r>
    </w:p>
    <w:p>
      <w:pPr>
        <w:pStyle w:val="zySubsection"/>
      </w:pPr>
      <w:r>
        <w:tab/>
      </w:r>
      <w:r>
        <w:tab/>
        <w:t xml:space="preserve">For the </w:t>
      </w:r>
      <w:r>
        <w:rPr>
          <w:spacing w:val="-1"/>
        </w:rPr>
        <w:t>purposes</w:t>
      </w:r>
      <w:r>
        <w:t xml:space="preserve"> of Division 7, the annual charge (</w:t>
      </w:r>
      <w:r>
        <w:rPr>
          <w:rStyle w:val="CharDefText"/>
        </w:rPr>
        <w:t>P</w:t>
      </w:r>
      <w:r>
        <w:t xml:space="preserve">) is calculated according to the following formula — </w:t>
      </w:r>
    </w:p>
    <w:p>
      <w:pPr>
        <w:pStyle w:val="z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zySubsection"/>
        <w:rPr>
          <w:b/>
        </w:rPr>
      </w:pPr>
      <w:r>
        <w:tab/>
      </w:r>
      <w:r>
        <w:tab/>
      </w:r>
      <w:r>
        <w:rPr>
          <w:b/>
        </w:rPr>
        <w:t>X</w:t>
      </w:r>
    </w:p>
    <w:p>
      <w:pPr>
        <w:pStyle w:val="zySubsection"/>
      </w:pPr>
      <w:r>
        <w:tab/>
      </w:r>
      <w:r>
        <w:tab/>
        <w:t xml:space="preserve">or if </w:t>
      </w:r>
      <w:r>
        <w:rPr>
          <w:b/>
        </w:rPr>
        <w:t>A</w:t>
      </w:r>
      <w:r>
        <w:t xml:space="preserve"> &gt; (</w:t>
      </w:r>
      <w:r>
        <w:rPr>
          <w:b/>
        </w:rPr>
        <w:t>C</w:t>
      </w:r>
      <w:r>
        <w:t xml:space="preserve"> + </w:t>
      </w:r>
      <w:r>
        <w:rPr>
          <w:b/>
        </w:rPr>
        <w:t>D</w:t>
      </w:r>
      <w:r>
        <w:t xml:space="preserve">), then — </w:t>
      </w:r>
    </w:p>
    <w:p>
      <w:pPr>
        <w:pStyle w:val="z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zySubsection"/>
      </w:pPr>
      <w:r>
        <w:tab/>
      </w:r>
      <w:r>
        <w:tab/>
        <w:t xml:space="preserve">where — </w:t>
      </w:r>
    </w:p>
    <w:p>
      <w:pPr>
        <w:pStyle w:val="zyIndenta"/>
      </w:pPr>
      <w:r>
        <w:rPr>
          <w:b/>
        </w:rPr>
        <w:tab/>
        <w:t>A</w:t>
      </w:r>
      <w:r>
        <w:t xml:space="preserve"> =</w:t>
      </w:r>
      <w:r>
        <w:tab/>
        <w:t>the equivalent amount payable in the 2011/2012 year;</w:t>
      </w:r>
    </w:p>
    <w:p>
      <w:pPr>
        <w:pStyle w:val="zyIndenta"/>
      </w:pPr>
      <w:r>
        <w:rPr>
          <w:b/>
        </w:rPr>
        <w:tab/>
        <w:t>C</w:t>
      </w:r>
      <w:r>
        <w:t xml:space="preserve"> =</w:t>
      </w:r>
      <w:r>
        <w:tab/>
        <w:t>the charge payable for the relevant number of major fixtures for the 2012/2013 year as set out in the Table;</w:t>
      </w:r>
    </w:p>
    <w:p>
      <w:pPr>
        <w:pStyle w:val="zyIndenta"/>
      </w:pPr>
      <w:r>
        <w:rPr>
          <w:b/>
        </w:rPr>
        <w:tab/>
        <w:t>D</w:t>
      </w:r>
      <w:r>
        <w:t xml:space="preserve"> =</w:t>
      </w:r>
      <w:r>
        <w:tab/>
        <w:t>the ultimate discharge charge;</w:t>
      </w:r>
    </w:p>
    <w:p>
      <w:pPr>
        <w:pStyle w:val="zyIndenta"/>
      </w:pPr>
      <w:r>
        <w:rPr>
          <w:b/>
        </w:rPr>
        <w:tab/>
        <w:t>E</w:t>
      </w:r>
      <w:r>
        <w:t xml:space="preserve"> =</w:t>
      </w:r>
      <w:r>
        <w:tab/>
        <w:t>1;</w:t>
      </w:r>
    </w:p>
    <w:p>
      <w:pPr>
        <w:pStyle w:val="zyIndenta"/>
      </w:pPr>
      <w:r>
        <w:rPr>
          <w:b/>
        </w:rPr>
        <w:tab/>
        <w:t>X</w:t>
      </w:r>
      <w:r>
        <w:t xml:space="preserve"> =</w:t>
      </w:r>
      <w:r>
        <w:tab/>
        <w:t>the amount specified in relation to the 2012/2013 year for the relevant number of major fixtures as set out in the Table.</w:t>
      </w:r>
    </w:p>
    <w:p>
      <w:pPr>
        <w:pStyle w:val="yTHeadingNAm"/>
        <w:keepLines/>
      </w:pPr>
      <w:r>
        <w:rPr>
          <w:bCs w:val="0"/>
        </w:rPr>
        <w:t>Table of major fixture</w:t>
      </w:r>
      <w:r>
        <w:rPr>
          <w:bCs w:val="0"/>
        </w:rPr>
        <w:noBreakHyphen/>
        <w:t>based minimum charges</w:t>
      </w:r>
      <w:r>
        <w:rPr>
          <w:bCs w:val="0"/>
        </w:rPr>
        <w:br/>
        <w:t>(</w:t>
      </w:r>
      <w:r>
        <w:rPr>
          <w:bCs w:val="0"/>
          <w:iCs/>
        </w:rPr>
        <w:t>per fixture</w:t>
      </w:r>
      <w:r>
        <w:rPr>
          <w:bCs w:val="0"/>
        </w:rPr>
        <w:t>)</w:t>
      </w:r>
    </w:p>
    <w:tbl>
      <w:tblPr>
        <w:tblW w:w="0" w:type="auto"/>
        <w:tblInd w:w="910" w:type="dxa"/>
        <w:tblLayout w:type="fixed"/>
        <w:tblCellMar>
          <w:left w:w="28" w:type="dxa"/>
          <w:right w:w="28" w:type="dxa"/>
        </w:tblCellMar>
        <w:tblLook w:val="0000" w:firstRow="0" w:lastRow="0" w:firstColumn="0" w:lastColumn="0" w:noHBand="0" w:noVBand="0"/>
      </w:tblPr>
      <w:tblGrid>
        <w:gridCol w:w="2961"/>
        <w:gridCol w:w="2961"/>
      </w:tblGrid>
      <w:tr>
        <w:trPr>
          <w:cantSplit/>
          <w:tblHeader/>
        </w:trPr>
        <w:tc>
          <w:tcPr>
            <w:tcW w:w="2961" w:type="dxa"/>
            <w:tcBorders>
              <w:top w:val="single" w:sz="4" w:space="0" w:color="auto"/>
              <w:bottom w:val="single" w:sz="4" w:space="0" w:color="auto"/>
            </w:tcBorders>
          </w:tcPr>
          <w:p>
            <w:pPr>
              <w:pStyle w:val="yTableNAm"/>
              <w:keepNext/>
              <w:keepLines/>
              <w:jc w:val="center"/>
              <w:rPr>
                <w:b/>
                <w:bCs/>
              </w:rPr>
            </w:pPr>
            <w:r>
              <w:rPr>
                <w:b/>
                <w:bCs/>
              </w:rPr>
              <w:t>No. of fixtures</w:t>
            </w:r>
          </w:p>
        </w:tc>
        <w:tc>
          <w:tcPr>
            <w:tcW w:w="2961" w:type="dxa"/>
            <w:tcBorders>
              <w:top w:val="single" w:sz="4" w:space="0" w:color="auto"/>
              <w:bottom w:val="single" w:sz="4" w:space="0" w:color="auto"/>
            </w:tcBorders>
          </w:tcPr>
          <w:p>
            <w:pPr>
              <w:pStyle w:val="yTableNAm"/>
              <w:keepNext/>
              <w:keepLines/>
              <w:jc w:val="center"/>
              <w:rPr>
                <w:b/>
                <w:bCs/>
              </w:rPr>
            </w:pPr>
            <w:r>
              <w:rPr>
                <w:b/>
                <w:bCs/>
              </w:rPr>
              <w:t>Charges</w:t>
            </w:r>
            <w:r>
              <w:rPr>
                <w:b/>
                <w:bCs/>
              </w:rPr>
              <w:br/>
              <w:t>$</w:t>
            </w:r>
          </w:p>
        </w:tc>
      </w:tr>
      <w:tr>
        <w:trPr>
          <w:cantSplit/>
        </w:trPr>
        <w:tc>
          <w:tcPr>
            <w:tcW w:w="2961" w:type="dxa"/>
          </w:tcPr>
          <w:p>
            <w:pPr>
              <w:pStyle w:val="yTableNAm"/>
              <w:jc w:val="center"/>
            </w:pPr>
            <w:r>
              <w:t>1</w:t>
            </w:r>
          </w:p>
        </w:tc>
        <w:tc>
          <w:tcPr>
            <w:tcW w:w="2961" w:type="dxa"/>
            <w:vAlign w:val="bottom"/>
          </w:tcPr>
          <w:p>
            <w:pPr>
              <w:pStyle w:val="yTableNAm"/>
              <w:jc w:val="center"/>
            </w:pPr>
            <w:r>
              <w:t>728.40</w:t>
            </w:r>
          </w:p>
        </w:tc>
      </w:tr>
      <w:tr>
        <w:trPr>
          <w:cantSplit/>
        </w:trPr>
        <w:tc>
          <w:tcPr>
            <w:tcW w:w="2961" w:type="dxa"/>
          </w:tcPr>
          <w:p>
            <w:pPr>
              <w:pStyle w:val="yTableNAm"/>
              <w:jc w:val="center"/>
            </w:pPr>
            <w:r>
              <w:t>2</w:t>
            </w:r>
          </w:p>
        </w:tc>
        <w:tc>
          <w:tcPr>
            <w:tcW w:w="2961" w:type="dxa"/>
            <w:vAlign w:val="bottom"/>
          </w:tcPr>
          <w:p>
            <w:pPr>
              <w:pStyle w:val="yTableNAm"/>
              <w:jc w:val="center"/>
            </w:pPr>
            <w:r>
              <w:t>311.80</w:t>
            </w:r>
          </w:p>
        </w:tc>
      </w:tr>
      <w:tr>
        <w:trPr>
          <w:cantSplit/>
        </w:trPr>
        <w:tc>
          <w:tcPr>
            <w:tcW w:w="2961" w:type="dxa"/>
          </w:tcPr>
          <w:p>
            <w:pPr>
              <w:pStyle w:val="yTableNAm"/>
              <w:jc w:val="center"/>
            </w:pPr>
            <w:r>
              <w:t>3</w:t>
            </w:r>
          </w:p>
        </w:tc>
        <w:tc>
          <w:tcPr>
            <w:tcW w:w="2961" w:type="dxa"/>
            <w:vAlign w:val="bottom"/>
          </w:tcPr>
          <w:p>
            <w:pPr>
              <w:pStyle w:val="yTableNAm"/>
              <w:jc w:val="center"/>
            </w:pPr>
            <w:r>
              <w:t>416.40</w:t>
            </w:r>
          </w:p>
        </w:tc>
      </w:tr>
      <w:tr>
        <w:trPr>
          <w:cantSplit/>
        </w:trPr>
        <w:tc>
          <w:tcPr>
            <w:tcW w:w="2961" w:type="dxa"/>
            <w:tcBorders>
              <w:bottom w:val="single" w:sz="4" w:space="0" w:color="auto"/>
            </w:tcBorders>
          </w:tcPr>
          <w:p>
            <w:pPr>
              <w:pStyle w:val="yTableNAm"/>
              <w:jc w:val="center"/>
            </w:pPr>
            <w:r>
              <w:t>4+</w:t>
            </w:r>
          </w:p>
        </w:tc>
        <w:tc>
          <w:tcPr>
            <w:tcW w:w="2961" w:type="dxa"/>
            <w:tcBorders>
              <w:bottom w:val="single" w:sz="4" w:space="0" w:color="auto"/>
            </w:tcBorders>
            <w:vAlign w:val="bottom"/>
          </w:tcPr>
          <w:p>
            <w:pPr>
              <w:pStyle w:val="yTableNAm"/>
              <w:jc w:val="center"/>
            </w:pPr>
            <w:r>
              <w:t>452.80</w:t>
            </w:r>
          </w:p>
        </w:tc>
      </w:tr>
    </w:tbl>
    <w:p>
      <w:pPr>
        <w:pStyle w:val="zyHeading5"/>
      </w:pPr>
      <w:r>
        <w:t>37.</w:t>
      </w:r>
      <w:r>
        <w:tab/>
        <w:t>Formula for quantity charge</w:t>
      </w:r>
    </w:p>
    <w:p>
      <w:pPr>
        <w:pStyle w:val="z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rStyle w:val="CharDefText"/>
        </w:rPr>
        <w:t>Q</w:t>
      </w:r>
      <w:r>
        <w:rPr>
          <w:snapToGrid w:val="0"/>
        </w:rPr>
        <w:t xml:space="preserve">) is calculated in accordance with the following formula — </w:t>
      </w:r>
    </w:p>
    <w:p>
      <w:pPr>
        <w:pStyle w:val="z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zySubsection"/>
      </w:pPr>
      <w:r>
        <w:tab/>
      </w:r>
      <w:r>
        <w:tab/>
        <w:t>nil</w:t>
      </w:r>
    </w:p>
    <w:p>
      <w:pPr>
        <w:pStyle w:val="z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z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zySubsection"/>
      </w:pPr>
      <w:r>
        <w:tab/>
      </w:r>
      <w:r>
        <w:tab/>
        <w:t xml:space="preserve">where — </w:t>
      </w:r>
    </w:p>
    <w:p>
      <w:pPr>
        <w:pStyle w:val="zyIndenta"/>
      </w:pPr>
      <w:r>
        <w:rPr>
          <w:b/>
        </w:rPr>
        <w:tab/>
        <w:t>F</w:t>
      </w:r>
      <w:r>
        <w:t xml:space="preserve"> =</w:t>
      </w:r>
      <w:r>
        <w:tab/>
        <w:t>the volume of water delivered to the property in the 2012/2013 year;</w:t>
      </w:r>
    </w:p>
    <w:p>
      <w:pPr>
        <w:pStyle w:val="zyIndenta"/>
      </w:pPr>
      <w:r>
        <w:rPr>
          <w:b/>
        </w:rPr>
        <w:tab/>
        <w:t>G</w:t>
      </w:r>
      <w:r>
        <w:t xml:space="preserve"> =</w:t>
      </w:r>
      <w:r>
        <w:tab/>
        <w:t>the discharge factor set for the property for the 2012/2013 year;</w:t>
      </w:r>
    </w:p>
    <w:p>
      <w:pPr>
        <w:pStyle w:val="zyIndenta"/>
      </w:pPr>
      <w:r>
        <w:rPr>
          <w:b/>
        </w:rPr>
        <w:tab/>
        <w:t>H</w:t>
      </w:r>
      <w:r>
        <w:t xml:space="preserve"> =</w:t>
      </w:r>
      <w:r>
        <w:tab/>
        <w:t>the discharge allowance for the 2012/2013 year calculated in accordance with item 38;</w:t>
      </w:r>
    </w:p>
    <w:p>
      <w:pPr>
        <w:pStyle w:val="zyIndenta"/>
      </w:pPr>
      <w:r>
        <w:rPr>
          <w:b/>
        </w:rPr>
        <w:tab/>
        <w:t>I</w:t>
      </w:r>
      <w:r>
        <w:t xml:space="preserve"> =</w:t>
      </w:r>
      <w:r>
        <w:tab/>
        <w:t>2.677,</w:t>
      </w:r>
    </w:p>
    <w:p>
      <w:pPr>
        <w:pStyle w:val="zySubsection"/>
      </w:pPr>
      <w:r>
        <w:tab/>
      </w:r>
      <w:r>
        <w:tab/>
        <w:t xml:space="preserve">and </w:t>
      </w:r>
      <w:r>
        <w:rPr>
          <w:snapToGrid w:val="0"/>
        </w:rPr>
        <w:t>where</w:t>
      </w:r>
      <w:r>
        <w:t xml:space="preserv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zyHeading5"/>
      </w:pPr>
      <w:r>
        <w:t>38.</w:t>
      </w:r>
      <w:r>
        <w:tab/>
        <w:t>Discharge allowance</w:t>
      </w:r>
    </w:p>
    <w:p>
      <w:pPr>
        <w:pStyle w:val="zySubsection"/>
        <w:rPr>
          <w:snapToGrid w:val="0"/>
        </w:rPr>
      </w:pPr>
      <w:r>
        <w:rPr>
          <w:snapToGrid w:val="0"/>
        </w:rPr>
        <w:tab/>
      </w:r>
      <w:r>
        <w:rPr>
          <w:snapToGrid w:val="0"/>
        </w:rPr>
        <w:tab/>
        <w:t xml:space="preserve">For the purposes of item 37, the discharge allowance is — </w:t>
      </w:r>
    </w:p>
    <w:p>
      <w:pPr>
        <w:pStyle w:val="zyIndenta"/>
        <w:rPr>
          <w:snapToGrid w:val="0"/>
        </w:rPr>
      </w:pPr>
      <w:r>
        <w:rPr>
          <w:snapToGrid w:val="0"/>
        </w:rPr>
        <w:tab/>
        <w:t>(a)</w:t>
      </w:r>
      <w:r>
        <w:rPr>
          <w:snapToGrid w:val="0"/>
        </w:rPr>
        <w:tab/>
        <w:t xml:space="preserve">for land to which item 35 applies that is not mentioned in paragraph (d), an amount of water in kilolitres calculated in accordance with the following formula — </w:t>
      </w:r>
    </w:p>
    <w:p>
      <w:pPr>
        <w:pStyle w:val="zyIndenta"/>
      </w:pPr>
      <w:r>
        <w:tab/>
      </w:r>
      <w:r>
        <w:tab/>
        <w:t xml:space="preserve">If </w:t>
      </w:r>
      <w:r>
        <w:rPr>
          <w:b/>
        </w:rPr>
        <w:t>X</w:t>
      </w:r>
      <w:r>
        <w:t xml:space="preserve"> </w:t>
      </w:r>
      <w:r>
        <w:sym w:font="Symbol" w:char="F0A3"/>
      </w:r>
      <w:r>
        <w:t xml:space="preserve"> </w:t>
      </w:r>
      <w:r>
        <w:rPr>
          <w:b/>
        </w:rPr>
        <w:t>C</w:t>
      </w:r>
      <w:r>
        <w:t xml:space="preserve">, then — </w:t>
      </w:r>
    </w:p>
    <w:p>
      <w:pPr>
        <w:pStyle w:val="zyIndenta"/>
        <w:rPr>
          <w:b/>
        </w:rPr>
      </w:pPr>
      <w:r>
        <w:rPr>
          <w:b/>
        </w:rPr>
        <w:tab/>
      </w:r>
      <w:r>
        <w:rPr>
          <w:b/>
        </w:rPr>
        <w:tab/>
        <w:t>L</w:t>
      </w:r>
    </w:p>
    <w:p>
      <w:pPr>
        <w:pStyle w:val="zyIndenta"/>
      </w:pPr>
      <w:r>
        <w:tab/>
      </w:r>
      <w:r>
        <w:tab/>
      </w:r>
      <w:r>
        <w:rPr>
          <w:snapToGrid w:val="0"/>
        </w:rPr>
        <w:t>or</w:t>
      </w:r>
      <w:r>
        <w:t xml:space="preserve"> if </w:t>
      </w:r>
      <w:r>
        <w:rPr>
          <w:b/>
        </w:rPr>
        <w:t>X</w:t>
      </w:r>
      <w:r>
        <w:t xml:space="preserve"> &gt; </w:t>
      </w:r>
      <w:r>
        <w:rPr>
          <w:b/>
        </w:rPr>
        <w:t>C</w:t>
      </w:r>
      <w:r>
        <w:t xml:space="preserve">, then — </w:t>
      </w:r>
    </w:p>
    <w:p>
      <w:pPr>
        <w:pStyle w:val="zyIndenta"/>
      </w:pPr>
      <w:r>
        <w:rPr>
          <w:b/>
        </w:rPr>
        <w:tab/>
      </w:r>
      <w:r>
        <w:rPr>
          <w:b/>
        </w:rPr>
        <w:tab/>
        <w:t>L</w:t>
      </w:r>
      <w:r>
        <w:t xml:space="preserve"> + [(</w:t>
      </w:r>
      <w:r>
        <w:rPr>
          <w:b/>
        </w:rPr>
        <w:t>X</w:t>
      </w:r>
      <w:r>
        <w:t xml:space="preserve"> – </w:t>
      </w:r>
      <w:r>
        <w:rPr>
          <w:b/>
        </w:rPr>
        <w:t>C</w:t>
      </w:r>
      <w:r>
        <w:t xml:space="preserve">) / </w:t>
      </w:r>
      <w:r>
        <w:rPr>
          <w:b/>
        </w:rPr>
        <w:t>K</w:t>
      </w:r>
      <w:r>
        <w:t>]</w:t>
      </w:r>
    </w:p>
    <w:p>
      <w:pPr>
        <w:pStyle w:val="zyIndenta"/>
      </w:pPr>
      <w:r>
        <w:tab/>
      </w:r>
      <w:r>
        <w:tab/>
        <w:t xml:space="preserve">where — </w:t>
      </w:r>
    </w:p>
    <w:p>
      <w:pPr>
        <w:pStyle w:val="zyIndenti"/>
        <w:rPr>
          <w:snapToGrid w:val="0"/>
        </w:rPr>
      </w:pPr>
      <w:r>
        <w:rPr>
          <w:b/>
        </w:rPr>
        <w:tab/>
        <w:t>X</w:t>
      </w:r>
      <w:r>
        <w:t xml:space="preserve"> =</w:t>
      </w:r>
      <w:r>
        <w:tab/>
        <w:t xml:space="preserve">the annual charge for the 2012/2013 year calculated in </w:t>
      </w:r>
      <w:r>
        <w:rPr>
          <w:snapToGrid w:val="0"/>
        </w:rPr>
        <w:t>accordance with the formula in item 36;</w:t>
      </w:r>
    </w:p>
    <w:p>
      <w:pPr>
        <w:pStyle w:val="zyIndenti"/>
      </w:pPr>
      <w:r>
        <w:rPr>
          <w:b/>
        </w:rPr>
        <w:tab/>
        <w:t>L</w:t>
      </w:r>
      <w:r>
        <w:t xml:space="preserve"> =</w:t>
      </w:r>
      <w:r>
        <w:tab/>
        <w:t>200;</w:t>
      </w:r>
    </w:p>
    <w:p>
      <w:pPr>
        <w:pStyle w:val="zyIndenti"/>
        <w:rPr>
          <w:b/>
        </w:rPr>
      </w:pPr>
      <w:r>
        <w:rPr>
          <w:b/>
        </w:rPr>
        <w:tab/>
        <w:t>C</w:t>
      </w:r>
      <w:r>
        <w:t xml:space="preserve"> =</w:t>
      </w:r>
      <w:r>
        <w:tab/>
        <w:t xml:space="preserve">the charge payable for the relevant number of major fixtures for the 2012/2013 year as set out in the Table to item 36; </w:t>
      </w:r>
    </w:p>
    <w:p>
      <w:pPr>
        <w:pStyle w:val="zyIndenti"/>
      </w:pPr>
      <w:r>
        <w:rPr>
          <w:b/>
        </w:rPr>
        <w:tab/>
        <w:t>K</w:t>
      </w:r>
      <w:r>
        <w:t xml:space="preserve"> =</w:t>
      </w:r>
      <w:r>
        <w:tab/>
        <w:t>2.677;</w:t>
      </w:r>
    </w:p>
    <w:p>
      <w:pPr>
        <w:pStyle w:val="zyIndenta"/>
      </w:pPr>
      <w:r>
        <w:tab/>
      </w:r>
      <w:r>
        <w:tab/>
        <w:t>and</w:t>
      </w:r>
    </w:p>
    <w:p>
      <w:pPr>
        <w:pStyle w:val="zyIndenta"/>
        <w:rPr>
          <w:snapToGrid w:val="0"/>
        </w:rPr>
      </w:pPr>
      <w:r>
        <w:rPr>
          <w:snapToGrid w:val="0"/>
        </w:rPr>
        <w:tab/>
        <w:t>(b)</w:t>
      </w:r>
      <w:r>
        <w:rPr>
          <w:snapToGrid w:val="0"/>
        </w:rPr>
        <w:tab/>
        <w:t>for a caravan park referred to in item 32, an amount of water in kilolitres calculated in accordance with the following formula — </w:t>
      </w:r>
    </w:p>
    <w:p>
      <w:pPr>
        <w:pStyle w:val="zyIndenta"/>
      </w:pPr>
      <w:r>
        <w:rPr>
          <w:b/>
        </w:rPr>
        <w:tab/>
      </w:r>
      <w:r>
        <w:rPr>
          <w:b/>
        </w:rPr>
        <w:tab/>
        <w:t>L</w:t>
      </w:r>
      <w:r>
        <w:t xml:space="preserve"> + </w:t>
      </w:r>
      <w:r>
        <w:rPr>
          <w:b/>
        </w:rPr>
        <w:t>M</w:t>
      </w:r>
    </w:p>
    <w:p>
      <w:pPr>
        <w:pStyle w:val="zyIndenta"/>
      </w:pPr>
      <w:r>
        <w:tab/>
      </w:r>
      <w:r>
        <w:tab/>
        <w:t xml:space="preserve">where — </w:t>
      </w:r>
    </w:p>
    <w:p>
      <w:pPr>
        <w:pStyle w:val="zyIndenti"/>
      </w:pPr>
      <w:r>
        <w:rPr>
          <w:b/>
        </w:rPr>
        <w:tab/>
        <w:t>L</w:t>
      </w:r>
      <w:r>
        <w:t xml:space="preserve"> =</w:t>
      </w:r>
      <w:r>
        <w:tab/>
        <w:t>200;</w:t>
      </w:r>
    </w:p>
    <w:p>
      <w:pPr>
        <w:pStyle w:val="zyIndenti"/>
      </w:pPr>
      <w:r>
        <w:rPr>
          <w:b/>
        </w:rPr>
        <w:tab/>
        <w:t>M</w:t>
      </w:r>
      <w:r>
        <w:t xml:space="preserve"> =</w:t>
      </w:r>
      <w:r>
        <w:tab/>
        <w:t>75 kL of water for each long</w:t>
      </w:r>
      <w:r>
        <w:noBreakHyphen/>
        <w:t>term residential caravan bay;</w:t>
      </w:r>
    </w:p>
    <w:p>
      <w:pPr>
        <w:pStyle w:val="zyIndenta"/>
      </w:pPr>
      <w:r>
        <w:tab/>
      </w:r>
      <w:r>
        <w:tab/>
        <w:t>and</w:t>
      </w:r>
    </w:p>
    <w:p>
      <w:pPr>
        <w:pStyle w:val="zyIndenta"/>
        <w:rPr>
          <w:snapToGrid w:val="0"/>
        </w:rPr>
      </w:pPr>
      <w:r>
        <w:rPr>
          <w:snapToGrid w:val="0"/>
        </w:rPr>
        <w:tab/>
        <w:t>(c)</w:t>
      </w:r>
      <w:r>
        <w:rPr>
          <w:snapToGrid w:val="0"/>
        </w:rPr>
        <w:tab/>
        <w:t>for a nursing home referred to in item 33, 75 kL of water per bed; and</w:t>
      </w:r>
    </w:p>
    <w:p>
      <w:pPr>
        <w:pStyle w:val="zyIndenta"/>
        <w:keepNext/>
        <w:keepLines/>
        <w:rPr>
          <w:snapToGrid w:val="0"/>
        </w:rPr>
      </w:pPr>
      <w:r>
        <w:rPr>
          <w:snapToGrid w:val="0"/>
        </w:rPr>
        <w:tab/>
        <w:t>(d)</w:t>
      </w:r>
      <w:r>
        <w:rPr>
          <w:snapToGrid w:val="0"/>
        </w:rPr>
        <w:tab/>
        <w:t>for properties served through a common metered service, 200 kL of water for each property; and</w:t>
      </w:r>
    </w:p>
    <w:p>
      <w:pPr>
        <w:pStyle w:val="zIndenta"/>
        <w:rPr>
          <w:sz w:val="22"/>
          <w:szCs w:val="22"/>
        </w:rPr>
      </w:pPr>
      <w:r>
        <w:tab/>
      </w:r>
      <w:r>
        <w:rPr>
          <w:sz w:val="22"/>
          <w:szCs w:val="22"/>
        </w:rPr>
        <w:t>(e)</w:t>
      </w:r>
      <w:r>
        <w:rPr>
          <w:sz w:val="22"/>
          <w:szCs w:val="22"/>
        </w:rPr>
        <w:tab/>
        <w:t>for a non-commercial Government property, or a property held by a Government trading organisation, 200 kL of water.</w:t>
      </w:r>
    </w:p>
    <w:p>
      <w:pPr>
        <w:pStyle w:val="yFootnotesection"/>
      </w:pPr>
      <w:r>
        <w:tab/>
        <w:t>[Division 8 inserted in Gazette 20 Jun 2012 p. 2747</w:t>
      </w:r>
      <w:r>
        <w:noBreakHyphen/>
        <w:t>50.]</w:t>
      </w:r>
    </w:p>
    <w:p>
      <w:pPr>
        <w:pStyle w:val="yScheduleHeading"/>
      </w:pPr>
      <w:bookmarkStart w:id="791" w:name="_Toc84428010"/>
      <w:bookmarkStart w:id="792" w:name="_Toc328403455"/>
      <w:bookmarkStart w:id="793" w:name="_Toc328471504"/>
      <w:bookmarkStart w:id="794" w:name="_Toc265743670"/>
      <w:bookmarkStart w:id="795" w:name="_Toc297540799"/>
      <w:bookmarkStart w:id="796" w:name="_Toc297541227"/>
      <w:bookmarkStart w:id="797" w:name="_Toc233448453"/>
      <w:bookmarkStart w:id="798" w:name="_Toc233611728"/>
      <w:bookmarkStart w:id="799" w:name="_Toc234730735"/>
      <w:bookmarkStart w:id="800" w:name="_Toc234733261"/>
      <w:bookmarkStart w:id="801" w:name="_Toc235863998"/>
      <w:bookmarkStart w:id="802" w:name="_Toc235933473"/>
      <w:bookmarkStart w:id="803" w:name="_Toc237164461"/>
      <w:bookmarkStart w:id="804" w:name="_Toc237244345"/>
      <w:bookmarkStart w:id="805" w:name="_Toc237245669"/>
      <w:bookmarkStart w:id="806" w:name="_Toc237245800"/>
      <w:bookmarkStart w:id="807" w:name="_Toc237247942"/>
      <w:bookmarkStart w:id="808" w:name="_Toc237254251"/>
      <w:bookmarkStart w:id="809" w:name="_Toc237309670"/>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r>
        <w:rPr>
          <w:rStyle w:val="CharSchNo"/>
        </w:rPr>
        <w:t>Schedule 4</w:t>
      </w:r>
      <w:r>
        <w:t> — </w:t>
      </w:r>
      <w:r>
        <w:rPr>
          <w:rStyle w:val="CharSchText"/>
        </w:rPr>
        <w:t>Charges for drainage for 2012/2013</w:t>
      </w:r>
      <w:bookmarkEnd w:id="791"/>
      <w:bookmarkEnd w:id="792"/>
      <w:bookmarkEnd w:id="793"/>
    </w:p>
    <w:p>
      <w:pPr>
        <w:pStyle w:val="yShoulderClause"/>
      </w:pPr>
      <w:r>
        <w:t>[bl. 27]</w:t>
      </w:r>
    </w:p>
    <w:p>
      <w:pPr>
        <w:pStyle w:val="yFootnoteheading"/>
        <w:spacing w:after="60"/>
      </w:pPr>
      <w:r>
        <w:tab/>
        <w:t>[Heading inserted in Gazette 20 Jun 2012 p. 2750.]</w:t>
      </w:r>
    </w:p>
    <w:p>
      <w:pPr>
        <w:pStyle w:val="yHeading3"/>
      </w:pPr>
      <w:bookmarkStart w:id="810" w:name="_Toc84428011"/>
      <w:bookmarkStart w:id="811" w:name="_Toc328403456"/>
      <w:bookmarkStart w:id="812" w:name="_Toc328471505"/>
      <w:r>
        <w:rPr>
          <w:rStyle w:val="CharSDivNo"/>
        </w:rPr>
        <w:t>Division 1</w:t>
      </w:r>
      <w:r>
        <w:t> — </w:t>
      </w:r>
      <w:r>
        <w:rPr>
          <w:rStyle w:val="CharSDivText"/>
        </w:rPr>
        <w:t>Fixed charges</w:t>
      </w:r>
      <w:bookmarkEnd w:id="810"/>
      <w:bookmarkEnd w:id="811"/>
      <w:bookmarkEnd w:id="812"/>
    </w:p>
    <w:p>
      <w:pPr>
        <w:pStyle w:val="yFootnoteheading"/>
        <w:spacing w:after="60"/>
      </w:pPr>
      <w:r>
        <w:tab/>
        <w:t>[Heading inserted in Gazette 20 Jun 2012 p. 2750.]</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keepNext/>
              <w:keepLines/>
              <w:rPr>
                <w:b/>
              </w:rPr>
            </w:pPr>
            <w:r>
              <w:rPr>
                <w:b/>
              </w:rPr>
              <w:t>1.</w:t>
            </w:r>
          </w:p>
        </w:tc>
        <w:tc>
          <w:tcPr>
            <w:tcW w:w="5670" w:type="dxa"/>
            <w:gridSpan w:val="2"/>
          </w:tcPr>
          <w:p>
            <w:pPr>
              <w:pStyle w:val="yTableNAm"/>
              <w:keepNext/>
              <w:keepLines/>
              <w:rPr>
                <w:b/>
                <w:bCs/>
              </w:rPr>
            </w:pPr>
            <w:r>
              <w:rPr>
                <w:b/>
                <w:bCs/>
              </w:rPr>
              <w:t>Strata</w:t>
            </w:r>
            <w:r>
              <w:rPr>
                <w:b/>
                <w:bCs/>
              </w:rPr>
              <w:noBreakHyphen/>
              <w:t>titled caravan bay</w:t>
            </w:r>
          </w:p>
        </w:tc>
      </w:tr>
      <w:tr>
        <w:trPr>
          <w:cantSplit/>
        </w:trPr>
        <w:tc>
          <w:tcPr>
            <w:tcW w:w="850" w:type="dxa"/>
          </w:tcPr>
          <w:p>
            <w:pPr>
              <w:pStyle w:val="yTableNAm"/>
              <w:keepNext/>
              <w:keepLines/>
            </w:pPr>
          </w:p>
        </w:tc>
        <w:tc>
          <w:tcPr>
            <w:tcW w:w="4235" w:type="dxa"/>
          </w:tcPr>
          <w:p>
            <w:pPr>
              <w:pStyle w:val="yTableNAm"/>
              <w:keepNext/>
              <w:keepLines/>
              <w:tabs>
                <w:tab w:val="right" w:leader="dot" w:pos="4253"/>
              </w:tabs>
            </w:pPr>
            <w:r>
              <w:t xml:space="preserve">In respect of each residential property being a single caravan bay that is a lot within the meaning of the </w:t>
            </w:r>
            <w:r>
              <w:rPr>
                <w:i/>
              </w:rPr>
              <w:t>Strata Titles Act 1985</w:t>
            </w:r>
            <w:r>
              <w:t xml:space="preserve"> </w:t>
            </w:r>
            <w:r>
              <w:tab/>
            </w:r>
          </w:p>
        </w:tc>
        <w:tc>
          <w:tcPr>
            <w:tcW w:w="1435" w:type="dxa"/>
            <w:vAlign w:val="bottom"/>
          </w:tcPr>
          <w:p>
            <w:pPr>
              <w:pStyle w:val="yTableNAm"/>
              <w:keepNext/>
              <w:keepLines/>
              <w:tabs>
                <w:tab w:val="clear" w:pos="567"/>
                <w:tab w:val="left" w:pos="194"/>
              </w:tabs>
              <w:rPr>
                <w:sz w:val="20"/>
              </w:rPr>
            </w:pPr>
            <w:r>
              <w:t>$26.70</w:t>
            </w:r>
          </w:p>
        </w:tc>
      </w:tr>
      <w:tr>
        <w:trPr>
          <w:cantSplit/>
        </w:trPr>
        <w:tc>
          <w:tcPr>
            <w:tcW w:w="850" w:type="dxa"/>
          </w:tcPr>
          <w:p>
            <w:pPr>
              <w:pStyle w:val="yTableNAm"/>
              <w:rPr>
                <w:b/>
              </w:rPr>
            </w:pPr>
            <w:r>
              <w:rPr>
                <w:b/>
              </w:rPr>
              <w:t>2.</w:t>
            </w:r>
          </w:p>
        </w:tc>
        <w:tc>
          <w:tcPr>
            <w:tcW w:w="5670" w:type="dxa"/>
            <w:gridSpan w:val="2"/>
          </w:tcPr>
          <w:p>
            <w:pPr>
              <w:pStyle w:val="yTableNAm"/>
              <w:rPr>
                <w:b/>
                <w:bCs/>
              </w:rPr>
            </w:pPr>
            <w:r>
              <w:rPr>
                <w:b/>
                <w:bCs/>
              </w:rPr>
              <w:t>Strata</w:t>
            </w:r>
            <w:r>
              <w:rPr>
                <w:b/>
                <w:bCs/>
              </w:rPr>
              <w:noBreakHyphen/>
              <w:t>titled storage unit and strata</w:t>
            </w:r>
            <w:r>
              <w:rPr>
                <w:b/>
                <w:bCs/>
              </w:rPr>
              <w:noBreakHyphen/>
              <w:t>titled parking bay</w:t>
            </w:r>
          </w:p>
        </w:tc>
      </w:tr>
      <w:tr>
        <w:trPr>
          <w:cantSplit/>
        </w:trPr>
        <w:tc>
          <w:tcPr>
            <w:tcW w:w="850" w:type="dxa"/>
          </w:tcPr>
          <w:p>
            <w:pPr>
              <w:pStyle w:val="yTableNAm"/>
            </w:pPr>
          </w:p>
        </w:tc>
        <w:tc>
          <w:tcPr>
            <w:tcW w:w="4235" w:type="dxa"/>
          </w:tcPr>
          <w:p>
            <w:pPr>
              <w:pStyle w:val="yTableNAm"/>
              <w:tabs>
                <w:tab w:val="right" w:leader="dot" w:pos="4253"/>
              </w:tabs>
              <w:rPr>
                <w:iCs/>
              </w:rPr>
            </w:pPr>
            <w:r>
              <w:t xml:space="preserve">In respect of land comprised in a unit used for storage purposes or as a parking bay that is a lot within the meaning of the </w:t>
            </w:r>
            <w:r>
              <w:rPr>
                <w:i/>
                <w:iCs/>
              </w:rPr>
              <w:t>Strata Titles Act 1985</w:t>
            </w:r>
            <w:r>
              <w:t xml:space="preserve"> </w:t>
            </w:r>
            <w:r>
              <w:tab/>
            </w:r>
          </w:p>
        </w:tc>
        <w:tc>
          <w:tcPr>
            <w:tcW w:w="1435" w:type="dxa"/>
            <w:vAlign w:val="bottom"/>
          </w:tcPr>
          <w:p>
            <w:pPr>
              <w:pStyle w:val="yTableNAm"/>
              <w:tabs>
                <w:tab w:val="clear" w:pos="567"/>
                <w:tab w:val="left" w:pos="194"/>
              </w:tabs>
            </w:pPr>
            <w:r>
              <w:t>$9.95</w:t>
            </w:r>
          </w:p>
        </w:tc>
      </w:tr>
    </w:tbl>
    <w:p>
      <w:pPr>
        <w:pStyle w:val="yFootnotesection"/>
      </w:pPr>
      <w:r>
        <w:tab/>
        <w:t>[Division 1 inserted in Gazette 20 Jun 2012 p. 2750.]</w:t>
      </w:r>
    </w:p>
    <w:p>
      <w:pPr>
        <w:pStyle w:val="yHeading3"/>
      </w:pPr>
      <w:bookmarkStart w:id="813" w:name="_Toc84428012"/>
      <w:bookmarkStart w:id="814" w:name="_Toc328403457"/>
      <w:bookmarkStart w:id="815" w:name="_Toc328471506"/>
      <w:r>
        <w:rPr>
          <w:rStyle w:val="CharSDivNo"/>
        </w:rPr>
        <w:t>Division 2</w:t>
      </w:r>
      <w:r>
        <w:t> — </w:t>
      </w:r>
      <w:r>
        <w:rPr>
          <w:rStyle w:val="CharSDivText"/>
        </w:rPr>
        <w:t>Charges by way of rate</w:t>
      </w:r>
      <w:bookmarkEnd w:id="813"/>
      <w:bookmarkEnd w:id="814"/>
      <w:bookmarkEnd w:id="815"/>
    </w:p>
    <w:p>
      <w:pPr>
        <w:pStyle w:val="yFootnoteheading"/>
        <w:keepNext/>
        <w:spacing w:after="60"/>
      </w:pPr>
      <w:r>
        <w:tab/>
        <w:t>[Heading inserted in Gazette 20 Jun 2012 p. 2750.]</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TableNAm"/>
              <w:keepNext/>
              <w:rPr>
                <w:b/>
              </w:rPr>
            </w:pPr>
            <w:r>
              <w:rPr>
                <w:b/>
              </w:rPr>
              <w:t>3.</w:t>
            </w:r>
          </w:p>
        </w:tc>
        <w:tc>
          <w:tcPr>
            <w:tcW w:w="5670" w:type="dxa"/>
            <w:gridSpan w:val="2"/>
          </w:tcPr>
          <w:p>
            <w:pPr>
              <w:pStyle w:val="yTableNAm"/>
              <w:keepNext/>
              <w:tabs>
                <w:tab w:val="right" w:leader="dot" w:pos="4253"/>
              </w:tabs>
              <w:rPr>
                <w:b/>
              </w:rPr>
            </w:pPr>
            <w:r>
              <w:rPr>
                <w:b/>
              </w:rPr>
              <w:t>Land in a drainage area as referred to in by</w:t>
            </w:r>
            <w:r>
              <w:rPr>
                <w:b/>
              </w:rPr>
              <w:noBreakHyphen/>
              <w:t>law 27 classified as residential or semi</w:t>
            </w:r>
            <w:r>
              <w:rPr>
                <w:b/>
              </w:rPr>
              <w:noBreakHyphen/>
              <w:t>rural residential</w:t>
            </w:r>
          </w:p>
        </w:tc>
      </w:tr>
      <w:tr>
        <w:trPr>
          <w:cantSplit/>
        </w:trPr>
        <w:tc>
          <w:tcPr>
            <w:tcW w:w="850" w:type="dxa"/>
          </w:tcPr>
          <w:p>
            <w:pPr>
              <w:pStyle w:val="yTableNAm"/>
            </w:pPr>
          </w:p>
        </w:tc>
        <w:tc>
          <w:tcPr>
            <w:tcW w:w="4236" w:type="dxa"/>
          </w:tcPr>
          <w:p>
            <w:pPr>
              <w:pStyle w:val="yTableNAm"/>
              <w:tabs>
                <w:tab w:val="right" w:leader="dot" w:pos="4253"/>
              </w:tabs>
            </w:pPr>
            <w:r>
              <w:t>In respect of all land in a drainage area as referred to in by</w:t>
            </w:r>
            <w:r>
              <w:noBreakHyphen/>
              <w:t>law 27 that is classified as residential or semi</w:t>
            </w:r>
            <w:r>
              <w:noBreakHyphen/>
              <w:t xml:space="preserve">rural residential land </w:t>
            </w:r>
            <w:r>
              <w:tab/>
            </w:r>
          </w:p>
        </w:tc>
        <w:tc>
          <w:tcPr>
            <w:tcW w:w="1434" w:type="dxa"/>
            <w:vAlign w:val="bottom"/>
          </w:tcPr>
          <w:p>
            <w:pPr>
              <w:pStyle w:val="yTableNAm"/>
              <w:tabs>
                <w:tab w:val="left" w:pos="194"/>
                <w:tab w:val="right" w:leader="dot" w:pos="4253"/>
              </w:tabs>
            </w:pPr>
            <w:r>
              <w:br/>
            </w:r>
            <w:r>
              <w:br/>
              <w:t>0.514 cents/</w:t>
            </w:r>
            <w:r>
              <w:br/>
              <w:t>$ of GRV</w:t>
            </w:r>
          </w:p>
        </w:tc>
      </w:tr>
      <w:tr>
        <w:trPr>
          <w:cantSplit/>
        </w:trPr>
        <w:tc>
          <w:tcPr>
            <w:tcW w:w="850" w:type="dxa"/>
          </w:tcPr>
          <w:p>
            <w:pPr>
              <w:pStyle w:val="yTableNAm"/>
            </w:pPr>
          </w:p>
        </w:tc>
        <w:tc>
          <w:tcPr>
            <w:tcW w:w="4236" w:type="dxa"/>
          </w:tcPr>
          <w:p>
            <w:pPr>
              <w:pStyle w:val="yTableNAm"/>
              <w:tabs>
                <w:tab w:val="right" w:leader="dot" w:pos="4253"/>
              </w:tabs>
            </w:pPr>
            <w:r>
              <w:t xml:space="preserve">subject to a minimum in respect of any land the subject of a separate assessment of </w:t>
            </w:r>
            <w:r>
              <w:tab/>
            </w:r>
          </w:p>
        </w:tc>
        <w:tc>
          <w:tcPr>
            <w:tcW w:w="1434" w:type="dxa"/>
            <w:vAlign w:val="bottom"/>
          </w:tcPr>
          <w:p>
            <w:pPr>
              <w:pStyle w:val="yTableNAm"/>
              <w:tabs>
                <w:tab w:val="left" w:pos="194"/>
                <w:tab w:val="right" w:leader="dot" w:pos="4253"/>
              </w:tabs>
            </w:pPr>
            <w:r>
              <w:t>$88.30</w:t>
            </w:r>
          </w:p>
        </w:tc>
      </w:tr>
      <w:tr>
        <w:trPr>
          <w:cantSplit/>
        </w:trPr>
        <w:tc>
          <w:tcPr>
            <w:tcW w:w="850" w:type="dxa"/>
          </w:tcPr>
          <w:p>
            <w:pPr>
              <w:pStyle w:val="yTableNAm"/>
              <w:keepNext/>
              <w:rPr>
                <w:b/>
              </w:rPr>
            </w:pPr>
            <w:r>
              <w:rPr>
                <w:b/>
              </w:rPr>
              <w:t>4.</w:t>
            </w:r>
          </w:p>
        </w:tc>
        <w:tc>
          <w:tcPr>
            <w:tcW w:w="5670" w:type="dxa"/>
            <w:gridSpan w:val="2"/>
          </w:tcPr>
          <w:p>
            <w:pPr>
              <w:pStyle w:val="yTableNAm"/>
              <w:keepNext/>
              <w:keepLines/>
              <w:tabs>
                <w:tab w:val="right" w:leader="dot" w:pos="4253"/>
              </w:tabs>
              <w:rPr>
                <w:b/>
                <w:bCs/>
              </w:rPr>
            </w:pPr>
            <w:r>
              <w:rPr>
                <w:b/>
                <w:bCs/>
              </w:rPr>
              <w:t>Land in a drainage area classified as vacant land</w:t>
            </w:r>
          </w:p>
        </w:tc>
      </w:tr>
      <w:tr>
        <w:trPr>
          <w:cantSplit/>
        </w:trPr>
        <w:tc>
          <w:tcPr>
            <w:tcW w:w="850" w:type="dxa"/>
          </w:tcPr>
          <w:p>
            <w:pPr>
              <w:pStyle w:val="yTableNAm"/>
              <w:keepNext/>
              <w:keepLines/>
              <w:tabs>
                <w:tab w:val="right" w:leader="dot" w:pos="4253"/>
              </w:tabs>
            </w:pPr>
          </w:p>
        </w:tc>
        <w:tc>
          <w:tcPr>
            <w:tcW w:w="4236" w:type="dxa"/>
          </w:tcPr>
          <w:p>
            <w:pPr>
              <w:pStyle w:val="yTableNAm"/>
              <w:keepNext/>
              <w:keepLines/>
              <w:tabs>
                <w:tab w:val="right" w:leader="dot" w:pos="4253"/>
              </w:tabs>
            </w:pPr>
            <w:r>
              <w:t xml:space="preserve">In respect of all land in a drainage area classified as vacant land </w:t>
            </w:r>
            <w:r>
              <w:tab/>
            </w:r>
          </w:p>
        </w:tc>
        <w:tc>
          <w:tcPr>
            <w:tcW w:w="1434" w:type="dxa"/>
            <w:vAlign w:val="bottom"/>
          </w:tcPr>
          <w:p>
            <w:pPr>
              <w:pStyle w:val="yTableNAm"/>
              <w:keepNext/>
              <w:keepLines/>
              <w:tabs>
                <w:tab w:val="left" w:pos="194"/>
                <w:tab w:val="right" w:leader="dot" w:pos="4253"/>
              </w:tabs>
              <w:rPr>
                <w:sz w:val="20"/>
              </w:rPr>
            </w:pPr>
            <w:r>
              <w:br/>
            </w:r>
            <w:r>
              <w:br/>
              <w:t>0.687 cents/</w:t>
            </w:r>
            <w:r>
              <w:br/>
              <w:t>$ of GRV</w:t>
            </w:r>
          </w:p>
        </w:tc>
      </w:tr>
      <w:tr>
        <w:trPr>
          <w:cantSplit/>
        </w:trPr>
        <w:tc>
          <w:tcPr>
            <w:tcW w:w="850" w:type="dxa"/>
          </w:tcPr>
          <w:p>
            <w:pPr>
              <w:pStyle w:val="yTableNAm"/>
              <w:tabs>
                <w:tab w:val="right" w:leader="dot" w:pos="4253"/>
              </w:tabs>
            </w:pPr>
          </w:p>
        </w:tc>
        <w:tc>
          <w:tcPr>
            <w:tcW w:w="4236" w:type="dxa"/>
          </w:tcPr>
          <w:p>
            <w:pPr>
              <w:pStyle w:val="yTableNAm"/>
              <w:keepNext/>
              <w:keepLines/>
              <w:tabs>
                <w:tab w:val="right" w:leader="dot" w:pos="4253"/>
              </w:tabs>
            </w:pPr>
            <w:r>
              <w:t xml:space="preserve">subject to a minimum in respect of any land the subject of a separate assessment of </w:t>
            </w:r>
            <w:r>
              <w:tab/>
            </w:r>
          </w:p>
        </w:tc>
        <w:tc>
          <w:tcPr>
            <w:tcW w:w="1434" w:type="dxa"/>
            <w:vAlign w:val="bottom"/>
          </w:tcPr>
          <w:p>
            <w:pPr>
              <w:pStyle w:val="yTableNAm"/>
              <w:keepNext/>
              <w:keepLines/>
              <w:tabs>
                <w:tab w:val="left" w:pos="194"/>
                <w:tab w:val="right" w:leader="dot" w:pos="4253"/>
              </w:tabs>
              <w:rPr>
                <w:sz w:val="20"/>
              </w:rPr>
            </w:pPr>
            <w:r>
              <w:t>$88.30</w:t>
            </w:r>
          </w:p>
        </w:tc>
      </w:tr>
      <w:tr>
        <w:trPr>
          <w:cantSplit/>
        </w:trPr>
        <w:tc>
          <w:tcPr>
            <w:tcW w:w="850" w:type="dxa"/>
          </w:tcPr>
          <w:p>
            <w:pPr>
              <w:pStyle w:val="yTableNAm"/>
              <w:rPr>
                <w:b/>
              </w:rPr>
            </w:pPr>
            <w:r>
              <w:rPr>
                <w:b/>
              </w:rPr>
              <w:t>5.</w:t>
            </w:r>
          </w:p>
        </w:tc>
        <w:tc>
          <w:tcPr>
            <w:tcW w:w="5670" w:type="dxa"/>
            <w:gridSpan w:val="2"/>
          </w:tcPr>
          <w:p>
            <w:pPr>
              <w:pStyle w:val="yTableNAm"/>
              <w:tabs>
                <w:tab w:val="right" w:leader="dot" w:pos="4253"/>
              </w:tabs>
              <w:rPr>
                <w:b/>
                <w:bCs/>
              </w:rPr>
            </w:pPr>
            <w:r>
              <w:rPr>
                <w:b/>
                <w:bCs/>
              </w:rPr>
              <w:t>Land in a drainage area as referred to in by</w:t>
            </w:r>
            <w:r>
              <w:rPr>
                <w:b/>
                <w:bCs/>
              </w:rPr>
              <w:noBreakHyphen/>
              <w:t>law 27 other than land to which item 1, 2, 3 or 4 applies</w:t>
            </w:r>
          </w:p>
        </w:tc>
      </w:tr>
      <w:tr>
        <w:trPr>
          <w:cantSplit/>
        </w:trPr>
        <w:tc>
          <w:tcPr>
            <w:tcW w:w="850" w:type="dxa"/>
          </w:tcPr>
          <w:p>
            <w:pPr>
              <w:pStyle w:val="yTableNAm"/>
              <w:tabs>
                <w:tab w:val="right" w:leader="dot" w:pos="4253"/>
              </w:tabs>
            </w:pPr>
          </w:p>
        </w:tc>
        <w:tc>
          <w:tcPr>
            <w:tcW w:w="4236" w:type="dxa"/>
          </w:tcPr>
          <w:p>
            <w:pPr>
              <w:pStyle w:val="yTableNAm"/>
              <w:tabs>
                <w:tab w:val="right" w:leader="dot" w:pos="4253"/>
              </w:tabs>
            </w:pPr>
            <w:r>
              <w:t>In respect of all land in a drainage area as referred to in by</w:t>
            </w:r>
            <w:r>
              <w:noBreakHyphen/>
              <w:t xml:space="preserve">law 27 other than land to which item 1, 2, 3 or 4 applies </w:t>
            </w:r>
            <w:r>
              <w:tab/>
            </w:r>
          </w:p>
        </w:tc>
        <w:tc>
          <w:tcPr>
            <w:tcW w:w="1434" w:type="dxa"/>
            <w:vAlign w:val="bottom"/>
          </w:tcPr>
          <w:p>
            <w:pPr>
              <w:pStyle w:val="yTableNAm"/>
              <w:tabs>
                <w:tab w:val="left" w:pos="194"/>
                <w:tab w:val="right" w:leader="dot" w:pos="4253"/>
              </w:tabs>
              <w:rPr>
                <w:sz w:val="20"/>
              </w:rPr>
            </w:pPr>
            <w:r>
              <w:br/>
            </w:r>
            <w:r>
              <w:br/>
              <w:t>0.268 cents/</w:t>
            </w:r>
            <w:r>
              <w:br/>
              <w:t>$ of GRV</w:t>
            </w:r>
          </w:p>
        </w:tc>
      </w:tr>
      <w:tr>
        <w:trPr>
          <w:cantSplit/>
        </w:trPr>
        <w:tc>
          <w:tcPr>
            <w:tcW w:w="850" w:type="dxa"/>
          </w:tcPr>
          <w:p>
            <w:pPr>
              <w:pStyle w:val="yTableNAm"/>
              <w:keepNext/>
              <w:keepLines/>
              <w:tabs>
                <w:tab w:val="right" w:leader="dot" w:pos="4253"/>
              </w:tabs>
            </w:pPr>
          </w:p>
        </w:tc>
        <w:tc>
          <w:tcPr>
            <w:tcW w:w="4236" w:type="dxa"/>
          </w:tcPr>
          <w:p>
            <w:pPr>
              <w:pStyle w:val="yTableNAm"/>
              <w:keepNext/>
              <w:keepLines/>
              <w:tabs>
                <w:tab w:val="right" w:leader="dot" w:pos="4253"/>
              </w:tabs>
            </w:pPr>
            <w:r>
              <w:t xml:space="preserve">subject to a minimum in respect of any land the subject of a separate assessment of </w:t>
            </w:r>
            <w:r>
              <w:tab/>
            </w:r>
          </w:p>
        </w:tc>
        <w:tc>
          <w:tcPr>
            <w:tcW w:w="1434" w:type="dxa"/>
            <w:vAlign w:val="bottom"/>
          </w:tcPr>
          <w:p>
            <w:pPr>
              <w:pStyle w:val="yTableNAm"/>
              <w:keepNext/>
              <w:keepLines/>
              <w:tabs>
                <w:tab w:val="left" w:pos="194"/>
                <w:tab w:val="right" w:leader="dot" w:pos="4253"/>
              </w:tabs>
              <w:rPr>
                <w:sz w:val="20"/>
              </w:rPr>
            </w:pPr>
            <w:r>
              <w:t>$88.30</w:t>
            </w:r>
          </w:p>
        </w:tc>
      </w:tr>
    </w:tbl>
    <w:p>
      <w:pPr>
        <w:pStyle w:val="yFootnotesection"/>
      </w:pPr>
      <w:r>
        <w:tab/>
        <w:t>[Division 2 inserted in Gazette 20 Jun 2012 p. 2750</w:t>
      </w:r>
      <w:r>
        <w:noBreakHyphen/>
        <w:t>1.]</w:t>
      </w:r>
    </w:p>
    <w:p>
      <w:pPr>
        <w:pStyle w:val="yScheduleHeading"/>
      </w:pPr>
      <w:bookmarkStart w:id="816" w:name="_Toc84428013"/>
      <w:bookmarkStart w:id="817" w:name="_Toc328403458"/>
      <w:bookmarkStart w:id="818" w:name="_Toc328471507"/>
      <w:bookmarkStart w:id="819" w:name="_Toc297540802"/>
      <w:bookmarkStart w:id="820" w:name="_Toc297541230"/>
      <w:bookmarkStart w:id="821" w:name="_Toc265743673"/>
      <w:bookmarkEnd w:id="794"/>
      <w:bookmarkEnd w:id="795"/>
      <w:bookmarkEnd w:id="796"/>
      <w:r>
        <w:rPr>
          <w:rStyle w:val="CharSchNo"/>
        </w:rPr>
        <w:t>Schedule 5</w:t>
      </w:r>
      <w:r>
        <w:t> — </w:t>
      </w:r>
      <w:r>
        <w:rPr>
          <w:rStyle w:val="CharSchText"/>
        </w:rPr>
        <w:t>Charges for irrigation for 2012/2013</w:t>
      </w:r>
      <w:bookmarkEnd w:id="816"/>
      <w:bookmarkEnd w:id="817"/>
      <w:bookmarkEnd w:id="818"/>
    </w:p>
    <w:p>
      <w:pPr>
        <w:pStyle w:val="yShoulderClause"/>
      </w:pPr>
      <w:r>
        <w:t>[bl. 31]</w:t>
      </w:r>
    </w:p>
    <w:p>
      <w:pPr>
        <w:pStyle w:val="yFootnoteheading"/>
        <w:spacing w:after="60"/>
      </w:pPr>
      <w:r>
        <w:tab/>
        <w:t>[Heading inserted in Gazette 20 Jun 2012 p. 2751.]</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tabs>
                <w:tab w:val="right" w:leader="dot" w:pos="4253"/>
              </w:tabs>
              <w:rPr>
                <w:b/>
              </w:rPr>
            </w:pPr>
            <w:r>
              <w:rPr>
                <w:b/>
              </w:rPr>
              <w:t>1.</w:t>
            </w:r>
          </w:p>
        </w:tc>
        <w:tc>
          <w:tcPr>
            <w:tcW w:w="5670" w:type="dxa"/>
            <w:gridSpan w:val="2"/>
          </w:tcPr>
          <w:p>
            <w:pPr>
              <w:pStyle w:val="yTableNAm"/>
              <w:tabs>
                <w:tab w:val="right" w:leader="dot" w:pos="4253"/>
              </w:tabs>
              <w:rPr>
                <w:b/>
                <w:bCs/>
              </w:rPr>
            </w:pPr>
            <w:r>
              <w:rPr>
                <w:b/>
                <w:bCs/>
              </w:rPr>
              <w:t>Ord Irrigation District</w:t>
            </w:r>
          </w:p>
        </w:tc>
      </w:tr>
      <w:tr>
        <w:trPr>
          <w:cantSplit/>
        </w:trPr>
        <w:tc>
          <w:tcPr>
            <w:tcW w:w="850" w:type="dxa"/>
          </w:tcPr>
          <w:p>
            <w:pPr>
              <w:pStyle w:val="yTableNAm"/>
              <w:tabs>
                <w:tab w:val="right" w:leader="dot" w:pos="4253"/>
              </w:tabs>
            </w:pPr>
          </w:p>
        </w:tc>
        <w:tc>
          <w:tcPr>
            <w:tcW w:w="4235" w:type="dxa"/>
          </w:tcPr>
          <w:p>
            <w:pPr>
              <w:pStyle w:val="yTableNAm"/>
              <w:tabs>
                <w:tab w:val="right" w:leader="dot" w:pos="4253"/>
              </w:tabs>
            </w:pPr>
            <w:r>
              <w:t xml:space="preserve">Charges by way of rate for land in the Ord Irrigation District where under the </w:t>
            </w:r>
            <w:r>
              <w:rPr>
                <w:i/>
              </w:rPr>
              <w:t>Ord Irrigation District By</w:t>
            </w:r>
            <w:r>
              <w:rPr>
                <w:i/>
              </w:rPr>
              <w:noBreakHyphen/>
              <w:t>laws 1963</w:t>
            </w:r>
            <w:r>
              <w:t xml:space="preserve"> by</w:t>
            </w:r>
            <w:r>
              <w:noBreakHyphen/>
              <w:t>law 31A, the land is irrigated by pumping from works, an amount per hectare of land so irrigated of —</w:t>
            </w:r>
          </w:p>
        </w:tc>
        <w:tc>
          <w:tcPr>
            <w:tcW w:w="1435" w:type="dxa"/>
          </w:tcPr>
          <w:p>
            <w:pPr>
              <w:pStyle w:val="yTableNAm"/>
              <w:tabs>
                <w:tab w:val="right" w:leader="dot" w:pos="4253"/>
              </w:tabs>
              <w:rPr>
                <w:sz w:val="20"/>
              </w:rPr>
            </w:pPr>
          </w:p>
        </w:tc>
      </w:tr>
      <w:tr>
        <w:trPr>
          <w:cantSplit/>
        </w:trPr>
        <w:tc>
          <w:tcPr>
            <w:tcW w:w="850" w:type="dxa"/>
          </w:tcPr>
          <w:p>
            <w:pPr>
              <w:pStyle w:val="yTableNAm"/>
              <w:tabs>
                <w:tab w:val="right" w:leader="dot" w:pos="4253"/>
              </w:tabs>
            </w:pPr>
          </w:p>
        </w:tc>
        <w:tc>
          <w:tcPr>
            <w:tcW w:w="4235" w:type="dxa"/>
          </w:tcPr>
          <w:p>
            <w:pPr>
              <w:pStyle w:val="yTableNAm"/>
              <w:tabs>
                <w:tab w:val="clear" w:pos="567"/>
                <w:tab w:val="left" w:pos="317"/>
                <w:tab w:val="left" w:pos="743"/>
                <w:tab w:val="right" w:leader="dot" w:pos="4253"/>
              </w:tabs>
              <w:ind w:left="743" w:hanging="743"/>
            </w:pPr>
            <w:r>
              <w:tab/>
              <w:t>(a)</w:t>
            </w:r>
            <w:r>
              <w:tab/>
              <w:t xml:space="preserve">where the supply is assured </w:t>
            </w:r>
            <w:r>
              <w:tab/>
            </w:r>
          </w:p>
        </w:tc>
        <w:tc>
          <w:tcPr>
            <w:tcW w:w="1435" w:type="dxa"/>
          </w:tcPr>
          <w:p>
            <w:pPr>
              <w:pStyle w:val="yTableNAm"/>
              <w:tabs>
                <w:tab w:val="right" w:leader="dot" w:pos="4253"/>
              </w:tabs>
            </w:pPr>
            <w:r>
              <w:t>$139.00</w:t>
            </w:r>
          </w:p>
        </w:tc>
      </w:tr>
      <w:tr>
        <w:trPr>
          <w:cantSplit/>
        </w:trPr>
        <w:tc>
          <w:tcPr>
            <w:tcW w:w="850" w:type="dxa"/>
          </w:tcPr>
          <w:p>
            <w:pPr>
              <w:pStyle w:val="yTableNAm"/>
              <w:tabs>
                <w:tab w:val="right" w:leader="dot" w:pos="4253"/>
              </w:tabs>
            </w:pPr>
          </w:p>
        </w:tc>
        <w:tc>
          <w:tcPr>
            <w:tcW w:w="4235" w:type="dxa"/>
          </w:tcPr>
          <w:p>
            <w:pPr>
              <w:pStyle w:val="yTableNAm"/>
              <w:tabs>
                <w:tab w:val="clear" w:pos="567"/>
                <w:tab w:val="left" w:pos="317"/>
                <w:tab w:val="left" w:pos="743"/>
                <w:tab w:val="right" w:leader="dot" w:pos="4253"/>
              </w:tabs>
              <w:ind w:left="743" w:hanging="743"/>
            </w:pPr>
            <w:r>
              <w:tab/>
              <w:t>(b)</w:t>
            </w:r>
            <w:r>
              <w:tab/>
              <w:t xml:space="preserve">where the supply is not assured </w:t>
            </w:r>
            <w:r>
              <w:tab/>
            </w:r>
          </w:p>
        </w:tc>
        <w:tc>
          <w:tcPr>
            <w:tcW w:w="1435" w:type="dxa"/>
          </w:tcPr>
          <w:p>
            <w:pPr>
              <w:pStyle w:val="yTableNAm"/>
              <w:tabs>
                <w:tab w:val="right" w:leader="dot" w:pos="4253"/>
              </w:tabs>
            </w:pPr>
            <w:r>
              <w:t>$105.00</w:t>
            </w:r>
          </w:p>
        </w:tc>
      </w:tr>
    </w:tbl>
    <w:p>
      <w:pPr>
        <w:pStyle w:val="yFootnotesection"/>
      </w:pPr>
      <w:r>
        <w:tab/>
        <w:t>[Schedule 5 inserted in Gazette 20 Jun 2012 p. 2751.]</w:t>
      </w:r>
    </w:p>
    <w:p>
      <w:pPr>
        <w:pStyle w:val="yScheduleHeading"/>
      </w:pPr>
      <w:bookmarkStart w:id="822" w:name="_Toc84428014"/>
      <w:bookmarkStart w:id="823" w:name="_Toc297540803"/>
      <w:bookmarkStart w:id="824" w:name="_Toc297541231"/>
      <w:bookmarkStart w:id="825" w:name="_Toc328403459"/>
      <w:bookmarkStart w:id="826" w:name="_Toc328471508"/>
      <w:bookmarkEnd w:id="819"/>
      <w:bookmarkEnd w:id="820"/>
      <w:r>
        <w:rPr>
          <w:rStyle w:val="CharSchNo"/>
        </w:rPr>
        <w:t>Schedule 6</w:t>
      </w:r>
      <w:r>
        <w:t xml:space="preserve"> — </w:t>
      </w:r>
      <w:r>
        <w:rPr>
          <w:rStyle w:val="CharSchText"/>
        </w:rPr>
        <w:t>Formula for calculating AGRV</w:t>
      </w:r>
      <w:bookmarkEnd w:id="822"/>
      <w:bookmarkEnd w:id="648"/>
      <w:bookmarkEnd w:id="649"/>
      <w:bookmarkEnd w:id="650"/>
      <w:bookmarkEnd w:id="651"/>
      <w:bookmarkEnd w:id="652"/>
      <w:bookmarkEnd w:id="653"/>
      <w:bookmarkEnd w:id="703"/>
      <w:bookmarkEnd w:id="704"/>
      <w:bookmarkEnd w:id="705"/>
      <w:bookmarkEnd w:id="706"/>
      <w:bookmarkEnd w:id="707"/>
      <w:bookmarkEnd w:id="708"/>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97"/>
      <w:bookmarkEnd w:id="798"/>
      <w:bookmarkEnd w:id="799"/>
      <w:bookmarkEnd w:id="800"/>
      <w:bookmarkEnd w:id="801"/>
      <w:bookmarkEnd w:id="802"/>
      <w:bookmarkEnd w:id="803"/>
      <w:bookmarkEnd w:id="804"/>
      <w:bookmarkEnd w:id="805"/>
      <w:bookmarkEnd w:id="806"/>
      <w:bookmarkEnd w:id="807"/>
      <w:bookmarkEnd w:id="808"/>
      <w:bookmarkEnd w:id="809"/>
      <w:bookmarkEnd w:id="821"/>
      <w:bookmarkEnd w:id="823"/>
      <w:bookmarkEnd w:id="824"/>
      <w:bookmarkEnd w:id="825"/>
      <w:bookmarkEnd w:id="826"/>
    </w:p>
    <w:p>
      <w:pPr>
        <w:pStyle w:val="yShoulderClause"/>
      </w:pPr>
      <w:r>
        <w:t>[bl. 14(2) and 24(2)]</w:t>
      </w:r>
    </w:p>
    <w:p>
      <w:pPr>
        <w:pStyle w:val="yFootnotesection"/>
      </w:pPr>
      <w:bookmarkStart w:id="827" w:name="_Toc17278766"/>
      <w:r>
        <w:tab/>
        <w:t>[Heading inserted in Gazette 29 Jun 2001 p. 3224.]</w:t>
      </w:r>
    </w:p>
    <w:p>
      <w:pPr>
        <w:pStyle w:val="yHeading5"/>
      </w:pPr>
      <w:bookmarkStart w:id="828" w:name="_Toc180204903"/>
      <w:bookmarkStart w:id="829" w:name="_Toc84428015"/>
      <w:bookmarkStart w:id="830" w:name="_Toc328471509"/>
      <w:r>
        <w:rPr>
          <w:rStyle w:val="CharSClsNo"/>
        </w:rPr>
        <w:t>1</w:t>
      </w:r>
      <w:r>
        <w:t>.</w:t>
      </w:r>
      <w:r>
        <w:tab/>
      </w:r>
      <w:bookmarkEnd w:id="827"/>
      <w:r>
        <w:t>Term used</w:t>
      </w:r>
      <w:bookmarkEnd w:id="828"/>
      <w:r>
        <w:t>: relevant general valuation</w:t>
      </w:r>
      <w:bookmarkEnd w:id="829"/>
      <w:bookmarkEnd w:id="830"/>
    </w:p>
    <w:p>
      <w:pPr>
        <w:pStyle w:val="ySubsection"/>
      </w:pPr>
      <w:r>
        <w:tab/>
      </w:r>
      <w:r>
        <w:tab/>
        <w:t>In this Schedule —</w:t>
      </w:r>
    </w:p>
    <w:p>
      <w:pPr>
        <w:pStyle w:val="yDefstart"/>
      </w:pPr>
      <w:r>
        <w:tab/>
      </w:r>
      <w:r>
        <w:rPr>
          <w:rStyle w:val="CharDefText"/>
        </w:rPr>
        <w:t>relevant general valuation</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t>before the commencement of the period for which the charge is to be imposed.</w:t>
      </w:r>
    </w:p>
    <w:p>
      <w:pPr>
        <w:pStyle w:val="yHeading5"/>
      </w:pPr>
      <w:bookmarkStart w:id="831" w:name="_Toc84428016"/>
      <w:bookmarkStart w:id="832" w:name="_Toc17278767"/>
      <w:bookmarkStart w:id="833" w:name="_Toc180204904"/>
      <w:bookmarkStart w:id="834" w:name="_Toc328471510"/>
      <w:r>
        <w:rPr>
          <w:rStyle w:val="CharSClsNo"/>
        </w:rPr>
        <w:t>2</w:t>
      </w:r>
      <w:r>
        <w:t>.</w:t>
      </w:r>
      <w:r>
        <w:tab/>
        <w:t>Formula for calculating AGRV</w:t>
      </w:r>
      <w:bookmarkEnd w:id="831"/>
      <w:bookmarkEnd w:id="832"/>
      <w:bookmarkEnd w:id="833"/>
      <w:bookmarkEnd w:id="834"/>
    </w:p>
    <w:p>
      <w:pPr>
        <w:pStyle w:val="ySubsection"/>
      </w:pPr>
      <w:r>
        <w:tab/>
      </w:r>
      <w:r>
        <w:tab/>
        <w:t>If the relevant general valuation was conducted in the previous year, then —</w:t>
      </w:r>
    </w:p>
    <w:p>
      <w:pPr>
        <w:pStyle w:val="ySubsection"/>
        <w:rPr>
          <w:b/>
          <w:bCs/>
        </w:rPr>
      </w:pPr>
      <w:r>
        <w:tab/>
      </w:r>
      <w:r>
        <w:tab/>
      </w:r>
      <w:r>
        <w:rPr>
          <w:b/>
          <w:bCs/>
        </w:rPr>
        <w:t xml:space="preserve">AGRV = GRV </w:t>
      </w:r>
      <w:r>
        <w:rPr>
          <w:b/>
          <w:bCs/>
        </w:rPr>
        <w:sym w:font="Symbol" w:char="F0B4"/>
      </w:r>
      <w:r>
        <w:rPr>
          <w:b/>
          <w:bCs/>
        </w:rPr>
        <w:t xml:space="preserve"> A</w:t>
      </w:r>
    </w:p>
    <w:p>
      <w:pPr>
        <w:pStyle w:val="ySubsection"/>
      </w:pPr>
      <w:r>
        <w:tab/>
      </w:r>
      <w:r>
        <w:tab/>
        <w:t>or if the relevant general valuation was conducted in any earlier year —</w:t>
      </w:r>
    </w:p>
    <w:p>
      <w:pPr>
        <w:pStyle w:val="ySubsection"/>
        <w:rPr>
          <w:b/>
          <w:bCs/>
        </w:rPr>
      </w:pPr>
      <w:r>
        <w:tab/>
      </w:r>
      <w:r>
        <w:tab/>
      </w:r>
      <w:r>
        <w:rPr>
          <w:b/>
          <w:bCs/>
        </w:rPr>
        <w:t xml:space="preserve">AGRV = GRV </w:t>
      </w:r>
      <w:r>
        <w:rPr>
          <w:b/>
          <w:bCs/>
        </w:rPr>
        <w:sym w:font="Symbol" w:char="F0B4"/>
      </w:r>
      <w:r>
        <w:rPr>
          <w:b/>
          <w:bCs/>
        </w:rPr>
        <w:t xml:space="preserve"> A </w:t>
      </w:r>
      <w:r>
        <w:rPr>
          <w:b/>
          <w:bCs/>
        </w:rPr>
        <w:sym w:font="Symbol" w:char="F0B4"/>
      </w:r>
      <w:r>
        <w:rPr>
          <w:b/>
          <w:bCs/>
        </w:rPr>
        <w:t xml:space="preserve"> B</w:t>
      </w:r>
    </w:p>
    <w:p>
      <w:pPr>
        <w:pStyle w:val="ySubsection"/>
      </w:pPr>
      <w:r>
        <w:tab/>
      </w:r>
      <w:r>
        <w:tab/>
        <w:t>where —</w:t>
      </w:r>
    </w:p>
    <w:p>
      <w:pPr>
        <w:pStyle w:val="yIndenta"/>
      </w:pPr>
      <w:r>
        <w:rPr>
          <w:b/>
        </w:rPr>
        <w:tab/>
        <w:t xml:space="preserve">A  </w:t>
      </w:r>
      <w:r>
        <w:t>=</w:t>
      </w:r>
      <w:r>
        <w:tab/>
        <w:t>1.00; and</w:t>
      </w:r>
    </w:p>
    <w:p>
      <w:pPr>
        <w:pStyle w:val="yIndenta"/>
      </w:pPr>
      <w:r>
        <w:rPr>
          <w:b/>
        </w:rPr>
        <w:tab/>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sectPr>
          <w:headerReference w:type="even" r:id="rId22"/>
          <w:headerReference w:type="default" r:id="rId23"/>
          <w:headerReference w:type="first" r:id="rId24"/>
          <w:pgSz w:w="11907" w:h="16840" w:code="9"/>
          <w:pgMar w:top="2604" w:right="2405" w:bottom="3542" w:left="2405" w:header="706" w:footer="3380" w:gutter="0"/>
          <w:cols w:space="720"/>
          <w:noEndnote/>
          <w:docGrid w:linePitch="326"/>
        </w:sectPr>
      </w:pPr>
      <w:bookmarkStart w:id="835" w:name="_Toc328403462"/>
      <w:bookmarkStart w:id="836" w:name="_Toc265743687"/>
      <w:bookmarkStart w:id="837" w:name="_Toc297540806"/>
      <w:bookmarkStart w:id="838" w:name="_Toc297541234"/>
      <w:bookmarkStart w:id="839" w:name="_Toc139771109"/>
      <w:bookmarkStart w:id="840" w:name="_Toc139771487"/>
      <w:bookmarkStart w:id="841" w:name="_Toc151191702"/>
      <w:bookmarkStart w:id="842" w:name="_Toc151260595"/>
      <w:bookmarkStart w:id="843" w:name="_Toc164158702"/>
      <w:bookmarkStart w:id="844" w:name="_Toc164221074"/>
    </w:p>
    <w:p>
      <w:pPr>
        <w:pStyle w:val="yScheduleHeading"/>
      </w:pPr>
      <w:bookmarkStart w:id="845" w:name="_Toc84428017"/>
      <w:bookmarkStart w:id="846" w:name="_Toc328471511"/>
      <w:r>
        <w:rPr>
          <w:rStyle w:val="CharSchNo"/>
        </w:rPr>
        <w:t>Schedule 7</w:t>
      </w:r>
      <w:r>
        <w:t> — </w:t>
      </w:r>
      <w:r>
        <w:rPr>
          <w:rStyle w:val="CharSchText"/>
        </w:rPr>
        <w:t>Discounts and additional charges</w:t>
      </w:r>
      <w:bookmarkEnd w:id="845"/>
      <w:bookmarkEnd w:id="835"/>
      <w:bookmarkEnd w:id="846"/>
    </w:p>
    <w:p>
      <w:pPr>
        <w:pStyle w:val="yShoulderClause"/>
      </w:pPr>
      <w:r>
        <w:t>[bl. 7, 8, 8A and 9]</w:t>
      </w:r>
    </w:p>
    <w:p>
      <w:pPr>
        <w:pStyle w:val="yFootnoteheading"/>
        <w:spacing w:after="60"/>
      </w:pPr>
      <w:r>
        <w:tab/>
        <w:t>[Heading inserted in Gazette 20 Jun 2012 p. 2752.]</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tabs>
                <w:tab w:val="right" w:leader="dot" w:pos="4253"/>
              </w:tabs>
              <w:rPr>
                <w:b/>
              </w:rPr>
            </w:pPr>
            <w:r>
              <w:rPr>
                <w:b/>
              </w:rPr>
              <w:t>1.</w:t>
            </w:r>
          </w:p>
        </w:tc>
        <w:tc>
          <w:tcPr>
            <w:tcW w:w="5670" w:type="dxa"/>
            <w:gridSpan w:val="2"/>
          </w:tcPr>
          <w:p>
            <w:pPr>
              <w:pStyle w:val="yTableNAm"/>
              <w:keepNext/>
              <w:keepLines/>
              <w:tabs>
                <w:tab w:val="right" w:leader="dot" w:pos="4253"/>
              </w:tabs>
              <w:rPr>
                <w:b/>
                <w:bCs/>
              </w:rPr>
            </w:pPr>
            <w:r>
              <w:rPr>
                <w:b/>
                <w:bCs/>
              </w:rPr>
              <w:t>Discount</w:t>
            </w:r>
          </w:p>
        </w:tc>
      </w:tr>
      <w:tr>
        <w:tc>
          <w:tcPr>
            <w:tcW w:w="850" w:type="dxa"/>
          </w:tcPr>
          <w:p>
            <w:pPr>
              <w:pStyle w:val="yTableNAm"/>
              <w:tabs>
                <w:tab w:val="right" w:leader="dot" w:pos="4253"/>
              </w:tabs>
            </w:pPr>
          </w:p>
        </w:tc>
        <w:tc>
          <w:tcPr>
            <w:tcW w:w="4235" w:type="dxa"/>
          </w:tcPr>
          <w:p>
            <w:pPr>
              <w:pStyle w:val="yTableNAm"/>
              <w:keepNext/>
              <w:keepLines/>
              <w:tabs>
                <w:tab w:val="right" w:leader="dot" w:pos="4253"/>
              </w:tabs>
            </w:pPr>
            <w:r>
              <w:t>By</w:t>
            </w:r>
            <w:r>
              <w:noBreakHyphen/>
              <w:t xml:space="preserve">law 7(4)(a)(i) </w:t>
            </w:r>
            <w:r>
              <w:tab/>
            </w:r>
          </w:p>
        </w:tc>
        <w:tc>
          <w:tcPr>
            <w:tcW w:w="1435" w:type="dxa"/>
          </w:tcPr>
          <w:p>
            <w:pPr>
              <w:pStyle w:val="yTableNAm"/>
              <w:keepNext/>
              <w:keepLines/>
              <w:tabs>
                <w:tab w:val="right" w:leader="dot" w:pos="4253"/>
              </w:tabs>
            </w:pPr>
            <w:r>
              <w:t>$1.50</w:t>
            </w:r>
          </w:p>
        </w:tc>
      </w:tr>
      <w:tr>
        <w:tc>
          <w:tcPr>
            <w:tcW w:w="850" w:type="dxa"/>
          </w:tcPr>
          <w:p>
            <w:pPr>
              <w:pStyle w:val="yTableNAm"/>
              <w:tabs>
                <w:tab w:val="right" w:leader="dot" w:pos="4253"/>
              </w:tabs>
              <w:rPr>
                <w:b/>
              </w:rPr>
            </w:pPr>
            <w:r>
              <w:rPr>
                <w:b/>
              </w:rPr>
              <w:t>2.</w:t>
            </w:r>
          </w:p>
        </w:tc>
        <w:tc>
          <w:tcPr>
            <w:tcW w:w="4235" w:type="dxa"/>
          </w:tcPr>
          <w:p>
            <w:pPr>
              <w:pStyle w:val="yTableNAm"/>
              <w:tabs>
                <w:tab w:val="right" w:leader="dot" w:pos="4253"/>
              </w:tabs>
              <w:rPr>
                <w:b/>
                <w:bCs/>
              </w:rPr>
            </w:pPr>
            <w:r>
              <w:rPr>
                <w:b/>
                <w:bCs/>
              </w:rPr>
              <w:t>Additional charges</w:t>
            </w:r>
          </w:p>
        </w:tc>
        <w:tc>
          <w:tcPr>
            <w:tcW w:w="1435" w:type="dxa"/>
          </w:tcPr>
          <w:p>
            <w:pPr>
              <w:pStyle w:val="yTableNAm"/>
              <w:tabs>
                <w:tab w:val="right" w:leader="dot" w:pos="4253"/>
              </w:tabs>
              <w:rPr>
                <w:b/>
                <w:bCs/>
              </w:rPr>
            </w:pPr>
          </w:p>
        </w:tc>
      </w:tr>
      <w:tr>
        <w:tc>
          <w:tcPr>
            <w:tcW w:w="850" w:type="dxa"/>
          </w:tcPr>
          <w:p>
            <w:pPr>
              <w:pStyle w:val="yTableNAm"/>
              <w:tabs>
                <w:tab w:val="right" w:leader="dot" w:pos="4253"/>
              </w:tabs>
            </w:pPr>
          </w:p>
        </w:tc>
        <w:tc>
          <w:tcPr>
            <w:tcW w:w="4235" w:type="dxa"/>
          </w:tcPr>
          <w:p>
            <w:pPr>
              <w:pStyle w:val="yTableNAm"/>
              <w:tabs>
                <w:tab w:val="right" w:leader="dot" w:pos="4253"/>
              </w:tabs>
            </w:pPr>
            <w:r>
              <w:t>By</w:t>
            </w:r>
            <w:r>
              <w:noBreakHyphen/>
              <w:t xml:space="preserve">law 7(4)(b)(i) </w:t>
            </w:r>
            <w:r>
              <w:tab/>
            </w:r>
          </w:p>
        </w:tc>
        <w:tc>
          <w:tcPr>
            <w:tcW w:w="1435" w:type="dxa"/>
          </w:tcPr>
          <w:p>
            <w:pPr>
              <w:pStyle w:val="yTableNAm"/>
              <w:tabs>
                <w:tab w:val="right" w:leader="dot" w:pos="4253"/>
              </w:tabs>
            </w:pPr>
            <w:r>
              <w:t>$3.00</w:t>
            </w:r>
          </w:p>
        </w:tc>
      </w:tr>
      <w:tr>
        <w:tc>
          <w:tcPr>
            <w:tcW w:w="850" w:type="dxa"/>
          </w:tcPr>
          <w:p>
            <w:pPr>
              <w:pStyle w:val="yTableNAm"/>
              <w:keepNext/>
              <w:keepLines/>
              <w:tabs>
                <w:tab w:val="right" w:leader="dot" w:pos="4253"/>
              </w:tabs>
              <w:rPr>
                <w:b/>
              </w:rPr>
            </w:pPr>
            <w:r>
              <w:rPr>
                <w:b/>
              </w:rPr>
              <w:t>3.</w:t>
            </w:r>
          </w:p>
        </w:tc>
        <w:tc>
          <w:tcPr>
            <w:tcW w:w="4235" w:type="dxa"/>
          </w:tcPr>
          <w:p>
            <w:pPr>
              <w:pStyle w:val="yTableNAm"/>
              <w:keepNext/>
              <w:keepLines/>
              <w:tabs>
                <w:tab w:val="right" w:leader="dot" w:pos="4253"/>
              </w:tabs>
              <w:rPr>
                <w:b/>
                <w:bCs/>
              </w:rPr>
            </w:pPr>
            <w:r>
              <w:rPr>
                <w:b/>
                <w:bCs/>
              </w:rPr>
              <w:t>Rates of interest</w:t>
            </w:r>
          </w:p>
        </w:tc>
        <w:tc>
          <w:tcPr>
            <w:tcW w:w="1435" w:type="dxa"/>
          </w:tcPr>
          <w:p>
            <w:pPr>
              <w:pStyle w:val="yTableNAm"/>
              <w:keepNext/>
              <w:keepLines/>
              <w:tabs>
                <w:tab w:val="right" w:leader="dot" w:pos="4253"/>
              </w:tabs>
              <w:rPr>
                <w:b/>
                <w:bCs/>
              </w:rPr>
            </w:pPr>
          </w:p>
        </w:tc>
      </w:tr>
      <w:tr>
        <w:tc>
          <w:tcPr>
            <w:tcW w:w="850" w:type="dxa"/>
          </w:tcPr>
          <w:p>
            <w:pPr>
              <w:pStyle w:val="yTableNAm"/>
              <w:keepNext/>
              <w:keepLines/>
              <w:tabs>
                <w:tab w:val="right" w:leader="dot" w:pos="4253"/>
              </w:tabs>
            </w:pPr>
          </w:p>
        </w:tc>
        <w:tc>
          <w:tcPr>
            <w:tcW w:w="4235" w:type="dxa"/>
          </w:tcPr>
          <w:p>
            <w:pPr>
              <w:pStyle w:val="yTableNAm"/>
              <w:keepNext/>
              <w:keepLines/>
              <w:tabs>
                <w:tab w:val="right" w:leader="dot" w:pos="4253"/>
              </w:tabs>
            </w:pPr>
            <w:r>
              <w:t>By</w:t>
            </w:r>
            <w:r>
              <w:noBreakHyphen/>
              <w:t xml:space="preserve">law 7(4)(a)(ii) </w:t>
            </w:r>
            <w:r>
              <w:tab/>
            </w:r>
          </w:p>
        </w:tc>
        <w:tc>
          <w:tcPr>
            <w:tcW w:w="1435" w:type="dxa"/>
          </w:tcPr>
          <w:p>
            <w:pPr>
              <w:pStyle w:val="yTableNAm"/>
              <w:keepNext/>
              <w:keepLines/>
              <w:tabs>
                <w:tab w:val="right" w:leader="dot" w:pos="4253"/>
              </w:tabs>
            </w:pPr>
            <w:r>
              <w:t>2.19% per annum</w:t>
            </w:r>
          </w:p>
        </w:tc>
      </w:tr>
      <w:tr>
        <w:tc>
          <w:tcPr>
            <w:tcW w:w="850" w:type="dxa"/>
          </w:tcPr>
          <w:p>
            <w:pPr>
              <w:pStyle w:val="yTableNAm"/>
              <w:tabs>
                <w:tab w:val="right" w:leader="dot" w:pos="4253"/>
              </w:tabs>
            </w:pPr>
          </w:p>
        </w:tc>
        <w:tc>
          <w:tcPr>
            <w:tcW w:w="4235" w:type="dxa"/>
          </w:tcPr>
          <w:p>
            <w:pPr>
              <w:pStyle w:val="yTableNAm"/>
              <w:tabs>
                <w:tab w:val="right" w:leader="dot" w:pos="4253"/>
              </w:tabs>
            </w:pPr>
            <w:r>
              <w:t>By</w:t>
            </w:r>
            <w:r>
              <w:noBreakHyphen/>
              <w:t xml:space="preserve">law 7(4)(b)(ii) </w:t>
            </w:r>
            <w:r>
              <w:tab/>
            </w:r>
          </w:p>
        </w:tc>
        <w:tc>
          <w:tcPr>
            <w:tcW w:w="1435" w:type="dxa"/>
          </w:tcPr>
          <w:p>
            <w:pPr>
              <w:pStyle w:val="yTableNAm"/>
              <w:tabs>
                <w:tab w:val="right" w:leader="dot" w:pos="4253"/>
              </w:tabs>
            </w:pPr>
            <w:r>
              <w:t>3.19% per annum</w:t>
            </w:r>
          </w:p>
        </w:tc>
      </w:tr>
      <w:tr>
        <w:tc>
          <w:tcPr>
            <w:tcW w:w="850" w:type="dxa"/>
          </w:tcPr>
          <w:p>
            <w:pPr>
              <w:pStyle w:val="yTableNAm"/>
              <w:tabs>
                <w:tab w:val="right" w:leader="dot" w:pos="4253"/>
              </w:tabs>
              <w:rPr>
                <w:b/>
              </w:rPr>
            </w:pPr>
            <w:r>
              <w:rPr>
                <w:b/>
              </w:rPr>
              <w:t>4.</w:t>
            </w:r>
          </w:p>
        </w:tc>
        <w:tc>
          <w:tcPr>
            <w:tcW w:w="4235" w:type="dxa"/>
          </w:tcPr>
          <w:p>
            <w:pPr>
              <w:pStyle w:val="yTableNAm"/>
              <w:tabs>
                <w:tab w:val="right" w:leader="dot" w:pos="4253"/>
              </w:tabs>
              <w:rPr>
                <w:b/>
                <w:bCs/>
              </w:rPr>
            </w:pPr>
            <w:r>
              <w:rPr>
                <w:b/>
                <w:bCs/>
              </w:rPr>
              <w:t>Concession (by</w:t>
            </w:r>
            <w:r>
              <w:rPr>
                <w:b/>
                <w:bCs/>
              </w:rPr>
              <w:noBreakHyphen/>
              <w:t>law 8A(2))</w:t>
            </w:r>
          </w:p>
        </w:tc>
        <w:tc>
          <w:tcPr>
            <w:tcW w:w="1435" w:type="dxa"/>
          </w:tcPr>
          <w:p>
            <w:pPr>
              <w:pStyle w:val="yTableNAm"/>
              <w:tabs>
                <w:tab w:val="right" w:leader="dot" w:pos="4253"/>
              </w:tabs>
              <w:rPr>
                <w:b/>
                <w:bCs/>
              </w:rPr>
            </w:pPr>
          </w:p>
        </w:tc>
      </w:tr>
      <w:tr>
        <w:tc>
          <w:tcPr>
            <w:tcW w:w="850" w:type="dxa"/>
          </w:tcPr>
          <w:p>
            <w:pPr>
              <w:pStyle w:val="yTableNAm"/>
              <w:tabs>
                <w:tab w:val="right" w:leader="dot" w:pos="4253"/>
              </w:tabs>
            </w:pPr>
          </w:p>
        </w:tc>
        <w:tc>
          <w:tcPr>
            <w:tcW w:w="4235" w:type="dxa"/>
          </w:tcPr>
          <w:p>
            <w:pPr>
              <w:pStyle w:val="yTableNAm"/>
              <w:tabs>
                <w:tab w:val="right" w:leader="dot" w:pos="4253"/>
              </w:tabs>
            </w:pPr>
            <w:r>
              <w:t xml:space="preserve">Charge for water supply </w:t>
            </w:r>
            <w:r>
              <w:tab/>
            </w:r>
          </w:p>
        </w:tc>
        <w:tc>
          <w:tcPr>
            <w:tcW w:w="1435" w:type="dxa"/>
          </w:tcPr>
          <w:p>
            <w:pPr>
              <w:pStyle w:val="yTableNAm"/>
              <w:tabs>
                <w:tab w:val="right" w:leader="dot" w:pos="4253"/>
              </w:tabs>
            </w:pPr>
            <w:r>
              <w:t>$89.75</w:t>
            </w:r>
          </w:p>
        </w:tc>
      </w:tr>
      <w:tr>
        <w:tc>
          <w:tcPr>
            <w:tcW w:w="850" w:type="dxa"/>
          </w:tcPr>
          <w:p>
            <w:pPr>
              <w:pStyle w:val="yTableNAm"/>
              <w:tabs>
                <w:tab w:val="right" w:leader="dot" w:pos="4253"/>
              </w:tabs>
            </w:pPr>
          </w:p>
        </w:tc>
        <w:tc>
          <w:tcPr>
            <w:tcW w:w="4235" w:type="dxa"/>
          </w:tcPr>
          <w:p>
            <w:pPr>
              <w:pStyle w:val="yTableNAm"/>
              <w:tabs>
                <w:tab w:val="right" w:leader="dot" w:pos="4253"/>
              </w:tabs>
            </w:pPr>
            <w:r>
              <w:t xml:space="preserve">Charge for sewerage </w:t>
            </w:r>
            <w:r>
              <w:tab/>
            </w:r>
          </w:p>
        </w:tc>
        <w:tc>
          <w:tcPr>
            <w:tcW w:w="1435" w:type="dxa"/>
          </w:tcPr>
          <w:p>
            <w:pPr>
              <w:pStyle w:val="yTableNAm"/>
              <w:tabs>
                <w:tab w:val="right" w:leader="dot" w:pos="4253"/>
              </w:tabs>
            </w:pPr>
            <w:r>
              <w:t>$184.70</w:t>
            </w:r>
          </w:p>
        </w:tc>
      </w:tr>
      <w:tr>
        <w:tc>
          <w:tcPr>
            <w:tcW w:w="850" w:type="dxa"/>
          </w:tcPr>
          <w:p>
            <w:pPr>
              <w:pStyle w:val="yTableNAm"/>
              <w:tabs>
                <w:tab w:val="right" w:leader="dot" w:pos="4253"/>
              </w:tabs>
            </w:pPr>
          </w:p>
        </w:tc>
        <w:tc>
          <w:tcPr>
            <w:tcW w:w="4235" w:type="dxa"/>
          </w:tcPr>
          <w:p>
            <w:pPr>
              <w:pStyle w:val="yTableNAm"/>
              <w:tabs>
                <w:tab w:val="right" w:leader="dot" w:pos="4253"/>
              </w:tabs>
            </w:pPr>
            <w:r>
              <w:t xml:space="preserve">Charge for drainage </w:t>
            </w:r>
            <w:r>
              <w:tab/>
            </w:r>
          </w:p>
        </w:tc>
        <w:tc>
          <w:tcPr>
            <w:tcW w:w="1435" w:type="dxa"/>
          </w:tcPr>
          <w:p>
            <w:pPr>
              <w:pStyle w:val="yTableNAm"/>
              <w:tabs>
                <w:tab w:val="right" w:leader="dot" w:pos="4253"/>
              </w:tabs>
            </w:pPr>
            <w:r>
              <w:t>$24.05</w:t>
            </w:r>
          </w:p>
        </w:tc>
      </w:tr>
      <w:tr>
        <w:tc>
          <w:tcPr>
            <w:tcW w:w="850" w:type="dxa"/>
          </w:tcPr>
          <w:p>
            <w:pPr>
              <w:pStyle w:val="yTableNAm"/>
              <w:tabs>
                <w:tab w:val="right" w:leader="dot" w:pos="4253"/>
              </w:tabs>
              <w:rPr>
                <w:b/>
              </w:rPr>
            </w:pPr>
            <w:r>
              <w:rPr>
                <w:b/>
              </w:rPr>
              <w:t>5.</w:t>
            </w:r>
          </w:p>
        </w:tc>
        <w:tc>
          <w:tcPr>
            <w:tcW w:w="4235" w:type="dxa"/>
          </w:tcPr>
          <w:p>
            <w:pPr>
              <w:pStyle w:val="yTableNAm"/>
              <w:tabs>
                <w:tab w:val="right" w:leader="dot" w:pos="4253"/>
              </w:tabs>
              <w:rPr>
                <w:b/>
                <w:bCs/>
              </w:rPr>
            </w:pPr>
            <w:r>
              <w:rPr>
                <w:b/>
                <w:bCs/>
              </w:rPr>
              <w:t>Interest on overdue amounts (by</w:t>
            </w:r>
            <w:r>
              <w:rPr>
                <w:b/>
                <w:bCs/>
              </w:rPr>
              <w:noBreakHyphen/>
              <w:t>law 9)</w:t>
            </w:r>
          </w:p>
        </w:tc>
        <w:tc>
          <w:tcPr>
            <w:tcW w:w="1435" w:type="dxa"/>
          </w:tcPr>
          <w:p>
            <w:pPr>
              <w:pStyle w:val="yTableNAm"/>
              <w:tabs>
                <w:tab w:val="right" w:leader="dot" w:pos="4253"/>
              </w:tabs>
              <w:rPr>
                <w:b/>
                <w:bCs/>
              </w:rPr>
            </w:pPr>
          </w:p>
        </w:tc>
      </w:tr>
      <w:tr>
        <w:tc>
          <w:tcPr>
            <w:tcW w:w="850" w:type="dxa"/>
          </w:tcPr>
          <w:p>
            <w:pPr>
              <w:pStyle w:val="yTableNAm"/>
              <w:tabs>
                <w:tab w:val="right" w:leader="dot" w:pos="4253"/>
              </w:tabs>
            </w:pPr>
          </w:p>
        </w:tc>
        <w:tc>
          <w:tcPr>
            <w:tcW w:w="4235" w:type="dxa"/>
          </w:tcPr>
          <w:p>
            <w:pPr>
              <w:pStyle w:val="yTableNAm"/>
              <w:tabs>
                <w:tab w:val="right" w:leader="dot" w:pos="4253"/>
              </w:tabs>
            </w:pPr>
            <w:r>
              <w:t>Interest on overdue amounts (by</w:t>
            </w:r>
            <w:r>
              <w:noBreakHyphen/>
              <w:t xml:space="preserve">law 9) </w:t>
            </w:r>
            <w:r>
              <w:tab/>
            </w:r>
          </w:p>
        </w:tc>
        <w:tc>
          <w:tcPr>
            <w:tcW w:w="1435" w:type="dxa"/>
          </w:tcPr>
          <w:p>
            <w:pPr>
              <w:pStyle w:val="yTableNAm"/>
              <w:tabs>
                <w:tab w:val="right" w:leader="dot" w:pos="4253"/>
              </w:tabs>
            </w:pPr>
            <w:r>
              <w:t>13.39% per annum</w:t>
            </w:r>
          </w:p>
        </w:tc>
      </w:tr>
    </w:tbl>
    <w:p>
      <w:pPr>
        <w:pStyle w:val="yFootnotesection"/>
      </w:pPr>
      <w:r>
        <w:tab/>
        <w:t>[Schedule 7 inserted in Gazette 20 Jun 2012 p. 2752.]</w:t>
      </w:r>
    </w:p>
    <w:p>
      <w:pPr>
        <w:pStyle w:val="yScheduleHeading"/>
      </w:pPr>
      <w:bookmarkStart w:id="847" w:name="_Toc84428018"/>
      <w:bookmarkStart w:id="848" w:name="_Toc328403463"/>
      <w:bookmarkStart w:id="849" w:name="_Toc328471512"/>
      <w:bookmarkStart w:id="850" w:name="_Toc297540807"/>
      <w:bookmarkStart w:id="851" w:name="_Toc297541235"/>
      <w:bookmarkEnd w:id="836"/>
      <w:bookmarkEnd w:id="837"/>
      <w:bookmarkEnd w:id="838"/>
      <w:r>
        <w:rPr>
          <w:rStyle w:val="CharSchNo"/>
        </w:rPr>
        <w:t>Schedule 8</w:t>
      </w:r>
      <w:r>
        <w:t> — </w:t>
      </w:r>
      <w:r>
        <w:rPr>
          <w:rStyle w:val="CharSchText"/>
        </w:rPr>
        <w:t>Water supply charges for Government trading organisations and non</w:t>
      </w:r>
      <w:r>
        <w:rPr>
          <w:rStyle w:val="CharSchText"/>
        </w:rPr>
        <w:noBreakHyphen/>
        <w:t>commercial Government property</w:t>
      </w:r>
      <w:bookmarkEnd w:id="847"/>
      <w:bookmarkEnd w:id="848"/>
      <w:bookmarkEnd w:id="849"/>
    </w:p>
    <w:p>
      <w:pPr>
        <w:pStyle w:val="yShoulderClause"/>
      </w:pPr>
      <w:r>
        <w:t>[bl. 8B]</w:t>
      </w:r>
    </w:p>
    <w:p>
      <w:pPr>
        <w:pStyle w:val="yFootnoteheading"/>
        <w:spacing w:after="60"/>
      </w:pPr>
      <w:r>
        <w:tab/>
        <w:t>[Heading inserted in Gazette 20 Jun 2012 p. 2753.]</w:t>
      </w:r>
    </w:p>
    <w:p>
      <w:pPr>
        <w:pStyle w:val="yMiscellaneousHeading"/>
        <w:tabs>
          <w:tab w:val="left" w:pos="993"/>
        </w:tabs>
        <w:ind w:left="480"/>
        <w:jc w:val="left"/>
        <w:rPr>
          <w:b/>
        </w:rPr>
      </w:pPr>
      <w:r>
        <w:rPr>
          <w:b/>
        </w:rPr>
        <w:t>1.</w:t>
      </w:r>
      <w:r>
        <w:rPr>
          <w:b/>
        </w:rPr>
        <w:tab/>
        <w:t>Annual charge (based on meter size)</w:t>
      </w:r>
    </w:p>
    <w:tbl>
      <w:tblPr>
        <w:tblW w:w="0" w:type="auto"/>
        <w:tblInd w:w="1166" w:type="dxa"/>
        <w:tblLayout w:type="fixed"/>
        <w:tblCellMar>
          <w:left w:w="284" w:type="dxa"/>
          <w:right w:w="284" w:type="dxa"/>
        </w:tblCellMar>
        <w:tblLook w:val="0000" w:firstRow="0" w:lastRow="0" w:firstColumn="0" w:lastColumn="0" w:noHBand="0" w:noVBand="0"/>
      </w:tblPr>
      <w:tblGrid>
        <w:gridCol w:w="3087"/>
        <w:gridCol w:w="2960"/>
        <w:gridCol w:w="17"/>
      </w:tblGrid>
      <w:tr>
        <w:trPr>
          <w:cantSplit/>
          <w:tblHeader/>
        </w:trPr>
        <w:tc>
          <w:tcPr>
            <w:tcW w:w="3087" w:type="dxa"/>
            <w:tcBorders>
              <w:top w:val="single" w:sz="4" w:space="0" w:color="auto"/>
              <w:bottom w:val="single" w:sz="4" w:space="0" w:color="auto"/>
            </w:tcBorders>
          </w:tcPr>
          <w:p>
            <w:pPr>
              <w:pStyle w:val="yTableNAm"/>
              <w:ind w:right="-142"/>
              <w:jc w:val="center"/>
              <w:rPr>
                <w:b/>
                <w:bCs/>
              </w:rPr>
            </w:pPr>
            <w:r>
              <w:rPr>
                <w:b/>
                <w:bCs/>
              </w:rPr>
              <w:t>Meter size</w:t>
            </w:r>
            <w:r>
              <w:rPr>
                <w:b/>
                <w:bCs/>
              </w:rPr>
              <w:br/>
              <w:t>mm</w:t>
            </w:r>
          </w:p>
        </w:tc>
        <w:tc>
          <w:tcPr>
            <w:tcW w:w="2977" w:type="dxa"/>
            <w:gridSpan w:val="2"/>
            <w:tcBorders>
              <w:top w:val="single" w:sz="4" w:space="0" w:color="auto"/>
              <w:bottom w:val="single" w:sz="4" w:space="0" w:color="auto"/>
            </w:tcBorders>
          </w:tcPr>
          <w:p>
            <w:pPr>
              <w:pStyle w:val="yTableNAm"/>
              <w:tabs>
                <w:tab w:val="clear" w:pos="567"/>
              </w:tabs>
              <w:ind w:right="-284"/>
              <w:jc w:val="center"/>
              <w:rPr>
                <w:b/>
                <w:bCs/>
              </w:rPr>
            </w:pPr>
            <w:r>
              <w:rPr>
                <w:b/>
                <w:bCs/>
              </w:rPr>
              <w:t>Charge</w:t>
            </w:r>
            <w:r>
              <w:rPr>
                <w:b/>
                <w:bCs/>
              </w:rPr>
              <w:br/>
              <w:t>$</w:t>
            </w:r>
          </w:p>
        </w:tc>
      </w:tr>
      <w:tr>
        <w:trPr>
          <w:cantSplit/>
        </w:trPr>
        <w:tc>
          <w:tcPr>
            <w:tcW w:w="3087" w:type="dxa"/>
          </w:tcPr>
          <w:p>
            <w:pPr>
              <w:pStyle w:val="yTableNAm"/>
              <w:ind w:right="-142"/>
              <w:jc w:val="center"/>
              <w:rPr>
                <w:spacing w:val="-2"/>
              </w:rPr>
            </w:pPr>
            <w:r>
              <w:rPr>
                <w:spacing w:val="-2"/>
              </w:rPr>
              <w:t>20 or less</w:t>
            </w:r>
          </w:p>
        </w:tc>
        <w:tc>
          <w:tcPr>
            <w:tcW w:w="2977" w:type="dxa"/>
            <w:gridSpan w:val="2"/>
            <w:vAlign w:val="bottom"/>
          </w:tcPr>
          <w:p>
            <w:pPr>
              <w:pStyle w:val="yTableNAm"/>
              <w:ind w:right="-142"/>
              <w:jc w:val="center"/>
              <w:rPr>
                <w:spacing w:val="-2"/>
              </w:rPr>
            </w:pPr>
            <w:r>
              <w:rPr>
                <w:spacing w:val="-2"/>
              </w:rPr>
              <w:t>188.10</w:t>
            </w:r>
          </w:p>
        </w:tc>
      </w:tr>
      <w:tr>
        <w:trPr>
          <w:cantSplit/>
        </w:trPr>
        <w:tc>
          <w:tcPr>
            <w:tcW w:w="3087" w:type="dxa"/>
          </w:tcPr>
          <w:p>
            <w:pPr>
              <w:pStyle w:val="yTableNAm"/>
              <w:ind w:right="-142"/>
              <w:jc w:val="center"/>
              <w:rPr>
                <w:spacing w:val="-2"/>
              </w:rPr>
            </w:pPr>
            <w:r>
              <w:rPr>
                <w:spacing w:val="-2"/>
              </w:rPr>
              <w:t>25</w:t>
            </w:r>
          </w:p>
        </w:tc>
        <w:tc>
          <w:tcPr>
            <w:tcW w:w="2977" w:type="dxa"/>
            <w:gridSpan w:val="2"/>
            <w:vAlign w:val="bottom"/>
          </w:tcPr>
          <w:p>
            <w:pPr>
              <w:pStyle w:val="yTableNAm"/>
              <w:ind w:right="-142"/>
              <w:jc w:val="center"/>
              <w:rPr>
                <w:spacing w:val="-2"/>
              </w:rPr>
            </w:pPr>
            <w:r>
              <w:rPr>
                <w:spacing w:val="-2"/>
              </w:rPr>
              <w:t>293.90</w:t>
            </w:r>
          </w:p>
        </w:tc>
      </w:tr>
      <w:tr>
        <w:trPr>
          <w:cantSplit/>
        </w:trPr>
        <w:tc>
          <w:tcPr>
            <w:tcW w:w="3087" w:type="dxa"/>
          </w:tcPr>
          <w:p>
            <w:pPr>
              <w:pStyle w:val="yTableNAm"/>
              <w:ind w:right="-142"/>
              <w:jc w:val="center"/>
              <w:rPr>
                <w:spacing w:val="-2"/>
              </w:rPr>
            </w:pPr>
            <w:r>
              <w:rPr>
                <w:spacing w:val="-2"/>
              </w:rPr>
              <w:t>30</w:t>
            </w:r>
          </w:p>
        </w:tc>
        <w:tc>
          <w:tcPr>
            <w:tcW w:w="2977" w:type="dxa"/>
            <w:gridSpan w:val="2"/>
            <w:vAlign w:val="bottom"/>
          </w:tcPr>
          <w:p>
            <w:pPr>
              <w:pStyle w:val="yTableNAm"/>
              <w:ind w:right="-142"/>
              <w:jc w:val="center"/>
              <w:rPr>
                <w:spacing w:val="-2"/>
              </w:rPr>
            </w:pPr>
            <w:r>
              <w:rPr>
                <w:spacing w:val="-2"/>
              </w:rPr>
              <w:t>423.20</w:t>
            </w:r>
          </w:p>
        </w:tc>
      </w:tr>
      <w:tr>
        <w:trPr>
          <w:cantSplit/>
        </w:trPr>
        <w:tc>
          <w:tcPr>
            <w:tcW w:w="3087" w:type="dxa"/>
          </w:tcPr>
          <w:p>
            <w:pPr>
              <w:pStyle w:val="yTableNAm"/>
              <w:ind w:right="-142"/>
              <w:jc w:val="center"/>
              <w:rPr>
                <w:spacing w:val="-2"/>
              </w:rPr>
            </w:pPr>
            <w:r>
              <w:rPr>
                <w:spacing w:val="-2"/>
              </w:rPr>
              <w:t>40</w:t>
            </w:r>
          </w:p>
        </w:tc>
        <w:tc>
          <w:tcPr>
            <w:tcW w:w="2977" w:type="dxa"/>
            <w:gridSpan w:val="2"/>
            <w:vAlign w:val="bottom"/>
          </w:tcPr>
          <w:p>
            <w:pPr>
              <w:pStyle w:val="yTableNAm"/>
              <w:ind w:right="-142"/>
              <w:jc w:val="center"/>
              <w:rPr>
                <w:spacing w:val="-2"/>
              </w:rPr>
            </w:pPr>
            <w:r>
              <w:rPr>
                <w:spacing w:val="-2"/>
              </w:rPr>
              <w:t>752.40</w:t>
            </w:r>
          </w:p>
        </w:tc>
      </w:tr>
      <w:tr>
        <w:trPr>
          <w:cantSplit/>
        </w:trPr>
        <w:tc>
          <w:tcPr>
            <w:tcW w:w="3087" w:type="dxa"/>
          </w:tcPr>
          <w:p>
            <w:pPr>
              <w:pStyle w:val="yTableNAm"/>
              <w:ind w:right="-142"/>
              <w:jc w:val="center"/>
              <w:rPr>
                <w:spacing w:val="-2"/>
              </w:rPr>
            </w:pPr>
            <w:r>
              <w:rPr>
                <w:spacing w:val="-2"/>
              </w:rPr>
              <w:t>50</w:t>
            </w:r>
          </w:p>
        </w:tc>
        <w:tc>
          <w:tcPr>
            <w:tcW w:w="2977" w:type="dxa"/>
            <w:gridSpan w:val="2"/>
            <w:vAlign w:val="bottom"/>
          </w:tcPr>
          <w:p>
            <w:pPr>
              <w:pStyle w:val="yTableNAm"/>
              <w:ind w:right="-142"/>
              <w:jc w:val="center"/>
              <w:rPr>
                <w:spacing w:val="-2"/>
              </w:rPr>
            </w:pPr>
            <w:r>
              <w:rPr>
                <w:spacing w:val="-2"/>
              </w:rPr>
              <w:t>1 175.60</w:t>
            </w:r>
          </w:p>
        </w:tc>
      </w:tr>
      <w:tr>
        <w:trPr>
          <w:cantSplit/>
        </w:trPr>
        <w:tc>
          <w:tcPr>
            <w:tcW w:w="3087" w:type="dxa"/>
          </w:tcPr>
          <w:p>
            <w:pPr>
              <w:pStyle w:val="yTableNAm"/>
              <w:ind w:right="-142"/>
              <w:jc w:val="center"/>
              <w:rPr>
                <w:spacing w:val="-2"/>
              </w:rPr>
            </w:pPr>
            <w:r>
              <w:rPr>
                <w:spacing w:val="-2"/>
              </w:rPr>
              <w:t>70, 75, 80</w:t>
            </w:r>
          </w:p>
        </w:tc>
        <w:tc>
          <w:tcPr>
            <w:tcW w:w="2977" w:type="dxa"/>
            <w:gridSpan w:val="2"/>
            <w:vAlign w:val="bottom"/>
          </w:tcPr>
          <w:p>
            <w:pPr>
              <w:pStyle w:val="yTableNAm"/>
              <w:ind w:right="-142"/>
              <w:jc w:val="center"/>
              <w:rPr>
                <w:spacing w:val="-2"/>
              </w:rPr>
            </w:pPr>
            <w:r>
              <w:rPr>
                <w:spacing w:val="-2"/>
              </w:rPr>
              <w:t>3 009.60</w:t>
            </w:r>
          </w:p>
        </w:tc>
      </w:tr>
      <w:tr>
        <w:trPr>
          <w:cantSplit/>
        </w:trPr>
        <w:tc>
          <w:tcPr>
            <w:tcW w:w="3087" w:type="dxa"/>
          </w:tcPr>
          <w:p>
            <w:pPr>
              <w:pStyle w:val="yTableNAm"/>
              <w:ind w:right="-142"/>
              <w:jc w:val="center"/>
              <w:rPr>
                <w:spacing w:val="-2"/>
              </w:rPr>
            </w:pPr>
            <w:r>
              <w:rPr>
                <w:spacing w:val="-2"/>
              </w:rPr>
              <w:t>100</w:t>
            </w:r>
          </w:p>
        </w:tc>
        <w:tc>
          <w:tcPr>
            <w:tcW w:w="2977" w:type="dxa"/>
            <w:gridSpan w:val="2"/>
            <w:vAlign w:val="bottom"/>
          </w:tcPr>
          <w:p>
            <w:pPr>
              <w:pStyle w:val="yTableNAm"/>
              <w:ind w:right="-142"/>
              <w:jc w:val="center"/>
              <w:rPr>
                <w:spacing w:val="-2"/>
              </w:rPr>
            </w:pPr>
            <w:r>
              <w:rPr>
                <w:spacing w:val="-2"/>
              </w:rPr>
              <w:t>4 702.50</w:t>
            </w:r>
          </w:p>
        </w:tc>
      </w:tr>
      <w:tr>
        <w:trPr>
          <w:cantSplit/>
        </w:trPr>
        <w:tc>
          <w:tcPr>
            <w:tcW w:w="3087" w:type="dxa"/>
          </w:tcPr>
          <w:p>
            <w:pPr>
              <w:pStyle w:val="yTableNAm"/>
              <w:ind w:right="-142"/>
              <w:jc w:val="center"/>
              <w:rPr>
                <w:spacing w:val="-2"/>
              </w:rPr>
            </w:pPr>
            <w:r>
              <w:rPr>
                <w:spacing w:val="-2"/>
              </w:rPr>
              <w:t>140, 150</w:t>
            </w:r>
          </w:p>
        </w:tc>
        <w:tc>
          <w:tcPr>
            <w:tcW w:w="2977" w:type="dxa"/>
            <w:gridSpan w:val="2"/>
            <w:vAlign w:val="bottom"/>
          </w:tcPr>
          <w:p>
            <w:pPr>
              <w:pStyle w:val="yTableNAm"/>
              <w:ind w:right="-142"/>
              <w:jc w:val="center"/>
              <w:rPr>
                <w:spacing w:val="-2"/>
              </w:rPr>
            </w:pPr>
            <w:r>
              <w:rPr>
                <w:spacing w:val="-2"/>
              </w:rPr>
              <w:t>10 580.60</w:t>
            </w:r>
          </w:p>
        </w:tc>
      </w:tr>
      <w:tr>
        <w:trPr>
          <w:cantSplit/>
        </w:trPr>
        <w:tc>
          <w:tcPr>
            <w:tcW w:w="3087" w:type="dxa"/>
          </w:tcPr>
          <w:p>
            <w:pPr>
              <w:pStyle w:val="yTableNAm"/>
              <w:ind w:right="-142"/>
              <w:jc w:val="center"/>
              <w:rPr>
                <w:spacing w:val="-2"/>
              </w:rPr>
            </w:pPr>
            <w:r>
              <w:rPr>
                <w:spacing w:val="-2"/>
              </w:rPr>
              <w:t>200</w:t>
            </w:r>
          </w:p>
        </w:tc>
        <w:tc>
          <w:tcPr>
            <w:tcW w:w="2977" w:type="dxa"/>
            <w:gridSpan w:val="2"/>
            <w:vAlign w:val="bottom"/>
          </w:tcPr>
          <w:p>
            <w:pPr>
              <w:pStyle w:val="yTableNAm"/>
              <w:ind w:right="-142"/>
              <w:jc w:val="center"/>
              <w:rPr>
                <w:spacing w:val="-2"/>
              </w:rPr>
            </w:pPr>
            <w:r>
              <w:rPr>
                <w:spacing w:val="-2"/>
              </w:rPr>
              <w:t>18 810.00</w:t>
            </w:r>
          </w:p>
        </w:tc>
      </w:tr>
      <w:tr>
        <w:trPr>
          <w:cantSplit/>
        </w:trPr>
        <w:tc>
          <w:tcPr>
            <w:tcW w:w="3087" w:type="dxa"/>
          </w:tcPr>
          <w:p>
            <w:pPr>
              <w:pStyle w:val="yTableNAm"/>
              <w:ind w:right="-142"/>
              <w:jc w:val="center"/>
              <w:rPr>
                <w:spacing w:val="-2"/>
              </w:rPr>
            </w:pPr>
            <w:r>
              <w:rPr>
                <w:spacing w:val="-2"/>
              </w:rPr>
              <w:t>250</w:t>
            </w:r>
          </w:p>
        </w:tc>
        <w:tc>
          <w:tcPr>
            <w:tcW w:w="2977" w:type="dxa"/>
            <w:gridSpan w:val="2"/>
            <w:vAlign w:val="bottom"/>
          </w:tcPr>
          <w:p>
            <w:pPr>
              <w:pStyle w:val="yTableNAm"/>
              <w:ind w:right="-142"/>
              <w:jc w:val="center"/>
              <w:rPr>
                <w:spacing w:val="-2"/>
              </w:rPr>
            </w:pPr>
            <w:r>
              <w:rPr>
                <w:spacing w:val="-2"/>
              </w:rPr>
              <w:t>29 390.60</w:t>
            </w:r>
          </w:p>
        </w:tc>
      </w:tr>
      <w:tr>
        <w:trPr>
          <w:cantSplit/>
        </w:trPr>
        <w:tc>
          <w:tcPr>
            <w:tcW w:w="3087" w:type="dxa"/>
          </w:tcPr>
          <w:p>
            <w:pPr>
              <w:pStyle w:val="yTableNAm"/>
              <w:ind w:right="-142"/>
              <w:jc w:val="center"/>
              <w:rPr>
                <w:spacing w:val="-2"/>
              </w:rPr>
            </w:pPr>
            <w:r>
              <w:rPr>
                <w:spacing w:val="-2"/>
              </w:rPr>
              <w:t>300</w:t>
            </w:r>
          </w:p>
        </w:tc>
        <w:tc>
          <w:tcPr>
            <w:tcW w:w="2977" w:type="dxa"/>
            <w:gridSpan w:val="2"/>
            <w:vAlign w:val="bottom"/>
          </w:tcPr>
          <w:p>
            <w:pPr>
              <w:pStyle w:val="yTableNAm"/>
              <w:ind w:right="-142"/>
              <w:jc w:val="center"/>
              <w:rPr>
                <w:spacing w:val="-2"/>
              </w:rPr>
            </w:pPr>
            <w:r>
              <w:rPr>
                <w:spacing w:val="-2"/>
              </w:rPr>
              <w:t>42 322.50</w:t>
            </w:r>
          </w:p>
        </w:tc>
      </w:tr>
      <w:tr>
        <w:trPr>
          <w:cantSplit/>
        </w:trPr>
        <w:tc>
          <w:tcPr>
            <w:tcW w:w="3087" w:type="dxa"/>
          </w:tcPr>
          <w:p>
            <w:pPr>
              <w:pStyle w:val="yTableNAm"/>
              <w:ind w:right="-142"/>
              <w:jc w:val="center"/>
              <w:rPr>
                <w:spacing w:val="-2"/>
              </w:rPr>
            </w:pPr>
            <w:r>
              <w:rPr>
                <w:spacing w:val="-2"/>
              </w:rPr>
              <w:t>350</w:t>
            </w:r>
          </w:p>
        </w:tc>
        <w:tc>
          <w:tcPr>
            <w:tcW w:w="2977" w:type="dxa"/>
            <w:gridSpan w:val="2"/>
            <w:vAlign w:val="bottom"/>
          </w:tcPr>
          <w:p>
            <w:pPr>
              <w:pStyle w:val="yTableNAm"/>
              <w:ind w:right="-142"/>
              <w:jc w:val="center"/>
              <w:rPr>
                <w:spacing w:val="-2"/>
              </w:rPr>
            </w:pPr>
            <w:r>
              <w:rPr>
                <w:spacing w:val="-2"/>
              </w:rPr>
              <w:t>57 605.60</w:t>
            </w:r>
          </w:p>
        </w:tc>
      </w:tr>
      <w:tr>
        <w:tblPrEx>
          <w:tblCellMar>
            <w:left w:w="142" w:type="dxa"/>
            <w:right w:w="142" w:type="dxa"/>
          </w:tblCellMar>
        </w:tblPrEx>
        <w:trPr>
          <w:gridAfter w:val="1"/>
          <w:wAfter w:w="17" w:type="dxa"/>
          <w:cantSplit/>
        </w:trPr>
        <w:tc>
          <w:tcPr>
            <w:tcW w:w="3087" w:type="dxa"/>
            <w:tcBorders>
              <w:bottom w:val="single" w:sz="4" w:space="0" w:color="auto"/>
            </w:tcBorders>
          </w:tcPr>
          <w:p>
            <w:pPr>
              <w:pStyle w:val="yTableNAm"/>
              <w:tabs>
                <w:tab w:val="right" w:leader="dot" w:pos="4253"/>
              </w:tabs>
              <w:ind w:right="-142"/>
            </w:pPr>
            <w:r>
              <w:t xml:space="preserve">subject to a minimum charge, where property is served but not metered by the Corporation, of </w:t>
            </w:r>
          </w:p>
        </w:tc>
        <w:tc>
          <w:tcPr>
            <w:tcW w:w="2960" w:type="dxa"/>
            <w:tcBorders>
              <w:bottom w:val="single" w:sz="4" w:space="0" w:color="auto"/>
            </w:tcBorders>
            <w:vAlign w:val="bottom"/>
          </w:tcPr>
          <w:p>
            <w:pPr>
              <w:pStyle w:val="yTableNAm"/>
              <w:ind w:right="-142"/>
              <w:jc w:val="center"/>
              <w:rPr>
                <w:spacing w:val="-2"/>
              </w:rPr>
            </w:pPr>
            <w:r>
              <w:rPr>
                <w:spacing w:val="-2"/>
              </w:rPr>
              <w:t>188.10</w:t>
            </w:r>
          </w:p>
        </w:tc>
      </w:tr>
    </w:tbl>
    <w:p>
      <w:pPr>
        <w:pStyle w:val="yMiscellaneousBody"/>
        <w:spacing w:before="0"/>
      </w:pPr>
    </w:p>
    <w:tbl>
      <w:tblPr>
        <w:tblW w:w="0" w:type="auto"/>
        <w:tblInd w:w="534" w:type="dxa"/>
        <w:tblLayout w:type="fixed"/>
        <w:tblLook w:val="0000" w:firstRow="0" w:lastRow="0" w:firstColumn="0" w:lastColumn="0" w:noHBand="0" w:noVBand="0"/>
      </w:tblPr>
      <w:tblGrid>
        <w:gridCol w:w="425"/>
        <w:gridCol w:w="4678"/>
        <w:gridCol w:w="1417"/>
      </w:tblGrid>
      <w:tr>
        <w:trPr>
          <w:cantSplit/>
        </w:trPr>
        <w:tc>
          <w:tcPr>
            <w:tcW w:w="425" w:type="dxa"/>
          </w:tcPr>
          <w:p>
            <w:pPr>
              <w:pStyle w:val="yTableNAm"/>
              <w:ind w:right="-97"/>
              <w:rPr>
                <w:rStyle w:val="CharSClsNo"/>
                <w:b/>
                <w:bCs/>
                <w:szCs w:val="22"/>
              </w:rPr>
            </w:pPr>
            <w:r>
              <w:rPr>
                <w:b/>
                <w:szCs w:val="22"/>
              </w:rPr>
              <w:t>2.</w:t>
            </w:r>
          </w:p>
        </w:tc>
        <w:tc>
          <w:tcPr>
            <w:tcW w:w="6095" w:type="dxa"/>
            <w:gridSpan w:val="2"/>
          </w:tcPr>
          <w:p>
            <w:pPr>
              <w:pStyle w:val="yTableNAm"/>
              <w:tabs>
                <w:tab w:val="right" w:leader="dot" w:pos="4253"/>
              </w:tabs>
              <w:rPr>
                <w:b/>
                <w:bCs/>
                <w:spacing w:val="-1"/>
                <w:szCs w:val="22"/>
              </w:rPr>
            </w:pPr>
            <w:r>
              <w:rPr>
                <w:b/>
                <w:bCs/>
                <w:szCs w:val="22"/>
              </w:rPr>
              <w:t>Volume charge (c/kL)</w:t>
            </w:r>
          </w:p>
        </w:tc>
      </w:tr>
      <w:tr>
        <w:tc>
          <w:tcPr>
            <w:tcW w:w="425" w:type="dxa"/>
          </w:tcPr>
          <w:p>
            <w:pPr>
              <w:pStyle w:val="yTableNAm"/>
              <w:tabs>
                <w:tab w:val="clear" w:pos="567"/>
                <w:tab w:val="left" w:pos="601"/>
                <w:tab w:val="right" w:leader="dot" w:pos="4253"/>
              </w:tabs>
              <w:ind w:left="601" w:hanging="601"/>
              <w:rPr>
                <w:szCs w:val="22"/>
              </w:rPr>
            </w:pPr>
          </w:p>
        </w:tc>
        <w:tc>
          <w:tcPr>
            <w:tcW w:w="4678" w:type="dxa"/>
          </w:tcPr>
          <w:p>
            <w:pPr>
              <w:pStyle w:val="yTableNAm"/>
              <w:tabs>
                <w:tab w:val="clear" w:pos="567"/>
                <w:tab w:val="left" w:pos="459"/>
                <w:tab w:val="right" w:leader="dot" w:pos="4570"/>
              </w:tabs>
              <w:ind w:left="459" w:hanging="459"/>
              <w:rPr>
                <w:spacing w:val="-1"/>
                <w:szCs w:val="22"/>
              </w:rPr>
            </w:pPr>
            <w:r>
              <w:rPr>
                <w:szCs w:val="22"/>
              </w:rPr>
              <w:t>(1)</w:t>
            </w:r>
            <w:r>
              <w:rPr>
                <w:szCs w:val="22"/>
              </w:rPr>
              <w:tab/>
              <w:t xml:space="preserve">Metropolitan </w:t>
            </w:r>
            <w:r>
              <w:rPr>
                <w:szCs w:val="22"/>
              </w:rPr>
              <w:tab/>
            </w:r>
          </w:p>
        </w:tc>
        <w:tc>
          <w:tcPr>
            <w:tcW w:w="1417" w:type="dxa"/>
          </w:tcPr>
          <w:p>
            <w:pPr>
              <w:pStyle w:val="yTableNAm"/>
              <w:tabs>
                <w:tab w:val="right" w:leader="dot" w:pos="4253"/>
              </w:tabs>
              <w:rPr>
                <w:spacing w:val="-2"/>
                <w:szCs w:val="22"/>
              </w:rPr>
            </w:pPr>
            <w:r>
              <w:rPr>
                <w:spacing w:val="-2"/>
                <w:szCs w:val="22"/>
              </w:rPr>
              <w:t>204.1 cents</w:t>
            </w:r>
          </w:p>
        </w:tc>
      </w:tr>
      <w:tr>
        <w:tc>
          <w:tcPr>
            <w:tcW w:w="425" w:type="dxa"/>
          </w:tcPr>
          <w:p>
            <w:pPr>
              <w:pStyle w:val="yTableNAm"/>
              <w:keepNext/>
              <w:tabs>
                <w:tab w:val="clear" w:pos="567"/>
                <w:tab w:val="left" w:pos="601"/>
                <w:tab w:val="right" w:leader="dot" w:pos="4253"/>
              </w:tabs>
              <w:ind w:left="601" w:hanging="601"/>
              <w:rPr>
                <w:szCs w:val="22"/>
              </w:rPr>
            </w:pPr>
          </w:p>
        </w:tc>
        <w:tc>
          <w:tcPr>
            <w:tcW w:w="4678" w:type="dxa"/>
          </w:tcPr>
          <w:p>
            <w:pPr>
              <w:pStyle w:val="yTableNAm"/>
              <w:keepNext/>
              <w:tabs>
                <w:tab w:val="clear" w:pos="567"/>
                <w:tab w:val="left" w:pos="459"/>
                <w:tab w:val="right" w:leader="dot" w:pos="4253"/>
                <w:tab w:val="right" w:leader="dot" w:pos="4536"/>
              </w:tabs>
              <w:ind w:left="459" w:hanging="459"/>
              <w:rPr>
                <w:szCs w:val="22"/>
              </w:rPr>
            </w:pPr>
            <w:r>
              <w:rPr>
                <w:szCs w:val="22"/>
              </w:rPr>
              <w:t>(2)</w:t>
            </w:r>
            <w:r>
              <w:rPr>
                <w:szCs w:val="22"/>
              </w:rPr>
              <w:tab/>
              <w:t>Country (according to the non</w:t>
            </w:r>
            <w:r>
              <w:rPr>
                <w:szCs w:val="22"/>
              </w:rPr>
              <w:noBreakHyphen/>
              <w:t>residential classification of the town/area in which that property is situated, as set out in Schedule 10) —</w:t>
            </w:r>
          </w:p>
        </w:tc>
        <w:tc>
          <w:tcPr>
            <w:tcW w:w="1417" w:type="dxa"/>
          </w:tcPr>
          <w:p>
            <w:pPr>
              <w:pStyle w:val="yTableNAm"/>
              <w:keepNext/>
              <w:tabs>
                <w:tab w:val="right" w:leader="dot" w:pos="4253"/>
              </w:tabs>
              <w:rPr>
                <w:szCs w:val="22"/>
              </w:rPr>
            </w:pPr>
          </w:p>
        </w:tc>
      </w:tr>
    </w:tbl>
    <w:p>
      <w:pPr>
        <w:pStyle w:val="yMiscellaneousBody"/>
        <w:spacing w:before="0"/>
      </w:pPr>
    </w:p>
    <w:tbl>
      <w:tblPr>
        <w:tblW w:w="6520" w:type="dxa"/>
        <w:tblInd w:w="454" w:type="dxa"/>
        <w:tblLayout w:type="fixed"/>
        <w:tblCellMar>
          <w:left w:w="28" w:type="dxa"/>
          <w:right w:w="28" w:type="dxa"/>
        </w:tblCellMar>
        <w:tblLook w:val="0000" w:firstRow="0" w:lastRow="0" w:firstColumn="0" w:lastColumn="0" w:noHBand="0" w:noVBand="0"/>
      </w:tblPr>
      <w:tblGrid>
        <w:gridCol w:w="2409"/>
        <w:gridCol w:w="2055"/>
        <w:gridCol w:w="2056"/>
      </w:tblGrid>
      <w:tr>
        <w:trPr>
          <w:cantSplit/>
          <w:trHeight w:val="217"/>
          <w:tblHeader/>
        </w:trPr>
        <w:tc>
          <w:tcPr>
            <w:tcW w:w="2409" w:type="dxa"/>
            <w:vMerge w:val="restart"/>
            <w:tcBorders>
              <w:top w:val="single" w:sz="4" w:space="0" w:color="auto"/>
            </w:tcBorders>
          </w:tcPr>
          <w:p>
            <w:pPr>
              <w:pStyle w:val="yTableNAm"/>
              <w:jc w:val="center"/>
              <w:rPr>
                <w:b/>
                <w:bCs/>
              </w:rPr>
            </w:pPr>
            <w:r>
              <w:rPr>
                <w:b/>
                <w:bCs/>
              </w:rPr>
              <w:t>Class</w:t>
            </w:r>
          </w:p>
        </w:tc>
        <w:tc>
          <w:tcPr>
            <w:tcW w:w="4111" w:type="dxa"/>
            <w:gridSpan w:val="2"/>
            <w:tcBorders>
              <w:top w:val="single" w:sz="4" w:space="0" w:color="auto"/>
            </w:tcBorders>
          </w:tcPr>
          <w:p>
            <w:pPr>
              <w:pStyle w:val="yTableNAm"/>
              <w:jc w:val="center"/>
              <w:rPr>
                <w:b/>
                <w:bCs/>
              </w:rPr>
            </w:pPr>
            <w:r>
              <w:rPr>
                <w:b/>
                <w:bCs/>
              </w:rPr>
              <w:t>Consumption (kL)</w:t>
            </w:r>
          </w:p>
        </w:tc>
      </w:tr>
      <w:tr>
        <w:trPr>
          <w:cantSplit/>
          <w:trHeight w:val="217"/>
          <w:tblHeader/>
        </w:trPr>
        <w:tc>
          <w:tcPr>
            <w:tcW w:w="2409" w:type="dxa"/>
            <w:vMerge/>
            <w:tcBorders>
              <w:bottom w:val="single" w:sz="4" w:space="0" w:color="auto"/>
            </w:tcBorders>
          </w:tcPr>
          <w:p>
            <w:pPr>
              <w:pStyle w:val="yTableNAm"/>
              <w:rPr>
                <w:b/>
                <w:bCs/>
              </w:rPr>
            </w:pPr>
          </w:p>
        </w:tc>
        <w:tc>
          <w:tcPr>
            <w:tcW w:w="2055" w:type="dxa"/>
            <w:tcBorders>
              <w:bottom w:val="single" w:sz="4" w:space="0" w:color="auto"/>
            </w:tcBorders>
          </w:tcPr>
          <w:p>
            <w:pPr>
              <w:pStyle w:val="yTableNAm"/>
              <w:jc w:val="center"/>
              <w:rPr>
                <w:b/>
                <w:bCs/>
              </w:rPr>
            </w:pPr>
            <w:r>
              <w:rPr>
                <w:b/>
                <w:bCs/>
              </w:rPr>
              <w:t>Up to 300</w:t>
            </w:r>
          </w:p>
        </w:tc>
        <w:tc>
          <w:tcPr>
            <w:tcW w:w="2056" w:type="dxa"/>
            <w:tcBorders>
              <w:bottom w:val="single" w:sz="4" w:space="0" w:color="auto"/>
            </w:tcBorders>
          </w:tcPr>
          <w:p>
            <w:pPr>
              <w:pStyle w:val="yTableNAm"/>
              <w:jc w:val="center"/>
              <w:rPr>
                <w:b/>
                <w:bCs/>
              </w:rPr>
            </w:pPr>
            <w:r>
              <w:rPr>
                <w:b/>
                <w:bCs/>
              </w:rPr>
              <w:t>Over 300</w:t>
            </w:r>
          </w:p>
        </w:tc>
      </w:tr>
      <w:tr>
        <w:tc>
          <w:tcPr>
            <w:tcW w:w="2409" w:type="dxa"/>
            <w:tcBorders>
              <w:top w:val="single" w:sz="4" w:space="0" w:color="auto"/>
            </w:tcBorders>
          </w:tcPr>
          <w:p>
            <w:pPr>
              <w:pStyle w:val="yTableNAm"/>
            </w:pPr>
            <w:r>
              <w:t>Class 1 (c/kL)</w:t>
            </w:r>
          </w:p>
        </w:tc>
        <w:tc>
          <w:tcPr>
            <w:tcW w:w="2055" w:type="dxa"/>
            <w:tcBorders>
              <w:top w:val="single" w:sz="4" w:space="0" w:color="auto"/>
            </w:tcBorders>
            <w:vAlign w:val="bottom"/>
          </w:tcPr>
          <w:p>
            <w:pPr>
              <w:pStyle w:val="yTableNAm"/>
              <w:jc w:val="center"/>
            </w:pPr>
            <w:r>
              <w:t>174.7</w:t>
            </w:r>
          </w:p>
        </w:tc>
        <w:tc>
          <w:tcPr>
            <w:tcW w:w="2056" w:type="dxa"/>
            <w:tcBorders>
              <w:top w:val="single" w:sz="4" w:space="0" w:color="auto"/>
            </w:tcBorders>
            <w:vAlign w:val="bottom"/>
          </w:tcPr>
          <w:p>
            <w:pPr>
              <w:pStyle w:val="yTableNAm"/>
              <w:jc w:val="center"/>
            </w:pPr>
            <w:r>
              <w:t>192.6</w:t>
            </w:r>
          </w:p>
        </w:tc>
      </w:tr>
      <w:tr>
        <w:tc>
          <w:tcPr>
            <w:tcW w:w="2409" w:type="dxa"/>
          </w:tcPr>
          <w:p>
            <w:pPr>
              <w:pStyle w:val="yTableNAm"/>
            </w:pPr>
            <w:r>
              <w:t>Class 2 (c/kL)</w:t>
            </w:r>
          </w:p>
        </w:tc>
        <w:tc>
          <w:tcPr>
            <w:tcW w:w="2055" w:type="dxa"/>
            <w:vAlign w:val="bottom"/>
          </w:tcPr>
          <w:p>
            <w:pPr>
              <w:pStyle w:val="yTableNAm"/>
              <w:jc w:val="center"/>
            </w:pPr>
            <w:r>
              <w:t>191.6</w:t>
            </w:r>
          </w:p>
        </w:tc>
        <w:tc>
          <w:tcPr>
            <w:tcW w:w="2056" w:type="dxa"/>
            <w:vAlign w:val="bottom"/>
          </w:tcPr>
          <w:p>
            <w:pPr>
              <w:pStyle w:val="yTableNAm"/>
              <w:jc w:val="center"/>
            </w:pPr>
            <w:r>
              <w:t>209.8</w:t>
            </w:r>
          </w:p>
        </w:tc>
      </w:tr>
      <w:tr>
        <w:tc>
          <w:tcPr>
            <w:tcW w:w="2409" w:type="dxa"/>
          </w:tcPr>
          <w:p>
            <w:pPr>
              <w:pStyle w:val="yTableNAm"/>
            </w:pPr>
            <w:r>
              <w:t>Class 3 (c/kL)</w:t>
            </w:r>
          </w:p>
        </w:tc>
        <w:tc>
          <w:tcPr>
            <w:tcW w:w="2055" w:type="dxa"/>
            <w:vAlign w:val="bottom"/>
          </w:tcPr>
          <w:p>
            <w:pPr>
              <w:pStyle w:val="yTableNAm"/>
              <w:jc w:val="center"/>
            </w:pPr>
            <w:r>
              <w:t>209.8</w:t>
            </w:r>
          </w:p>
        </w:tc>
        <w:tc>
          <w:tcPr>
            <w:tcW w:w="2056" w:type="dxa"/>
            <w:vAlign w:val="bottom"/>
          </w:tcPr>
          <w:p>
            <w:pPr>
              <w:pStyle w:val="yTableNAm"/>
              <w:jc w:val="center"/>
            </w:pPr>
            <w:r>
              <w:t>228.2</w:t>
            </w:r>
          </w:p>
        </w:tc>
      </w:tr>
      <w:tr>
        <w:tc>
          <w:tcPr>
            <w:tcW w:w="2409" w:type="dxa"/>
          </w:tcPr>
          <w:p>
            <w:pPr>
              <w:pStyle w:val="yTableNAm"/>
            </w:pPr>
            <w:r>
              <w:t>Class 4 (c/kL)</w:t>
            </w:r>
          </w:p>
        </w:tc>
        <w:tc>
          <w:tcPr>
            <w:tcW w:w="2055" w:type="dxa"/>
            <w:vAlign w:val="bottom"/>
          </w:tcPr>
          <w:p>
            <w:pPr>
              <w:pStyle w:val="yTableNAm"/>
              <w:jc w:val="center"/>
            </w:pPr>
            <w:r>
              <w:t>230.0</w:t>
            </w:r>
          </w:p>
        </w:tc>
        <w:tc>
          <w:tcPr>
            <w:tcW w:w="2056" w:type="dxa"/>
            <w:vAlign w:val="bottom"/>
          </w:tcPr>
          <w:p>
            <w:pPr>
              <w:pStyle w:val="yTableNAm"/>
              <w:jc w:val="center"/>
            </w:pPr>
            <w:r>
              <w:t>248.6</w:t>
            </w:r>
          </w:p>
        </w:tc>
      </w:tr>
      <w:tr>
        <w:tc>
          <w:tcPr>
            <w:tcW w:w="2409" w:type="dxa"/>
          </w:tcPr>
          <w:p>
            <w:pPr>
              <w:pStyle w:val="yTableNAm"/>
            </w:pPr>
            <w:r>
              <w:t>Class 5 (c/kL)</w:t>
            </w:r>
          </w:p>
        </w:tc>
        <w:tc>
          <w:tcPr>
            <w:tcW w:w="2055" w:type="dxa"/>
            <w:vAlign w:val="bottom"/>
          </w:tcPr>
          <w:p>
            <w:pPr>
              <w:pStyle w:val="yTableNAm"/>
              <w:jc w:val="center"/>
            </w:pPr>
            <w:r>
              <w:t>252.2</w:t>
            </w:r>
          </w:p>
        </w:tc>
        <w:tc>
          <w:tcPr>
            <w:tcW w:w="2056" w:type="dxa"/>
            <w:vAlign w:val="bottom"/>
          </w:tcPr>
          <w:p>
            <w:pPr>
              <w:pStyle w:val="yTableNAm"/>
              <w:jc w:val="center"/>
            </w:pPr>
            <w:r>
              <w:t>270.7</w:t>
            </w:r>
          </w:p>
        </w:tc>
      </w:tr>
      <w:tr>
        <w:tc>
          <w:tcPr>
            <w:tcW w:w="2409" w:type="dxa"/>
          </w:tcPr>
          <w:p>
            <w:pPr>
              <w:pStyle w:val="yTableNAm"/>
            </w:pPr>
            <w:r>
              <w:t>Class 6 (c/kL)</w:t>
            </w:r>
          </w:p>
        </w:tc>
        <w:tc>
          <w:tcPr>
            <w:tcW w:w="2055" w:type="dxa"/>
            <w:vAlign w:val="bottom"/>
          </w:tcPr>
          <w:p>
            <w:pPr>
              <w:pStyle w:val="yTableNAm"/>
              <w:jc w:val="center"/>
            </w:pPr>
            <w:r>
              <w:t>274.4</w:t>
            </w:r>
          </w:p>
        </w:tc>
        <w:tc>
          <w:tcPr>
            <w:tcW w:w="2056" w:type="dxa"/>
            <w:vAlign w:val="bottom"/>
          </w:tcPr>
          <w:p>
            <w:pPr>
              <w:pStyle w:val="yTableNAm"/>
              <w:jc w:val="center"/>
            </w:pPr>
            <w:r>
              <w:t>294.8</w:t>
            </w:r>
          </w:p>
        </w:tc>
      </w:tr>
      <w:tr>
        <w:tc>
          <w:tcPr>
            <w:tcW w:w="2409" w:type="dxa"/>
          </w:tcPr>
          <w:p>
            <w:pPr>
              <w:pStyle w:val="yTableNAm"/>
            </w:pPr>
            <w:r>
              <w:t>Class 7 (c/kL)</w:t>
            </w:r>
          </w:p>
        </w:tc>
        <w:tc>
          <w:tcPr>
            <w:tcW w:w="2055" w:type="dxa"/>
            <w:vAlign w:val="bottom"/>
          </w:tcPr>
          <w:p>
            <w:pPr>
              <w:pStyle w:val="yTableNAm"/>
              <w:jc w:val="center"/>
            </w:pPr>
            <w:r>
              <w:t>298.6</w:t>
            </w:r>
          </w:p>
        </w:tc>
        <w:tc>
          <w:tcPr>
            <w:tcW w:w="2056" w:type="dxa"/>
            <w:vAlign w:val="bottom"/>
          </w:tcPr>
          <w:p>
            <w:pPr>
              <w:pStyle w:val="yTableNAm"/>
              <w:jc w:val="center"/>
            </w:pPr>
            <w:r>
              <w:t>321.1</w:t>
            </w:r>
          </w:p>
        </w:tc>
      </w:tr>
      <w:tr>
        <w:tc>
          <w:tcPr>
            <w:tcW w:w="2409" w:type="dxa"/>
          </w:tcPr>
          <w:p>
            <w:pPr>
              <w:pStyle w:val="yTableNAm"/>
            </w:pPr>
            <w:r>
              <w:t>Class 8 (c/kL)</w:t>
            </w:r>
          </w:p>
        </w:tc>
        <w:tc>
          <w:tcPr>
            <w:tcW w:w="2055" w:type="dxa"/>
            <w:vAlign w:val="bottom"/>
          </w:tcPr>
          <w:p>
            <w:pPr>
              <w:pStyle w:val="yTableNAm"/>
              <w:jc w:val="center"/>
            </w:pPr>
            <w:r>
              <w:t>324.2</w:t>
            </w:r>
          </w:p>
        </w:tc>
        <w:tc>
          <w:tcPr>
            <w:tcW w:w="2056" w:type="dxa"/>
            <w:vAlign w:val="bottom"/>
          </w:tcPr>
          <w:p>
            <w:pPr>
              <w:pStyle w:val="yTableNAm"/>
              <w:jc w:val="center"/>
            </w:pPr>
            <w:r>
              <w:t>349.6</w:t>
            </w:r>
          </w:p>
        </w:tc>
      </w:tr>
      <w:tr>
        <w:tc>
          <w:tcPr>
            <w:tcW w:w="2409" w:type="dxa"/>
          </w:tcPr>
          <w:p>
            <w:pPr>
              <w:pStyle w:val="yTableNAm"/>
            </w:pPr>
            <w:r>
              <w:t>Class 9 (c/kL)</w:t>
            </w:r>
          </w:p>
        </w:tc>
        <w:tc>
          <w:tcPr>
            <w:tcW w:w="2055" w:type="dxa"/>
            <w:vAlign w:val="bottom"/>
          </w:tcPr>
          <w:p>
            <w:pPr>
              <w:pStyle w:val="yTableNAm"/>
              <w:jc w:val="center"/>
            </w:pPr>
            <w:r>
              <w:t>352.0</w:t>
            </w:r>
          </w:p>
        </w:tc>
        <w:tc>
          <w:tcPr>
            <w:tcW w:w="2056" w:type="dxa"/>
            <w:vAlign w:val="bottom"/>
          </w:tcPr>
          <w:p>
            <w:pPr>
              <w:pStyle w:val="yTableNAm"/>
              <w:jc w:val="center"/>
            </w:pPr>
            <w:r>
              <w:t>380.7</w:t>
            </w:r>
          </w:p>
        </w:tc>
      </w:tr>
      <w:tr>
        <w:tc>
          <w:tcPr>
            <w:tcW w:w="2409" w:type="dxa"/>
          </w:tcPr>
          <w:p>
            <w:pPr>
              <w:pStyle w:val="yTableNAm"/>
            </w:pPr>
            <w:r>
              <w:t>Class 10 (c/kL)</w:t>
            </w:r>
          </w:p>
        </w:tc>
        <w:tc>
          <w:tcPr>
            <w:tcW w:w="2055" w:type="dxa"/>
            <w:vAlign w:val="bottom"/>
          </w:tcPr>
          <w:p>
            <w:pPr>
              <w:pStyle w:val="yTableNAm"/>
              <w:jc w:val="center"/>
            </w:pPr>
            <w:r>
              <w:t>379.0</w:t>
            </w:r>
          </w:p>
        </w:tc>
        <w:tc>
          <w:tcPr>
            <w:tcW w:w="2056" w:type="dxa"/>
            <w:vAlign w:val="bottom"/>
          </w:tcPr>
          <w:p>
            <w:pPr>
              <w:pStyle w:val="yTableNAm"/>
              <w:jc w:val="center"/>
            </w:pPr>
            <w:r>
              <w:t>414.6</w:t>
            </w:r>
          </w:p>
        </w:tc>
      </w:tr>
      <w:tr>
        <w:tc>
          <w:tcPr>
            <w:tcW w:w="2409" w:type="dxa"/>
          </w:tcPr>
          <w:p>
            <w:pPr>
              <w:pStyle w:val="yTableNAm"/>
            </w:pPr>
            <w:r>
              <w:t>Class 11 (c/kL)</w:t>
            </w:r>
          </w:p>
        </w:tc>
        <w:tc>
          <w:tcPr>
            <w:tcW w:w="2055" w:type="dxa"/>
            <w:vAlign w:val="bottom"/>
          </w:tcPr>
          <w:p>
            <w:pPr>
              <w:pStyle w:val="yTableNAm"/>
              <w:jc w:val="center"/>
            </w:pPr>
            <w:r>
              <w:t>413.5</w:t>
            </w:r>
          </w:p>
        </w:tc>
        <w:tc>
          <w:tcPr>
            <w:tcW w:w="2056" w:type="dxa"/>
            <w:vAlign w:val="bottom"/>
          </w:tcPr>
          <w:p>
            <w:pPr>
              <w:pStyle w:val="yTableNAm"/>
              <w:jc w:val="center"/>
            </w:pPr>
            <w:r>
              <w:t>451.4</w:t>
            </w:r>
          </w:p>
        </w:tc>
      </w:tr>
      <w:tr>
        <w:tc>
          <w:tcPr>
            <w:tcW w:w="2409" w:type="dxa"/>
          </w:tcPr>
          <w:p>
            <w:pPr>
              <w:pStyle w:val="yTableNAm"/>
            </w:pPr>
            <w:r>
              <w:t>Class 12 (c/kL)</w:t>
            </w:r>
          </w:p>
        </w:tc>
        <w:tc>
          <w:tcPr>
            <w:tcW w:w="2055" w:type="dxa"/>
            <w:vAlign w:val="bottom"/>
          </w:tcPr>
          <w:p>
            <w:pPr>
              <w:pStyle w:val="yTableNAm"/>
              <w:jc w:val="center"/>
            </w:pPr>
            <w:r>
              <w:t>451.3</w:t>
            </w:r>
          </w:p>
        </w:tc>
        <w:tc>
          <w:tcPr>
            <w:tcW w:w="2056" w:type="dxa"/>
            <w:vAlign w:val="bottom"/>
          </w:tcPr>
          <w:p>
            <w:pPr>
              <w:pStyle w:val="yTableNAm"/>
              <w:jc w:val="center"/>
            </w:pPr>
            <w:r>
              <w:t>491.6</w:t>
            </w:r>
          </w:p>
        </w:tc>
      </w:tr>
      <w:tr>
        <w:tc>
          <w:tcPr>
            <w:tcW w:w="2409" w:type="dxa"/>
          </w:tcPr>
          <w:p>
            <w:pPr>
              <w:pStyle w:val="yTableNAm"/>
            </w:pPr>
            <w:r>
              <w:t>Class 13 (c/kL)</w:t>
            </w:r>
          </w:p>
        </w:tc>
        <w:tc>
          <w:tcPr>
            <w:tcW w:w="2055" w:type="dxa"/>
            <w:vAlign w:val="bottom"/>
          </w:tcPr>
          <w:p>
            <w:pPr>
              <w:pStyle w:val="yTableNAm"/>
              <w:jc w:val="center"/>
            </w:pPr>
            <w:r>
              <w:t>492.4</w:t>
            </w:r>
          </w:p>
        </w:tc>
        <w:tc>
          <w:tcPr>
            <w:tcW w:w="2056" w:type="dxa"/>
            <w:vAlign w:val="bottom"/>
          </w:tcPr>
          <w:p>
            <w:pPr>
              <w:pStyle w:val="yTableNAm"/>
              <w:jc w:val="center"/>
            </w:pPr>
            <w:r>
              <w:t>535.3</w:t>
            </w:r>
          </w:p>
        </w:tc>
      </w:tr>
      <w:tr>
        <w:tc>
          <w:tcPr>
            <w:tcW w:w="2409" w:type="dxa"/>
          </w:tcPr>
          <w:p>
            <w:pPr>
              <w:pStyle w:val="yTableNAm"/>
            </w:pPr>
            <w:r>
              <w:t>Class 14 (c/kL)</w:t>
            </w:r>
          </w:p>
        </w:tc>
        <w:tc>
          <w:tcPr>
            <w:tcW w:w="2055" w:type="dxa"/>
            <w:vAlign w:val="bottom"/>
          </w:tcPr>
          <w:p>
            <w:pPr>
              <w:pStyle w:val="yTableNAm"/>
              <w:jc w:val="center"/>
            </w:pPr>
            <w:r>
              <w:t>537.3</w:t>
            </w:r>
          </w:p>
        </w:tc>
        <w:tc>
          <w:tcPr>
            <w:tcW w:w="2056" w:type="dxa"/>
            <w:vAlign w:val="bottom"/>
          </w:tcPr>
          <w:p>
            <w:pPr>
              <w:pStyle w:val="yTableNAm"/>
              <w:jc w:val="center"/>
            </w:pPr>
            <w:r>
              <w:t>582.9</w:t>
            </w:r>
          </w:p>
        </w:tc>
      </w:tr>
      <w:tr>
        <w:tc>
          <w:tcPr>
            <w:tcW w:w="2409" w:type="dxa"/>
            <w:tcBorders>
              <w:bottom w:val="single" w:sz="4" w:space="0" w:color="auto"/>
            </w:tcBorders>
          </w:tcPr>
          <w:p>
            <w:pPr>
              <w:pStyle w:val="yTableNAm"/>
            </w:pPr>
            <w:r>
              <w:t>Class 15 (c/kL)</w:t>
            </w:r>
          </w:p>
        </w:tc>
        <w:tc>
          <w:tcPr>
            <w:tcW w:w="2055" w:type="dxa"/>
            <w:tcBorders>
              <w:bottom w:val="single" w:sz="4" w:space="0" w:color="auto"/>
            </w:tcBorders>
            <w:vAlign w:val="bottom"/>
          </w:tcPr>
          <w:p>
            <w:pPr>
              <w:pStyle w:val="yTableNAm"/>
              <w:jc w:val="center"/>
            </w:pPr>
            <w:r>
              <w:t>586.2</w:t>
            </w:r>
          </w:p>
        </w:tc>
        <w:tc>
          <w:tcPr>
            <w:tcW w:w="2056" w:type="dxa"/>
            <w:tcBorders>
              <w:bottom w:val="single" w:sz="4" w:space="0" w:color="auto"/>
            </w:tcBorders>
            <w:vAlign w:val="bottom"/>
          </w:tcPr>
          <w:p>
            <w:pPr>
              <w:pStyle w:val="yTableNAm"/>
              <w:jc w:val="center"/>
            </w:pPr>
            <w:r>
              <w:t>634.7</w:t>
            </w:r>
          </w:p>
        </w:tc>
      </w:tr>
    </w:tbl>
    <w:p>
      <w:pPr>
        <w:pStyle w:val="yFootnotesection"/>
      </w:pPr>
      <w:r>
        <w:tab/>
        <w:t>[Schedule 8 inserted in Gazette 20 Jun 2012 p. 2753</w:t>
      </w:r>
      <w:r>
        <w:noBreakHyphen/>
        <w:t>4.]</w:t>
      </w:r>
    </w:p>
    <w:bookmarkEnd w:id="850"/>
    <w:bookmarkEnd w:id="851"/>
    <w:p>
      <w:pPr>
        <w:tabs>
          <w:tab w:val="left" w:pos="416"/>
          <w:tab w:val="left" w:pos="697"/>
          <w:tab w:val="left" w:pos="776"/>
          <w:tab w:val="left" w:pos="840"/>
          <w:tab w:val="left" w:pos="896"/>
          <w:tab w:val="left" w:pos="1016"/>
          <w:tab w:val="left" w:pos="1057"/>
          <w:tab w:val="decimal" w:pos="1172"/>
          <w:tab w:val="right" w:pos="1212"/>
          <w:tab w:val="left" w:pos="1452"/>
          <w:tab w:val="left" w:pos="1856"/>
          <w:tab w:val="left" w:leader="dot" w:pos="4212"/>
          <w:tab w:val="right" w:leader="dot" w:pos="4253"/>
          <w:tab w:val="left" w:leader="dot" w:pos="4584"/>
          <w:tab w:val="left" w:pos="5387"/>
        </w:tabs>
        <w:spacing w:before="180"/>
        <w:ind w:left="896" w:right="116" w:hanging="896"/>
        <w:rPr>
          <w:b/>
          <w:bCs/>
        </w:rPr>
        <w:sectPr>
          <w:headerReference w:type="even" r:id="rId25"/>
          <w:pgSz w:w="11907" w:h="16840" w:code="9"/>
          <w:pgMar w:top="2604" w:right="2405" w:bottom="3542" w:left="2405" w:header="706" w:footer="3380" w:gutter="0"/>
          <w:cols w:space="720"/>
          <w:noEndnote/>
          <w:docGrid w:linePitch="326"/>
        </w:sectPr>
      </w:pPr>
    </w:p>
    <w:p>
      <w:pPr>
        <w:pStyle w:val="yScheduleHeading"/>
      </w:pPr>
      <w:bookmarkStart w:id="852" w:name="_Toc84428019"/>
      <w:bookmarkStart w:id="853" w:name="_Toc328471513"/>
      <w:bookmarkStart w:id="854" w:name="_Toc265743692"/>
      <w:bookmarkStart w:id="855" w:name="_Toc297540809"/>
      <w:bookmarkStart w:id="856" w:name="_Toc297541237"/>
      <w:bookmarkEnd w:id="839"/>
      <w:bookmarkEnd w:id="840"/>
      <w:bookmarkEnd w:id="841"/>
      <w:bookmarkEnd w:id="842"/>
      <w:bookmarkEnd w:id="843"/>
      <w:bookmarkEnd w:id="844"/>
      <w:r>
        <w:rPr>
          <w:rStyle w:val="CharSchNo"/>
        </w:rPr>
        <w:t>Schedule 9</w:t>
      </w:r>
      <w:r>
        <w:rPr>
          <w:rStyle w:val="CharSDivNo"/>
        </w:rPr>
        <w:t> </w:t>
      </w:r>
      <w:r>
        <w:t>—</w:t>
      </w:r>
      <w:r>
        <w:rPr>
          <w:rStyle w:val="CharSDivText"/>
        </w:rPr>
        <w:t> </w:t>
      </w:r>
      <w:r>
        <w:rPr>
          <w:rStyle w:val="CharSchText"/>
        </w:rPr>
        <w:t>Classification of towns/areas for the purpose of determining quantity charges in the previous year</w:t>
      </w:r>
      <w:bookmarkEnd w:id="852"/>
      <w:bookmarkEnd w:id="853"/>
    </w:p>
    <w:p>
      <w:pPr>
        <w:pStyle w:val="yShoulderClause"/>
      </w:pPr>
      <w:r>
        <w:t>[bl. 17D(3)]</w:t>
      </w:r>
    </w:p>
    <w:p>
      <w:pPr>
        <w:pStyle w:val="yFootnoteheading"/>
        <w:spacing w:after="60"/>
      </w:pPr>
      <w:r>
        <w:tab/>
        <w:t>[Heading inserted in Gazette 20 Jun 2012 p. 2755.]</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00"/>
        <w:gridCol w:w="1800"/>
      </w:tblGrid>
      <w:tr>
        <w:trPr>
          <w:tblHeader/>
        </w:trPr>
        <w:tc>
          <w:tcPr>
            <w:tcW w:w="2920" w:type="dxa"/>
            <w:tcBorders>
              <w:top w:val="single" w:sz="4" w:space="0" w:color="auto"/>
              <w:left w:val="nil"/>
              <w:bottom w:val="single" w:sz="4" w:space="0" w:color="auto"/>
              <w:right w:val="nil"/>
            </w:tcBorders>
          </w:tcPr>
          <w:p>
            <w:pPr>
              <w:pStyle w:val="yTableNAm"/>
              <w:jc w:val="center"/>
              <w:rPr>
                <w:b/>
                <w:bCs/>
              </w:rPr>
            </w:pPr>
            <w:r>
              <w:rPr>
                <w:b/>
                <w:bCs/>
              </w:rPr>
              <w:t>Town/area</w:t>
            </w:r>
          </w:p>
        </w:tc>
        <w:tc>
          <w:tcPr>
            <w:tcW w:w="1800" w:type="dxa"/>
            <w:tcBorders>
              <w:top w:val="single" w:sz="4" w:space="0" w:color="auto"/>
              <w:left w:val="nil"/>
              <w:bottom w:val="single" w:sz="4" w:space="0" w:color="auto"/>
              <w:right w:val="nil"/>
            </w:tcBorders>
          </w:tcPr>
          <w:p>
            <w:pPr>
              <w:pStyle w:val="yTableNAm"/>
              <w:jc w:val="center"/>
              <w:rPr>
                <w:b/>
                <w:bCs/>
              </w:rPr>
            </w:pPr>
            <w:r>
              <w:rPr>
                <w:b/>
                <w:bCs/>
              </w:rPr>
              <w:t>Residential classification</w:t>
            </w:r>
          </w:p>
        </w:tc>
        <w:tc>
          <w:tcPr>
            <w:tcW w:w="1800" w:type="dxa"/>
            <w:tcBorders>
              <w:top w:val="single" w:sz="4" w:space="0" w:color="auto"/>
              <w:left w:val="nil"/>
              <w:bottom w:val="single" w:sz="4" w:space="0" w:color="auto"/>
              <w:right w:val="nil"/>
            </w:tcBorders>
          </w:tcPr>
          <w:p>
            <w:pPr>
              <w:pStyle w:val="yTableNAm"/>
              <w:jc w:val="center"/>
              <w:rPr>
                <w:b/>
                <w:bCs/>
              </w:rPr>
            </w:pPr>
            <w:r>
              <w:rPr>
                <w:b/>
                <w:bCs/>
              </w:rPr>
              <w:t>Non</w:t>
            </w:r>
            <w:r>
              <w:rPr>
                <w:b/>
                <w:bCs/>
              </w:rPr>
              <w:noBreakHyphen/>
              <w:t>residential classification</w:t>
            </w:r>
          </w:p>
        </w:tc>
      </w:tr>
      <w:tr>
        <w:tc>
          <w:tcPr>
            <w:tcW w:w="2920" w:type="dxa"/>
            <w:tcBorders>
              <w:top w:val="single" w:sz="4" w:space="0" w:color="auto"/>
              <w:left w:val="nil"/>
              <w:bottom w:val="nil"/>
              <w:right w:val="nil"/>
            </w:tcBorders>
            <w:vAlign w:val="center"/>
          </w:tcPr>
          <w:p>
            <w:pPr>
              <w:pStyle w:val="yTableNAm"/>
              <w:rPr>
                <w:szCs w:val="22"/>
              </w:rPr>
            </w:pPr>
            <w:r>
              <w:rPr>
                <w:szCs w:val="22"/>
              </w:rPr>
              <w:t>Albany</w:t>
            </w:r>
          </w:p>
        </w:tc>
        <w:tc>
          <w:tcPr>
            <w:tcW w:w="1800" w:type="dxa"/>
            <w:tcBorders>
              <w:top w:val="single" w:sz="4" w:space="0" w:color="auto"/>
              <w:left w:val="nil"/>
              <w:bottom w:val="nil"/>
              <w:right w:val="nil"/>
            </w:tcBorders>
            <w:vAlign w:val="bottom"/>
          </w:tcPr>
          <w:p>
            <w:pPr>
              <w:pStyle w:val="yTableNAm"/>
              <w:jc w:val="center"/>
              <w:rPr>
                <w:szCs w:val="22"/>
              </w:rPr>
            </w:pPr>
            <w:r>
              <w:rPr>
                <w:szCs w:val="22"/>
              </w:rPr>
              <w:t>3</w:t>
            </w:r>
          </w:p>
        </w:tc>
        <w:tc>
          <w:tcPr>
            <w:tcW w:w="1800" w:type="dxa"/>
            <w:tcBorders>
              <w:top w:val="single" w:sz="4" w:space="0" w:color="auto"/>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Albany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Allanooka Farmlands</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Allanson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Arrino</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Arrowsmith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Augusta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Australind/Eaton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Badgingarra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Bakers Hill</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Balingup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Ballidu</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Beacon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Bencubbin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Beverley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Bindi Bindi</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Bindoon/Chittering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Binningup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Bodallin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Boddington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Bolgart</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Borden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Boyanup</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Boyup Brook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Bremer Bay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Bridgetown/Hester</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Broad Arrow</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Brookton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Broome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Broomehill</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Bruce Rock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Brunswick/Burekup/Roelands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Bullaring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Bullfinch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Bunjil</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Buntine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Burracoppin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Calingiri</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Camballin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Capel</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Carnamah</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Carnarvon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Caron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Cervantes</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Collie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Collie Farmlands</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Condingup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Coolgardie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Coomberdale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Coorow</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Coral Bay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N/A</w:t>
            </w:r>
          </w:p>
        </w:tc>
      </w:tr>
      <w:tr>
        <w:tc>
          <w:tcPr>
            <w:tcW w:w="2920" w:type="dxa"/>
            <w:tcBorders>
              <w:top w:val="nil"/>
              <w:left w:val="nil"/>
              <w:bottom w:val="nil"/>
              <w:right w:val="nil"/>
            </w:tcBorders>
            <w:vAlign w:val="center"/>
          </w:tcPr>
          <w:p>
            <w:pPr>
              <w:pStyle w:val="yTableNAm"/>
              <w:rPr>
                <w:szCs w:val="22"/>
              </w:rPr>
            </w:pPr>
            <w:r>
              <w:rPr>
                <w:szCs w:val="22"/>
              </w:rPr>
              <w:t>Corrigin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Cowaramup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Cranbrook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Cuballing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Cue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Cunderdin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Dalwallinu</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Dalyellup</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Dandaragan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tcPr>
          <w:p>
            <w:pPr>
              <w:pStyle w:val="yTableNAm"/>
              <w:rPr>
                <w:szCs w:val="22"/>
              </w:rPr>
            </w:pPr>
            <w:r>
              <w:rPr>
                <w:szCs w:val="22"/>
              </w:rPr>
              <w:t>Dardanup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Darkan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Dathagnoorara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Denham (Saline)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Denmark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Derby</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Dongara/Denison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Donnybrook</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Doodlakine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Dowerin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Dudinin/Harrismith/Jitarning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Dumbleyung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Dunsborough/Yallingup</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Dwellingup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Eneabba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Eradu</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Esperance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Exmouth</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Fitzroy Crossing</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Frankland</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Gabbadah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Gascoyne Junction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Geraldton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Gibson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Gingin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Gnarabup</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Gnowangerup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Goomalling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Grass Patch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Grass Valley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Greenbushes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Greenhead</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Guilderton</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8</w:t>
            </w:r>
          </w:p>
        </w:tc>
      </w:tr>
      <w:tr>
        <w:tc>
          <w:tcPr>
            <w:tcW w:w="2920" w:type="dxa"/>
            <w:tcBorders>
              <w:top w:val="nil"/>
              <w:left w:val="nil"/>
              <w:bottom w:val="nil"/>
              <w:right w:val="nil"/>
            </w:tcBorders>
            <w:vAlign w:val="center"/>
          </w:tcPr>
          <w:p>
            <w:pPr>
              <w:pStyle w:val="yTableNAm"/>
              <w:rPr>
                <w:szCs w:val="22"/>
              </w:rPr>
            </w:pPr>
            <w:r>
              <w:rPr>
                <w:szCs w:val="22"/>
              </w:rPr>
              <w:t>Halls Creek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Hamel/Waroona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Harvey/Wokalup</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Highbury/Piesseville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Hines Hill</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Hopetoun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Horrocks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Hyden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Jerramungup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Jurien Bay</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Kalannie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Kalbarri</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2</w:t>
            </w:r>
          </w:p>
        </w:tc>
      </w:tr>
      <w:tr>
        <w:tc>
          <w:tcPr>
            <w:tcW w:w="2920" w:type="dxa"/>
            <w:tcBorders>
              <w:top w:val="nil"/>
              <w:left w:val="nil"/>
              <w:bottom w:val="nil"/>
              <w:right w:val="nil"/>
            </w:tcBorders>
            <w:vAlign w:val="center"/>
          </w:tcPr>
          <w:p>
            <w:pPr>
              <w:pStyle w:val="yTableNAm"/>
              <w:rPr>
                <w:szCs w:val="22"/>
              </w:rPr>
            </w:pPr>
            <w:r>
              <w:rPr>
                <w:szCs w:val="22"/>
              </w:rPr>
              <w:t>Kalgoorlie/Boulder</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Kambalda</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7</w:t>
            </w:r>
          </w:p>
        </w:tc>
      </w:tr>
      <w:tr>
        <w:tc>
          <w:tcPr>
            <w:tcW w:w="2920" w:type="dxa"/>
            <w:tcBorders>
              <w:top w:val="nil"/>
              <w:left w:val="nil"/>
              <w:bottom w:val="nil"/>
              <w:right w:val="nil"/>
            </w:tcBorders>
            <w:vAlign w:val="center"/>
          </w:tcPr>
          <w:p>
            <w:pPr>
              <w:pStyle w:val="yTableNAm"/>
              <w:rPr>
                <w:szCs w:val="22"/>
              </w:rPr>
            </w:pPr>
            <w:r>
              <w:rPr>
                <w:szCs w:val="22"/>
              </w:rPr>
              <w:t>Karakin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Karlgarin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Karratha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Katanning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Katanning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Kellerberrin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Kendenup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Kendenup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Kirup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Kojonup/Muradup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Kondinin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Koorda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Kukerin/Moulyinning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Kulin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Kununoppin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tcPr>
          <w:p>
            <w:pPr>
              <w:pStyle w:val="yTableNAm"/>
              <w:rPr>
                <w:szCs w:val="22"/>
              </w:rPr>
            </w:pPr>
            <w:r>
              <w:rPr>
                <w:szCs w:val="22"/>
              </w:rPr>
              <w:t>Kununurra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2</w:t>
            </w:r>
          </w:p>
        </w:tc>
      </w:tr>
      <w:tr>
        <w:tc>
          <w:tcPr>
            <w:tcW w:w="2920" w:type="dxa"/>
            <w:tcBorders>
              <w:top w:val="nil"/>
              <w:left w:val="nil"/>
              <w:bottom w:val="nil"/>
              <w:right w:val="nil"/>
            </w:tcBorders>
            <w:vAlign w:val="center"/>
          </w:tcPr>
          <w:p>
            <w:pPr>
              <w:pStyle w:val="yTableNAm"/>
              <w:rPr>
                <w:szCs w:val="22"/>
              </w:rPr>
            </w:pPr>
            <w:r>
              <w:rPr>
                <w:szCs w:val="22"/>
              </w:rPr>
              <w:t>Lake Argyle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Lake Grace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Lake King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Lancelin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Latham</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Laverton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Ledge Point</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Leeman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Leonora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Mandurah</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Manjimup</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Marble Bar</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Margaret River</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Marvel Loch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Meckering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Meekatharra</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Menzies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Merredin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Merredin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Miling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Mingenew</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Moora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Moorine Rock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Morawa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Mount Barker</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Mount Magnet</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Mount Roe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Mukinbudin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Mullalyup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Mullewa</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Mullewa Farmlands</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Munglinup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Muntadgin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Myalup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Nabawa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Nannup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Narembeen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Narngulu</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Narrikup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Narrogin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Narrogin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8</w:t>
            </w:r>
          </w:p>
        </w:tc>
      </w:tr>
      <w:tr>
        <w:tc>
          <w:tcPr>
            <w:tcW w:w="2920" w:type="dxa"/>
            <w:tcBorders>
              <w:top w:val="nil"/>
              <w:left w:val="nil"/>
              <w:bottom w:val="nil"/>
              <w:right w:val="nil"/>
            </w:tcBorders>
            <w:vAlign w:val="center"/>
          </w:tcPr>
          <w:p>
            <w:pPr>
              <w:pStyle w:val="yTableNAm"/>
              <w:rPr>
                <w:szCs w:val="22"/>
              </w:rPr>
            </w:pPr>
            <w:r>
              <w:rPr>
                <w:szCs w:val="22"/>
              </w:rPr>
              <w:t>New Norcia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Newdegate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Newman</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Nilgen</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Norseman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North Dandalup</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Northam</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Northam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Northampton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Northcliffe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Nullagine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Nungarin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Nyabing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Ongerup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Onslow</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Ora Banda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Park Ridge</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Pemberton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Peppermint Grove Beach</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Perenjori</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Pingaring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Pingelly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Pingrup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Pinjarra</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Pithara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Point Samson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Popanyinning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Porongurup</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Porongurup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Port Hedland</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Preston Beach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Quairading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Quinninup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Ravensthorpe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Rocky Gully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Roebourne</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Salmon Gums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Sandstone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Seabird</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South Hedland</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Southern Cross</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8</w:t>
            </w:r>
          </w:p>
        </w:tc>
      </w:tr>
      <w:tr>
        <w:tc>
          <w:tcPr>
            <w:tcW w:w="2920" w:type="dxa"/>
            <w:tcBorders>
              <w:top w:val="nil"/>
              <w:left w:val="nil"/>
              <w:bottom w:val="nil"/>
              <w:right w:val="nil"/>
            </w:tcBorders>
            <w:vAlign w:val="center"/>
          </w:tcPr>
          <w:p>
            <w:pPr>
              <w:pStyle w:val="yTableNAm"/>
              <w:rPr>
                <w:szCs w:val="22"/>
              </w:rPr>
            </w:pPr>
            <w:r>
              <w:rPr>
                <w:szCs w:val="22"/>
              </w:rPr>
              <w:t>Tambellup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Tammin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Three Springs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Tincurrin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Toodyay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Trayning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Varley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Wagin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Walkaway</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Walpole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Wandering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Watheroo</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Wellstead</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Westonia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Wickepin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Wickham</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Widgiemooltha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Williams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Wiluna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Wongan Hills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Woodanilling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Woodridge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Wubin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Wundowie</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Wyalkatchem</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Wyndham</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Yalgoo</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Yarloop/Wagerup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Yealering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Yerecoin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York</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Yuna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bl>
    <w:p>
      <w:pPr>
        <w:pStyle w:val="yFootnotesection"/>
      </w:pPr>
      <w:r>
        <w:tab/>
        <w:t>[Schedule 9 inserted in Gazette 20 Jun 2012 p. 2755</w:t>
      </w:r>
      <w:r>
        <w:noBreakHyphen/>
        <w:t>64.]</w:t>
      </w:r>
    </w:p>
    <w:p>
      <w:pPr>
        <w:pStyle w:val="yScheduleHeading"/>
      </w:pPr>
      <w:bookmarkStart w:id="857" w:name="_Toc84428020"/>
      <w:bookmarkStart w:id="858" w:name="_Toc328403464"/>
      <w:bookmarkStart w:id="859" w:name="_Toc328471514"/>
      <w:bookmarkStart w:id="860" w:name="_Toc297540810"/>
      <w:bookmarkStart w:id="861" w:name="_Toc297541238"/>
      <w:bookmarkEnd w:id="854"/>
      <w:bookmarkEnd w:id="855"/>
      <w:bookmarkEnd w:id="856"/>
      <w:r>
        <w:rPr>
          <w:rStyle w:val="CharSchNo"/>
        </w:rPr>
        <w:t>Schedule 10</w:t>
      </w:r>
      <w:r>
        <w:rPr>
          <w:rStyle w:val="CharSDivNo"/>
        </w:rPr>
        <w:t> </w:t>
      </w:r>
      <w:r>
        <w:t>—</w:t>
      </w:r>
      <w:r>
        <w:rPr>
          <w:rStyle w:val="CharSDivText"/>
        </w:rPr>
        <w:t> </w:t>
      </w:r>
      <w:r>
        <w:rPr>
          <w:rStyle w:val="CharSchText"/>
        </w:rPr>
        <w:t>Classification of towns/areas for the purpose of determining quantity charges in the current year</w:t>
      </w:r>
      <w:bookmarkEnd w:id="857"/>
      <w:bookmarkEnd w:id="858"/>
      <w:bookmarkEnd w:id="859"/>
    </w:p>
    <w:p>
      <w:pPr>
        <w:pStyle w:val="yShoulderClause"/>
      </w:pPr>
      <w:r>
        <w:t>[bl. 17D(3)]</w:t>
      </w:r>
    </w:p>
    <w:p>
      <w:pPr>
        <w:pStyle w:val="yFootnoteheading"/>
        <w:spacing w:after="60"/>
      </w:pPr>
      <w:r>
        <w:tab/>
        <w:t>[Heading inserted in Gazette 20 Jun 2012 p. 2765.]</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00"/>
        <w:gridCol w:w="1800"/>
      </w:tblGrid>
      <w:tr>
        <w:trPr>
          <w:tblHeader/>
        </w:trPr>
        <w:tc>
          <w:tcPr>
            <w:tcW w:w="2920" w:type="dxa"/>
            <w:tcBorders>
              <w:top w:val="single" w:sz="4" w:space="0" w:color="auto"/>
              <w:left w:val="nil"/>
              <w:bottom w:val="single" w:sz="4" w:space="0" w:color="auto"/>
              <w:right w:val="nil"/>
            </w:tcBorders>
          </w:tcPr>
          <w:p>
            <w:pPr>
              <w:pStyle w:val="yTableNAm"/>
              <w:jc w:val="center"/>
              <w:rPr>
                <w:b/>
                <w:bCs/>
              </w:rPr>
            </w:pPr>
            <w:r>
              <w:rPr>
                <w:b/>
                <w:bCs/>
              </w:rPr>
              <w:t>Town/area</w:t>
            </w:r>
          </w:p>
        </w:tc>
        <w:tc>
          <w:tcPr>
            <w:tcW w:w="1800" w:type="dxa"/>
            <w:tcBorders>
              <w:top w:val="single" w:sz="4" w:space="0" w:color="auto"/>
              <w:left w:val="nil"/>
              <w:bottom w:val="single" w:sz="4" w:space="0" w:color="auto"/>
              <w:right w:val="nil"/>
            </w:tcBorders>
          </w:tcPr>
          <w:p>
            <w:pPr>
              <w:pStyle w:val="yTableNAm"/>
              <w:jc w:val="center"/>
              <w:rPr>
                <w:b/>
                <w:bCs/>
              </w:rPr>
            </w:pPr>
            <w:r>
              <w:rPr>
                <w:b/>
                <w:bCs/>
              </w:rPr>
              <w:t>Residential classification</w:t>
            </w:r>
          </w:p>
        </w:tc>
        <w:tc>
          <w:tcPr>
            <w:tcW w:w="1800" w:type="dxa"/>
            <w:tcBorders>
              <w:top w:val="single" w:sz="4" w:space="0" w:color="auto"/>
              <w:left w:val="nil"/>
              <w:bottom w:val="single" w:sz="4" w:space="0" w:color="auto"/>
              <w:right w:val="nil"/>
            </w:tcBorders>
          </w:tcPr>
          <w:p>
            <w:pPr>
              <w:pStyle w:val="yTableNAm"/>
              <w:jc w:val="center"/>
              <w:rPr>
                <w:b/>
                <w:bCs/>
              </w:rPr>
            </w:pPr>
            <w:r>
              <w:rPr>
                <w:b/>
                <w:bCs/>
              </w:rPr>
              <w:t>Non</w:t>
            </w:r>
            <w:r>
              <w:rPr>
                <w:b/>
                <w:bCs/>
              </w:rPr>
              <w:noBreakHyphen/>
              <w:t>residential classification</w:t>
            </w:r>
          </w:p>
        </w:tc>
      </w:tr>
      <w:tr>
        <w:tc>
          <w:tcPr>
            <w:tcW w:w="2920" w:type="dxa"/>
            <w:tcBorders>
              <w:top w:val="single" w:sz="4" w:space="0" w:color="auto"/>
              <w:left w:val="nil"/>
              <w:bottom w:val="nil"/>
              <w:right w:val="nil"/>
            </w:tcBorders>
            <w:vAlign w:val="center"/>
          </w:tcPr>
          <w:p>
            <w:pPr>
              <w:pStyle w:val="yTableNAm"/>
              <w:rPr>
                <w:szCs w:val="22"/>
              </w:rPr>
            </w:pPr>
            <w:r>
              <w:rPr>
                <w:szCs w:val="22"/>
              </w:rPr>
              <w:t>Albany</w:t>
            </w:r>
          </w:p>
        </w:tc>
        <w:tc>
          <w:tcPr>
            <w:tcW w:w="1800" w:type="dxa"/>
            <w:tcBorders>
              <w:top w:val="single" w:sz="4" w:space="0" w:color="auto"/>
              <w:left w:val="nil"/>
              <w:bottom w:val="nil"/>
              <w:right w:val="nil"/>
            </w:tcBorders>
            <w:vAlign w:val="bottom"/>
          </w:tcPr>
          <w:p>
            <w:pPr>
              <w:pStyle w:val="yTableNAm"/>
              <w:jc w:val="center"/>
              <w:rPr>
                <w:szCs w:val="22"/>
              </w:rPr>
            </w:pPr>
            <w:r>
              <w:rPr>
                <w:szCs w:val="22"/>
              </w:rPr>
              <w:t>3</w:t>
            </w:r>
          </w:p>
        </w:tc>
        <w:tc>
          <w:tcPr>
            <w:tcW w:w="1800" w:type="dxa"/>
            <w:tcBorders>
              <w:top w:val="single" w:sz="4" w:space="0" w:color="auto"/>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Albany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Allanooka Farmlands</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Allanson</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Arrino</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Arrowsmith Farmlands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Augusta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Australind/Eaton</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Badgingarra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Bakers Hill</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Balingup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Ballidu</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Beacon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Bencubbin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Beverley</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Bindi Bindi</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Bindoon/Chittering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Binningup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Bodallin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Boddington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Bolgart</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Borden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Boyanup</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Boyup Brook</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Bremer Bay</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Bridgetown/Hester</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Broad Arrow</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Brookton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Broome</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Broomehill</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Bruce Rock</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Brunswick/Burekup/Roelands</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Bullaring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Bullfinch</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Bunjil</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Buntine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Burracoppin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Calingiri</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Camballin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Capel</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5</w:t>
            </w:r>
          </w:p>
        </w:tc>
      </w:tr>
      <w:tr>
        <w:tc>
          <w:tcPr>
            <w:tcW w:w="2920" w:type="dxa"/>
            <w:tcBorders>
              <w:top w:val="nil"/>
              <w:left w:val="nil"/>
              <w:bottom w:val="nil"/>
              <w:right w:val="nil"/>
            </w:tcBorders>
            <w:vAlign w:val="center"/>
          </w:tcPr>
          <w:p>
            <w:pPr>
              <w:pStyle w:val="yTableNAm"/>
              <w:rPr>
                <w:szCs w:val="22"/>
              </w:rPr>
            </w:pPr>
            <w:r>
              <w:rPr>
                <w:szCs w:val="22"/>
              </w:rPr>
              <w:t>Carnamah</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Carnarvon</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Caron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Cervantes</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Collie</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Collie Farmlands</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Condingup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Coolgardie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Coomberdale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Coorow</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Coral Bay</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N/A</w:t>
            </w:r>
          </w:p>
        </w:tc>
      </w:tr>
      <w:tr>
        <w:tc>
          <w:tcPr>
            <w:tcW w:w="2920" w:type="dxa"/>
            <w:tcBorders>
              <w:top w:val="nil"/>
              <w:left w:val="nil"/>
              <w:bottom w:val="nil"/>
              <w:right w:val="nil"/>
            </w:tcBorders>
            <w:vAlign w:val="center"/>
          </w:tcPr>
          <w:p>
            <w:pPr>
              <w:pStyle w:val="yTableNAm"/>
              <w:rPr>
                <w:szCs w:val="22"/>
              </w:rPr>
            </w:pPr>
            <w:r>
              <w:rPr>
                <w:szCs w:val="22"/>
              </w:rPr>
              <w:t>Corrigin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Cowaramup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Cranbrook</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Cuballing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Cue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Cunderdin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Dalwallinu</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Dalyellup</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4</w:t>
            </w:r>
          </w:p>
        </w:tc>
      </w:tr>
      <w:tr>
        <w:tc>
          <w:tcPr>
            <w:tcW w:w="2920" w:type="dxa"/>
            <w:tcBorders>
              <w:top w:val="nil"/>
              <w:left w:val="nil"/>
              <w:bottom w:val="nil"/>
              <w:right w:val="nil"/>
            </w:tcBorders>
            <w:vAlign w:val="center"/>
          </w:tcPr>
          <w:p>
            <w:pPr>
              <w:pStyle w:val="yTableNAm"/>
              <w:rPr>
                <w:szCs w:val="22"/>
              </w:rPr>
            </w:pPr>
            <w:r>
              <w:rPr>
                <w:szCs w:val="22"/>
              </w:rPr>
              <w:t>Dandaragan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tcPr>
          <w:p>
            <w:pPr>
              <w:pStyle w:val="yTableNAm"/>
              <w:rPr>
                <w:szCs w:val="22"/>
              </w:rPr>
            </w:pPr>
            <w:r>
              <w:rPr>
                <w:szCs w:val="22"/>
              </w:rPr>
              <w:t>Dardanup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Darkan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Dathagnoorara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Denham (Saline)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Denmark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Derby</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Dongara/Denison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Donnybrook</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Doodlakine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Dowerin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Dudinin/Harrismith/Jitarning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15</w:t>
            </w:r>
          </w:p>
        </w:tc>
      </w:tr>
      <w:tr>
        <w:tc>
          <w:tcPr>
            <w:tcW w:w="2920" w:type="dxa"/>
            <w:tcBorders>
              <w:top w:val="nil"/>
              <w:left w:val="nil"/>
              <w:bottom w:val="nil"/>
              <w:right w:val="nil"/>
            </w:tcBorders>
            <w:vAlign w:val="center"/>
          </w:tcPr>
          <w:p>
            <w:pPr>
              <w:pStyle w:val="yTableNAm"/>
              <w:rPr>
                <w:szCs w:val="22"/>
              </w:rPr>
            </w:pPr>
            <w:r>
              <w:rPr>
                <w:szCs w:val="22"/>
              </w:rPr>
              <w:t>Dumbleyung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15</w:t>
            </w:r>
          </w:p>
        </w:tc>
      </w:tr>
      <w:tr>
        <w:tc>
          <w:tcPr>
            <w:tcW w:w="2920" w:type="dxa"/>
            <w:tcBorders>
              <w:top w:val="nil"/>
              <w:left w:val="nil"/>
              <w:bottom w:val="nil"/>
              <w:right w:val="nil"/>
            </w:tcBorders>
            <w:vAlign w:val="center"/>
          </w:tcPr>
          <w:p>
            <w:pPr>
              <w:pStyle w:val="yTableNAm"/>
              <w:rPr>
                <w:szCs w:val="22"/>
              </w:rPr>
            </w:pPr>
            <w:r>
              <w:rPr>
                <w:szCs w:val="22"/>
              </w:rPr>
              <w:t>Dunsborough/Yallingup</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Dwellingup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Eneabba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Eradu</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Esperance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Exmouth</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Fitzroy Crossing</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2</w:t>
            </w:r>
          </w:p>
        </w:tc>
      </w:tr>
      <w:tr>
        <w:tc>
          <w:tcPr>
            <w:tcW w:w="2920" w:type="dxa"/>
            <w:tcBorders>
              <w:top w:val="nil"/>
              <w:left w:val="nil"/>
              <w:bottom w:val="nil"/>
              <w:right w:val="nil"/>
            </w:tcBorders>
            <w:vAlign w:val="center"/>
          </w:tcPr>
          <w:p>
            <w:pPr>
              <w:pStyle w:val="yTableNAm"/>
              <w:rPr>
                <w:szCs w:val="22"/>
              </w:rPr>
            </w:pPr>
            <w:r>
              <w:rPr>
                <w:szCs w:val="22"/>
              </w:rPr>
              <w:t>Frankland</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Gabbadah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Gascoyne Junction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Geraldton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Gibson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Gingin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Gnarabup</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Gnowangerup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Goomalling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Grass Patch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15</w:t>
            </w:r>
          </w:p>
        </w:tc>
      </w:tr>
      <w:tr>
        <w:tc>
          <w:tcPr>
            <w:tcW w:w="2920" w:type="dxa"/>
            <w:tcBorders>
              <w:top w:val="nil"/>
              <w:left w:val="nil"/>
              <w:bottom w:val="nil"/>
              <w:right w:val="nil"/>
            </w:tcBorders>
            <w:vAlign w:val="center"/>
          </w:tcPr>
          <w:p>
            <w:pPr>
              <w:pStyle w:val="yTableNAm"/>
              <w:rPr>
                <w:szCs w:val="22"/>
              </w:rPr>
            </w:pPr>
            <w:r>
              <w:rPr>
                <w:szCs w:val="22"/>
              </w:rPr>
              <w:t>Grass Valley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Greenbushes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Greenhead</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Guilderton</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8</w:t>
            </w:r>
          </w:p>
        </w:tc>
      </w:tr>
      <w:tr>
        <w:tc>
          <w:tcPr>
            <w:tcW w:w="2920" w:type="dxa"/>
            <w:tcBorders>
              <w:top w:val="nil"/>
              <w:left w:val="nil"/>
              <w:bottom w:val="nil"/>
              <w:right w:val="nil"/>
            </w:tcBorders>
            <w:vAlign w:val="center"/>
          </w:tcPr>
          <w:p>
            <w:pPr>
              <w:pStyle w:val="yTableNAm"/>
              <w:rPr>
                <w:szCs w:val="22"/>
              </w:rPr>
            </w:pPr>
            <w:r>
              <w:rPr>
                <w:szCs w:val="22"/>
              </w:rPr>
              <w:t>Halls Creek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Hamel/Waroona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Harvey/Wokalup</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Highbury/Piesseville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Hines Hill</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Hopetoun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Horrocks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Hyden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Jerramungup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Jurien Bay</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Kalannie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Kalbarri</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2</w:t>
            </w:r>
          </w:p>
        </w:tc>
      </w:tr>
      <w:tr>
        <w:tc>
          <w:tcPr>
            <w:tcW w:w="2920" w:type="dxa"/>
            <w:tcBorders>
              <w:top w:val="nil"/>
              <w:left w:val="nil"/>
              <w:bottom w:val="nil"/>
              <w:right w:val="nil"/>
            </w:tcBorders>
            <w:vAlign w:val="center"/>
          </w:tcPr>
          <w:p>
            <w:pPr>
              <w:pStyle w:val="yTableNAm"/>
              <w:rPr>
                <w:szCs w:val="22"/>
              </w:rPr>
            </w:pPr>
            <w:r>
              <w:rPr>
                <w:szCs w:val="22"/>
              </w:rPr>
              <w:t>Kalgoorlie/Boulder</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Kambalda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8</w:t>
            </w:r>
          </w:p>
        </w:tc>
      </w:tr>
      <w:tr>
        <w:tc>
          <w:tcPr>
            <w:tcW w:w="2920" w:type="dxa"/>
            <w:tcBorders>
              <w:top w:val="nil"/>
              <w:left w:val="nil"/>
              <w:bottom w:val="nil"/>
              <w:right w:val="nil"/>
            </w:tcBorders>
            <w:vAlign w:val="center"/>
          </w:tcPr>
          <w:p>
            <w:pPr>
              <w:pStyle w:val="yTableNAm"/>
              <w:rPr>
                <w:szCs w:val="22"/>
              </w:rPr>
            </w:pPr>
            <w:r>
              <w:rPr>
                <w:szCs w:val="22"/>
              </w:rPr>
              <w:t>Karakin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Karlgarin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15</w:t>
            </w:r>
          </w:p>
        </w:tc>
      </w:tr>
      <w:tr>
        <w:tc>
          <w:tcPr>
            <w:tcW w:w="2920" w:type="dxa"/>
            <w:tcBorders>
              <w:top w:val="nil"/>
              <w:left w:val="nil"/>
              <w:bottom w:val="nil"/>
              <w:right w:val="nil"/>
            </w:tcBorders>
            <w:vAlign w:val="center"/>
          </w:tcPr>
          <w:p>
            <w:pPr>
              <w:pStyle w:val="yTableNAm"/>
              <w:rPr>
                <w:szCs w:val="22"/>
              </w:rPr>
            </w:pPr>
            <w:r>
              <w:rPr>
                <w:szCs w:val="22"/>
              </w:rPr>
              <w:t>Karratha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Katanning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Katanning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Kellerberrin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Kendenup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Kendenup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Kirup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Kojonup/Muradup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Kondinin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Koorda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r>
              <w:rPr>
                <w:szCs w:val="22"/>
              </w:rPr>
              <w:t>Kukerin/Moulyinning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15</w:t>
            </w:r>
          </w:p>
        </w:tc>
      </w:tr>
      <w:tr>
        <w:tc>
          <w:tcPr>
            <w:tcW w:w="2920" w:type="dxa"/>
            <w:tcBorders>
              <w:top w:val="nil"/>
              <w:left w:val="nil"/>
              <w:bottom w:val="nil"/>
              <w:right w:val="nil"/>
            </w:tcBorders>
            <w:vAlign w:val="center"/>
          </w:tcPr>
          <w:p>
            <w:pPr>
              <w:pStyle w:val="yTableNAm"/>
              <w:rPr>
                <w:szCs w:val="22"/>
              </w:rPr>
            </w:pPr>
            <w:r>
              <w:rPr>
                <w:szCs w:val="22"/>
              </w:rPr>
              <w:t>Kulin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Kununoppin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tcPr>
          <w:p>
            <w:pPr>
              <w:pStyle w:val="yTableNAm"/>
              <w:rPr>
                <w:szCs w:val="22"/>
              </w:rPr>
            </w:pPr>
            <w:r>
              <w:rPr>
                <w:szCs w:val="22"/>
              </w:rPr>
              <w:t>Kununurra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2</w:t>
            </w:r>
          </w:p>
        </w:tc>
      </w:tr>
      <w:tr>
        <w:tc>
          <w:tcPr>
            <w:tcW w:w="2920" w:type="dxa"/>
            <w:tcBorders>
              <w:top w:val="nil"/>
              <w:left w:val="nil"/>
              <w:bottom w:val="nil"/>
              <w:right w:val="nil"/>
            </w:tcBorders>
            <w:vAlign w:val="center"/>
          </w:tcPr>
          <w:p>
            <w:pPr>
              <w:pStyle w:val="yTableNAm"/>
              <w:rPr>
                <w:szCs w:val="22"/>
              </w:rPr>
            </w:pPr>
            <w:r>
              <w:rPr>
                <w:szCs w:val="22"/>
              </w:rPr>
              <w:t>Lake Grace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Lake King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Lancelin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Latham</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Laverton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Ledge Point</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Leeman</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Leonora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Mandurah</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3</w:t>
            </w:r>
          </w:p>
        </w:tc>
      </w:tr>
      <w:tr>
        <w:tc>
          <w:tcPr>
            <w:tcW w:w="2920" w:type="dxa"/>
            <w:tcBorders>
              <w:top w:val="nil"/>
              <w:left w:val="nil"/>
              <w:bottom w:val="nil"/>
              <w:right w:val="nil"/>
            </w:tcBorders>
            <w:vAlign w:val="center"/>
          </w:tcPr>
          <w:p>
            <w:pPr>
              <w:pStyle w:val="yTableNAm"/>
              <w:rPr>
                <w:szCs w:val="22"/>
              </w:rPr>
            </w:pPr>
            <w:r>
              <w:rPr>
                <w:szCs w:val="22"/>
              </w:rPr>
              <w:t>Manjimup</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Marble Bar</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Margaret River</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4</w:t>
            </w:r>
          </w:p>
        </w:tc>
      </w:tr>
      <w:tr>
        <w:tc>
          <w:tcPr>
            <w:tcW w:w="2920" w:type="dxa"/>
            <w:tcBorders>
              <w:top w:val="nil"/>
              <w:left w:val="nil"/>
              <w:bottom w:val="nil"/>
              <w:right w:val="nil"/>
            </w:tcBorders>
            <w:vAlign w:val="center"/>
          </w:tcPr>
          <w:p>
            <w:pPr>
              <w:pStyle w:val="yTableNAm"/>
              <w:rPr>
                <w:szCs w:val="22"/>
              </w:rPr>
            </w:pPr>
            <w:r>
              <w:rPr>
                <w:szCs w:val="22"/>
              </w:rPr>
              <w:t>Marvel Loch</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Meckering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Meekatharra</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Menzies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Merredin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Merredin Farmlands</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9</w:t>
            </w:r>
          </w:p>
        </w:tc>
      </w:tr>
      <w:tr>
        <w:tc>
          <w:tcPr>
            <w:tcW w:w="2920" w:type="dxa"/>
            <w:tcBorders>
              <w:top w:val="nil"/>
              <w:left w:val="nil"/>
              <w:bottom w:val="nil"/>
              <w:right w:val="nil"/>
            </w:tcBorders>
            <w:vAlign w:val="center"/>
          </w:tcPr>
          <w:p>
            <w:pPr>
              <w:pStyle w:val="yTableNAm"/>
              <w:rPr>
                <w:szCs w:val="22"/>
              </w:rPr>
            </w:pPr>
            <w:r>
              <w:rPr>
                <w:szCs w:val="22"/>
              </w:rPr>
              <w:t>Miling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Mingenew</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Moora</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3</w:t>
            </w:r>
          </w:p>
        </w:tc>
      </w:tr>
      <w:tr>
        <w:tc>
          <w:tcPr>
            <w:tcW w:w="2920" w:type="dxa"/>
            <w:tcBorders>
              <w:top w:val="nil"/>
              <w:left w:val="nil"/>
              <w:bottom w:val="nil"/>
              <w:right w:val="nil"/>
            </w:tcBorders>
            <w:vAlign w:val="center"/>
          </w:tcPr>
          <w:p>
            <w:pPr>
              <w:pStyle w:val="yTableNAm"/>
              <w:rPr>
                <w:szCs w:val="22"/>
              </w:rPr>
            </w:pPr>
            <w:r>
              <w:rPr>
                <w:szCs w:val="22"/>
              </w:rPr>
              <w:t>Moorine Rock</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Morawa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Mount Barker</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Mount Magnet</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Mount Roe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Mukinbudin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Mullalyup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Mullewa</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Mullewa Farmlands</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Munglinup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Muntadgin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Myalup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Nabawa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Nannup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Narembeen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Narngulu</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Narrikup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Narrogin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Narrogin Farmlands</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8</w:t>
            </w:r>
          </w:p>
        </w:tc>
      </w:tr>
      <w:tr>
        <w:tc>
          <w:tcPr>
            <w:tcW w:w="2920" w:type="dxa"/>
            <w:tcBorders>
              <w:top w:val="nil"/>
              <w:left w:val="nil"/>
              <w:bottom w:val="nil"/>
              <w:right w:val="nil"/>
            </w:tcBorders>
            <w:vAlign w:val="center"/>
          </w:tcPr>
          <w:p>
            <w:pPr>
              <w:pStyle w:val="yTableNAm"/>
              <w:rPr>
                <w:szCs w:val="22"/>
              </w:rPr>
            </w:pPr>
            <w:r>
              <w:rPr>
                <w:szCs w:val="22"/>
              </w:rPr>
              <w:t>New Norcia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Newdegate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Newman</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Nilgen</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7</w:t>
            </w:r>
          </w:p>
        </w:tc>
      </w:tr>
      <w:tr>
        <w:tc>
          <w:tcPr>
            <w:tcW w:w="2920" w:type="dxa"/>
            <w:tcBorders>
              <w:top w:val="nil"/>
              <w:left w:val="nil"/>
              <w:bottom w:val="nil"/>
              <w:right w:val="nil"/>
            </w:tcBorders>
            <w:vAlign w:val="center"/>
          </w:tcPr>
          <w:p>
            <w:pPr>
              <w:pStyle w:val="yTableNAm"/>
              <w:rPr>
                <w:szCs w:val="22"/>
              </w:rPr>
            </w:pPr>
            <w:r>
              <w:rPr>
                <w:szCs w:val="22"/>
              </w:rPr>
              <w:t>Norseman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13</w:t>
            </w:r>
          </w:p>
        </w:tc>
      </w:tr>
      <w:tr>
        <w:tc>
          <w:tcPr>
            <w:tcW w:w="2920" w:type="dxa"/>
            <w:tcBorders>
              <w:top w:val="nil"/>
              <w:left w:val="nil"/>
              <w:bottom w:val="nil"/>
              <w:right w:val="nil"/>
            </w:tcBorders>
            <w:vAlign w:val="center"/>
          </w:tcPr>
          <w:p>
            <w:pPr>
              <w:pStyle w:val="yTableNAm"/>
              <w:rPr>
                <w:szCs w:val="22"/>
              </w:rPr>
            </w:pPr>
            <w:r>
              <w:rPr>
                <w:szCs w:val="22"/>
              </w:rPr>
              <w:t>North Dandalup</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9</w:t>
            </w:r>
          </w:p>
        </w:tc>
      </w:tr>
      <w:tr>
        <w:tc>
          <w:tcPr>
            <w:tcW w:w="2920" w:type="dxa"/>
            <w:tcBorders>
              <w:top w:val="nil"/>
              <w:left w:val="nil"/>
              <w:bottom w:val="nil"/>
              <w:right w:val="nil"/>
            </w:tcBorders>
            <w:vAlign w:val="center"/>
          </w:tcPr>
          <w:p>
            <w:pPr>
              <w:pStyle w:val="yTableNAm"/>
              <w:rPr>
                <w:szCs w:val="22"/>
              </w:rPr>
            </w:pPr>
            <w:r>
              <w:rPr>
                <w:szCs w:val="22"/>
              </w:rPr>
              <w:t>Northam</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Northam Farmlands</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9</w:t>
            </w:r>
          </w:p>
        </w:tc>
      </w:tr>
      <w:tr>
        <w:tc>
          <w:tcPr>
            <w:tcW w:w="2920" w:type="dxa"/>
            <w:tcBorders>
              <w:top w:val="nil"/>
              <w:left w:val="nil"/>
              <w:bottom w:val="nil"/>
              <w:right w:val="nil"/>
            </w:tcBorders>
            <w:vAlign w:val="center"/>
          </w:tcPr>
          <w:p>
            <w:pPr>
              <w:pStyle w:val="yTableNAm"/>
              <w:rPr>
                <w:szCs w:val="22"/>
              </w:rPr>
            </w:pPr>
            <w:r>
              <w:rPr>
                <w:szCs w:val="22"/>
              </w:rPr>
              <w:t>Northampton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Northcliffe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Nullagine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Nungarin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Nyabing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Ongerup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Onslow</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Ora Banda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Park Ridge</w:t>
            </w:r>
          </w:p>
        </w:tc>
        <w:tc>
          <w:tcPr>
            <w:tcW w:w="1800" w:type="dxa"/>
            <w:tcBorders>
              <w:top w:val="nil"/>
              <w:left w:val="nil"/>
              <w:bottom w:val="nil"/>
              <w:right w:val="nil"/>
            </w:tcBorders>
            <w:vAlign w:val="bottom"/>
          </w:tcPr>
          <w:p>
            <w:pPr>
              <w:pStyle w:val="yTableNAm"/>
              <w:jc w:val="center"/>
              <w:rPr>
                <w:sz w:val="24"/>
                <w:szCs w:val="24"/>
              </w:rPr>
            </w:pPr>
            <w:r>
              <w:t>3</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Pemberton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Peppermint Grove Beach</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Perenjori</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Pingaring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Pingelly</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Pingrup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Pinjarra</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Pithara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Point Samson</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Popanyinning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Porongurup</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4</w:t>
            </w:r>
          </w:p>
        </w:tc>
      </w:tr>
      <w:tr>
        <w:tc>
          <w:tcPr>
            <w:tcW w:w="2920" w:type="dxa"/>
            <w:tcBorders>
              <w:top w:val="nil"/>
              <w:left w:val="nil"/>
              <w:bottom w:val="nil"/>
              <w:right w:val="nil"/>
            </w:tcBorders>
            <w:vAlign w:val="center"/>
          </w:tcPr>
          <w:p>
            <w:pPr>
              <w:pStyle w:val="yTableNAm"/>
              <w:rPr>
                <w:szCs w:val="22"/>
              </w:rPr>
            </w:pPr>
            <w:r>
              <w:rPr>
                <w:szCs w:val="22"/>
              </w:rPr>
              <w:t>Porongurup Farmlands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Port Hedland</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5</w:t>
            </w:r>
          </w:p>
        </w:tc>
      </w:tr>
      <w:tr>
        <w:tc>
          <w:tcPr>
            <w:tcW w:w="2920" w:type="dxa"/>
            <w:tcBorders>
              <w:top w:val="nil"/>
              <w:left w:val="nil"/>
              <w:bottom w:val="nil"/>
              <w:right w:val="nil"/>
            </w:tcBorders>
            <w:vAlign w:val="center"/>
          </w:tcPr>
          <w:p>
            <w:pPr>
              <w:pStyle w:val="yTableNAm"/>
              <w:rPr>
                <w:szCs w:val="22"/>
              </w:rPr>
            </w:pPr>
            <w:r>
              <w:rPr>
                <w:szCs w:val="22"/>
              </w:rPr>
              <w:t>Preston Beach</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Quairading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Quinninup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Ravensthorpe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Rocky Gully</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Roebourne</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Salmon Gums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Sandstone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Seabird</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South Hedland</w:t>
            </w:r>
          </w:p>
        </w:tc>
        <w:tc>
          <w:tcPr>
            <w:tcW w:w="1800" w:type="dxa"/>
            <w:tcBorders>
              <w:top w:val="nil"/>
              <w:left w:val="nil"/>
              <w:bottom w:val="nil"/>
              <w:right w:val="nil"/>
            </w:tcBorders>
            <w:vAlign w:val="bottom"/>
          </w:tcPr>
          <w:p>
            <w:pPr>
              <w:pStyle w:val="yTableNAm"/>
              <w:jc w:val="center"/>
              <w:rPr>
                <w:sz w:val="24"/>
                <w:szCs w:val="24"/>
              </w:rPr>
            </w:pPr>
            <w:r>
              <w:t>2</w:t>
            </w:r>
          </w:p>
        </w:tc>
        <w:tc>
          <w:tcPr>
            <w:tcW w:w="1800" w:type="dxa"/>
            <w:tcBorders>
              <w:top w:val="nil"/>
              <w:left w:val="nil"/>
              <w:bottom w:val="nil"/>
              <w:right w:val="nil"/>
            </w:tcBorders>
            <w:vAlign w:val="bottom"/>
          </w:tcPr>
          <w:p>
            <w:pPr>
              <w:pStyle w:val="yTableNAm"/>
              <w:jc w:val="center"/>
              <w:rPr>
                <w:sz w:val="24"/>
                <w:szCs w:val="24"/>
              </w:rPr>
            </w:pPr>
            <w:r>
              <w:t>5</w:t>
            </w:r>
          </w:p>
        </w:tc>
      </w:tr>
      <w:tr>
        <w:tc>
          <w:tcPr>
            <w:tcW w:w="2920" w:type="dxa"/>
            <w:tcBorders>
              <w:top w:val="nil"/>
              <w:left w:val="nil"/>
              <w:bottom w:val="nil"/>
              <w:right w:val="nil"/>
            </w:tcBorders>
            <w:vAlign w:val="center"/>
          </w:tcPr>
          <w:p>
            <w:pPr>
              <w:pStyle w:val="yTableNAm"/>
              <w:rPr>
                <w:szCs w:val="22"/>
              </w:rPr>
            </w:pPr>
            <w:r>
              <w:rPr>
                <w:szCs w:val="22"/>
              </w:rPr>
              <w:t>Southern Cross</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9</w:t>
            </w:r>
          </w:p>
        </w:tc>
      </w:tr>
      <w:tr>
        <w:tc>
          <w:tcPr>
            <w:tcW w:w="2920" w:type="dxa"/>
            <w:tcBorders>
              <w:top w:val="nil"/>
              <w:left w:val="nil"/>
              <w:bottom w:val="nil"/>
              <w:right w:val="nil"/>
            </w:tcBorders>
            <w:vAlign w:val="center"/>
          </w:tcPr>
          <w:p>
            <w:pPr>
              <w:pStyle w:val="yTableNAm"/>
              <w:rPr>
                <w:szCs w:val="22"/>
              </w:rPr>
            </w:pPr>
            <w:r>
              <w:rPr>
                <w:szCs w:val="22"/>
              </w:rPr>
              <w:t>Tambellup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Tammin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Three Springs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Tincurrin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Toodyay</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Trayning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Varley</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Wagin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Walkaway</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Walpole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Wandering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Watheroo</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Wellstead</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Westonia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Wickepin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Wickham</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Widgiemooltha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Williams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Wiluna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Wongan Hills</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Woodanilling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Woodridge</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Wubin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Wundowie</w:t>
            </w:r>
          </w:p>
        </w:tc>
        <w:tc>
          <w:tcPr>
            <w:tcW w:w="1800" w:type="dxa"/>
            <w:tcBorders>
              <w:top w:val="nil"/>
              <w:left w:val="nil"/>
              <w:bottom w:val="nil"/>
              <w:right w:val="nil"/>
            </w:tcBorders>
            <w:vAlign w:val="bottom"/>
          </w:tcPr>
          <w:p>
            <w:pPr>
              <w:pStyle w:val="yTableNAm"/>
              <w:jc w:val="center"/>
              <w:rPr>
                <w:sz w:val="24"/>
                <w:szCs w:val="24"/>
              </w:rPr>
            </w:pPr>
            <w:r>
              <w:t>1</w:t>
            </w:r>
          </w:p>
        </w:tc>
        <w:tc>
          <w:tcPr>
            <w:tcW w:w="1800" w:type="dxa"/>
            <w:tcBorders>
              <w:top w:val="nil"/>
              <w:left w:val="nil"/>
              <w:bottom w:val="nil"/>
              <w:right w:val="nil"/>
            </w:tcBorders>
            <w:vAlign w:val="bottom"/>
          </w:tcPr>
          <w:p>
            <w:pPr>
              <w:pStyle w:val="yTableNAm"/>
              <w:jc w:val="center"/>
              <w:rPr>
                <w:sz w:val="24"/>
                <w:szCs w:val="24"/>
              </w:rPr>
            </w:pPr>
            <w:r>
              <w:t>1</w:t>
            </w:r>
          </w:p>
        </w:tc>
      </w:tr>
      <w:tr>
        <w:tc>
          <w:tcPr>
            <w:tcW w:w="2920" w:type="dxa"/>
            <w:tcBorders>
              <w:top w:val="nil"/>
              <w:left w:val="nil"/>
              <w:bottom w:val="nil"/>
              <w:right w:val="nil"/>
            </w:tcBorders>
            <w:vAlign w:val="center"/>
          </w:tcPr>
          <w:p>
            <w:pPr>
              <w:pStyle w:val="yTableNAm"/>
              <w:rPr>
                <w:szCs w:val="22"/>
              </w:rPr>
            </w:pPr>
            <w:r>
              <w:rPr>
                <w:szCs w:val="22"/>
              </w:rPr>
              <w:t>Wyalkatchem</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Wyndham</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Yalgoo</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14</w:t>
            </w:r>
          </w:p>
        </w:tc>
      </w:tr>
      <w:tr>
        <w:tc>
          <w:tcPr>
            <w:tcW w:w="2920" w:type="dxa"/>
            <w:tcBorders>
              <w:top w:val="nil"/>
              <w:left w:val="nil"/>
              <w:bottom w:val="nil"/>
              <w:right w:val="nil"/>
            </w:tcBorders>
            <w:vAlign w:val="center"/>
          </w:tcPr>
          <w:p>
            <w:pPr>
              <w:pStyle w:val="yTableNAm"/>
              <w:rPr>
                <w:szCs w:val="22"/>
              </w:rPr>
            </w:pPr>
            <w:r>
              <w:rPr>
                <w:szCs w:val="22"/>
              </w:rPr>
              <w:t>Yarloop/Wagerup</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6</w:t>
            </w:r>
          </w:p>
        </w:tc>
      </w:tr>
      <w:tr>
        <w:tc>
          <w:tcPr>
            <w:tcW w:w="2920" w:type="dxa"/>
            <w:tcBorders>
              <w:top w:val="nil"/>
              <w:left w:val="nil"/>
              <w:bottom w:val="nil"/>
              <w:right w:val="nil"/>
            </w:tcBorders>
            <w:vAlign w:val="center"/>
          </w:tcPr>
          <w:p>
            <w:pPr>
              <w:pStyle w:val="yTableNAm"/>
              <w:rPr>
                <w:szCs w:val="22"/>
              </w:rPr>
            </w:pPr>
            <w:r>
              <w:rPr>
                <w:szCs w:val="22"/>
              </w:rPr>
              <w:t>Yealering</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12</w:t>
            </w:r>
          </w:p>
        </w:tc>
      </w:tr>
      <w:tr>
        <w:tc>
          <w:tcPr>
            <w:tcW w:w="2920" w:type="dxa"/>
            <w:tcBorders>
              <w:top w:val="nil"/>
              <w:left w:val="nil"/>
              <w:bottom w:val="nil"/>
              <w:right w:val="nil"/>
            </w:tcBorders>
            <w:vAlign w:val="center"/>
          </w:tcPr>
          <w:p>
            <w:pPr>
              <w:pStyle w:val="yTableNAm"/>
              <w:rPr>
                <w:szCs w:val="22"/>
              </w:rPr>
            </w:pPr>
            <w:r>
              <w:rPr>
                <w:szCs w:val="22"/>
              </w:rPr>
              <w:t>Yerecoin</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r>
        <w:tc>
          <w:tcPr>
            <w:tcW w:w="2920" w:type="dxa"/>
            <w:tcBorders>
              <w:top w:val="nil"/>
              <w:left w:val="nil"/>
              <w:bottom w:val="nil"/>
              <w:right w:val="nil"/>
            </w:tcBorders>
            <w:vAlign w:val="center"/>
          </w:tcPr>
          <w:p>
            <w:pPr>
              <w:pStyle w:val="yTableNAm"/>
              <w:rPr>
                <w:szCs w:val="22"/>
              </w:rPr>
            </w:pPr>
            <w:r>
              <w:rPr>
                <w:szCs w:val="22"/>
              </w:rPr>
              <w:t>York</w:t>
            </w:r>
          </w:p>
        </w:tc>
        <w:tc>
          <w:tcPr>
            <w:tcW w:w="1800" w:type="dxa"/>
            <w:tcBorders>
              <w:top w:val="nil"/>
              <w:left w:val="nil"/>
              <w:bottom w:val="nil"/>
              <w:right w:val="nil"/>
            </w:tcBorders>
            <w:vAlign w:val="bottom"/>
          </w:tcPr>
          <w:p>
            <w:pPr>
              <w:pStyle w:val="yTableNAm"/>
              <w:jc w:val="center"/>
              <w:rPr>
                <w:sz w:val="24"/>
                <w:szCs w:val="24"/>
              </w:rPr>
            </w:pPr>
            <w:r>
              <w:t>4</w:t>
            </w:r>
          </w:p>
        </w:tc>
        <w:tc>
          <w:tcPr>
            <w:tcW w:w="1800" w:type="dxa"/>
            <w:tcBorders>
              <w:top w:val="nil"/>
              <w:left w:val="nil"/>
              <w:bottom w:val="nil"/>
              <w:right w:val="nil"/>
            </w:tcBorders>
            <w:vAlign w:val="bottom"/>
          </w:tcPr>
          <w:p>
            <w:pPr>
              <w:pStyle w:val="yTableNAm"/>
              <w:jc w:val="center"/>
              <w:rPr>
                <w:sz w:val="24"/>
                <w:szCs w:val="24"/>
              </w:rPr>
            </w:pPr>
            <w:r>
              <w:t>10</w:t>
            </w:r>
          </w:p>
        </w:tc>
      </w:tr>
      <w:tr>
        <w:tc>
          <w:tcPr>
            <w:tcW w:w="2920" w:type="dxa"/>
            <w:tcBorders>
              <w:top w:val="nil"/>
              <w:left w:val="nil"/>
              <w:bottom w:val="nil"/>
              <w:right w:val="nil"/>
            </w:tcBorders>
            <w:vAlign w:val="center"/>
          </w:tcPr>
          <w:p>
            <w:pPr>
              <w:pStyle w:val="yTableNAm"/>
              <w:rPr>
                <w:szCs w:val="22"/>
              </w:rPr>
            </w:pPr>
            <w:r>
              <w:rPr>
                <w:szCs w:val="22"/>
              </w:rPr>
              <w:t>Yuna</w:t>
            </w:r>
          </w:p>
        </w:tc>
        <w:tc>
          <w:tcPr>
            <w:tcW w:w="1800" w:type="dxa"/>
            <w:tcBorders>
              <w:top w:val="nil"/>
              <w:left w:val="nil"/>
              <w:bottom w:val="nil"/>
              <w:right w:val="nil"/>
            </w:tcBorders>
            <w:vAlign w:val="bottom"/>
          </w:tcPr>
          <w:p>
            <w:pPr>
              <w:pStyle w:val="yTableNAm"/>
              <w:jc w:val="center"/>
              <w:rPr>
                <w:sz w:val="24"/>
                <w:szCs w:val="24"/>
              </w:rPr>
            </w:pPr>
            <w:r>
              <w:t>5</w:t>
            </w:r>
          </w:p>
        </w:tc>
        <w:tc>
          <w:tcPr>
            <w:tcW w:w="1800" w:type="dxa"/>
            <w:tcBorders>
              <w:top w:val="nil"/>
              <w:left w:val="nil"/>
              <w:bottom w:val="nil"/>
              <w:right w:val="nil"/>
            </w:tcBorders>
            <w:vAlign w:val="bottom"/>
          </w:tcPr>
          <w:p>
            <w:pPr>
              <w:pStyle w:val="yTableNAm"/>
              <w:jc w:val="center"/>
              <w:rPr>
                <w:sz w:val="24"/>
                <w:szCs w:val="24"/>
              </w:rPr>
            </w:pPr>
            <w:r>
              <w:t>15</w:t>
            </w:r>
          </w:p>
        </w:tc>
      </w:tr>
    </w:tbl>
    <w:p>
      <w:pPr>
        <w:pStyle w:val="yFootnotesection"/>
      </w:pPr>
      <w:r>
        <w:tab/>
        <w:t>[Schedule 10 inserted in Gazette 20 Jun 2012 p. 2765</w:t>
      </w:r>
      <w:r>
        <w:noBreakHyphen/>
        <w:t>74.]</w:t>
      </w:r>
    </w:p>
    <w:bookmarkEnd w:id="860"/>
    <w:bookmarkEnd w:id="861"/>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862" w:name="_Toc84428021"/>
      <w:bookmarkStart w:id="863" w:name="_Toc91580567"/>
      <w:bookmarkStart w:id="864" w:name="_Toc103667252"/>
      <w:bookmarkStart w:id="865" w:name="_Toc103741771"/>
      <w:bookmarkStart w:id="866" w:name="_Toc107982014"/>
      <w:bookmarkStart w:id="867" w:name="_Toc118800181"/>
      <w:bookmarkStart w:id="868" w:name="_Toc118860189"/>
      <w:bookmarkStart w:id="869" w:name="_Toc121545689"/>
      <w:bookmarkStart w:id="870" w:name="_Toc121801212"/>
      <w:bookmarkStart w:id="871" w:name="_Toc121818325"/>
      <w:bookmarkStart w:id="872" w:name="_Toc121880935"/>
      <w:bookmarkStart w:id="873" w:name="_Toc129482006"/>
      <w:bookmarkStart w:id="874" w:name="_Toc130095375"/>
      <w:bookmarkStart w:id="875" w:name="_Toc130273439"/>
      <w:bookmarkStart w:id="876" w:name="_Toc139771111"/>
      <w:bookmarkStart w:id="877" w:name="_Toc139771489"/>
      <w:bookmarkStart w:id="878" w:name="_Toc151191704"/>
      <w:bookmarkStart w:id="879" w:name="_Toc151260597"/>
      <w:bookmarkStart w:id="880" w:name="_Toc164158704"/>
      <w:bookmarkStart w:id="881" w:name="_Toc164221076"/>
      <w:bookmarkStart w:id="882" w:name="_Toc170879152"/>
      <w:bookmarkStart w:id="883" w:name="_Toc170894789"/>
      <w:bookmarkStart w:id="884" w:name="_Toc175712755"/>
      <w:bookmarkStart w:id="885" w:name="_Toc175970696"/>
      <w:bookmarkStart w:id="886" w:name="_Toc176335415"/>
      <w:bookmarkStart w:id="887" w:name="_Toc176338990"/>
      <w:bookmarkStart w:id="888" w:name="_Toc178743015"/>
      <w:bookmarkStart w:id="889" w:name="_Toc179363438"/>
      <w:bookmarkStart w:id="890" w:name="_Toc179604507"/>
      <w:bookmarkStart w:id="891" w:name="_Toc180204700"/>
      <w:bookmarkStart w:id="892" w:name="_Toc180204916"/>
      <w:bookmarkStart w:id="893" w:name="_Toc185844661"/>
      <w:bookmarkStart w:id="894" w:name="_Toc185845281"/>
      <w:bookmarkStart w:id="895" w:name="_Toc185927246"/>
      <w:bookmarkStart w:id="896" w:name="_Toc202506108"/>
      <w:bookmarkStart w:id="897" w:name="_Toc202672840"/>
      <w:bookmarkStart w:id="898" w:name="_Toc202691800"/>
      <w:bookmarkStart w:id="899" w:name="_Toc233448466"/>
      <w:bookmarkStart w:id="900" w:name="_Toc233611736"/>
      <w:bookmarkStart w:id="901" w:name="_Toc234730743"/>
      <w:bookmarkStart w:id="902" w:name="_Toc234733269"/>
      <w:bookmarkStart w:id="903" w:name="_Toc235864006"/>
      <w:bookmarkStart w:id="904" w:name="_Toc235933481"/>
      <w:bookmarkStart w:id="905" w:name="_Toc237164469"/>
      <w:bookmarkStart w:id="906" w:name="_Toc237244353"/>
      <w:bookmarkStart w:id="907" w:name="_Toc237245677"/>
      <w:bookmarkStart w:id="908" w:name="_Toc237245808"/>
      <w:bookmarkStart w:id="909" w:name="_Toc237247950"/>
      <w:bookmarkStart w:id="910" w:name="_Toc237254265"/>
      <w:bookmarkStart w:id="911" w:name="_Toc237309684"/>
      <w:bookmarkStart w:id="912" w:name="_Toc265743693"/>
      <w:bookmarkStart w:id="913" w:name="_Toc297540811"/>
      <w:bookmarkStart w:id="914" w:name="_Toc297541239"/>
      <w:bookmarkStart w:id="915" w:name="_Toc328403465"/>
      <w:bookmarkStart w:id="916" w:name="_Toc328471515"/>
      <w:r>
        <w:t>Notes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nNote"/>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w:t>
      </w:r>
      <w:ins w:id="917" w:author="Master Repository Process" w:date="2021-10-06T15:57:00Z">
        <w:r>
          <w:rPr>
            <w:snapToGrid w:val="0"/>
            <w:vertAlign w:val="superscript"/>
          </w:rPr>
          <w:t> 1a</w:t>
        </w:r>
      </w:ins>
      <w:r>
        <w:rPr>
          <w:snapToGrid w:val="0"/>
        </w:rPr>
        <w:t>.  The table also contains information about any reprint.</w:t>
      </w:r>
    </w:p>
    <w:p>
      <w:pPr>
        <w:pStyle w:val="nHeading3"/>
      </w:pPr>
      <w:bookmarkStart w:id="918" w:name="_Toc84428022"/>
      <w:bookmarkStart w:id="919" w:name="_Toc180204917"/>
      <w:bookmarkStart w:id="920" w:name="_Toc328471516"/>
      <w:r>
        <w:t>Compilation table</w:t>
      </w:r>
      <w:bookmarkEnd w:id="918"/>
      <w:bookmarkEnd w:id="919"/>
      <w:bookmarkEnd w:id="9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rPr>
                <w:vertAlign w:val="superscript"/>
              </w:rPr>
            </w:pPr>
            <w:r>
              <w:rPr>
                <w:i/>
              </w:rPr>
              <w:t>Water Authority (Charges) By</w:t>
            </w:r>
            <w:r>
              <w:rPr>
                <w:i/>
              </w:rPr>
              <w:noBreakHyphen/>
              <w:t>laws 1987</w:t>
            </w:r>
            <w:r>
              <w:rPr>
                <w:vertAlign w:val="superscript"/>
              </w:rPr>
              <w:t> 12</w:t>
            </w:r>
          </w:p>
        </w:tc>
        <w:tc>
          <w:tcPr>
            <w:tcW w:w="1276" w:type="dxa"/>
            <w:tcBorders>
              <w:top w:val="single" w:sz="8" w:space="0" w:color="auto"/>
            </w:tcBorders>
          </w:tcPr>
          <w:p>
            <w:pPr>
              <w:pStyle w:val="nTable"/>
              <w:spacing w:after="40"/>
            </w:pPr>
            <w:r>
              <w:t>14 Jul 1987 p. 2658</w:t>
            </w:r>
            <w:r>
              <w:noBreakHyphen/>
              <w:t>72</w:t>
            </w:r>
            <w:r>
              <w:br/>
              <w:t>(errata 24 Jul 1987 p. 2841)</w:t>
            </w:r>
          </w:p>
        </w:tc>
        <w:tc>
          <w:tcPr>
            <w:tcW w:w="2693" w:type="dxa"/>
            <w:tcBorders>
              <w:top w:val="single" w:sz="8" w:space="0" w:color="auto"/>
            </w:tcBorders>
          </w:tcPr>
          <w:p>
            <w:pPr>
              <w:pStyle w:val="nTable"/>
              <w:spacing w:after="40"/>
            </w:pPr>
            <w:r>
              <w:t>14 Jul 1987</w:t>
            </w:r>
          </w:p>
        </w:tc>
      </w:tr>
      <w:tr>
        <w:trPr>
          <w:cantSplit/>
        </w:trPr>
        <w:tc>
          <w:tcPr>
            <w:tcW w:w="3118" w:type="dxa"/>
          </w:tcPr>
          <w:p>
            <w:pPr>
              <w:pStyle w:val="nTable"/>
              <w:spacing w:after="40"/>
              <w:ind w:right="113"/>
            </w:pPr>
            <w:r>
              <w:rPr>
                <w:i/>
              </w:rPr>
              <w:t>Water Authority (Charges) Amendment By</w:t>
            </w:r>
            <w:r>
              <w:rPr>
                <w:i/>
              </w:rPr>
              <w:noBreakHyphen/>
              <w:t>laws 1987</w:t>
            </w:r>
          </w:p>
        </w:tc>
        <w:tc>
          <w:tcPr>
            <w:tcW w:w="1276" w:type="dxa"/>
          </w:tcPr>
          <w:p>
            <w:pPr>
              <w:pStyle w:val="nTable"/>
              <w:spacing w:after="40"/>
            </w:pPr>
            <w:r>
              <w:t>31 Jul 1987 p. 2884</w:t>
            </w:r>
          </w:p>
        </w:tc>
        <w:tc>
          <w:tcPr>
            <w:tcW w:w="2693" w:type="dxa"/>
          </w:tcPr>
          <w:p>
            <w:pPr>
              <w:pStyle w:val="nTable"/>
              <w:spacing w:after="40"/>
            </w:pPr>
            <w:r>
              <w:t>31 Jul 1987</w:t>
            </w:r>
          </w:p>
        </w:tc>
      </w:tr>
      <w:tr>
        <w:trPr>
          <w:cantSplit/>
        </w:trPr>
        <w:tc>
          <w:tcPr>
            <w:tcW w:w="3118" w:type="dxa"/>
          </w:tcPr>
          <w:p>
            <w:pPr>
              <w:pStyle w:val="nTable"/>
              <w:spacing w:after="40"/>
              <w:ind w:right="113"/>
            </w:pPr>
            <w:r>
              <w:rPr>
                <w:i/>
              </w:rPr>
              <w:t>Water Authority (Charges) Amendment By</w:t>
            </w:r>
            <w:r>
              <w:rPr>
                <w:i/>
              </w:rPr>
              <w:noBreakHyphen/>
              <w:t>laws 1988</w:t>
            </w:r>
          </w:p>
        </w:tc>
        <w:tc>
          <w:tcPr>
            <w:tcW w:w="1276" w:type="dxa"/>
          </w:tcPr>
          <w:p>
            <w:pPr>
              <w:pStyle w:val="nTable"/>
              <w:spacing w:after="40"/>
            </w:pPr>
            <w:r>
              <w:t>29 Jun 1988 p. 2112</w:t>
            </w:r>
            <w:r>
              <w:noBreakHyphen/>
              <w:t>22</w:t>
            </w:r>
          </w:p>
        </w:tc>
        <w:tc>
          <w:tcPr>
            <w:tcW w:w="2693" w:type="dxa"/>
          </w:tcPr>
          <w:p>
            <w:pPr>
              <w:pStyle w:val="nTable"/>
              <w:spacing w:after="40"/>
            </w:pPr>
            <w:r>
              <w:t>29 Jun 1988</w:t>
            </w:r>
          </w:p>
        </w:tc>
      </w:tr>
      <w:tr>
        <w:trPr>
          <w:cantSplit/>
        </w:trPr>
        <w:tc>
          <w:tcPr>
            <w:tcW w:w="3118" w:type="dxa"/>
          </w:tcPr>
          <w:p>
            <w:pPr>
              <w:pStyle w:val="nTable"/>
              <w:spacing w:after="40"/>
              <w:ind w:right="113"/>
            </w:pPr>
            <w:r>
              <w:rPr>
                <w:i/>
              </w:rPr>
              <w:t>Water Authority (Charges) Amendment By</w:t>
            </w:r>
            <w:r>
              <w:rPr>
                <w:i/>
              </w:rPr>
              <w:noBreakHyphen/>
              <w:t>laws (No. 2) 1988</w:t>
            </w:r>
          </w:p>
        </w:tc>
        <w:tc>
          <w:tcPr>
            <w:tcW w:w="1276" w:type="dxa"/>
          </w:tcPr>
          <w:p>
            <w:pPr>
              <w:pStyle w:val="nTable"/>
              <w:spacing w:after="40"/>
            </w:pPr>
            <w:r>
              <w:t>4 Jul 1988 p. 2178</w:t>
            </w:r>
          </w:p>
        </w:tc>
        <w:tc>
          <w:tcPr>
            <w:tcW w:w="2693" w:type="dxa"/>
          </w:tcPr>
          <w:p>
            <w:pPr>
              <w:pStyle w:val="nTable"/>
              <w:spacing w:after="40"/>
            </w:pPr>
            <w:r>
              <w:t>4 Jul 1988</w:t>
            </w:r>
          </w:p>
        </w:tc>
      </w:tr>
      <w:tr>
        <w:trPr>
          <w:cantSplit/>
        </w:trPr>
        <w:tc>
          <w:tcPr>
            <w:tcW w:w="3118" w:type="dxa"/>
          </w:tcPr>
          <w:p>
            <w:pPr>
              <w:pStyle w:val="nTable"/>
              <w:spacing w:after="40"/>
              <w:ind w:right="113"/>
            </w:pPr>
            <w:r>
              <w:rPr>
                <w:i/>
              </w:rPr>
              <w:t>Water Authority (Charges) Amendment By</w:t>
            </w:r>
            <w:r>
              <w:rPr>
                <w:i/>
              </w:rPr>
              <w:noBreakHyphen/>
              <w:t>laws (No. 3) 1988</w:t>
            </w:r>
          </w:p>
        </w:tc>
        <w:tc>
          <w:tcPr>
            <w:tcW w:w="1276" w:type="dxa"/>
          </w:tcPr>
          <w:p>
            <w:pPr>
              <w:pStyle w:val="nTable"/>
              <w:spacing w:after="40"/>
            </w:pPr>
            <w:r>
              <w:t>8 Jul 1988 p. 2387</w:t>
            </w:r>
          </w:p>
        </w:tc>
        <w:tc>
          <w:tcPr>
            <w:tcW w:w="2693" w:type="dxa"/>
          </w:tcPr>
          <w:p>
            <w:pPr>
              <w:pStyle w:val="nTable"/>
              <w:spacing w:after="40"/>
            </w:pPr>
            <w:r>
              <w:t>8 Jul 1988</w:t>
            </w:r>
          </w:p>
        </w:tc>
      </w:tr>
      <w:tr>
        <w:trPr>
          <w:cantSplit/>
        </w:trPr>
        <w:tc>
          <w:tcPr>
            <w:tcW w:w="3118" w:type="dxa"/>
          </w:tcPr>
          <w:p>
            <w:pPr>
              <w:pStyle w:val="nTable"/>
              <w:spacing w:after="40"/>
              <w:ind w:right="113"/>
            </w:pPr>
            <w:r>
              <w:rPr>
                <w:i/>
              </w:rPr>
              <w:t>Water Authority (Charges) Amendment By</w:t>
            </w:r>
            <w:r>
              <w:rPr>
                <w:i/>
              </w:rPr>
              <w:noBreakHyphen/>
              <w:t>laws (No. 4) 1988</w:t>
            </w:r>
          </w:p>
        </w:tc>
        <w:tc>
          <w:tcPr>
            <w:tcW w:w="1276" w:type="dxa"/>
          </w:tcPr>
          <w:p>
            <w:pPr>
              <w:pStyle w:val="nTable"/>
              <w:spacing w:after="40"/>
            </w:pPr>
            <w:r>
              <w:t>14 Oct 1988 p. 4174</w:t>
            </w:r>
          </w:p>
        </w:tc>
        <w:tc>
          <w:tcPr>
            <w:tcW w:w="2693" w:type="dxa"/>
          </w:tcPr>
          <w:p>
            <w:pPr>
              <w:pStyle w:val="nTable"/>
              <w:spacing w:after="40"/>
            </w:pPr>
            <w:r>
              <w:t>14 Oct 1988</w:t>
            </w:r>
          </w:p>
        </w:tc>
      </w:tr>
      <w:tr>
        <w:trPr>
          <w:cantSplit/>
        </w:trPr>
        <w:tc>
          <w:tcPr>
            <w:tcW w:w="3118" w:type="dxa"/>
          </w:tcPr>
          <w:p>
            <w:pPr>
              <w:pStyle w:val="nTable"/>
              <w:spacing w:after="40"/>
              <w:ind w:right="113"/>
            </w:pPr>
            <w:r>
              <w:rPr>
                <w:i/>
              </w:rPr>
              <w:t>Water Authority (Charges) Amendment By</w:t>
            </w:r>
            <w:r>
              <w:rPr>
                <w:i/>
              </w:rPr>
              <w:noBreakHyphen/>
              <w:t>laws (No. 5) 1988</w:t>
            </w:r>
          </w:p>
        </w:tc>
        <w:tc>
          <w:tcPr>
            <w:tcW w:w="1276" w:type="dxa"/>
          </w:tcPr>
          <w:p>
            <w:pPr>
              <w:pStyle w:val="nTable"/>
              <w:spacing w:after="40"/>
            </w:pPr>
            <w:r>
              <w:t>20 Jan 1989 p. 121</w:t>
            </w:r>
          </w:p>
        </w:tc>
        <w:tc>
          <w:tcPr>
            <w:tcW w:w="2693" w:type="dxa"/>
          </w:tcPr>
          <w:p>
            <w:pPr>
              <w:pStyle w:val="nTable"/>
              <w:spacing w:after="40"/>
            </w:pPr>
            <w:r>
              <w:t>20 Jan 1989</w:t>
            </w:r>
          </w:p>
        </w:tc>
      </w:tr>
      <w:tr>
        <w:trPr>
          <w:cantSplit/>
        </w:trPr>
        <w:tc>
          <w:tcPr>
            <w:tcW w:w="3118" w:type="dxa"/>
          </w:tcPr>
          <w:p>
            <w:pPr>
              <w:pStyle w:val="nTable"/>
              <w:spacing w:after="40"/>
              <w:ind w:right="113"/>
            </w:pPr>
            <w:r>
              <w:rPr>
                <w:i/>
              </w:rPr>
              <w:t>Water Authority (Charges) Amendment By</w:t>
            </w:r>
            <w:r>
              <w:rPr>
                <w:i/>
              </w:rPr>
              <w:noBreakHyphen/>
              <w:t>laws 1989</w:t>
            </w:r>
          </w:p>
        </w:tc>
        <w:tc>
          <w:tcPr>
            <w:tcW w:w="1276" w:type="dxa"/>
          </w:tcPr>
          <w:p>
            <w:pPr>
              <w:pStyle w:val="nTable"/>
              <w:spacing w:after="40"/>
            </w:pPr>
            <w:r>
              <w:t>10 Mar 1989 p. 712</w:t>
            </w:r>
          </w:p>
        </w:tc>
        <w:tc>
          <w:tcPr>
            <w:tcW w:w="2693" w:type="dxa"/>
          </w:tcPr>
          <w:p>
            <w:pPr>
              <w:pStyle w:val="nTable"/>
              <w:spacing w:after="40"/>
            </w:pPr>
            <w:r>
              <w:t>10 Mar 1989</w:t>
            </w:r>
          </w:p>
        </w:tc>
      </w:tr>
      <w:tr>
        <w:trPr>
          <w:cantSplit/>
        </w:trPr>
        <w:tc>
          <w:tcPr>
            <w:tcW w:w="3118" w:type="dxa"/>
          </w:tcPr>
          <w:p>
            <w:pPr>
              <w:pStyle w:val="nTable"/>
              <w:spacing w:after="40"/>
              <w:ind w:right="113"/>
            </w:pPr>
            <w:r>
              <w:rPr>
                <w:i/>
              </w:rPr>
              <w:t>Water Authority (Charges) Amendment By</w:t>
            </w:r>
            <w:r>
              <w:rPr>
                <w:i/>
              </w:rPr>
              <w:noBreakHyphen/>
              <w:t>laws (No. 2) 1989</w:t>
            </w:r>
          </w:p>
        </w:tc>
        <w:tc>
          <w:tcPr>
            <w:tcW w:w="1276" w:type="dxa"/>
          </w:tcPr>
          <w:p>
            <w:pPr>
              <w:pStyle w:val="nTable"/>
              <w:spacing w:after="40"/>
            </w:pPr>
            <w:r>
              <w:t>23 Jun 1989 p. 1824</w:t>
            </w:r>
          </w:p>
        </w:tc>
        <w:tc>
          <w:tcPr>
            <w:tcW w:w="2693" w:type="dxa"/>
          </w:tcPr>
          <w:p>
            <w:pPr>
              <w:pStyle w:val="nTable"/>
              <w:spacing w:after="40"/>
            </w:pPr>
            <w:r>
              <w:t>23 Jun 1989</w:t>
            </w:r>
          </w:p>
        </w:tc>
      </w:tr>
      <w:tr>
        <w:trPr>
          <w:cantSplit/>
        </w:trPr>
        <w:tc>
          <w:tcPr>
            <w:tcW w:w="3118" w:type="dxa"/>
          </w:tcPr>
          <w:p>
            <w:pPr>
              <w:pStyle w:val="nTable"/>
              <w:spacing w:after="40"/>
              <w:ind w:right="113"/>
              <w:rPr>
                <w:vertAlign w:val="superscript"/>
              </w:rPr>
            </w:pPr>
            <w:r>
              <w:rPr>
                <w:i/>
              </w:rPr>
              <w:t>Water Authority (Charges) Amendment By</w:t>
            </w:r>
            <w:r>
              <w:rPr>
                <w:i/>
              </w:rPr>
              <w:noBreakHyphen/>
              <w:t>laws (No. 3) 1989</w:t>
            </w:r>
            <w:r>
              <w:rPr>
                <w:vertAlign w:val="superscript"/>
              </w:rPr>
              <w:t> 13</w:t>
            </w:r>
          </w:p>
        </w:tc>
        <w:tc>
          <w:tcPr>
            <w:tcW w:w="1276" w:type="dxa"/>
          </w:tcPr>
          <w:p>
            <w:pPr>
              <w:pStyle w:val="nTable"/>
              <w:spacing w:after="40"/>
            </w:pPr>
            <w:r>
              <w:t>29 Jun 1989 p. 1870</w:t>
            </w:r>
            <w:r>
              <w:noBreakHyphen/>
              <w:t>82</w:t>
            </w:r>
            <w:r>
              <w:br/>
              <w:t>(errata 7 Jul 1989 p. 2075)</w:t>
            </w:r>
          </w:p>
        </w:tc>
        <w:tc>
          <w:tcPr>
            <w:tcW w:w="2693" w:type="dxa"/>
          </w:tcPr>
          <w:p>
            <w:pPr>
              <w:pStyle w:val="nTable"/>
              <w:spacing w:after="40"/>
            </w:pPr>
            <w:r>
              <w:t>29 Jun 1989</w:t>
            </w:r>
          </w:p>
        </w:tc>
      </w:tr>
      <w:tr>
        <w:trPr>
          <w:cantSplit/>
        </w:trPr>
        <w:tc>
          <w:tcPr>
            <w:tcW w:w="3118" w:type="dxa"/>
          </w:tcPr>
          <w:p>
            <w:pPr>
              <w:pStyle w:val="nTable"/>
              <w:spacing w:after="40"/>
              <w:ind w:right="113"/>
            </w:pPr>
            <w:r>
              <w:rPr>
                <w:i/>
              </w:rPr>
              <w:t>Water Authority (Charges) Amendment By</w:t>
            </w:r>
            <w:r>
              <w:rPr>
                <w:i/>
              </w:rPr>
              <w:noBreakHyphen/>
              <w:t>laws (No. 4) 1989</w:t>
            </w:r>
          </w:p>
        </w:tc>
        <w:tc>
          <w:tcPr>
            <w:tcW w:w="1276" w:type="dxa"/>
          </w:tcPr>
          <w:p>
            <w:pPr>
              <w:pStyle w:val="nTable"/>
              <w:spacing w:after="40"/>
            </w:pPr>
            <w:r>
              <w:t>7 Jul 1989 p. 2077</w:t>
            </w:r>
          </w:p>
        </w:tc>
        <w:tc>
          <w:tcPr>
            <w:tcW w:w="2693" w:type="dxa"/>
          </w:tcPr>
          <w:p>
            <w:pPr>
              <w:pStyle w:val="nTable"/>
              <w:spacing w:after="40"/>
            </w:pPr>
            <w:r>
              <w:t>7 Jul 1989</w:t>
            </w:r>
          </w:p>
        </w:tc>
      </w:tr>
      <w:tr>
        <w:trPr>
          <w:cantSplit/>
        </w:trPr>
        <w:tc>
          <w:tcPr>
            <w:tcW w:w="3118" w:type="dxa"/>
          </w:tcPr>
          <w:p>
            <w:pPr>
              <w:pStyle w:val="nTable"/>
              <w:spacing w:after="40"/>
              <w:ind w:right="113"/>
            </w:pPr>
            <w:r>
              <w:rPr>
                <w:i/>
              </w:rPr>
              <w:t>Water Authority (Charges) Amendment By</w:t>
            </w:r>
            <w:r>
              <w:rPr>
                <w:i/>
              </w:rPr>
              <w:noBreakHyphen/>
              <w:t>laws (No. 5) 1989</w:t>
            </w:r>
          </w:p>
        </w:tc>
        <w:tc>
          <w:tcPr>
            <w:tcW w:w="1276" w:type="dxa"/>
          </w:tcPr>
          <w:p>
            <w:pPr>
              <w:pStyle w:val="nTable"/>
              <w:spacing w:after="40"/>
            </w:pPr>
            <w:r>
              <w:t>7 Jul 1989 p. 2078</w:t>
            </w:r>
          </w:p>
        </w:tc>
        <w:tc>
          <w:tcPr>
            <w:tcW w:w="2693" w:type="dxa"/>
          </w:tcPr>
          <w:p>
            <w:pPr>
              <w:pStyle w:val="nTable"/>
              <w:spacing w:after="40"/>
            </w:pPr>
            <w:r>
              <w:t>7 Jul 1989</w:t>
            </w:r>
          </w:p>
        </w:tc>
      </w:tr>
      <w:tr>
        <w:trPr>
          <w:cantSplit/>
        </w:trPr>
        <w:tc>
          <w:tcPr>
            <w:tcW w:w="3118" w:type="dxa"/>
          </w:tcPr>
          <w:p>
            <w:pPr>
              <w:pStyle w:val="nTable"/>
              <w:spacing w:after="40"/>
              <w:ind w:right="113"/>
            </w:pPr>
            <w:r>
              <w:rPr>
                <w:i/>
              </w:rPr>
              <w:t>Water Authority (Charges) Amendment By</w:t>
            </w:r>
            <w:r>
              <w:rPr>
                <w:i/>
              </w:rPr>
              <w:noBreakHyphen/>
              <w:t>laws (No. 6) 1989</w:t>
            </w:r>
          </w:p>
        </w:tc>
        <w:tc>
          <w:tcPr>
            <w:tcW w:w="1276" w:type="dxa"/>
          </w:tcPr>
          <w:p>
            <w:pPr>
              <w:pStyle w:val="nTable"/>
              <w:spacing w:after="40"/>
            </w:pPr>
            <w:r>
              <w:t>27 Oct 1989 p. 3898</w:t>
            </w:r>
            <w:r>
              <w:noBreakHyphen/>
              <w:t>9</w:t>
            </w:r>
          </w:p>
        </w:tc>
        <w:tc>
          <w:tcPr>
            <w:tcW w:w="2693" w:type="dxa"/>
          </w:tcPr>
          <w:p>
            <w:pPr>
              <w:pStyle w:val="nTable"/>
              <w:spacing w:after="40"/>
            </w:pPr>
            <w:r>
              <w:t>27 Oct 1989</w:t>
            </w:r>
          </w:p>
        </w:tc>
      </w:tr>
      <w:tr>
        <w:trPr>
          <w:cantSplit/>
        </w:trPr>
        <w:tc>
          <w:tcPr>
            <w:tcW w:w="3118" w:type="dxa"/>
          </w:tcPr>
          <w:p>
            <w:pPr>
              <w:pStyle w:val="nTable"/>
              <w:spacing w:after="40"/>
              <w:ind w:right="113"/>
            </w:pPr>
            <w:r>
              <w:rPr>
                <w:i/>
              </w:rPr>
              <w:t>Water Authority (Charges) Amendment By</w:t>
            </w:r>
            <w:r>
              <w:rPr>
                <w:i/>
              </w:rPr>
              <w:noBreakHyphen/>
              <w:t>laws (No. 7) 1989</w:t>
            </w:r>
          </w:p>
        </w:tc>
        <w:tc>
          <w:tcPr>
            <w:tcW w:w="1276" w:type="dxa"/>
          </w:tcPr>
          <w:p>
            <w:pPr>
              <w:pStyle w:val="nTable"/>
              <w:spacing w:after="40"/>
            </w:pPr>
            <w:r>
              <w:t>17 Nov 1989 p. 4117</w:t>
            </w:r>
          </w:p>
        </w:tc>
        <w:tc>
          <w:tcPr>
            <w:tcW w:w="2693" w:type="dxa"/>
          </w:tcPr>
          <w:p>
            <w:pPr>
              <w:pStyle w:val="nTable"/>
              <w:spacing w:after="40"/>
            </w:pPr>
            <w:r>
              <w:t>17 Nov 1989</w:t>
            </w:r>
          </w:p>
        </w:tc>
      </w:tr>
      <w:tr>
        <w:trPr>
          <w:cantSplit/>
        </w:trPr>
        <w:tc>
          <w:tcPr>
            <w:tcW w:w="3118" w:type="dxa"/>
          </w:tcPr>
          <w:p>
            <w:pPr>
              <w:pStyle w:val="nTable"/>
              <w:spacing w:after="40"/>
              <w:ind w:right="113"/>
              <w:rPr>
                <w:vertAlign w:val="superscript"/>
              </w:rPr>
            </w:pPr>
            <w:r>
              <w:rPr>
                <w:i/>
              </w:rPr>
              <w:t>Water Authority (Charges) Amendment By</w:t>
            </w:r>
            <w:r>
              <w:rPr>
                <w:i/>
              </w:rPr>
              <w:noBreakHyphen/>
              <w:t>laws 1990</w:t>
            </w:r>
            <w:r>
              <w:rPr>
                <w:vertAlign w:val="superscript"/>
              </w:rPr>
              <w:t> 14</w:t>
            </w:r>
          </w:p>
        </w:tc>
        <w:tc>
          <w:tcPr>
            <w:tcW w:w="1276" w:type="dxa"/>
          </w:tcPr>
          <w:p>
            <w:pPr>
              <w:pStyle w:val="nTable"/>
              <w:spacing w:after="40"/>
            </w:pPr>
            <w:r>
              <w:t>29 Jun 1990 p. 3226</w:t>
            </w:r>
            <w:r>
              <w:noBreakHyphen/>
              <w:t>40</w:t>
            </w:r>
            <w:r>
              <w:br/>
              <w:t>(errata 6 Jul 1990 p. 3317)</w:t>
            </w:r>
          </w:p>
        </w:tc>
        <w:tc>
          <w:tcPr>
            <w:tcW w:w="2693" w:type="dxa"/>
          </w:tcPr>
          <w:p>
            <w:pPr>
              <w:pStyle w:val="nTable"/>
              <w:spacing w:after="40"/>
            </w:pPr>
            <w:r>
              <w:t>29 Jun 1990</w:t>
            </w:r>
          </w:p>
        </w:tc>
      </w:tr>
      <w:tr>
        <w:trPr>
          <w:cantSplit/>
        </w:trPr>
        <w:tc>
          <w:tcPr>
            <w:tcW w:w="3118" w:type="dxa"/>
          </w:tcPr>
          <w:p>
            <w:pPr>
              <w:pStyle w:val="nTable"/>
              <w:spacing w:after="40"/>
              <w:ind w:right="113"/>
              <w:rPr>
                <w:vertAlign w:val="superscript"/>
              </w:rPr>
            </w:pPr>
            <w:r>
              <w:rPr>
                <w:i/>
              </w:rPr>
              <w:t>Water Authority (Charges) Amendment By</w:t>
            </w:r>
            <w:r>
              <w:rPr>
                <w:i/>
              </w:rPr>
              <w:noBreakHyphen/>
              <w:t>laws 1991</w:t>
            </w:r>
            <w:r>
              <w:rPr>
                <w:i/>
                <w:vertAlign w:val="superscript"/>
              </w:rPr>
              <w:t> </w:t>
            </w:r>
            <w:r>
              <w:rPr>
                <w:vertAlign w:val="superscript"/>
              </w:rPr>
              <w:t>15</w:t>
            </w:r>
          </w:p>
        </w:tc>
        <w:tc>
          <w:tcPr>
            <w:tcW w:w="1276" w:type="dxa"/>
          </w:tcPr>
          <w:p>
            <w:pPr>
              <w:pStyle w:val="nTable"/>
              <w:spacing w:after="40"/>
            </w:pPr>
            <w:r>
              <w:t>28 Jun 1991 p. 3267</w:t>
            </w:r>
            <w:r>
              <w:noBreakHyphen/>
              <w:t>80</w:t>
            </w:r>
            <w:r>
              <w:br/>
              <w:t>(errata 5 Jul 1991 p. 3379)</w:t>
            </w:r>
          </w:p>
        </w:tc>
        <w:tc>
          <w:tcPr>
            <w:tcW w:w="2693" w:type="dxa"/>
          </w:tcPr>
          <w:p>
            <w:pPr>
              <w:pStyle w:val="nTable"/>
              <w:spacing w:after="40"/>
            </w:pPr>
            <w:r>
              <w:t>28 Jun 1991</w:t>
            </w:r>
          </w:p>
        </w:tc>
      </w:tr>
      <w:tr>
        <w:trPr>
          <w:cantSplit/>
        </w:trPr>
        <w:tc>
          <w:tcPr>
            <w:tcW w:w="3118" w:type="dxa"/>
          </w:tcPr>
          <w:p>
            <w:pPr>
              <w:pStyle w:val="nTable"/>
              <w:spacing w:after="40"/>
              <w:ind w:right="113"/>
            </w:pPr>
            <w:r>
              <w:rPr>
                <w:i/>
              </w:rPr>
              <w:t>Water Authority (Charges) Amendment By</w:t>
            </w:r>
            <w:r>
              <w:rPr>
                <w:i/>
              </w:rPr>
              <w:noBreakHyphen/>
              <w:t>laws (No. 2) 1991</w:t>
            </w:r>
          </w:p>
        </w:tc>
        <w:tc>
          <w:tcPr>
            <w:tcW w:w="1276" w:type="dxa"/>
          </w:tcPr>
          <w:p>
            <w:pPr>
              <w:pStyle w:val="nTable"/>
              <w:spacing w:after="40"/>
            </w:pPr>
            <w:r>
              <w:t>20 Sep 1991 p. 4952</w:t>
            </w:r>
            <w:r>
              <w:noBreakHyphen/>
              <w:t>3</w:t>
            </w:r>
          </w:p>
        </w:tc>
        <w:tc>
          <w:tcPr>
            <w:tcW w:w="2693" w:type="dxa"/>
          </w:tcPr>
          <w:p>
            <w:pPr>
              <w:pStyle w:val="nTable"/>
              <w:spacing w:after="40"/>
            </w:pPr>
            <w:r>
              <w:t>20 Sep 1991</w:t>
            </w:r>
          </w:p>
        </w:tc>
      </w:tr>
      <w:tr>
        <w:trPr>
          <w:cantSplit/>
        </w:trPr>
        <w:tc>
          <w:tcPr>
            <w:tcW w:w="3118" w:type="dxa"/>
          </w:tcPr>
          <w:p>
            <w:pPr>
              <w:pStyle w:val="nTable"/>
              <w:spacing w:after="40"/>
              <w:ind w:right="113"/>
            </w:pPr>
            <w:r>
              <w:rPr>
                <w:i/>
              </w:rPr>
              <w:t>Water Authority (Charges) Amendment By</w:t>
            </w:r>
            <w:r>
              <w:rPr>
                <w:i/>
              </w:rPr>
              <w:noBreakHyphen/>
              <w:t>laws (No. 3) 1991</w:t>
            </w:r>
          </w:p>
        </w:tc>
        <w:tc>
          <w:tcPr>
            <w:tcW w:w="1276" w:type="dxa"/>
          </w:tcPr>
          <w:p>
            <w:pPr>
              <w:pStyle w:val="nTable"/>
              <w:spacing w:after="40"/>
            </w:pPr>
            <w:r>
              <w:t>20 Sep 1991 p. 4954</w:t>
            </w:r>
            <w:r>
              <w:noBreakHyphen/>
              <w:t>5</w:t>
            </w:r>
          </w:p>
        </w:tc>
        <w:tc>
          <w:tcPr>
            <w:tcW w:w="2693" w:type="dxa"/>
          </w:tcPr>
          <w:p>
            <w:pPr>
              <w:pStyle w:val="nTable"/>
              <w:spacing w:after="40"/>
            </w:pPr>
            <w:r>
              <w:t>20 Sep 1991</w:t>
            </w:r>
          </w:p>
        </w:tc>
      </w:tr>
      <w:tr>
        <w:trPr>
          <w:cantSplit/>
        </w:trPr>
        <w:tc>
          <w:tcPr>
            <w:tcW w:w="3118" w:type="dxa"/>
          </w:tcPr>
          <w:p>
            <w:pPr>
              <w:pStyle w:val="nTable"/>
              <w:spacing w:after="40"/>
              <w:ind w:right="113"/>
              <w:rPr>
                <w:vertAlign w:val="superscript"/>
              </w:rPr>
            </w:pPr>
            <w:r>
              <w:rPr>
                <w:i/>
              </w:rPr>
              <w:t>Water Authority (Charges) Amendment By</w:t>
            </w:r>
            <w:r>
              <w:rPr>
                <w:i/>
              </w:rPr>
              <w:noBreakHyphen/>
              <w:t>laws 1992</w:t>
            </w:r>
            <w:r>
              <w:rPr>
                <w:i/>
                <w:vertAlign w:val="superscript"/>
              </w:rPr>
              <w:t> </w:t>
            </w:r>
            <w:r>
              <w:rPr>
                <w:vertAlign w:val="superscript"/>
              </w:rPr>
              <w:t>16</w:t>
            </w:r>
          </w:p>
        </w:tc>
        <w:tc>
          <w:tcPr>
            <w:tcW w:w="1276" w:type="dxa"/>
          </w:tcPr>
          <w:p>
            <w:pPr>
              <w:pStyle w:val="nTable"/>
              <w:spacing w:after="40"/>
            </w:pPr>
            <w:r>
              <w:t>28 Feb 1992 p. 1024</w:t>
            </w:r>
          </w:p>
        </w:tc>
        <w:tc>
          <w:tcPr>
            <w:tcW w:w="2693" w:type="dxa"/>
          </w:tcPr>
          <w:p>
            <w:pPr>
              <w:pStyle w:val="nTable"/>
              <w:spacing w:after="40"/>
            </w:pPr>
            <w:r>
              <w:t>28 Feb 1992</w:t>
            </w:r>
          </w:p>
        </w:tc>
      </w:tr>
      <w:tr>
        <w:trPr>
          <w:cantSplit/>
        </w:trPr>
        <w:tc>
          <w:tcPr>
            <w:tcW w:w="3118" w:type="dxa"/>
          </w:tcPr>
          <w:p>
            <w:pPr>
              <w:pStyle w:val="nTable"/>
              <w:spacing w:after="40"/>
              <w:ind w:right="113"/>
            </w:pPr>
            <w:r>
              <w:rPr>
                <w:i/>
              </w:rPr>
              <w:t>Water Authority (Charges) Amendment By</w:t>
            </w:r>
            <w:r>
              <w:rPr>
                <w:i/>
              </w:rPr>
              <w:noBreakHyphen/>
              <w:t>laws (No. 2) 1992</w:t>
            </w:r>
          </w:p>
        </w:tc>
        <w:tc>
          <w:tcPr>
            <w:tcW w:w="1276" w:type="dxa"/>
          </w:tcPr>
          <w:p>
            <w:pPr>
              <w:pStyle w:val="nTable"/>
              <w:spacing w:after="40"/>
            </w:pPr>
            <w:r>
              <w:t>28 Feb 1992 p. 1025</w:t>
            </w:r>
          </w:p>
        </w:tc>
        <w:tc>
          <w:tcPr>
            <w:tcW w:w="2693" w:type="dxa"/>
          </w:tcPr>
          <w:p>
            <w:pPr>
              <w:pStyle w:val="nTable"/>
              <w:spacing w:after="40"/>
            </w:pPr>
            <w:r>
              <w:t>28 Feb 1992</w:t>
            </w:r>
          </w:p>
        </w:tc>
      </w:tr>
      <w:tr>
        <w:trPr>
          <w:cantSplit/>
        </w:trPr>
        <w:tc>
          <w:tcPr>
            <w:tcW w:w="3118" w:type="dxa"/>
          </w:tcPr>
          <w:p>
            <w:pPr>
              <w:pStyle w:val="nTable"/>
              <w:spacing w:after="40"/>
              <w:ind w:right="113"/>
            </w:pPr>
            <w:r>
              <w:rPr>
                <w:i/>
              </w:rPr>
              <w:t>Water Authority (Charges) Amendment By</w:t>
            </w:r>
            <w:r>
              <w:rPr>
                <w:i/>
              </w:rPr>
              <w:noBreakHyphen/>
              <w:t>laws (No. 3) 1992</w:t>
            </w:r>
          </w:p>
        </w:tc>
        <w:tc>
          <w:tcPr>
            <w:tcW w:w="1276" w:type="dxa"/>
          </w:tcPr>
          <w:p>
            <w:pPr>
              <w:pStyle w:val="nTable"/>
              <w:spacing w:after="40"/>
            </w:pPr>
            <w:r>
              <w:t>1 May 1992 p. 1864</w:t>
            </w:r>
          </w:p>
        </w:tc>
        <w:tc>
          <w:tcPr>
            <w:tcW w:w="2693" w:type="dxa"/>
          </w:tcPr>
          <w:p>
            <w:pPr>
              <w:pStyle w:val="nTable"/>
              <w:spacing w:after="40"/>
            </w:pPr>
            <w:r>
              <w:t>1 May 1992</w:t>
            </w:r>
          </w:p>
        </w:tc>
      </w:tr>
      <w:tr>
        <w:trPr>
          <w:cantSplit/>
        </w:trPr>
        <w:tc>
          <w:tcPr>
            <w:tcW w:w="3118" w:type="dxa"/>
          </w:tcPr>
          <w:p>
            <w:pPr>
              <w:pStyle w:val="nTable"/>
              <w:spacing w:after="40"/>
              <w:ind w:right="113"/>
              <w:rPr>
                <w:vertAlign w:val="superscript"/>
              </w:rPr>
            </w:pPr>
            <w:r>
              <w:rPr>
                <w:i/>
              </w:rPr>
              <w:t>Water Authority (Charges) Amendment By</w:t>
            </w:r>
            <w:r>
              <w:rPr>
                <w:i/>
              </w:rPr>
              <w:noBreakHyphen/>
              <w:t>laws (No. 4) 1992</w:t>
            </w:r>
            <w:r>
              <w:rPr>
                <w:vertAlign w:val="superscript"/>
              </w:rPr>
              <w:t> 17</w:t>
            </w:r>
          </w:p>
        </w:tc>
        <w:tc>
          <w:tcPr>
            <w:tcW w:w="1276" w:type="dxa"/>
          </w:tcPr>
          <w:p>
            <w:pPr>
              <w:pStyle w:val="nTable"/>
              <w:spacing w:after="40"/>
            </w:pPr>
            <w:r>
              <w:t>1 May 1992 p. 1865</w:t>
            </w:r>
          </w:p>
        </w:tc>
        <w:tc>
          <w:tcPr>
            <w:tcW w:w="2693" w:type="dxa"/>
          </w:tcPr>
          <w:p>
            <w:pPr>
              <w:pStyle w:val="nTable"/>
              <w:spacing w:after="40"/>
            </w:pPr>
            <w:r>
              <w:t>1 May 1992</w:t>
            </w:r>
          </w:p>
        </w:tc>
      </w:tr>
      <w:tr>
        <w:trPr>
          <w:cantSplit/>
        </w:trPr>
        <w:tc>
          <w:tcPr>
            <w:tcW w:w="3118" w:type="dxa"/>
          </w:tcPr>
          <w:p>
            <w:pPr>
              <w:pStyle w:val="nTable"/>
              <w:keepNext/>
              <w:keepLines/>
              <w:spacing w:after="40"/>
              <w:ind w:right="113"/>
            </w:pPr>
            <w:r>
              <w:rPr>
                <w:i/>
              </w:rPr>
              <w:t>Water Authority (Charges) Amendment By</w:t>
            </w:r>
            <w:r>
              <w:rPr>
                <w:i/>
              </w:rPr>
              <w:noBreakHyphen/>
              <w:t>laws (No. 5) 1992</w:t>
            </w:r>
          </w:p>
        </w:tc>
        <w:tc>
          <w:tcPr>
            <w:tcW w:w="1276" w:type="dxa"/>
          </w:tcPr>
          <w:p>
            <w:pPr>
              <w:pStyle w:val="nTable"/>
              <w:keepNext/>
              <w:keepLines/>
              <w:spacing w:after="40"/>
            </w:pPr>
            <w:r>
              <w:t>26 Jun 1992 p. 2812</w:t>
            </w:r>
            <w:r>
              <w:noBreakHyphen/>
              <w:t>31</w:t>
            </w:r>
          </w:p>
        </w:tc>
        <w:tc>
          <w:tcPr>
            <w:tcW w:w="2693" w:type="dxa"/>
          </w:tcPr>
          <w:p>
            <w:pPr>
              <w:pStyle w:val="nTable"/>
              <w:keepNext/>
              <w:keepLines/>
              <w:spacing w:after="40"/>
            </w:pPr>
            <w:r>
              <w:t>1 Jul 1992 (see bl. 2)</w:t>
            </w:r>
          </w:p>
        </w:tc>
      </w:tr>
      <w:tr>
        <w:trPr>
          <w:cantSplit/>
        </w:trPr>
        <w:tc>
          <w:tcPr>
            <w:tcW w:w="3118" w:type="dxa"/>
          </w:tcPr>
          <w:p>
            <w:pPr>
              <w:pStyle w:val="nTable"/>
              <w:spacing w:after="40"/>
              <w:ind w:right="113"/>
            </w:pPr>
            <w:r>
              <w:rPr>
                <w:i/>
              </w:rPr>
              <w:t>Water Authority (Charges) Amendment By</w:t>
            </w:r>
            <w:r>
              <w:rPr>
                <w:i/>
              </w:rPr>
              <w:noBreakHyphen/>
              <w:t>laws (No. 6) 1992</w:t>
            </w:r>
          </w:p>
        </w:tc>
        <w:tc>
          <w:tcPr>
            <w:tcW w:w="1276" w:type="dxa"/>
          </w:tcPr>
          <w:p>
            <w:pPr>
              <w:pStyle w:val="nTable"/>
              <w:spacing w:after="40"/>
            </w:pPr>
            <w:r>
              <w:t>26 Jun 1992 p. 2831</w:t>
            </w:r>
            <w:r>
              <w:noBreakHyphen/>
              <w:t>2</w:t>
            </w:r>
          </w:p>
        </w:tc>
        <w:tc>
          <w:tcPr>
            <w:tcW w:w="2693" w:type="dxa"/>
          </w:tcPr>
          <w:p>
            <w:pPr>
              <w:pStyle w:val="nTable"/>
              <w:spacing w:after="40"/>
            </w:pPr>
            <w:r>
              <w:t>1 Jul 1992 (see bl. 2)</w:t>
            </w:r>
          </w:p>
        </w:tc>
      </w:tr>
      <w:tr>
        <w:trPr>
          <w:cantSplit/>
        </w:trPr>
        <w:tc>
          <w:tcPr>
            <w:tcW w:w="3118" w:type="dxa"/>
          </w:tcPr>
          <w:p>
            <w:pPr>
              <w:pStyle w:val="nTable"/>
              <w:spacing w:after="40"/>
              <w:ind w:right="113"/>
            </w:pPr>
            <w:r>
              <w:rPr>
                <w:i/>
              </w:rPr>
              <w:t>Water Authority (Charges) Amendment By</w:t>
            </w:r>
            <w:r>
              <w:rPr>
                <w:i/>
              </w:rPr>
              <w:noBreakHyphen/>
              <w:t>laws (No. 7) 1992</w:t>
            </w:r>
          </w:p>
        </w:tc>
        <w:tc>
          <w:tcPr>
            <w:tcW w:w="1276" w:type="dxa"/>
          </w:tcPr>
          <w:p>
            <w:pPr>
              <w:pStyle w:val="nTable"/>
              <w:spacing w:after="40"/>
            </w:pPr>
            <w:r>
              <w:t>6 Jul 1992 p. 3079</w:t>
            </w:r>
          </w:p>
        </w:tc>
        <w:tc>
          <w:tcPr>
            <w:tcW w:w="2693" w:type="dxa"/>
          </w:tcPr>
          <w:p>
            <w:pPr>
              <w:pStyle w:val="nTable"/>
              <w:spacing w:after="40"/>
            </w:pPr>
            <w:r>
              <w:t>6 Jul 1992</w:t>
            </w:r>
          </w:p>
        </w:tc>
      </w:tr>
      <w:tr>
        <w:trPr>
          <w:cantSplit/>
        </w:trPr>
        <w:tc>
          <w:tcPr>
            <w:tcW w:w="3118" w:type="dxa"/>
          </w:tcPr>
          <w:p>
            <w:pPr>
              <w:pStyle w:val="nTable"/>
              <w:spacing w:after="40"/>
              <w:ind w:right="113"/>
            </w:pPr>
            <w:r>
              <w:rPr>
                <w:i/>
              </w:rPr>
              <w:t>Water Authority (Charges) Amendment By</w:t>
            </w:r>
            <w:r>
              <w:rPr>
                <w:i/>
              </w:rPr>
              <w:noBreakHyphen/>
              <w:t>laws (No. 8) 1992</w:t>
            </w:r>
          </w:p>
        </w:tc>
        <w:tc>
          <w:tcPr>
            <w:tcW w:w="1276" w:type="dxa"/>
          </w:tcPr>
          <w:p>
            <w:pPr>
              <w:pStyle w:val="nTable"/>
              <w:spacing w:after="40"/>
            </w:pPr>
            <w:r>
              <w:t>24 Jul 1992 p. 3660</w:t>
            </w:r>
            <w:r>
              <w:noBreakHyphen/>
              <w:t>1</w:t>
            </w:r>
          </w:p>
        </w:tc>
        <w:tc>
          <w:tcPr>
            <w:tcW w:w="2693" w:type="dxa"/>
          </w:tcPr>
          <w:p>
            <w:pPr>
              <w:pStyle w:val="nTable"/>
              <w:spacing w:after="40"/>
            </w:pPr>
            <w:r>
              <w:t>24 Jul 1992</w:t>
            </w:r>
          </w:p>
        </w:tc>
      </w:tr>
      <w:tr>
        <w:trPr>
          <w:cantSplit/>
        </w:trPr>
        <w:tc>
          <w:tcPr>
            <w:tcW w:w="3118" w:type="dxa"/>
          </w:tcPr>
          <w:p>
            <w:pPr>
              <w:pStyle w:val="nTable"/>
              <w:spacing w:after="40"/>
              <w:ind w:right="113"/>
            </w:pPr>
            <w:r>
              <w:rPr>
                <w:i/>
              </w:rPr>
              <w:t>Water Authority (Charges) Amendment By</w:t>
            </w:r>
            <w:r>
              <w:rPr>
                <w:i/>
              </w:rPr>
              <w:noBreakHyphen/>
              <w:t>laws (No. 9) 1992</w:t>
            </w:r>
          </w:p>
        </w:tc>
        <w:tc>
          <w:tcPr>
            <w:tcW w:w="1276" w:type="dxa"/>
          </w:tcPr>
          <w:p>
            <w:pPr>
              <w:pStyle w:val="nTable"/>
              <w:spacing w:after="40"/>
            </w:pPr>
            <w:r>
              <w:t>31 Dec 1992 p. 6412</w:t>
            </w:r>
            <w:r>
              <w:noBreakHyphen/>
              <w:t>13</w:t>
            </w:r>
          </w:p>
        </w:tc>
        <w:tc>
          <w:tcPr>
            <w:tcW w:w="2693" w:type="dxa"/>
          </w:tcPr>
          <w:p>
            <w:pPr>
              <w:pStyle w:val="nTable"/>
              <w:spacing w:after="40"/>
            </w:pPr>
            <w:r>
              <w:t>31 Dec 1992</w:t>
            </w:r>
          </w:p>
        </w:tc>
      </w:tr>
      <w:tr>
        <w:trPr>
          <w:cantSplit/>
        </w:trPr>
        <w:tc>
          <w:tcPr>
            <w:tcW w:w="3118" w:type="dxa"/>
          </w:tcPr>
          <w:p>
            <w:pPr>
              <w:pStyle w:val="nTable"/>
              <w:spacing w:after="40"/>
              <w:ind w:right="113"/>
            </w:pPr>
            <w:r>
              <w:rPr>
                <w:i/>
              </w:rPr>
              <w:t>Water Authority (Charges) Amendment By</w:t>
            </w:r>
            <w:r>
              <w:rPr>
                <w:i/>
              </w:rPr>
              <w:noBreakHyphen/>
              <w:t>laws 1993</w:t>
            </w:r>
          </w:p>
        </w:tc>
        <w:tc>
          <w:tcPr>
            <w:tcW w:w="1276" w:type="dxa"/>
          </w:tcPr>
          <w:p>
            <w:pPr>
              <w:pStyle w:val="nTable"/>
              <w:spacing w:after="40"/>
            </w:pPr>
            <w:r>
              <w:t>1 Jul 1993 p. 3214</w:t>
            </w:r>
            <w:r>
              <w:noBreakHyphen/>
              <w:t>36</w:t>
            </w:r>
          </w:p>
        </w:tc>
        <w:tc>
          <w:tcPr>
            <w:tcW w:w="2693" w:type="dxa"/>
          </w:tcPr>
          <w:p>
            <w:pPr>
              <w:pStyle w:val="nTable"/>
              <w:spacing w:after="40"/>
            </w:pPr>
            <w:r>
              <w:t>1 Jul 1993</w:t>
            </w:r>
          </w:p>
        </w:tc>
      </w:tr>
      <w:tr>
        <w:trPr>
          <w:cantSplit/>
        </w:trPr>
        <w:tc>
          <w:tcPr>
            <w:tcW w:w="3118" w:type="dxa"/>
          </w:tcPr>
          <w:p>
            <w:pPr>
              <w:pStyle w:val="nTable"/>
              <w:spacing w:after="40"/>
              <w:ind w:right="113"/>
            </w:pPr>
            <w:r>
              <w:rPr>
                <w:i/>
              </w:rPr>
              <w:t>Water Authority (Charges) Amendment By</w:t>
            </w:r>
            <w:r>
              <w:rPr>
                <w:i/>
              </w:rPr>
              <w:noBreakHyphen/>
              <w:t>laws (No. 2) 1993</w:t>
            </w:r>
          </w:p>
        </w:tc>
        <w:tc>
          <w:tcPr>
            <w:tcW w:w="1276" w:type="dxa"/>
          </w:tcPr>
          <w:p>
            <w:pPr>
              <w:pStyle w:val="nTable"/>
              <w:spacing w:after="40"/>
            </w:pPr>
            <w:r>
              <w:t>1 Jul 1993 p. 3236</w:t>
            </w:r>
            <w:r>
              <w:noBreakHyphen/>
              <w:t>7</w:t>
            </w:r>
          </w:p>
        </w:tc>
        <w:tc>
          <w:tcPr>
            <w:tcW w:w="2693" w:type="dxa"/>
          </w:tcPr>
          <w:p>
            <w:pPr>
              <w:pStyle w:val="nTable"/>
              <w:spacing w:after="40"/>
            </w:pPr>
            <w:r>
              <w:t>1 Jul 1993 (see bl. 2)</w:t>
            </w:r>
          </w:p>
        </w:tc>
      </w:tr>
      <w:tr>
        <w:trPr>
          <w:cantSplit/>
        </w:trPr>
        <w:tc>
          <w:tcPr>
            <w:tcW w:w="3118" w:type="dxa"/>
          </w:tcPr>
          <w:p>
            <w:pPr>
              <w:pStyle w:val="nTable"/>
              <w:spacing w:after="40"/>
              <w:ind w:right="113"/>
            </w:pPr>
            <w:r>
              <w:rPr>
                <w:i/>
              </w:rPr>
              <w:t>Water Authority (Charges) Amendment By</w:t>
            </w:r>
            <w:r>
              <w:rPr>
                <w:i/>
              </w:rPr>
              <w:noBreakHyphen/>
              <w:t>laws (No. 3) 1993</w:t>
            </w:r>
          </w:p>
        </w:tc>
        <w:tc>
          <w:tcPr>
            <w:tcW w:w="1276" w:type="dxa"/>
          </w:tcPr>
          <w:p>
            <w:pPr>
              <w:pStyle w:val="nTable"/>
              <w:spacing w:after="40"/>
            </w:pPr>
            <w:r>
              <w:t>27 Jul 1993 p. 4096</w:t>
            </w:r>
            <w:r>
              <w:noBreakHyphen/>
              <w:t>7</w:t>
            </w:r>
          </w:p>
        </w:tc>
        <w:tc>
          <w:tcPr>
            <w:tcW w:w="2693" w:type="dxa"/>
          </w:tcPr>
          <w:p>
            <w:pPr>
              <w:pStyle w:val="nTable"/>
              <w:spacing w:after="40"/>
            </w:pPr>
            <w:r>
              <w:t>27 Jul 1993</w:t>
            </w:r>
          </w:p>
        </w:tc>
      </w:tr>
      <w:tr>
        <w:trPr>
          <w:cantSplit/>
        </w:trPr>
        <w:tc>
          <w:tcPr>
            <w:tcW w:w="3118" w:type="dxa"/>
          </w:tcPr>
          <w:p>
            <w:pPr>
              <w:pStyle w:val="nTable"/>
              <w:spacing w:after="40"/>
              <w:ind w:right="113"/>
            </w:pPr>
            <w:r>
              <w:rPr>
                <w:i/>
              </w:rPr>
              <w:t>Water Authority (Charges) Amendment By</w:t>
            </w:r>
            <w:r>
              <w:rPr>
                <w:i/>
              </w:rPr>
              <w:noBreakHyphen/>
              <w:t>laws (No. 4) 1993</w:t>
            </w:r>
          </w:p>
        </w:tc>
        <w:tc>
          <w:tcPr>
            <w:tcW w:w="1276" w:type="dxa"/>
          </w:tcPr>
          <w:p>
            <w:pPr>
              <w:pStyle w:val="nTable"/>
              <w:spacing w:after="40"/>
            </w:pPr>
            <w:r>
              <w:t>28 Sep 1993 p. 5328</w:t>
            </w:r>
          </w:p>
        </w:tc>
        <w:tc>
          <w:tcPr>
            <w:tcW w:w="2693" w:type="dxa"/>
          </w:tcPr>
          <w:p>
            <w:pPr>
              <w:pStyle w:val="nTable"/>
              <w:spacing w:after="40"/>
            </w:pPr>
            <w:r>
              <w:t>28 Sep 1993</w:t>
            </w:r>
          </w:p>
        </w:tc>
      </w:tr>
      <w:tr>
        <w:trPr>
          <w:cantSplit/>
        </w:trPr>
        <w:tc>
          <w:tcPr>
            <w:tcW w:w="3118" w:type="dxa"/>
          </w:tcPr>
          <w:p>
            <w:pPr>
              <w:pStyle w:val="nTable"/>
              <w:spacing w:after="40"/>
              <w:ind w:right="113"/>
            </w:pPr>
            <w:r>
              <w:rPr>
                <w:i/>
              </w:rPr>
              <w:t>Water Authority (Charges) Amendment By</w:t>
            </w:r>
            <w:r>
              <w:rPr>
                <w:i/>
              </w:rPr>
              <w:noBreakHyphen/>
              <w:t>laws 1994</w:t>
            </w:r>
          </w:p>
        </w:tc>
        <w:tc>
          <w:tcPr>
            <w:tcW w:w="1276" w:type="dxa"/>
          </w:tcPr>
          <w:p>
            <w:pPr>
              <w:pStyle w:val="nTable"/>
              <w:spacing w:after="40"/>
            </w:pPr>
            <w:r>
              <w:t>4 Mar 1994 p. 900</w:t>
            </w:r>
            <w:r>
              <w:noBreakHyphen/>
              <w:t>1</w:t>
            </w:r>
          </w:p>
        </w:tc>
        <w:tc>
          <w:tcPr>
            <w:tcW w:w="2693" w:type="dxa"/>
          </w:tcPr>
          <w:p>
            <w:pPr>
              <w:pStyle w:val="nTable"/>
              <w:spacing w:after="40"/>
            </w:pPr>
            <w:r>
              <w:t>4 Mar 1994</w:t>
            </w:r>
          </w:p>
        </w:tc>
      </w:tr>
      <w:tr>
        <w:trPr>
          <w:cantSplit/>
        </w:trPr>
        <w:tc>
          <w:tcPr>
            <w:tcW w:w="3118" w:type="dxa"/>
          </w:tcPr>
          <w:p>
            <w:pPr>
              <w:pStyle w:val="nTable"/>
              <w:spacing w:after="40"/>
              <w:ind w:right="113"/>
            </w:pPr>
            <w:r>
              <w:rPr>
                <w:i/>
              </w:rPr>
              <w:t>Water Authority (Charges) Amendment By</w:t>
            </w:r>
            <w:r>
              <w:rPr>
                <w:i/>
              </w:rPr>
              <w:noBreakHyphen/>
              <w:t>laws (No. 2) 1994</w:t>
            </w:r>
          </w:p>
        </w:tc>
        <w:tc>
          <w:tcPr>
            <w:tcW w:w="1276" w:type="dxa"/>
          </w:tcPr>
          <w:p>
            <w:pPr>
              <w:pStyle w:val="nTable"/>
              <w:spacing w:after="40"/>
            </w:pPr>
            <w:r>
              <w:t>4 Mar 1994 p. 901</w:t>
            </w:r>
          </w:p>
        </w:tc>
        <w:tc>
          <w:tcPr>
            <w:tcW w:w="2693" w:type="dxa"/>
          </w:tcPr>
          <w:p>
            <w:pPr>
              <w:pStyle w:val="nTable"/>
              <w:spacing w:after="40"/>
            </w:pPr>
            <w:r>
              <w:t>4 Mar 1994</w:t>
            </w:r>
          </w:p>
        </w:tc>
      </w:tr>
      <w:tr>
        <w:trPr>
          <w:cantSplit/>
        </w:trPr>
        <w:tc>
          <w:tcPr>
            <w:tcW w:w="3118" w:type="dxa"/>
          </w:tcPr>
          <w:p>
            <w:pPr>
              <w:pStyle w:val="nTable"/>
              <w:spacing w:after="40"/>
              <w:ind w:right="113"/>
            </w:pPr>
            <w:r>
              <w:rPr>
                <w:i/>
              </w:rPr>
              <w:t>Water Authority (Charges) Amendment By</w:t>
            </w:r>
            <w:r>
              <w:rPr>
                <w:i/>
              </w:rPr>
              <w:noBreakHyphen/>
              <w:t>laws (No. 3) 1994</w:t>
            </w:r>
          </w:p>
        </w:tc>
        <w:tc>
          <w:tcPr>
            <w:tcW w:w="1276" w:type="dxa"/>
          </w:tcPr>
          <w:p>
            <w:pPr>
              <w:pStyle w:val="nTable"/>
              <w:spacing w:after="40"/>
            </w:pPr>
            <w:r>
              <w:t>4 Mar 1994 p. 902</w:t>
            </w:r>
            <w:r>
              <w:noBreakHyphen/>
              <w:t>3</w:t>
            </w:r>
          </w:p>
        </w:tc>
        <w:tc>
          <w:tcPr>
            <w:tcW w:w="2693" w:type="dxa"/>
          </w:tcPr>
          <w:p>
            <w:pPr>
              <w:pStyle w:val="nTable"/>
              <w:spacing w:after="40"/>
            </w:pPr>
            <w:r>
              <w:t>1 Jul 1994 (see bl. 2)</w:t>
            </w:r>
          </w:p>
        </w:tc>
      </w:tr>
      <w:tr>
        <w:trPr>
          <w:cantSplit/>
        </w:trPr>
        <w:tc>
          <w:tcPr>
            <w:tcW w:w="3118" w:type="dxa"/>
          </w:tcPr>
          <w:p>
            <w:pPr>
              <w:pStyle w:val="nTable"/>
              <w:spacing w:after="40"/>
              <w:ind w:right="113"/>
            </w:pPr>
            <w:r>
              <w:rPr>
                <w:i/>
              </w:rPr>
              <w:t>Water Authority (Charges) Amendment By</w:t>
            </w:r>
            <w:r>
              <w:rPr>
                <w:i/>
              </w:rPr>
              <w:noBreakHyphen/>
              <w:t>laws (No. 6) 1994</w:t>
            </w:r>
          </w:p>
        </w:tc>
        <w:tc>
          <w:tcPr>
            <w:tcW w:w="1276" w:type="dxa"/>
          </w:tcPr>
          <w:p>
            <w:pPr>
              <w:pStyle w:val="nTable"/>
              <w:spacing w:after="40"/>
            </w:pPr>
            <w:r>
              <w:t>4 Mar 1994 p. 904</w:t>
            </w:r>
          </w:p>
        </w:tc>
        <w:tc>
          <w:tcPr>
            <w:tcW w:w="2693" w:type="dxa"/>
          </w:tcPr>
          <w:p>
            <w:pPr>
              <w:pStyle w:val="nTable"/>
              <w:spacing w:after="40"/>
            </w:pPr>
            <w:r>
              <w:t>4 Mar 1994</w:t>
            </w:r>
          </w:p>
        </w:tc>
      </w:tr>
      <w:tr>
        <w:trPr>
          <w:cantSplit/>
        </w:trPr>
        <w:tc>
          <w:tcPr>
            <w:tcW w:w="3118" w:type="dxa"/>
          </w:tcPr>
          <w:p>
            <w:pPr>
              <w:pStyle w:val="nTable"/>
              <w:spacing w:after="40"/>
              <w:ind w:right="113"/>
            </w:pPr>
            <w:r>
              <w:rPr>
                <w:i/>
              </w:rPr>
              <w:t>Water Authority (Charges) Amendment By</w:t>
            </w:r>
            <w:r>
              <w:rPr>
                <w:i/>
              </w:rPr>
              <w:noBreakHyphen/>
              <w:t>laws (No. 7) 1994</w:t>
            </w:r>
          </w:p>
        </w:tc>
        <w:tc>
          <w:tcPr>
            <w:tcW w:w="1276" w:type="dxa"/>
          </w:tcPr>
          <w:p>
            <w:pPr>
              <w:pStyle w:val="nTable"/>
              <w:spacing w:after="40"/>
            </w:pPr>
            <w:r>
              <w:t>6 May 1994 p. 1934</w:t>
            </w:r>
          </w:p>
        </w:tc>
        <w:tc>
          <w:tcPr>
            <w:tcW w:w="2693" w:type="dxa"/>
          </w:tcPr>
          <w:p>
            <w:pPr>
              <w:pStyle w:val="nTable"/>
              <w:spacing w:after="40"/>
            </w:pPr>
            <w:r>
              <w:t>6 May 1994</w:t>
            </w:r>
          </w:p>
        </w:tc>
      </w:tr>
      <w:tr>
        <w:trPr>
          <w:cantSplit/>
        </w:trPr>
        <w:tc>
          <w:tcPr>
            <w:tcW w:w="3118" w:type="dxa"/>
          </w:tcPr>
          <w:p>
            <w:pPr>
              <w:pStyle w:val="nTable"/>
              <w:spacing w:after="40"/>
              <w:ind w:right="113"/>
            </w:pPr>
            <w:r>
              <w:rPr>
                <w:i/>
              </w:rPr>
              <w:t>Water Authority (Charges) Amendment By</w:t>
            </w:r>
            <w:r>
              <w:rPr>
                <w:i/>
              </w:rPr>
              <w:noBreakHyphen/>
              <w:t>laws (No. 8) 1994</w:t>
            </w:r>
          </w:p>
        </w:tc>
        <w:tc>
          <w:tcPr>
            <w:tcW w:w="1276" w:type="dxa"/>
          </w:tcPr>
          <w:p>
            <w:pPr>
              <w:pStyle w:val="nTable"/>
              <w:spacing w:after="40"/>
            </w:pPr>
            <w:r>
              <w:t>29 Jun 1994 p. 3171</w:t>
            </w:r>
            <w:r>
              <w:noBreakHyphen/>
              <w:t>200</w:t>
            </w:r>
          </w:p>
        </w:tc>
        <w:tc>
          <w:tcPr>
            <w:tcW w:w="2693" w:type="dxa"/>
          </w:tcPr>
          <w:p>
            <w:pPr>
              <w:pStyle w:val="nTable"/>
              <w:spacing w:after="40"/>
            </w:pPr>
            <w:r>
              <w:t>1 Jul 1994 (see bl. 2)</w:t>
            </w:r>
          </w:p>
        </w:tc>
      </w:tr>
      <w:tr>
        <w:trPr>
          <w:cantSplit/>
        </w:trPr>
        <w:tc>
          <w:tcPr>
            <w:tcW w:w="3118" w:type="dxa"/>
          </w:tcPr>
          <w:p>
            <w:pPr>
              <w:pStyle w:val="nTable"/>
              <w:spacing w:after="40"/>
              <w:ind w:right="113"/>
            </w:pPr>
            <w:r>
              <w:rPr>
                <w:i/>
              </w:rPr>
              <w:t>Water Authority (Charges) Amendment By</w:t>
            </w:r>
            <w:r>
              <w:rPr>
                <w:i/>
              </w:rPr>
              <w:noBreakHyphen/>
              <w:t>laws (No. 9) 1994</w:t>
            </w:r>
          </w:p>
        </w:tc>
        <w:tc>
          <w:tcPr>
            <w:tcW w:w="1276" w:type="dxa"/>
          </w:tcPr>
          <w:p>
            <w:pPr>
              <w:pStyle w:val="nTable"/>
              <w:spacing w:after="40"/>
            </w:pPr>
            <w:r>
              <w:t>16 Sep 1994 p. 4806</w:t>
            </w:r>
            <w:r>
              <w:noBreakHyphen/>
              <w:t>7</w:t>
            </w:r>
          </w:p>
        </w:tc>
        <w:tc>
          <w:tcPr>
            <w:tcW w:w="2693" w:type="dxa"/>
          </w:tcPr>
          <w:p>
            <w:pPr>
              <w:pStyle w:val="nTable"/>
              <w:spacing w:after="40"/>
            </w:pPr>
            <w:r>
              <w:t>16 Sep 1994</w:t>
            </w:r>
          </w:p>
        </w:tc>
      </w:tr>
      <w:tr>
        <w:trPr>
          <w:cantSplit/>
        </w:trPr>
        <w:tc>
          <w:tcPr>
            <w:tcW w:w="3118" w:type="dxa"/>
          </w:tcPr>
          <w:p>
            <w:pPr>
              <w:pStyle w:val="nTable"/>
              <w:spacing w:after="40"/>
              <w:ind w:right="113"/>
            </w:pPr>
            <w:r>
              <w:rPr>
                <w:i/>
              </w:rPr>
              <w:t>Water Authority (Charges) Amendment By</w:t>
            </w:r>
            <w:r>
              <w:rPr>
                <w:i/>
              </w:rPr>
              <w:noBreakHyphen/>
              <w:t>laws (No. 10) 1994</w:t>
            </w:r>
          </w:p>
        </w:tc>
        <w:tc>
          <w:tcPr>
            <w:tcW w:w="1276" w:type="dxa"/>
          </w:tcPr>
          <w:p>
            <w:pPr>
              <w:pStyle w:val="nTable"/>
              <w:spacing w:after="40"/>
            </w:pPr>
            <w:r>
              <w:t>28 Oct 1994 p. 5556</w:t>
            </w:r>
            <w:r>
              <w:noBreakHyphen/>
              <w:t>7</w:t>
            </w:r>
          </w:p>
        </w:tc>
        <w:tc>
          <w:tcPr>
            <w:tcW w:w="2693" w:type="dxa"/>
          </w:tcPr>
          <w:p>
            <w:pPr>
              <w:pStyle w:val="nTable"/>
              <w:spacing w:after="40"/>
            </w:pPr>
            <w:r>
              <w:t>28 Oct 1994</w:t>
            </w:r>
          </w:p>
        </w:tc>
      </w:tr>
      <w:tr>
        <w:trPr>
          <w:cantSplit/>
        </w:trPr>
        <w:tc>
          <w:tcPr>
            <w:tcW w:w="3118" w:type="dxa"/>
          </w:tcPr>
          <w:p>
            <w:pPr>
              <w:pStyle w:val="nTable"/>
              <w:spacing w:after="40"/>
              <w:ind w:right="113"/>
            </w:pPr>
            <w:r>
              <w:rPr>
                <w:i/>
              </w:rPr>
              <w:t>Water Authority (Charges) Amendment By</w:t>
            </w:r>
            <w:r>
              <w:rPr>
                <w:i/>
              </w:rPr>
              <w:noBreakHyphen/>
              <w:t>laws (No. 11) 1994</w:t>
            </w:r>
          </w:p>
        </w:tc>
        <w:tc>
          <w:tcPr>
            <w:tcW w:w="1276" w:type="dxa"/>
          </w:tcPr>
          <w:p>
            <w:pPr>
              <w:pStyle w:val="nTable"/>
              <w:spacing w:after="40"/>
            </w:pPr>
            <w:r>
              <w:t>30 Dec 1994 p. 7351</w:t>
            </w:r>
            <w:r>
              <w:noBreakHyphen/>
              <w:t>3</w:t>
            </w:r>
          </w:p>
        </w:tc>
        <w:tc>
          <w:tcPr>
            <w:tcW w:w="2693" w:type="dxa"/>
          </w:tcPr>
          <w:p>
            <w:pPr>
              <w:pStyle w:val="nTable"/>
              <w:spacing w:after="40"/>
            </w:pPr>
            <w:r>
              <w:t>30 Dec 1994</w:t>
            </w:r>
          </w:p>
        </w:tc>
      </w:tr>
      <w:tr>
        <w:trPr>
          <w:cantSplit/>
        </w:trPr>
        <w:tc>
          <w:tcPr>
            <w:tcW w:w="3118" w:type="dxa"/>
          </w:tcPr>
          <w:p>
            <w:pPr>
              <w:pStyle w:val="nTable"/>
              <w:spacing w:after="40"/>
              <w:ind w:right="113"/>
            </w:pPr>
            <w:r>
              <w:rPr>
                <w:i/>
              </w:rPr>
              <w:t>Water Authority (Charges) Amendment By</w:t>
            </w:r>
            <w:r>
              <w:rPr>
                <w:i/>
              </w:rPr>
              <w:noBreakHyphen/>
              <w:t>Laws 1995</w:t>
            </w:r>
          </w:p>
        </w:tc>
        <w:tc>
          <w:tcPr>
            <w:tcW w:w="1276" w:type="dxa"/>
          </w:tcPr>
          <w:p>
            <w:pPr>
              <w:pStyle w:val="nTable"/>
              <w:spacing w:after="40"/>
            </w:pPr>
            <w:r>
              <w:t>2 Jun 1995 p. 2215</w:t>
            </w:r>
          </w:p>
        </w:tc>
        <w:tc>
          <w:tcPr>
            <w:tcW w:w="2693" w:type="dxa"/>
          </w:tcPr>
          <w:p>
            <w:pPr>
              <w:pStyle w:val="nTable"/>
              <w:spacing w:after="40"/>
            </w:pPr>
            <w:r>
              <w:t>2 Jun 1995</w:t>
            </w:r>
          </w:p>
        </w:tc>
      </w:tr>
      <w:tr>
        <w:trPr>
          <w:cantSplit/>
        </w:trPr>
        <w:tc>
          <w:tcPr>
            <w:tcW w:w="3118" w:type="dxa"/>
          </w:tcPr>
          <w:p>
            <w:pPr>
              <w:pStyle w:val="nTable"/>
              <w:spacing w:after="40"/>
              <w:ind w:right="113"/>
            </w:pPr>
            <w:r>
              <w:rPr>
                <w:i/>
              </w:rPr>
              <w:t>Water Authority (Charges) Amendment By</w:t>
            </w:r>
            <w:r>
              <w:rPr>
                <w:i/>
              </w:rPr>
              <w:noBreakHyphen/>
              <w:t>laws (No. 2) 1995</w:t>
            </w:r>
          </w:p>
        </w:tc>
        <w:tc>
          <w:tcPr>
            <w:tcW w:w="1276" w:type="dxa"/>
          </w:tcPr>
          <w:p>
            <w:pPr>
              <w:pStyle w:val="nTable"/>
              <w:spacing w:after="40"/>
            </w:pPr>
            <w:r>
              <w:t>30 Jun 1995 p. 2735</w:t>
            </w:r>
            <w:r>
              <w:noBreakHyphen/>
              <w:t>66</w:t>
            </w:r>
          </w:p>
        </w:tc>
        <w:tc>
          <w:tcPr>
            <w:tcW w:w="2693" w:type="dxa"/>
          </w:tcPr>
          <w:p>
            <w:pPr>
              <w:pStyle w:val="nTable"/>
              <w:spacing w:after="40"/>
            </w:pPr>
            <w:r>
              <w:t>1 Jul 1995 (see bl. 2)</w:t>
            </w:r>
          </w:p>
        </w:tc>
      </w:tr>
      <w:tr>
        <w:trPr>
          <w:cantSplit/>
        </w:trPr>
        <w:tc>
          <w:tcPr>
            <w:tcW w:w="3118" w:type="dxa"/>
          </w:tcPr>
          <w:p>
            <w:pPr>
              <w:pStyle w:val="nTable"/>
              <w:spacing w:after="40"/>
              <w:ind w:right="113"/>
            </w:pPr>
            <w:r>
              <w:rPr>
                <w:i/>
              </w:rPr>
              <w:t>Water Authority (Charges) Amendment By</w:t>
            </w:r>
            <w:r>
              <w:rPr>
                <w:i/>
              </w:rPr>
              <w:noBreakHyphen/>
              <w:t>laws (No. 3) 1995</w:t>
            </w:r>
          </w:p>
        </w:tc>
        <w:tc>
          <w:tcPr>
            <w:tcW w:w="1276" w:type="dxa"/>
          </w:tcPr>
          <w:p>
            <w:pPr>
              <w:pStyle w:val="nTable"/>
              <w:spacing w:after="40"/>
            </w:pPr>
            <w:r>
              <w:t>17 Nov 1995 p. 5344</w:t>
            </w:r>
            <w:r>
              <w:noBreakHyphen/>
              <w:t>5</w:t>
            </w:r>
          </w:p>
        </w:tc>
        <w:tc>
          <w:tcPr>
            <w:tcW w:w="2693" w:type="dxa"/>
          </w:tcPr>
          <w:p>
            <w:pPr>
              <w:pStyle w:val="nTable"/>
              <w:spacing w:after="40"/>
            </w:pPr>
            <w:r>
              <w:t>17 Nov 1995</w:t>
            </w:r>
          </w:p>
        </w:tc>
      </w:tr>
      <w:tr>
        <w:trPr>
          <w:cantSplit/>
        </w:trPr>
        <w:tc>
          <w:tcPr>
            <w:tcW w:w="3118" w:type="dxa"/>
          </w:tcPr>
          <w:p>
            <w:pPr>
              <w:pStyle w:val="nTable"/>
              <w:spacing w:after="40"/>
              <w:ind w:right="113"/>
            </w:pPr>
            <w:r>
              <w:rPr>
                <w:i/>
              </w:rPr>
              <w:t>Water Authority (Charges) Amendment By</w:t>
            </w:r>
            <w:r>
              <w:rPr>
                <w:i/>
              </w:rPr>
              <w:noBreakHyphen/>
              <w:t>laws (No. 4) 1995</w:t>
            </w:r>
          </w:p>
        </w:tc>
        <w:tc>
          <w:tcPr>
            <w:tcW w:w="1276" w:type="dxa"/>
          </w:tcPr>
          <w:p>
            <w:pPr>
              <w:pStyle w:val="nTable"/>
              <w:spacing w:after="40"/>
            </w:pPr>
            <w:r>
              <w:t>17 Nov 1995 p. 5345</w:t>
            </w:r>
            <w:r>
              <w:noBreakHyphen/>
              <w:t>6</w:t>
            </w:r>
          </w:p>
        </w:tc>
        <w:tc>
          <w:tcPr>
            <w:tcW w:w="2693" w:type="dxa"/>
          </w:tcPr>
          <w:p>
            <w:pPr>
              <w:pStyle w:val="nTable"/>
              <w:spacing w:after="40"/>
            </w:pPr>
            <w:r>
              <w:t>17 Nov 1995</w:t>
            </w:r>
          </w:p>
        </w:tc>
      </w:tr>
      <w:tr>
        <w:trPr>
          <w:cantSplit/>
        </w:trPr>
        <w:tc>
          <w:tcPr>
            <w:tcW w:w="3118" w:type="dxa"/>
          </w:tcPr>
          <w:p>
            <w:pPr>
              <w:pStyle w:val="nTable"/>
              <w:spacing w:after="40"/>
              <w:ind w:right="113"/>
            </w:pPr>
            <w:r>
              <w:rPr>
                <w:i/>
              </w:rPr>
              <w:t>Water Authority (Charges) Amendment By</w:t>
            </w:r>
            <w:r>
              <w:rPr>
                <w:i/>
              </w:rPr>
              <w:noBreakHyphen/>
              <w:t>laws (No. 5) 1995</w:t>
            </w:r>
          </w:p>
        </w:tc>
        <w:tc>
          <w:tcPr>
            <w:tcW w:w="1276" w:type="dxa"/>
          </w:tcPr>
          <w:p>
            <w:pPr>
              <w:pStyle w:val="nTable"/>
              <w:spacing w:after="40"/>
            </w:pPr>
            <w:r>
              <w:t>17 Nov 1995 p. 5346</w:t>
            </w:r>
          </w:p>
        </w:tc>
        <w:tc>
          <w:tcPr>
            <w:tcW w:w="2693" w:type="dxa"/>
          </w:tcPr>
          <w:p>
            <w:pPr>
              <w:pStyle w:val="nTable"/>
              <w:spacing w:after="40"/>
            </w:pPr>
            <w:r>
              <w:t>17 Nov 1995</w:t>
            </w:r>
          </w:p>
        </w:tc>
      </w:tr>
      <w:tr>
        <w:trPr>
          <w:cantSplit/>
        </w:trPr>
        <w:tc>
          <w:tcPr>
            <w:tcW w:w="3118" w:type="dxa"/>
          </w:tcPr>
          <w:p>
            <w:pPr>
              <w:pStyle w:val="nTable"/>
              <w:spacing w:after="40"/>
              <w:ind w:right="113"/>
              <w:rPr>
                <w:i/>
              </w:rPr>
            </w:pPr>
            <w:r>
              <w:rPr>
                <w:i/>
              </w:rPr>
              <w:t>Water Agencies (Amendment and Repeal) By</w:t>
            </w:r>
            <w:r>
              <w:rPr>
                <w:i/>
              </w:rPr>
              <w:noBreakHyphen/>
              <w:t xml:space="preserve">laws 1995 </w:t>
            </w:r>
            <w:r>
              <w:t>Pt. 11</w:t>
            </w:r>
          </w:p>
        </w:tc>
        <w:tc>
          <w:tcPr>
            <w:tcW w:w="1276" w:type="dxa"/>
          </w:tcPr>
          <w:p>
            <w:pPr>
              <w:pStyle w:val="nTable"/>
              <w:spacing w:after="40"/>
              <w:ind w:right="113"/>
            </w:pPr>
            <w:r>
              <w:t>29 Dec 1995 p. 6305-32</w:t>
            </w:r>
          </w:p>
        </w:tc>
        <w:tc>
          <w:tcPr>
            <w:tcW w:w="2693" w:type="dxa"/>
          </w:tcPr>
          <w:p>
            <w:pPr>
              <w:pStyle w:val="nTable"/>
              <w:spacing w:after="40"/>
              <w:ind w:right="113"/>
            </w:pPr>
            <w:r>
              <w:t xml:space="preserve">1 Jan 1996 (see bl. 2 and </w:t>
            </w:r>
            <w:r>
              <w:rPr>
                <w:i/>
              </w:rPr>
              <w:t>Gazette</w:t>
            </w:r>
            <w:r>
              <w:t xml:space="preserve"> 29 Dec 1995 p. 6291)</w:t>
            </w:r>
          </w:p>
        </w:tc>
      </w:tr>
      <w:tr>
        <w:trPr>
          <w:cantSplit/>
        </w:trPr>
        <w:tc>
          <w:tcPr>
            <w:tcW w:w="3118" w:type="dxa"/>
          </w:tcPr>
          <w:p>
            <w:pPr>
              <w:pStyle w:val="nTable"/>
              <w:spacing w:after="40"/>
              <w:ind w:right="113"/>
            </w:pPr>
            <w:r>
              <w:rPr>
                <w:i/>
              </w:rPr>
              <w:t>Water Agencies (Charges) Amendment By</w:t>
            </w:r>
            <w:r>
              <w:rPr>
                <w:i/>
              </w:rPr>
              <w:noBreakHyphen/>
              <w:t>laws 1996</w:t>
            </w:r>
          </w:p>
        </w:tc>
        <w:tc>
          <w:tcPr>
            <w:tcW w:w="1276" w:type="dxa"/>
          </w:tcPr>
          <w:p>
            <w:pPr>
              <w:pStyle w:val="nTable"/>
              <w:spacing w:after="40"/>
            </w:pPr>
            <w:r>
              <w:t>21 May 1996 p. 2139</w:t>
            </w:r>
          </w:p>
        </w:tc>
        <w:tc>
          <w:tcPr>
            <w:tcW w:w="2693" w:type="dxa"/>
          </w:tcPr>
          <w:p>
            <w:pPr>
              <w:pStyle w:val="nTable"/>
              <w:spacing w:after="40"/>
            </w:pPr>
            <w:r>
              <w:t xml:space="preserve">21 May 1996 (see bl. 2 and </w:t>
            </w:r>
            <w:r>
              <w:rPr>
                <w:i/>
              </w:rPr>
              <w:t>Gazette</w:t>
            </w:r>
            <w:r>
              <w:t xml:space="preserve"> 21 May 1996 p. 2140)</w:t>
            </w:r>
          </w:p>
        </w:tc>
      </w:tr>
      <w:tr>
        <w:trPr>
          <w:cantSplit/>
        </w:trPr>
        <w:tc>
          <w:tcPr>
            <w:tcW w:w="3118" w:type="dxa"/>
          </w:tcPr>
          <w:p>
            <w:pPr>
              <w:pStyle w:val="nTable"/>
              <w:keepNext/>
              <w:spacing w:after="40"/>
              <w:ind w:right="113"/>
            </w:pPr>
            <w:r>
              <w:rPr>
                <w:i/>
              </w:rPr>
              <w:t>Water Agencies (Charges) Amendment By</w:t>
            </w:r>
            <w:r>
              <w:rPr>
                <w:i/>
              </w:rPr>
              <w:noBreakHyphen/>
              <w:t>laws (No. 2) 1996</w:t>
            </w:r>
          </w:p>
        </w:tc>
        <w:tc>
          <w:tcPr>
            <w:tcW w:w="1276" w:type="dxa"/>
          </w:tcPr>
          <w:p>
            <w:pPr>
              <w:pStyle w:val="nTable"/>
              <w:keepNext/>
              <w:spacing w:after="40"/>
            </w:pPr>
            <w:r>
              <w:t>28 Jun 1996 p. 3103</w:t>
            </w:r>
            <w:r>
              <w:noBreakHyphen/>
              <w:t>30</w:t>
            </w:r>
            <w:r>
              <w:br/>
              <w:t>(correction 9 Jul 1996 p. 3281)</w:t>
            </w:r>
          </w:p>
        </w:tc>
        <w:tc>
          <w:tcPr>
            <w:tcW w:w="2693" w:type="dxa"/>
          </w:tcPr>
          <w:p>
            <w:pPr>
              <w:pStyle w:val="nTable"/>
              <w:keepNext/>
              <w:spacing w:after="40"/>
            </w:pPr>
            <w:r>
              <w:t>1 Jul 1996 (see bl. 2)</w:t>
            </w:r>
          </w:p>
        </w:tc>
      </w:tr>
      <w:tr>
        <w:trPr>
          <w:cantSplit/>
        </w:trPr>
        <w:tc>
          <w:tcPr>
            <w:tcW w:w="3118" w:type="dxa"/>
          </w:tcPr>
          <w:p>
            <w:pPr>
              <w:pStyle w:val="nTable"/>
              <w:spacing w:after="40"/>
              <w:ind w:right="113"/>
            </w:pPr>
            <w:r>
              <w:rPr>
                <w:i/>
              </w:rPr>
              <w:t>Water Agencies (Charges) Amendment By</w:t>
            </w:r>
            <w:r>
              <w:rPr>
                <w:i/>
              </w:rPr>
              <w:noBreakHyphen/>
              <w:t>laws (No. 3) 1996</w:t>
            </w:r>
          </w:p>
        </w:tc>
        <w:tc>
          <w:tcPr>
            <w:tcW w:w="1276" w:type="dxa"/>
          </w:tcPr>
          <w:p>
            <w:pPr>
              <w:pStyle w:val="nTable"/>
              <w:spacing w:after="40"/>
            </w:pPr>
            <w:r>
              <w:t>5 Jul 1996 p. 3255</w:t>
            </w:r>
          </w:p>
        </w:tc>
        <w:tc>
          <w:tcPr>
            <w:tcW w:w="2693" w:type="dxa"/>
          </w:tcPr>
          <w:p>
            <w:pPr>
              <w:pStyle w:val="nTable"/>
              <w:spacing w:after="40"/>
            </w:pPr>
            <w:r>
              <w:t>5 Jul 1996</w:t>
            </w:r>
          </w:p>
        </w:tc>
      </w:tr>
      <w:tr>
        <w:trPr>
          <w:cantSplit/>
        </w:trPr>
        <w:tc>
          <w:tcPr>
            <w:tcW w:w="3118" w:type="dxa"/>
          </w:tcPr>
          <w:p>
            <w:pPr>
              <w:pStyle w:val="nTable"/>
              <w:spacing w:after="40"/>
              <w:ind w:right="113"/>
            </w:pPr>
            <w:r>
              <w:rPr>
                <w:i/>
              </w:rPr>
              <w:t>Water Agencies (Charges) Amendment By</w:t>
            </w:r>
            <w:r>
              <w:rPr>
                <w:i/>
              </w:rPr>
              <w:noBreakHyphen/>
              <w:t>laws (No. 4) 1996</w:t>
            </w:r>
          </w:p>
        </w:tc>
        <w:tc>
          <w:tcPr>
            <w:tcW w:w="1276" w:type="dxa"/>
          </w:tcPr>
          <w:p>
            <w:pPr>
              <w:pStyle w:val="nTable"/>
              <w:spacing w:after="40"/>
            </w:pPr>
            <w:r>
              <w:t>19 Jul 1996 p. 3489</w:t>
            </w:r>
            <w:r>
              <w:noBreakHyphen/>
              <w:t>90</w:t>
            </w:r>
          </w:p>
        </w:tc>
        <w:tc>
          <w:tcPr>
            <w:tcW w:w="2693" w:type="dxa"/>
          </w:tcPr>
          <w:p>
            <w:pPr>
              <w:pStyle w:val="nTable"/>
              <w:spacing w:after="40"/>
            </w:pPr>
            <w:r>
              <w:t>19 Jul 1996</w:t>
            </w:r>
          </w:p>
        </w:tc>
      </w:tr>
      <w:tr>
        <w:trPr>
          <w:cantSplit/>
        </w:trPr>
        <w:tc>
          <w:tcPr>
            <w:tcW w:w="3118" w:type="dxa"/>
          </w:tcPr>
          <w:p>
            <w:pPr>
              <w:pStyle w:val="nTable"/>
              <w:spacing w:after="40"/>
              <w:ind w:right="113"/>
            </w:pPr>
            <w:r>
              <w:rPr>
                <w:i/>
              </w:rPr>
              <w:t>Water Agencies (Charges) Amendment By</w:t>
            </w:r>
            <w:r>
              <w:rPr>
                <w:i/>
              </w:rPr>
              <w:noBreakHyphen/>
              <w:t>laws (No. 5) 1996</w:t>
            </w:r>
          </w:p>
        </w:tc>
        <w:tc>
          <w:tcPr>
            <w:tcW w:w="1276" w:type="dxa"/>
          </w:tcPr>
          <w:p>
            <w:pPr>
              <w:pStyle w:val="nTable"/>
              <w:spacing w:after="40"/>
            </w:pPr>
            <w:r>
              <w:t>23 Aug 1996 p. 4128</w:t>
            </w:r>
            <w:r>
              <w:noBreakHyphen/>
              <w:t>9</w:t>
            </w:r>
          </w:p>
        </w:tc>
        <w:tc>
          <w:tcPr>
            <w:tcW w:w="2693" w:type="dxa"/>
          </w:tcPr>
          <w:p>
            <w:pPr>
              <w:pStyle w:val="nTable"/>
              <w:spacing w:after="40"/>
            </w:pPr>
            <w:r>
              <w:t>23 Aug 1996</w:t>
            </w:r>
          </w:p>
        </w:tc>
      </w:tr>
      <w:tr>
        <w:trPr>
          <w:cantSplit/>
        </w:trPr>
        <w:tc>
          <w:tcPr>
            <w:tcW w:w="3118" w:type="dxa"/>
          </w:tcPr>
          <w:p>
            <w:pPr>
              <w:pStyle w:val="nTable"/>
              <w:spacing w:after="40"/>
              <w:ind w:right="113"/>
            </w:pPr>
            <w:r>
              <w:rPr>
                <w:i/>
              </w:rPr>
              <w:t>Water Agencies (Charges) Amendment By</w:t>
            </w:r>
            <w:r>
              <w:rPr>
                <w:i/>
              </w:rPr>
              <w:noBreakHyphen/>
              <w:t>laws (No. 6) 1996</w:t>
            </w:r>
          </w:p>
        </w:tc>
        <w:tc>
          <w:tcPr>
            <w:tcW w:w="1276" w:type="dxa"/>
          </w:tcPr>
          <w:p>
            <w:pPr>
              <w:pStyle w:val="nTable"/>
              <w:spacing w:after="40"/>
            </w:pPr>
            <w:r>
              <w:t>13 Sep 1996 p. 4606</w:t>
            </w:r>
          </w:p>
        </w:tc>
        <w:tc>
          <w:tcPr>
            <w:tcW w:w="2693" w:type="dxa"/>
          </w:tcPr>
          <w:p>
            <w:pPr>
              <w:pStyle w:val="nTable"/>
              <w:spacing w:after="40"/>
            </w:pPr>
            <w:r>
              <w:t>13 Sep 1996</w:t>
            </w:r>
          </w:p>
        </w:tc>
      </w:tr>
      <w:tr>
        <w:trPr>
          <w:cantSplit/>
        </w:trPr>
        <w:tc>
          <w:tcPr>
            <w:tcW w:w="3118" w:type="dxa"/>
          </w:tcPr>
          <w:p>
            <w:pPr>
              <w:pStyle w:val="nTable"/>
              <w:spacing w:after="40"/>
              <w:ind w:right="113"/>
            </w:pPr>
            <w:r>
              <w:rPr>
                <w:i/>
              </w:rPr>
              <w:t>Water Agencies (Charges) Amendment By</w:t>
            </w:r>
            <w:r>
              <w:rPr>
                <w:i/>
              </w:rPr>
              <w:noBreakHyphen/>
              <w:t>laws (No. 7) 1996</w:t>
            </w:r>
          </w:p>
        </w:tc>
        <w:tc>
          <w:tcPr>
            <w:tcW w:w="1276" w:type="dxa"/>
          </w:tcPr>
          <w:p>
            <w:pPr>
              <w:pStyle w:val="nTable"/>
              <w:spacing w:after="40"/>
            </w:pPr>
            <w:r>
              <w:t>7 Jan 1997 p. 63</w:t>
            </w:r>
          </w:p>
        </w:tc>
        <w:tc>
          <w:tcPr>
            <w:tcW w:w="2693" w:type="dxa"/>
          </w:tcPr>
          <w:p>
            <w:pPr>
              <w:pStyle w:val="nTable"/>
              <w:spacing w:after="40"/>
            </w:pPr>
            <w:r>
              <w:t>7 Jan 1997</w:t>
            </w:r>
          </w:p>
        </w:tc>
      </w:tr>
      <w:tr>
        <w:trPr>
          <w:cantSplit/>
        </w:trPr>
        <w:tc>
          <w:tcPr>
            <w:tcW w:w="3118" w:type="dxa"/>
          </w:tcPr>
          <w:p>
            <w:pPr>
              <w:pStyle w:val="nTable"/>
              <w:spacing w:after="40"/>
              <w:ind w:right="113"/>
            </w:pPr>
            <w:r>
              <w:rPr>
                <w:i/>
              </w:rPr>
              <w:t>Water Agencies (Charges) Amendment By</w:t>
            </w:r>
            <w:r>
              <w:rPr>
                <w:i/>
              </w:rPr>
              <w:noBreakHyphen/>
              <w:t>laws 1997</w:t>
            </w:r>
          </w:p>
        </w:tc>
        <w:tc>
          <w:tcPr>
            <w:tcW w:w="1276" w:type="dxa"/>
          </w:tcPr>
          <w:p>
            <w:pPr>
              <w:pStyle w:val="nTable"/>
              <w:spacing w:after="40"/>
            </w:pPr>
            <w:r>
              <w:t>7 Feb 1997 p. 779</w:t>
            </w:r>
          </w:p>
        </w:tc>
        <w:tc>
          <w:tcPr>
            <w:tcW w:w="2693" w:type="dxa"/>
          </w:tcPr>
          <w:p>
            <w:pPr>
              <w:pStyle w:val="nTable"/>
              <w:spacing w:after="40"/>
            </w:pPr>
            <w:r>
              <w:t>7 Feb 1997</w:t>
            </w:r>
          </w:p>
        </w:tc>
      </w:tr>
      <w:tr>
        <w:trPr>
          <w:cantSplit/>
        </w:trPr>
        <w:tc>
          <w:tcPr>
            <w:tcW w:w="3118" w:type="dxa"/>
          </w:tcPr>
          <w:p>
            <w:pPr>
              <w:pStyle w:val="nTable"/>
              <w:spacing w:after="40"/>
              <w:ind w:right="113"/>
            </w:pPr>
            <w:r>
              <w:rPr>
                <w:i/>
              </w:rPr>
              <w:t>Water Agencies (Charges) Amendment By</w:t>
            </w:r>
            <w:r>
              <w:rPr>
                <w:i/>
              </w:rPr>
              <w:noBreakHyphen/>
              <w:t>laws (No. 2) 1997</w:t>
            </w:r>
          </w:p>
        </w:tc>
        <w:tc>
          <w:tcPr>
            <w:tcW w:w="1276" w:type="dxa"/>
          </w:tcPr>
          <w:p>
            <w:pPr>
              <w:pStyle w:val="nTable"/>
              <w:spacing w:after="40"/>
            </w:pPr>
            <w:r>
              <w:t>13 May 1997 p. 2350</w:t>
            </w:r>
            <w:r>
              <w:noBreakHyphen/>
              <w:t>3</w:t>
            </w:r>
          </w:p>
        </w:tc>
        <w:tc>
          <w:tcPr>
            <w:tcW w:w="2693" w:type="dxa"/>
          </w:tcPr>
          <w:p>
            <w:pPr>
              <w:pStyle w:val="nTable"/>
              <w:spacing w:after="40"/>
            </w:pPr>
            <w:r>
              <w:t>13 May 1997</w:t>
            </w:r>
          </w:p>
        </w:tc>
      </w:tr>
      <w:tr>
        <w:trPr>
          <w:cantSplit/>
        </w:trPr>
        <w:tc>
          <w:tcPr>
            <w:tcW w:w="3118" w:type="dxa"/>
          </w:tcPr>
          <w:p>
            <w:pPr>
              <w:pStyle w:val="nTable"/>
              <w:spacing w:after="40"/>
              <w:ind w:right="113"/>
            </w:pPr>
            <w:r>
              <w:rPr>
                <w:i/>
              </w:rPr>
              <w:t>Water Agencies (Charges) Amendment By</w:t>
            </w:r>
            <w:r>
              <w:rPr>
                <w:i/>
              </w:rPr>
              <w:noBreakHyphen/>
              <w:t>laws (No. 4) 1997</w:t>
            </w:r>
          </w:p>
        </w:tc>
        <w:tc>
          <w:tcPr>
            <w:tcW w:w="1276" w:type="dxa"/>
          </w:tcPr>
          <w:p>
            <w:pPr>
              <w:pStyle w:val="nTable"/>
              <w:spacing w:after="40"/>
            </w:pPr>
            <w:r>
              <w:t>10 Jun 1997 p. 2669</w:t>
            </w:r>
            <w:r>
              <w:noBreakHyphen/>
              <w:t>70</w:t>
            </w:r>
          </w:p>
        </w:tc>
        <w:tc>
          <w:tcPr>
            <w:tcW w:w="2693" w:type="dxa"/>
          </w:tcPr>
          <w:p>
            <w:pPr>
              <w:pStyle w:val="nTable"/>
              <w:spacing w:after="40"/>
            </w:pPr>
            <w:r>
              <w:t>10 Jun 1997</w:t>
            </w:r>
          </w:p>
        </w:tc>
      </w:tr>
      <w:tr>
        <w:trPr>
          <w:cantSplit/>
        </w:trPr>
        <w:tc>
          <w:tcPr>
            <w:tcW w:w="3118" w:type="dxa"/>
          </w:tcPr>
          <w:p>
            <w:pPr>
              <w:pStyle w:val="nTable"/>
              <w:spacing w:after="40"/>
              <w:ind w:right="113"/>
            </w:pPr>
            <w:r>
              <w:rPr>
                <w:i/>
              </w:rPr>
              <w:t>Water Agencies (Charges) Amendment By</w:t>
            </w:r>
            <w:r>
              <w:rPr>
                <w:i/>
              </w:rPr>
              <w:noBreakHyphen/>
              <w:t>laws (No. 3) 1997</w:t>
            </w:r>
          </w:p>
        </w:tc>
        <w:tc>
          <w:tcPr>
            <w:tcW w:w="1276" w:type="dxa"/>
          </w:tcPr>
          <w:p>
            <w:pPr>
              <w:pStyle w:val="nTable"/>
              <w:spacing w:after="40"/>
            </w:pPr>
            <w:r>
              <w:t>27 Jun 1997 p. 3175</w:t>
            </w:r>
            <w:r>
              <w:noBreakHyphen/>
              <w:t>203</w:t>
            </w:r>
          </w:p>
        </w:tc>
        <w:tc>
          <w:tcPr>
            <w:tcW w:w="2693" w:type="dxa"/>
          </w:tcPr>
          <w:p>
            <w:pPr>
              <w:pStyle w:val="nTable"/>
              <w:spacing w:after="40"/>
            </w:pPr>
            <w:r>
              <w:t>1 Jul 1997 (see bl. 2)</w:t>
            </w:r>
          </w:p>
        </w:tc>
      </w:tr>
      <w:tr>
        <w:trPr>
          <w:cantSplit/>
        </w:trPr>
        <w:tc>
          <w:tcPr>
            <w:tcW w:w="7087" w:type="dxa"/>
            <w:gridSpan w:val="3"/>
          </w:tcPr>
          <w:p>
            <w:pPr>
              <w:pStyle w:val="nTable"/>
              <w:spacing w:after="40"/>
            </w:pPr>
            <w:r>
              <w:rPr>
                <w:b/>
              </w:rPr>
              <w:t xml:space="preserve">Reprint of the </w:t>
            </w:r>
            <w:r>
              <w:rPr>
                <w:b/>
                <w:i/>
              </w:rPr>
              <w:t>Water Agencies (Charges) By</w:t>
            </w:r>
            <w:r>
              <w:rPr>
                <w:b/>
                <w:bCs/>
                <w:i/>
              </w:rPr>
              <w:noBreakHyphen/>
            </w:r>
            <w:r>
              <w:rPr>
                <w:b/>
                <w:i/>
              </w:rPr>
              <w:t>laws 1987</w:t>
            </w:r>
            <w:r>
              <w:rPr>
                <w:b/>
              </w:rPr>
              <w:t xml:space="preserve"> as at 25 Aug 1997</w:t>
            </w:r>
            <w:r>
              <w:t xml:space="preserve"> </w:t>
            </w:r>
            <w:r>
              <w:br/>
              <w:t>(includes amendments listed above)</w:t>
            </w:r>
          </w:p>
        </w:tc>
      </w:tr>
      <w:tr>
        <w:trPr>
          <w:cantSplit/>
        </w:trPr>
        <w:tc>
          <w:tcPr>
            <w:tcW w:w="3118" w:type="dxa"/>
          </w:tcPr>
          <w:p>
            <w:pPr>
              <w:pStyle w:val="nTable"/>
              <w:spacing w:after="40"/>
              <w:ind w:right="113"/>
              <w:rPr>
                <w:vertAlign w:val="superscript"/>
              </w:rPr>
            </w:pPr>
            <w:r>
              <w:rPr>
                <w:i/>
              </w:rPr>
              <w:t>Water Agencies (Charges) Amendment By</w:t>
            </w:r>
            <w:r>
              <w:rPr>
                <w:i/>
              </w:rPr>
              <w:noBreakHyphen/>
              <w:t>laws (No. 5) 1997</w:t>
            </w:r>
            <w:r>
              <w:rPr>
                <w:i/>
                <w:vertAlign w:val="superscript"/>
              </w:rPr>
              <w:t xml:space="preserve"> </w:t>
            </w:r>
            <w:r>
              <w:rPr>
                <w:vertAlign w:val="superscript"/>
              </w:rPr>
              <w:t>18</w:t>
            </w:r>
          </w:p>
        </w:tc>
        <w:tc>
          <w:tcPr>
            <w:tcW w:w="1276" w:type="dxa"/>
          </w:tcPr>
          <w:p>
            <w:pPr>
              <w:pStyle w:val="nTable"/>
              <w:spacing w:after="40"/>
            </w:pPr>
            <w:r>
              <w:t>6 Jan 1998 p. 39</w:t>
            </w:r>
            <w:r>
              <w:noBreakHyphen/>
              <w:t>41</w:t>
            </w:r>
          </w:p>
        </w:tc>
        <w:tc>
          <w:tcPr>
            <w:tcW w:w="2693" w:type="dxa"/>
          </w:tcPr>
          <w:p>
            <w:pPr>
              <w:pStyle w:val="nTable"/>
              <w:spacing w:after="40"/>
            </w:pPr>
            <w:r>
              <w:t>6 Jan 1998</w:t>
            </w:r>
          </w:p>
        </w:tc>
      </w:tr>
      <w:tr>
        <w:trPr>
          <w:cantSplit/>
        </w:trPr>
        <w:tc>
          <w:tcPr>
            <w:tcW w:w="3118" w:type="dxa"/>
          </w:tcPr>
          <w:p>
            <w:pPr>
              <w:pStyle w:val="nTable"/>
              <w:spacing w:after="40"/>
              <w:ind w:right="113"/>
            </w:pPr>
            <w:r>
              <w:rPr>
                <w:i/>
              </w:rPr>
              <w:t>Water Agencies (Charges) Amendment By</w:t>
            </w:r>
            <w:r>
              <w:rPr>
                <w:i/>
              </w:rPr>
              <w:noBreakHyphen/>
              <w:t>laws 1998</w:t>
            </w:r>
          </w:p>
        </w:tc>
        <w:tc>
          <w:tcPr>
            <w:tcW w:w="1276" w:type="dxa"/>
          </w:tcPr>
          <w:p>
            <w:pPr>
              <w:pStyle w:val="nTable"/>
              <w:spacing w:after="40"/>
            </w:pPr>
            <w:r>
              <w:t>9 Apr 1998 p. 2035</w:t>
            </w:r>
          </w:p>
        </w:tc>
        <w:tc>
          <w:tcPr>
            <w:tcW w:w="2693" w:type="dxa"/>
          </w:tcPr>
          <w:p>
            <w:pPr>
              <w:pStyle w:val="nTable"/>
              <w:spacing w:after="40"/>
            </w:pPr>
            <w:r>
              <w:t>14 Apr 1998 (see bl. 2)</w:t>
            </w:r>
          </w:p>
        </w:tc>
      </w:tr>
      <w:tr>
        <w:trPr>
          <w:cantSplit/>
        </w:trPr>
        <w:tc>
          <w:tcPr>
            <w:tcW w:w="3118" w:type="dxa"/>
          </w:tcPr>
          <w:p>
            <w:pPr>
              <w:pStyle w:val="nTable"/>
              <w:keepNext/>
              <w:spacing w:after="40"/>
              <w:ind w:right="113"/>
            </w:pPr>
            <w:r>
              <w:rPr>
                <w:i/>
              </w:rPr>
              <w:t>Water Agencies (Charges) Amendment By</w:t>
            </w:r>
            <w:r>
              <w:rPr>
                <w:i/>
              </w:rPr>
              <w:noBreakHyphen/>
              <w:t>laws (No. 2) 1998</w:t>
            </w:r>
          </w:p>
        </w:tc>
        <w:tc>
          <w:tcPr>
            <w:tcW w:w="1276" w:type="dxa"/>
          </w:tcPr>
          <w:p>
            <w:pPr>
              <w:pStyle w:val="nTable"/>
              <w:keepNext/>
              <w:spacing w:after="40"/>
            </w:pPr>
            <w:r>
              <w:t>26 Jun 1998 p. 3399</w:t>
            </w:r>
            <w:r>
              <w:noBreakHyphen/>
              <w:t>415</w:t>
            </w:r>
          </w:p>
        </w:tc>
        <w:tc>
          <w:tcPr>
            <w:tcW w:w="2693" w:type="dxa"/>
          </w:tcPr>
          <w:p>
            <w:pPr>
              <w:pStyle w:val="nTable"/>
              <w:keepNext/>
              <w:spacing w:after="40"/>
            </w:pPr>
            <w:r>
              <w:t xml:space="preserve">1 Jul 1998 (see bl. 2) </w:t>
            </w:r>
          </w:p>
        </w:tc>
      </w:tr>
      <w:tr>
        <w:trPr>
          <w:cantSplit/>
        </w:trPr>
        <w:tc>
          <w:tcPr>
            <w:tcW w:w="3118" w:type="dxa"/>
          </w:tcPr>
          <w:p>
            <w:pPr>
              <w:pStyle w:val="nTable"/>
              <w:spacing w:after="40"/>
              <w:ind w:right="113"/>
            </w:pPr>
            <w:r>
              <w:rPr>
                <w:i/>
              </w:rPr>
              <w:t>Water Agencies (Charges) Amendment By</w:t>
            </w:r>
            <w:r>
              <w:rPr>
                <w:i/>
              </w:rPr>
              <w:noBreakHyphen/>
              <w:t>laws (No. 3) 1998</w:t>
            </w:r>
          </w:p>
        </w:tc>
        <w:tc>
          <w:tcPr>
            <w:tcW w:w="1276" w:type="dxa"/>
          </w:tcPr>
          <w:p>
            <w:pPr>
              <w:pStyle w:val="nTable"/>
              <w:spacing w:after="40"/>
            </w:pPr>
            <w:r>
              <w:t>26 Jun 1998 p. 3415</w:t>
            </w:r>
            <w:r>
              <w:noBreakHyphen/>
              <w:t>16</w:t>
            </w:r>
          </w:p>
        </w:tc>
        <w:tc>
          <w:tcPr>
            <w:tcW w:w="2693" w:type="dxa"/>
          </w:tcPr>
          <w:p>
            <w:pPr>
              <w:pStyle w:val="nTable"/>
              <w:spacing w:after="40"/>
            </w:pPr>
            <w:r>
              <w:t>26 Jun 1998</w:t>
            </w:r>
          </w:p>
        </w:tc>
      </w:tr>
      <w:tr>
        <w:trPr>
          <w:cantSplit/>
        </w:trPr>
        <w:tc>
          <w:tcPr>
            <w:tcW w:w="3118" w:type="dxa"/>
          </w:tcPr>
          <w:p>
            <w:pPr>
              <w:pStyle w:val="nTable"/>
              <w:spacing w:after="40"/>
              <w:ind w:right="113"/>
            </w:pPr>
            <w:r>
              <w:rPr>
                <w:i/>
              </w:rPr>
              <w:t>Water Agencies (Charges) Amendment By</w:t>
            </w:r>
            <w:r>
              <w:rPr>
                <w:i/>
              </w:rPr>
              <w:noBreakHyphen/>
              <w:t>laws (No. 4) 1998</w:t>
            </w:r>
          </w:p>
        </w:tc>
        <w:tc>
          <w:tcPr>
            <w:tcW w:w="1276" w:type="dxa"/>
          </w:tcPr>
          <w:p>
            <w:pPr>
              <w:pStyle w:val="nTable"/>
              <w:spacing w:after="40"/>
            </w:pPr>
            <w:r>
              <w:t>1 Jul 1998 p. 3561</w:t>
            </w:r>
          </w:p>
        </w:tc>
        <w:tc>
          <w:tcPr>
            <w:tcW w:w="2693" w:type="dxa"/>
          </w:tcPr>
          <w:p>
            <w:pPr>
              <w:pStyle w:val="nTable"/>
              <w:spacing w:after="40"/>
            </w:pPr>
            <w:r>
              <w:t xml:space="preserve">1 Jul 1998 (see bl. 2 and </w:t>
            </w:r>
            <w:r>
              <w:rPr>
                <w:i/>
              </w:rPr>
              <w:t>Gazette</w:t>
            </w:r>
            <w:r>
              <w:t xml:space="preserve"> 26 Jun 1998 p. 3399)</w:t>
            </w:r>
          </w:p>
        </w:tc>
      </w:tr>
      <w:tr>
        <w:trPr>
          <w:cantSplit/>
        </w:trPr>
        <w:tc>
          <w:tcPr>
            <w:tcW w:w="3118" w:type="dxa"/>
          </w:tcPr>
          <w:p>
            <w:pPr>
              <w:pStyle w:val="nTable"/>
              <w:spacing w:after="40"/>
              <w:ind w:right="113"/>
              <w:rPr>
                <w:i/>
              </w:rPr>
            </w:pPr>
            <w:r>
              <w:rPr>
                <w:i/>
              </w:rPr>
              <w:t>Water Agencies (Charges) Amendment By</w:t>
            </w:r>
            <w:r>
              <w:rPr>
                <w:i/>
              </w:rPr>
              <w:noBreakHyphen/>
              <w:t>laws (No. 5) 1998</w:t>
            </w:r>
          </w:p>
        </w:tc>
        <w:tc>
          <w:tcPr>
            <w:tcW w:w="1276" w:type="dxa"/>
          </w:tcPr>
          <w:p>
            <w:pPr>
              <w:pStyle w:val="nTable"/>
              <w:spacing w:after="40"/>
            </w:pPr>
            <w:r>
              <w:t>30 Oct 1998 p. 6017</w:t>
            </w:r>
            <w:r>
              <w:noBreakHyphen/>
              <w:t>18</w:t>
            </w:r>
          </w:p>
        </w:tc>
        <w:tc>
          <w:tcPr>
            <w:tcW w:w="2693" w:type="dxa"/>
          </w:tcPr>
          <w:p>
            <w:pPr>
              <w:pStyle w:val="nTable"/>
              <w:spacing w:after="40"/>
            </w:pPr>
            <w:r>
              <w:t>30 Oct 1998</w:t>
            </w:r>
          </w:p>
        </w:tc>
      </w:tr>
      <w:tr>
        <w:trPr>
          <w:cantSplit/>
        </w:trPr>
        <w:tc>
          <w:tcPr>
            <w:tcW w:w="3118" w:type="dxa"/>
          </w:tcPr>
          <w:p>
            <w:pPr>
              <w:pStyle w:val="nTable"/>
              <w:spacing w:after="40"/>
              <w:ind w:right="113"/>
              <w:rPr>
                <w:i/>
              </w:rPr>
            </w:pPr>
            <w:r>
              <w:rPr>
                <w:i/>
              </w:rPr>
              <w:t>Water Agencies (Charges) Amendment By</w:t>
            </w:r>
            <w:r>
              <w:rPr>
                <w:i/>
              </w:rPr>
              <w:noBreakHyphen/>
              <w:t>laws 1999</w:t>
            </w:r>
          </w:p>
        </w:tc>
        <w:tc>
          <w:tcPr>
            <w:tcW w:w="1276" w:type="dxa"/>
          </w:tcPr>
          <w:p>
            <w:pPr>
              <w:pStyle w:val="nTable"/>
              <w:spacing w:after="40"/>
            </w:pPr>
            <w:r>
              <w:t>7 May 1999 p. 1859</w:t>
            </w:r>
            <w:r>
              <w:noBreakHyphen/>
              <w:t>61</w:t>
            </w:r>
          </w:p>
        </w:tc>
        <w:tc>
          <w:tcPr>
            <w:tcW w:w="2693" w:type="dxa"/>
          </w:tcPr>
          <w:p>
            <w:pPr>
              <w:pStyle w:val="nTable"/>
              <w:spacing w:after="40"/>
            </w:pPr>
            <w:r>
              <w:t>7 May 1999</w:t>
            </w:r>
          </w:p>
        </w:tc>
      </w:tr>
      <w:tr>
        <w:trPr>
          <w:cantSplit/>
        </w:trPr>
        <w:tc>
          <w:tcPr>
            <w:tcW w:w="3118" w:type="dxa"/>
          </w:tcPr>
          <w:p>
            <w:pPr>
              <w:pStyle w:val="nTable"/>
              <w:spacing w:after="40"/>
              <w:ind w:right="113"/>
              <w:rPr>
                <w:i/>
              </w:rPr>
            </w:pPr>
            <w:r>
              <w:rPr>
                <w:i/>
              </w:rPr>
              <w:t>Water Agencies (Charges) Amendment By</w:t>
            </w:r>
            <w:r>
              <w:rPr>
                <w:i/>
              </w:rPr>
              <w:noBreakHyphen/>
              <w:t>laws (No. 3) 1999</w:t>
            </w:r>
          </w:p>
        </w:tc>
        <w:tc>
          <w:tcPr>
            <w:tcW w:w="1276" w:type="dxa"/>
          </w:tcPr>
          <w:p>
            <w:pPr>
              <w:pStyle w:val="nTable"/>
              <w:spacing w:after="40"/>
            </w:pPr>
            <w:r>
              <w:t>25 Jun 1999 p. 2742</w:t>
            </w:r>
          </w:p>
        </w:tc>
        <w:tc>
          <w:tcPr>
            <w:tcW w:w="2693" w:type="dxa"/>
          </w:tcPr>
          <w:p>
            <w:pPr>
              <w:pStyle w:val="nTable"/>
              <w:spacing w:after="40"/>
            </w:pPr>
            <w:r>
              <w:t>25 Jun 1999</w:t>
            </w:r>
          </w:p>
        </w:tc>
      </w:tr>
      <w:tr>
        <w:trPr>
          <w:cantSplit/>
        </w:trPr>
        <w:tc>
          <w:tcPr>
            <w:tcW w:w="3118" w:type="dxa"/>
          </w:tcPr>
          <w:p>
            <w:pPr>
              <w:pStyle w:val="nTable"/>
              <w:spacing w:after="40"/>
              <w:ind w:right="113"/>
              <w:rPr>
                <w:vertAlign w:val="superscript"/>
              </w:rPr>
            </w:pPr>
            <w:r>
              <w:rPr>
                <w:i/>
              </w:rPr>
              <w:t>Water Agencies (Charges) Amendment By</w:t>
            </w:r>
            <w:r>
              <w:rPr>
                <w:i/>
              </w:rPr>
              <w:noBreakHyphen/>
              <w:t>laws (No. 2) 1999</w:t>
            </w:r>
            <w:r>
              <w:rPr>
                <w:vertAlign w:val="superscript"/>
              </w:rPr>
              <w:t> 19</w:t>
            </w:r>
          </w:p>
        </w:tc>
        <w:tc>
          <w:tcPr>
            <w:tcW w:w="1276" w:type="dxa"/>
          </w:tcPr>
          <w:p>
            <w:pPr>
              <w:pStyle w:val="nTable"/>
              <w:spacing w:after="40"/>
            </w:pPr>
            <w:r>
              <w:t>29 Jun 1999 p. 2789</w:t>
            </w:r>
            <w:r>
              <w:noBreakHyphen/>
              <w:t>828</w:t>
            </w:r>
          </w:p>
        </w:tc>
        <w:tc>
          <w:tcPr>
            <w:tcW w:w="2693" w:type="dxa"/>
          </w:tcPr>
          <w:p>
            <w:pPr>
              <w:pStyle w:val="nTable"/>
              <w:spacing w:after="40"/>
            </w:pPr>
            <w:r>
              <w:t>1 Jul 1999 (see bl. 2)</w:t>
            </w:r>
          </w:p>
        </w:tc>
      </w:tr>
      <w:tr>
        <w:trPr>
          <w:cantSplit/>
        </w:trPr>
        <w:tc>
          <w:tcPr>
            <w:tcW w:w="3118" w:type="dxa"/>
          </w:tcPr>
          <w:p>
            <w:pPr>
              <w:pStyle w:val="nTable"/>
              <w:spacing w:after="40"/>
              <w:ind w:right="113"/>
              <w:rPr>
                <w:i/>
              </w:rPr>
            </w:pPr>
            <w:r>
              <w:rPr>
                <w:i/>
              </w:rPr>
              <w:t>Water Agencies (Charges) Amendment By</w:t>
            </w:r>
            <w:r>
              <w:rPr>
                <w:i/>
              </w:rPr>
              <w:noBreakHyphen/>
              <w:t>laws (No. 4) 1999</w:t>
            </w:r>
          </w:p>
        </w:tc>
        <w:tc>
          <w:tcPr>
            <w:tcW w:w="1276" w:type="dxa"/>
          </w:tcPr>
          <w:p>
            <w:pPr>
              <w:pStyle w:val="nTable"/>
              <w:spacing w:after="40"/>
            </w:pPr>
            <w:r>
              <w:t xml:space="preserve">1 Jul 1999 </w:t>
            </w:r>
            <w:r>
              <w:br/>
              <w:t>p. 2907</w:t>
            </w:r>
          </w:p>
        </w:tc>
        <w:tc>
          <w:tcPr>
            <w:tcW w:w="2693" w:type="dxa"/>
          </w:tcPr>
          <w:p>
            <w:pPr>
              <w:pStyle w:val="nTable"/>
              <w:spacing w:after="40"/>
            </w:pPr>
            <w:r>
              <w:t>1 Jul 1999 (see bl. 2)</w:t>
            </w:r>
          </w:p>
        </w:tc>
      </w:tr>
      <w:tr>
        <w:trPr>
          <w:cantSplit/>
        </w:trPr>
        <w:tc>
          <w:tcPr>
            <w:tcW w:w="3118" w:type="dxa"/>
          </w:tcPr>
          <w:p>
            <w:pPr>
              <w:pStyle w:val="nTable"/>
              <w:spacing w:after="40"/>
              <w:ind w:right="113"/>
              <w:rPr>
                <w:i/>
              </w:rPr>
            </w:pPr>
            <w:r>
              <w:rPr>
                <w:i/>
              </w:rPr>
              <w:t>Water Agencies (Charges) Amendment By</w:t>
            </w:r>
            <w:r>
              <w:rPr>
                <w:i/>
              </w:rPr>
              <w:noBreakHyphen/>
              <w:t>laws 2000</w:t>
            </w:r>
          </w:p>
        </w:tc>
        <w:tc>
          <w:tcPr>
            <w:tcW w:w="1276" w:type="dxa"/>
          </w:tcPr>
          <w:p>
            <w:pPr>
              <w:pStyle w:val="nTable"/>
              <w:spacing w:after="40"/>
            </w:pPr>
            <w:r>
              <w:t>15 Feb 2000 p. 524</w:t>
            </w:r>
            <w:r>
              <w:noBreakHyphen/>
              <w:t>5</w:t>
            </w:r>
          </w:p>
        </w:tc>
        <w:tc>
          <w:tcPr>
            <w:tcW w:w="2693" w:type="dxa"/>
          </w:tcPr>
          <w:p>
            <w:pPr>
              <w:pStyle w:val="nTable"/>
              <w:spacing w:after="40"/>
            </w:pPr>
            <w:r>
              <w:t>15 Feb 2000</w:t>
            </w:r>
          </w:p>
        </w:tc>
      </w:tr>
      <w:tr>
        <w:trPr>
          <w:cantSplit/>
        </w:trPr>
        <w:tc>
          <w:tcPr>
            <w:tcW w:w="3118" w:type="dxa"/>
          </w:tcPr>
          <w:p>
            <w:pPr>
              <w:pStyle w:val="nTable"/>
              <w:spacing w:after="40"/>
              <w:ind w:right="113"/>
              <w:rPr>
                <w:i/>
              </w:rPr>
            </w:pPr>
            <w:r>
              <w:rPr>
                <w:i/>
              </w:rPr>
              <w:t>Water Agencies (Charges) Amendment By</w:t>
            </w:r>
            <w:r>
              <w:rPr>
                <w:i/>
              </w:rPr>
              <w:noBreakHyphen/>
              <w:t>laws (No. 2) 2000</w:t>
            </w:r>
          </w:p>
        </w:tc>
        <w:tc>
          <w:tcPr>
            <w:tcW w:w="1276" w:type="dxa"/>
          </w:tcPr>
          <w:p>
            <w:pPr>
              <w:pStyle w:val="nTable"/>
              <w:spacing w:after="40"/>
            </w:pPr>
            <w:r>
              <w:t>29 Jun 2000 p. 3323</w:t>
            </w:r>
            <w:r>
              <w:noBreakHyphen/>
              <w:t>63</w:t>
            </w:r>
          </w:p>
        </w:tc>
        <w:tc>
          <w:tcPr>
            <w:tcW w:w="2693" w:type="dxa"/>
          </w:tcPr>
          <w:p>
            <w:pPr>
              <w:pStyle w:val="nTable"/>
              <w:spacing w:after="40"/>
            </w:pPr>
            <w:r>
              <w:t>1 Jul 2000 (see bl. 2)</w:t>
            </w:r>
          </w:p>
        </w:tc>
      </w:tr>
      <w:tr>
        <w:trPr>
          <w:cantSplit/>
        </w:trPr>
        <w:tc>
          <w:tcPr>
            <w:tcW w:w="3118" w:type="dxa"/>
          </w:tcPr>
          <w:p>
            <w:pPr>
              <w:pStyle w:val="nTable"/>
              <w:spacing w:after="40"/>
              <w:ind w:right="113"/>
              <w:rPr>
                <w:i/>
              </w:rPr>
            </w:pPr>
            <w:r>
              <w:rPr>
                <w:i/>
              </w:rPr>
              <w:t>Water Agencies (Charges) Amendment By</w:t>
            </w:r>
            <w:r>
              <w:rPr>
                <w:i/>
              </w:rPr>
              <w:noBreakHyphen/>
              <w:t>laws 2001</w:t>
            </w:r>
          </w:p>
        </w:tc>
        <w:tc>
          <w:tcPr>
            <w:tcW w:w="1276" w:type="dxa"/>
          </w:tcPr>
          <w:p>
            <w:pPr>
              <w:pStyle w:val="nTable"/>
              <w:spacing w:after="40"/>
            </w:pPr>
            <w:r>
              <w:t>13 Feb 2001 p. 892</w:t>
            </w:r>
          </w:p>
        </w:tc>
        <w:tc>
          <w:tcPr>
            <w:tcW w:w="2693" w:type="dxa"/>
          </w:tcPr>
          <w:p>
            <w:pPr>
              <w:pStyle w:val="nTable"/>
              <w:spacing w:after="40"/>
            </w:pPr>
            <w:r>
              <w:t>13 Feb 2001</w:t>
            </w:r>
          </w:p>
        </w:tc>
      </w:tr>
      <w:tr>
        <w:trPr>
          <w:cantSplit/>
        </w:trPr>
        <w:tc>
          <w:tcPr>
            <w:tcW w:w="7087" w:type="dxa"/>
            <w:gridSpan w:val="3"/>
          </w:tcPr>
          <w:p>
            <w:pPr>
              <w:pStyle w:val="nTable"/>
              <w:spacing w:after="40"/>
            </w:pPr>
            <w:r>
              <w:rPr>
                <w:b/>
              </w:rPr>
              <w:t xml:space="preserve">Reprint of the </w:t>
            </w:r>
            <w:r>
              <w:rPr>
                <w:b/>
                <w:i/>
              </w:rPr>
              <w:t>Water Agencies (Charges) By</w:t>
            </w:r>
            <w:r>
              <w:rPr>
                <w:b/>
                <w:bCs/>
                <w:i/>
              </w:rPr>
              <w:noBreakHyphen/>
            </w:r>
            <w:r>
              <w:rPr>
                <w:b/>
                <w:i/>
              </w:rPr>
              <w:t>laws 1987</w:t>
            </w:r>
            <w:r>
              <w:rPr>
                <w:b/>
              </w:rPr>
              <w:t xml:space="preserve"> as at 16 Feb 2001</w:t>
            </w:r>
            <w:r>
              <w:rPr>
                <w:b/>
              </w:rPr>
              <w:br/>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(No. 2) 2001</w:t>
            </w:r>
          </w:p>
        </w:tc>
        <w:tc>
          <w:tcPr>
            <w:tcW w:w="1276" w:type="dxa"/>
          </w:tcPr>
          <w:p>
            <w:pPr>
              <w:pStyle w:val="nTable"/>
              <w:spacing w:after="40"/>
            </w:pPr>
            <w:r>
              <w:t>29 Jun 2001 p. 3187</w:t>
            </w:r>
            <w:r>
              <w:noBreakHyphen/>
              <w:t>229</w:t>
            </w:r>
          </w:p>
        </w:tc>
        <w:tc>
          <w:tcPr>
            <w:tcW w:w="2693" w:type="dxa"/>
          </w:tcPr>
          <w:p>
            <w:pPr>
              <w:pStyle w:val="nTable"/>
              <w:spacing w:after="40"/>
            </w:pPr>
            <w:r>
              <w:t>1 Jul 2001 (see bl. 2)</w:t>
            </w:r>
          </w:p>
        </w:tc>
      </w:tr>
      <w:tr>
        <w:trPr>
          <w:cantSplit/>
        </w:trPr>
        <w:tc>
          <w:tcPr>
            <w:tcW w:w="3118" w:type="dxa"/>
          </w:tcPr>
          <w:p>
            <w:pPr>
              <w:pStyle w:val="nTable"/>
              <w:spacing w:after="40"/>
              <w:ind w:right="113"/>
              <w:rPr>
                <w:i/>
              </w:rPr>
            </w:pPr>
            <w:r>
              <w:rPr>
                <w:i/>
              </w:rPr>
              <w:t>Water Agencies (Charges) Amendment By</w:t>
            </w:r>
            <w:r>
              <w:rPr>
                <w:i/>
              </w:rPr>
              <w:noBreakHyphen/>
              <w:t>laws (No. 3) 2001</w:t>
            </w:r>
          </w:p>
        </w:tc>
        <w:tc>
          <w:tcPr>
            <w:tcW w:w="1276" w:type="dxa"/>
          </w:tcPr>
          <w:p>
            <w:pPr>
              <w:pStyle w:val="nTable"/>
              <w:spacing w:after="40"/>
            </w:pPr>
            <w:r>
              <w:t>7 Aug 2001 p. 4037</w:t>
            </w:r>
            <w:r>
              <w:noBreakHyphen/>
              <w:t>8</w:t>
            </w:r>
          </w:p>
        </w:tc>
        <w:tc>
          <w:tcPr>
            <w:tcW w:w="2693" w:type="dxa"/>
          </w:tcPr>
          <w:p>
            <w:pPr>
              <w:pStyle w:val="nTable"/>
              <w:spacing w:after="40"/>
            </w:pPr>
            <w:r>
              <w:t>7 Aug 2001</w:t>
            </w:r>
          </w:p>
        </w:tc>
      </w:tr>
      <w:tr>
        <w:trPr>
          <w:cantSplit/>
        </w:trPr>
        <w:tc>
          <w:tcPr>
            <w:tcW w:w="3118" w:type="dxa"/>
          </w:tcPr>
          <w:p>
            <w:pPr>
              <w:pStyle w:val="nTable"/>
              <w:spacing w:after="40"/>
              <w:ind w:right="113"/>
              <w:rPr>
                <w:i/>
              </w:rPr>
            </w:pPr>
            <w:r>
              <w:rPr>
                <w:i/>
              </w:rPr>
              <w:t>Water Agencies (Charges) Amendment By</w:t>
            </w:r>
            <w:r>
              <w:rPr>
                <w:i/>
              </w:rPr>
              <w:noBreakHyphen/>
              <w:t>laws (No. 4) 2001</w:t>
            </w:r>
          </w:p>
        </w:tc>
        <w:tc>
          <w:tcPr>
            <w:tcW w:w="1276" w:type="dxa"/>
          </w:tcPr>
          <w:p>
            <w:pPr>
              <w:pStyle w:val="nTable"/>
              <w:spacing w:after="40"/>
            </w:pPr>
            <w:r>
              <w:t>5 Oct 2001 p. 5478</w:t>
            </w:r>
            <w:r>
              <w:noBreakHyphen/>
              <w:t>9</w:t>
            </w:r>
          </w:p>
        </w:tc>
        <w:tc>
          <w:tcPr>
            <w:tcW w:w="2693" w:type="dxa"/>
          </w:tcPr>
          <w:p>
            <w:pPr>
              <w:pStyle w:val="nTable"/>
              <w:spacing w:after="40"/>
            </w:pPr>
            <w:r>
              <w:t>5 Oct 2001</w:t>
            </w:r>
          </w:p>
        </w:tc>
      </w:tr>
      <w:tr>
        <w:trPr>
          <w:cantSplit/>
        </w:trPr>
        <w:tc>
          <w:tcPr>
            <w:tcW w:w="3118" w:type="dxa"/>
          </w:tcPr>
          <w:p>
            <w:pPr>
              <w:pStyle w:val="nTable"/>
              <w:spacing w:after="40"/>
              <w:ind w:right="113"/>
              <w:rPr>
                <w:vertAlign w:val="superscript"/>
              </w:rPr>
            </w:pPr>
            <w:r>
              <w:rPr>
                <w:i/>
              </w:rPr>
              <w:t>Water Agencies (Charges) Amendment By</w:t>
            </w:r>
            <w:r>
              <w:rPr>
                <w:i/>
              </w:rPr>
              <w:noBreakHyphen/>
              <w:t>Laws (No. 5) 2001</w:t>
            </w:r>
            <w:r>
              <w:rPr>
                <w:vertAlign w:val="superscript"/>
              </w:rPr>
              <w:t> 20</w:t>
            </w:r>
          </w:p>
        </w:tc>
        <w:tc>
          <w:tcPr>
            <w:tcW w:w="1276" w:type="dxa"/>
          </w:tcPr>
          <w:p>
            <w:pPr>
              <w:pStyle w:val="nTable"/>
              <w:spacing w:after="40"/>
            </w:pPr>
            <w:r>
              <w:t>22 Feb 2002 p. 767</w:t>
            </w:r>
            <w:r>
              <w:noBreakHyphen/>
              <w:t>9</w:t>
            </w:r>
          </w:p>
        </w:tc>
        <w:tc>
          <w:tcPr>
            <w:tcW w:w="2693" w:type="dxa"/>
          </w:tcPr>
          <w:p>
            <w:pPr>
              <w:pStyle w:val="nTable"/>
              <w:spacing w:after="40"/>
            </w:pPr>
            <w:r>
              <w:t>22 Feb 2002</w:t>
            </w:r>
          </w:p>
        </w:tc>
      </w:tr>
      <w:tr>
        <w:trPr>
          <w:cantSplit/>
        </w:trPr>
        <w:tc>
          <w:tcPr>
            <w:tcW w:w="3118" w:type="dxa"/>
          </w:tcPr>
          <w:p>
            <w:pPr>
              <w:pStyle w:val="nTable"/>
              <w:spacing w:after="40"/>
              <w:ind w:right="113"/>
              <w:rPr>
                <w:vertAlign w:val="superscript"/>
              </w:rPr>
            </w:pPr>
            <w:r>
              <w:rPr>
                <w:i/>
              </w:rPr>
              <w:t>Water Agencies (Charges) Amendment By</w:t>
            </w:r>
            <w:r>
              <w:rPr>
                <w:i/>
              </w:rPr>
              <w:noBreakHyphen/>
              <w:t>laws 2002</w:t>
            </w:r>
            <w:r>
              <w:rPr>
                <w:vertAlign w:val="superscript"/>
              </w:rPr>
              <w:t> 21</w:t>
            </w:r>
          </w:p>
        </w:tc>
        <w:tc>
          <w:tcPr>
            <w:tcW w:w="1276" w:type="dxa"/>
          </w:tcPr>
          <w:p>
            <w:pPr>
              <w:pStyle w:val="nTable"/>
              <w:spacing w:after="40"/>
            </w:pPr>
            <w:r>
              <w:t>1 Mar 2002 p. 869</w:t>
            </w:r>
            <w:r>
              <w:noBreakHyphen/>
              <w:t>70</w:t>
            </w:r>
          </w:p>
        </w:tc>
        <w:tc>
          <w:tcPr>
            <w:tcW w:w="2693" w:type="dxa"/>
          </w:tcPr>
          <w:p>
            <w:pPr>
              <w:pStyle w:val="nTable"/>
              <w:spacing w:after="40"/>
            </w:pPr>
            <w:r>
              <w:t>1 Mar 2002</w:t>
            </w:r>
          </w:p>
        </w:tc>
      </w:tr>
      <w:tr>
        <w:trPr>
          <w:cantSplit/>
        </w:trPr>
        <w:tc>
          <w:tcPr>
            <w:tcW w:w="3118" w:type="dxa"/>
          </w:tcPr>
          <w:p>
            <w:pPr>
              <w:pStyle w:val="nTable"/>
              <w:spacing w:after="40"/>
              <w:ind w:right="113"/>
              <w:rPr>
                <w:i/>
              </w:rPr>
            </w:pPr>
            <w:r>
              <w:rPr>
                <w:i/>
              </w:rPr>
              <w:t>Water Agencies (Charges) Amendment By</w:t>
            </w:r>
            <w:r>
              <w:rPr>
                <w:i/>
              </w:rPr>
              <w:noBreakHyphen/>
              <w:t>laws (No. 2) 2002</w:t>
            </w:r>
          </w:p>
        </w:tc>
        <w:tc>
          <w:tcPr>
            <w:tcW w:w="1276" w:type="dxa"/>
          </w:tcPr>
          <w:p>
            <w:pPr>
              <w:pStyle w:val="nTable"/>
              <w:spacing w:after="40"/>
            </w:pPr>
            <w:r>
              <w:t>1 Mar 2002 p. 870</w:t>
            </w:r>
          </w:p>
        </w:tc>
        <w:tc>
          <w:tcPr>
            <w:tcW w:w="2693" w:type="dxa"/>
          </w:tcPr>
          <w:p>
            <w:pPr>
              <w:pStyle w:val="nTable"/>
              <w:spacing w:after="40"/>
            </w:pPr>
            <w:r>
              <w:t xml:space="preserve">1 Mar 2002 </w:t>
            </w:r>
          </w:p>
        </w:tc>
      </w:tr>
      <w:tr>
        <w:trPr>
          <w:cantSplit/>
        </w:trPr>
        <w:tc>
          <w:tcPr>
            <w:tcW w:w="3118" w:type="dxa"/>
          </w:tcPr>
          <w:p>
            <w:pPr>
              <w:pStyle w:val="nTable"/>
              <w:spacing w:after="40"/>
              <w:ind w:right="113"/>
              <w:rPr>
                <w:i/>
              </w:rPr>
            </w:pPr>
            <w:r>
              <w:rPr>
                <w:i/>
              </w:rPr>
              <w:t>Water Agencies (Charges) Amendment By</w:t>
            </w:r>
            <w:r>
              <w:rPr>
                <w:i/>
              </w:rPr>
              <w:noBreakHyphen/>
              <w:t>laws (No. 3) 2002</w:t>
            </w:r>
          </w:p>
        </w:tc>
        <w:tc>
          <w:tcPr>
            <w:tcW w:w="1276" w:type="dxa"/>
          </w:tcPr>
          <w:p>
            <w:pPr>
              <w:pStyle w:val="nTable"/>
              <w:spacing w:after="40"/>
            </w:pPr>
            <w:r>
              <w:t>1 Jul 2002 p. 3155</w:t>
            </w:r>
            <w:r>
              <w:noBreakHyphen/>
              <w:t>201</w:t>
            </w:r>
          </w:p>
        </w:tc>
        <w:tc>
          <w:tcPr>
            <w:tcW w:w="2693" w:type="dxa"/>
          </w:tcPr>
          <w:p>
            <w:pPr>
              <w:pStyle w:val="nTable"/>
              <w:spacing w:after="40"/>
            </w:pPr>
            <w:r>
              <w:t>1 Jul 2002</w:t>
            </w:r>
          </w:p>
        </w:tc>
      </w:tr>
      <w:tr>
        <w:trPr>
          <w:cantSplit/>
        </w:trPr>
        <w:tc>
          <w:tcPr>
            <w:tcW w:w="3118" w:type="dxa"/>
          </w:tcPr>
          <w:p>
            <w:pPr>
              <w:pStyle w:val="nTable"/>
              <w:spacing w:after="40"/>
              <w:ind w:right="113"/>
              <w:rPr>
                <w:i/>
              </w:rPr>
            </w:pPr>
            <w:r>
              <w:rPr>
                <w:i/>
              </w:rPr>
              <w:t>Water Agencies (Charges) Amendment By</w:t>
            </w:r>
            <w:r>
              <w:rPr>
                <w:i/>
              </w:rPr>
              <w:noBreakHyphen/>
              <w:t>laws 2003</w:t>
            </w:r>
          </w:p>
        </w:tc>
        <w:tc>
          <w:tcPr>
            <w:tcW w:w="1276" w:type="dxa"/>
          </w:tcPr>
          <w:p>
            <w:pPr>
              <w:pStyle w:val="nTable"/>
              <w:spacing w:after="40"/>
            </w:pPr>
            <w:r>
              <w:t>29 Apr 2003 p. 1293-4</w:t>
            </w:r>
          </w:p>
        </w:tc>
        <w:tc>
          <w:tcPr>
            <w:tcW w:w="2693" w:type="dxa"/>
          </w:tcPr>
          <w:p>
            <w:pPr>
              <w:pStyle w:val="nTable"/>
              <w:spacing w:after="40"/>
            </w:pPr>
            <w:r>
              <w:t>29 Apr 2003</w:t>
            </w:r>
          </w:p>
        </w:tc>
      </w:tr>
      <w:tr>
        <w:trPr>
          <w:cantSplit/>
        </w:trPr>
        <w:tc>
          <w:tcPr>
            <w:tcW w:w="7087" w:type="dxa"/>
            <w:gridSpan w:val="3"/>
          </w:tcPr>
          <w:p>
            <w:pPr>
              <w:pStyle w:val="nTable"/>
              <w:spacing w:after="40"/>
            </w:pPr>
            <w:r>
              <w:rPr>
                <w:b/>
              </w:rPr>
              <w:t xml:space="preserve">Reprint 3:  The </w:t>
            </w:r>
            <w:r>
              <w:rPr>
                <w:b/>
                <w:i/>
              </w:rPr>
              <w:t>Water Agencies (Charges) By</w:t>
            </w:r>
            <w:r>
              <w:rPr>
                <w:b/>
                <w:bCs/>
                <w:i/>
              </w:rPr>
              <w:noBreakHyphen/>
            </w:r>
            <w:r>
              <w:rPr>
                <w:b/>
                <w:i/>
              </w:rPr>
              <w:t>laws 1987</w:t>
            </w:r>
            <w:r>
              <w:rPr>
                <w:b/>
              </w:rPr>
              <w:t xml:space="preserve"> as at 9 May 2003 </w:t>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(No. 2) 2003</w:t>
            </w:r>
          </w:p>
        </w:tc>
        <w:tc>
          <w:tcPr>
            <w:tcW w:w="1276" w:type="dxa"/>
          </w:tcPr>
          <w:p>
            <w:pPr>
              <w:pStyle w:val="nTable"/>
              <w:spacing w:after="40"/>
            </w:pPr>
            <w:r>
              <w:t>24 Jun 2003 p. 2273</w:t>
            </w:r>
          </w:p>
        </w:tc>
        <w:tc>
          <w:tcPr>
            <w:tcW w:w="2693" w:type="dxa"/>
          </w:tcPr>
          <w:p>
            <w:pPr>
              <w:pStyle w:val="nTable"/>
              <w:spacing w:after="40"/>
            </w:pPr>
            <w:r>
              <w:t>24 Jun 2003</w:t>
            </w:r>
          </w:p>
        </w:tc>
      </w:tr>
      <w:tr>
        <w:trPr>
          <w:cantSplit/>
        </w:trPr>
        <w:tc>
          <w:tcPr>
            <w:tcW w:w="3118" w:type="dxa"/>
          </w:tcPr>
          <w:p>
            <w:pPr>
              <w:pStyle w:val="nTable"/>
              <w:spacing w:after="40"/>
              <w:ind w:right="113"/>
              <w:rPr>
                <w:i/>
              </w:rPr>
            </w:pPr>
            <w:r>
              <w:rPr>
                <w:i/>
              </w:rPr>
              <w:t>Water Agencies (Charges) Amendment By</w:t>
            </w:r>
            <w:r>
              <w:rPr>
                <w:i/>
              </w:rPr>
              <w:noBreakHyphen/>
              <w:t>laws (No. 3) 2003</w:t>
            </w:r>
          </w:p>
        </w:tc>
        <w:tc>
          <w:tcPr>
            <w:tcW w:w="1276" w:type="dxa"/>
          </w:tcPr>
          <w:p>
            <w:pPr>
              <w:pStyle w:val="nTable"/>
              <w:spacing w:after="40"/>
            </w:pPr>
            <w:r>
              <w:t>27 Jun 2003 p. 2283-340</w:t>
            </w:r>
          </w:p>
        </w:tc>
        <w:tc>
          <w:tcPr>
            <w:tcW w:w="2693" w:type="dxa"/>
          </w:tcPr>
          <w:p>
            <w:pPr>
              <w:pStyle w:val="nTable"/>
              <w:spacing w:after="40"/>
            </w:pPr>
            <w:r>
              <w:t>1 Jul 2003 (see bl. 2)</w:t>
            </w:r>
          </w:p>
        </w:tc>
      </w:tr>
      <w:tr>
        <w:trPr>
          <w:cantSplit/>
        </w:trPr>
        <w:tc>
          <w:tcPr>
            <w:tcW w:w="3118" w:type="dxa"/>
          </w:tcPr>
          <w:p>
            <w:pPr>
              <w:pStyle w:val="nTable"/>
              <w:spacing w:after="40"/>
              <w:ind w:right="113"/>
              <w:rPr>
                <w:i/>
              </w:rPr>
            </w:pPr>
            <w:r>
              <w:rPr>
                <w:i/>
              </w:rPr>
              <w:t>Water Agencies (Charges) Amendment By</w:t>
            </w:r>
            <w:r>
              <w:rPr>
                <w:i/>
              </w:rPr>
              <w:noBreakHyphen/>
              <w:t>laws (No. 4) 2003</w:t>
            </w:r>
          </w:p>
        </w:tc>
        <w:tc>
          <w:tcPr>
            <w:tcW w:w="1276" w:type="dxa"/>
          </w:tcPr>
          <w:p>
            <w:pPr>
              <w:pStyle w:val="nTable"/>
              <w:spacing w:after="40"/>
            </w:pPr>
            <w:r>
              <w:t>9 Dec 2003 p. 5007-8</w:t>
            </w:r>
          </w:p>
        </w:tc>
        <w:tc>
          <w:tcPr>
            <w:tcW w:w="2693" w:type="dxa"/>
          </w:tcPr>
          <w:p>
            <w:pPr>
              <w:pStyle w:val="nTable"/>
              <w:spacing w:after="40"/>
            </w:pPr>
            <w:r>
              <w:t>9 Dec 2003</w:t>
            </w:r>
          </w:p>
        </w:tc>
      </w:tr>
      <w:tr>
        <w:trPr>
          <w:cantSplit/>
        </w:trPr>
        <w:tc>
          <w:tcPr>
            <w:tcW w:w="3118" w:type="dxa"/>
          </w:tcPr>
          <w:p>
            <w:pPr>
              <w:pStyle w:val="nTable"/>
              <w:spacing w:after="40"/>
              <w:ind w:right="113"/>
              <w:rPr>
                <w:i/>
              </w:rPr>
            </w:pPr>
            <w:r>
              <w:rPr>
                <w:i/>
              </w:rPr>
              <w:t>Water Agencies (Charges) Amendment By</w:t>
            </w:r>
            <w:r>
              <w:rPr>
                <w:i/>
              </w:rPr>
              <w:noBreakHyphen/>
              <w:t>laws 2004</w:t>
            </w:r>
          </w:p>
        </w:tc>
        <w:tc>
          <w:tcPr>
            <w:tcW w:w="1276" w:type="dxa"/>
          </w:tcPr>
          <w:p>
            <w:pPr>
              <w:pStyle w:val="nTable"/>
              <w:spacing w:after="40"/>
            </w:pPr>
            <w:r>
              <w:t>29 Jun 2004 p. 2467-96</w:t>
            </w:r>
          </w:p>
        </w:tc>
        <w:tc>
          <w:tcPr>
            <w:tcW w:w="2693" w:type="dxa"/>
          </w:tcPr>
          <w:p>
            <w:pPr>
              <w:pStyle w:val="nTable"/>
              <w:spacing w:after="40"/>
            </w:pPr>
            <w:r>
              <w:t>1 Jul 2004 (see bl. 2)</w:t>
            </w:r>
          </w:p>
        </w:tc>
      </w:tr>
      <w:tr>
        <w:trPr>
          <w:cantSplit/>
        </w:trPr>
        <w:tc>
          <w:tcPr>
            <w:tcW w:w="3118" w:type="dxa"/>
          </w:tcPr>
          <w:p>
            <w:pPr>
              <w:pStyle w:val="nTable"/>
              <w:spacing w:after="40"/>
              <w:ind w:right="113"/>
              <w:rPr>
                <w:i/>
              </w:rPr>
            </w:pPr>
            <w:r>
              <w:rPr>
                <w:i/>
              </w:rPr>
              <w:t>Water Agencies (Charges) Amendment By</w:t>
            </w:r>
            <w:r>
              <w:rPr>
                <w:i/>
              </w:rPr>
              <w:noBreakHyphen/>
              <w:t>laws (No. 2) 2004</w:t>
            </w:r>
          </w:p>
        </w:tc>
        <w:tc>
          <w:tcPr>
            <w:tcW w:w="1276" w:type="dxa"/>
          </w:tcPr>
          <w:p>
            <w:pPr>
              <w:pStyle w:val="nTable"/>
              <w:spacing w:after="40"/>
            </w:pPr>
            <w:r>
              <w:t>24 Dec 2004 p. 6157-8</w:t>
            </w:r>
          </w:p>
        </w:tc>
        <w:tc>
          <w:tcPr>
            <w:tcW w:w="2693" w:type="dxa"/>
          </w:tcPr>
          <w:p>
            <w:pPr>
              <w:pStyle w:val="nTable"/>
              <w:spacing w:after="40"/>
            </w:pPr>
            <w:r>
              <w:t>24 Dec 2004</w:t>
            </w:r>
          </w:p>
        </w:tc>
      </w:tr>
      <w:tr>
        <w:trPr>
          <w:cantSplit/>
        </w:trPr>
        <w:tc>
          <w:tcPr>
            <w:tcW w:w="3118" w:type="dxa"/>
          </w:tcPr>
          <w:p>
            <w:pPr>
              <w:pStyle w:val="nTable"/>
              <w:spacing w:after="40"/>
              <w:ind w:right="113"/>
              <w:rPr>
                <w:i/>
              </w:rPr>
            </w:pPr>
            <w:r>
              <w:rPr>
                <w:i/>
              </w:rPr>
              <w:t>Water Agencies (Charges) Amendment By</w:t>
            </w:r>
            <w:r>
              <w:rPr>
                <w:i/>
              </w:rPr>
              <w:noBreakHyphen/>
              <w:t>laws 2005</w:t>
            </w:r>
          </w:p>
        </w:tc>
        <w:tc>
          <w:tcPr>
            <w:tcW w:w="1276" w:type="dxa"/>
          </w:tcPr>
          <w:p>
            <w:pPr>
              <w:pStyle w:val="nTable"/>
              <w:spacing w:after="40"/>
            </w:pPr>
            <w:r>
              <w:t>13 May 2005 p. 2088</w:t>
            </w:r>
          </w:p>
        </w:tc>
        <w:tc>
          <w:tcPr>
            <w:tcW w:w="2693" w:type="dxa"/>
          </w:tcPr>
          <w:p>
            <w:pPr>
              <w:pStyle w:val="nTable"/>
              <w:spacing w:after="40"/>
            </w:pPr>
            <w:r>
              <w:t>13 May 2005</w:t>
            </w:r>
          </w:p>
        </w:tc>
      </w:tr>
      <w:tr>
        <w:trPr>
          <w:cantSplit/>
        </w:trPr>
        <w:tc>
          <w:tcPr>
            <w:tcW w:w="3118" w:type="dxa"/>
          </w:tcPr>
          <w:p>
            <w:pPr>
              <w:pStyle w:val="nTable"/>
              <w:spacing w:after="40"/>
              <w:ind w:right="113"/>
              <w:rPr>
                <w:i/>
              </w:rPr>
            </w:pPr>
            <w:r>
              <w:rPr>
                <w:i/>
              </w:rPr>
              <w:t>Water Agencies (Charges) Amendment By</w:t>
            </w:r>
            <w:r>
              <w:rPr>
                <w:i/>
              </w:rPr>
              <w:noBreakHyphen/>
              <w:t>laws (No. 3) 2005</w:t>
            </w:r>
          </w:p>
        </w:tc>
        <w:tc>
          <w:tcPr>
            <w:tcW w:w="1276" w:type="dxa"/>
          </w:tcPr>
          <w:p>
            <w:pPr>
              <w:pStyle w:val="nTable"/>
              <w:spacing w:after="40"/>
            </w:pPr>
            <w:r>
              <w:t>1 Jul 2005 p. 3008-9</w:t>
            </w:r>
          </w:p>
        </w:tc>
        <w:tc>
          <w:tcPr>
            <w:tcW w:w="2693" w:type="dxa"/>
          </w:tcPr>
          <w:p>
            <w:pPr>
              <w:pStyle w:val="nTable"/>
              <w:spacing w:after="40"/>
            </w:pPr>
            <w:r>
              <w:t>1 Jul 2005 (see bl. 2)</w:t>
            </w:r>
          </w:p>
        </w:tc>
      </w:tr>
      <w:tr>
        <w:trPr>
          <w:cantSplit/>
        </w:trPr>
        <w:tc>
          <w:tcPr>
            <w:tcW w:w="3118" w:type="dxa"/>
          </w:tcPr>
          <w:p>
            <w:pPr>
              <w:pStyle w:val="nTable"/>
              <w:spacing w:after="40"/>
              <w:ind w:right="113"/>
              <w:rPr>
                <w:i/>
              </w:rPr>
            </w:pPr>
            <w:r>
              <w:rPr>
                <w:i/>
              </w:rPr>
              <w:t>Water Agencies (Charges) Amendment By</w:t>
            </w:r>
            <w:r>
              <w:rPr>
                <w:i/>
              </w:rPr>
              <w:noBreakHyphen/>
              <w:t>laws (No. 2) 2005</w:t>
            </w:r>
          </w:p>
        </w:tc>
        <w:tc>
          <w:tcPr>
            <w:tcW w:w="1276" w:type="dxa"/>
          </w:tcPr>
          <w:p>
            <w:pPr>
              <w:pStyle w:val="nTable"/>
              <w:spacing w:after="40"/>
            </w:pPr>
            <w:r>
              <w:t>1 Jul 2005 p. 3031-78</w:t>
            </w:r>
          </w:p>
        </w:tc>
        <w:tc>
          <w:tcPr>
            <w:tcW w:w="2693" w:type="dxa"/>
          </w:tcPr>
          <w:p>
            <w:pPr>
              <w:pStyle w:val="nTable"/>
              <w:spacing w:after="40"/>
            </w:pPr>
            <w:r>
              <w:t>1 Jul 2005 (see bl. 2)</w:t>
            </w:r>
          </w:p>
        </w:tc>
      </w:tr>
      <w:tr>
        <w:trPr>
          <w:cantSplit/>
        </w:trPr>
        <w:tc>
          <w:tcPr>
            <w:tcW w:w="3118" w:type="dxa"/>
          </w:tcPr>
          <w:p>
            <w:pPr>
              <w:pStyle w:val="nTable"/>
              <w:spacing w:after="40"/>
              <w:ind w:right="113"/>
              <w:rPr>
                <w:i/>
              </w:rPr>
            </w:pPr>
            <w:r>
              <w:rPr>
                <w:i/>
              </w:rPr>
              <w:t>Water Agencies (Charges) Amendment By</w:t>
            </w:r>
            <w:r>
              <w:rPr>
                <w:i/>
              </w:rPr>
              <w:noBreakHyphen/>
              <w:t>laws (No. 4) 2005</w:t>
            </w:r>
          </w:p>
        </w:tc>
        <w:tc>
          <w:tcPr>
            <w:tcW w:w="1276" w:type="dxa"/>
          </w:tcPr>
          <w:p>
            <w:pPr>
              <w:pStyle w:val="nTable"/>
              <w:spacing w:after="40"/>
            </w:pPr>
            <w:r>
              <w:t>4 Nov 2005 p. 5321</w:t>
            </w:r>
          </w:p>
        </w:tc>
        <w:tc>
          <w:tcPr>
            <w:tcW w:w="2693" w:type="dxa"/>
          </w:tcPr>
          <w:p>
            <w:pPr>
              <w:pStyle w:val="nTable"/>
              <w:spacing w:after="40"/>
            </w:pPr>
            <w:r>
              <w:t>4 Nov 2005</w:t>
            </w:r>
          </w:p>
        </w:tc>
      </w:tr>
      <w:tr>
        <w:trPr>
          <w:cantSplit/>
        </w:trPr>
        <w:tc>
          <w:tcPr>
            <w:tcW w:w="7087" w:type="dxa"/>
            <w:gridSpan w:val="3"/>
          </w:tcPr>
          <w:p>
            <w:pPr>
              <w:pStyle w:val="nTable"/>
              <w:spacing w:after="40"/>
            </w:pPr>
            <w:r>
              <w:rPr>
                <w:b/>
              </w:rPr>
              <w:t xml:space="preserve">Reprint 4:  The </w:t>
            </w:r>
            <w:r>
              <w:rPr>
                <w:b/>
                <w:i/>
              </w:rPr>
              <w:t>Water Agencies (Charges) By</w:t>
            </w:r>
            <w:r>
              <w:rPr>
                <w:b/>
                <w:bCs/>
                <w:i/>
              </w:rPr>
              <w:noBreakHyphen/>
            </w:r>
            <w:r>
              <w:rPr>
                <w:b/>
                <w:i/>
              </w:rPr>
              <w:t>laws 1987</w:t>
            </w:r>
            <w:r>
              <w:rPr>
                <w:b/>
              </w:rPr>
              <w:t xml:space="preserve"> as at 31 Mar 2006 </w:t>
            </w:r>
            <w:r>
              <w:t>(includes amendments listed above)</w:t>
            </w:r>
          </w:p>
        </w:tc>
      </w:tr>
      <w:tr>
        <w:trPr>
          <w:cantSplit/>
        </w:trPr>
        <w:tc>
          <w:tcPr>
            <w:tcW w:w="3118" w:type="dxa"/>
          </w:tcPr>
          <w:p>
            <w:pPr>
              <w:pStyle w:val="nTable"/>
              <w:spacing w:after="40"/>
              <w:ind w:right="113"/>
            </w:pPr>
            <w:r>
              <w:rPr>
                <w:i/>
              </w:rPr>
              <w:t>Electricity Corporations (Consequential Amendments) Regulations 2006</w:t>
            </w:r>
            <w:r>
              <w:t xml:space="preserve"> r. 89</w:t>
            </w:r>
          </w:p>
        </w:tc>
        <w:tc>
          <w:tcPr>
            <w:tcW w:w="1276" w:type="dxa"/>
          </w:tcPr>
          <w:p>
            <w:pPr>
              <w:pStyle w:val="nTable"/>
              <w:spacing w:after="40"/>
            </w:pPr>
            <w:r>
              <w:t>31 Mar 2006 p. 1299-357</w:t>
            </w:r>
          </w:p>
        </w:tc>
        <w:tc>
          <w:tcPr>
            <w:tcW w:w="2693" w:type="dxa"/>
          </w:tcPr>
          <w:p>
            <w:pPr>
              <w:pStyle w:val="nTable"/>
              <w:spacing w:after="40"/>
            </w:pPr>
            <w:r>
              <w:t>1 Apr 2006 (see r. 2)</w:t>
            </w:r>
          </w:p>
        </w:tc>
      </w:tr>
      <w:tr>
        <w:trPr>
          <w:cantSplit/>
        </w:trPr>
        <w:tc>
          <w:tcPr>
            <w:tcW w:w="3118" w:type="dxa"/>
          </w:tcPr>
          <w:p>
            <w:pPr>
              <w:pStyle w:val="nTable"/>
              <w:spacing w:after="40"/>
              <w:ind w:right="113"/>
              <w:rPr>
                <w:i/>
              </w:rPr>
            </w:pPr>
            <w:r>
              <w:rPr>
                <w:i/>
              </w:rPr>
              <w:t>Water Agencies (Charges) Amendment By</w:t>
            </w:r>
            <w:r>
              <w:rPr>
                <w:i/>
              </w:rPr>
              <w:noBreakHyphen/>
              <w:t xml:space="preserve">laws 2006 </w:t>
            </w:r>
          </w:p>
        </w:tc>
        <w:tc>
          <w:tcPr>
            <w:tcW w:w="1276" w:type="dxa"/>
          </w:tcPr>
          <w:p>
            <w:pPr>
              <w:pStyle w:val="nTable"/>
              <w:spacing w:after="40"/>
            </w:pPr>
            <w:r>
              <w:t>30 Jun 2006 p. 2413</w:t>
            </w:r>
            <w:r>
              <w:noBreakHyphen/>
              <w:t>61</w:t>
            </w:r>
          </w:p>
        </w:tc>
        <w:tc>
          <w:tcPr>
            <w:tcW w:w="2693" w:type="dxa"/>
          </w:tcPr>
          <w:p>
            <w:pPr>
              <w:pStyle w:val="nTable"/>
              <w:spacing w:after="40"/>
            </w:pPr>
            <w:r>
              <w:t>1 Jul 2006 (see bl. 2)</w:t>
            </w:r>
          </w:p>
        </w:tc>
      </w:tr>
      <w:tr>
        <w:trPr>
          <w:cantSplit/>
        </w:trPr>
        <w:tc>
          <w:tcPr>
            <w:tcW w:w="3118" w:type="dxa"/>
          </w:tcPr>
          <w:p>
            <w:pPr>
              <w:pStyle w:val="nTable"/>
              <w:spacing w:after="40"/>
              <w:ind w:right="113"/>
              <w:rPr>
                <w:i/>
              </w:rPr>
            </w:pPr>
            <w:r>
              <w:rPr>
                <w:i/>
              </w:rPr>
              <w:t>Water Agencies (Charges) Amendment By</w:t>
            </w:r>
            <w:r>
              <w:rPr>
                <w:i/>
              </w:rPr>
              <w:noBreakHyphen/>
              <w:t>laws (No. 3) 2006</w:t>
            </w:r>
          </w:p>
        </w:tc>
        <w:tc>
          <w:tcPr>
            <w:tcW w:w="1276" w:type="dxa"/>
          </w:tcPr>
          <w:p>
            <w:pPr>
              <w:pStyle w:val="nTable"/>
              <w:spacing w:after="40"/>
            </w:pPr>
            <w:r>
              <w:t>14 Nov 2006 p. 4738</w:t>
            </w:r>
          </w:p>
        </w:tc>
        <w:tc>
          <w:tcPr>
            <w:tcW w:w="2693" w:type="dxa"/>
          </w:tcPr>
          <w:p>
            <w:pPr>
              <w:pStyle w:val="nTable"/>
              <w:spacing w:after="40"/>
            </w:pPr>
            <w:r>
              <w:t>14 Nov 2006</w:t>
            </w:r>
          </w:p>
        </w:tc>
      </w:tr>
      <w:tr>
        <w:trPr>
          <w:cantSplit/>
        </w:trPr>
        <w:tc>
          <w:tcPr>
            <w:tcW w:w="3118" w:type="dxa"/>
          </w:tcPr>
          <w:p>
            <w:pPr>
              <w:pStyle w:val="nTable"/>
              <w:spacing w:after="40"/>
              <w:ind w:right="113"/>
              <w:rPr>
                <w:i/>
              </w:rPr>
            </w:pPr>
            <w:r>
              <w:rPr>
                <w:i/>
              </w:rPr>
              <w:t>Water Agencies (Charges) Amendment By</w:t>
            </w:r>
            <w:r>
              <w:rPr>
                <w:i/>
              </w:rPr>
              <w:noBreakHyphen/>
              <w:t>laws 2007</w:t>
            </w:r>
          </w:p>
        </w:tc>
        <w:tc>
          <w:tcPr>
            <w:tcW w:w="1276" w:type="dxa"/>
          </w:tcPr>
          <w:p>
            <w:pPr>
              <w:pStyle w:val="nTable"/>
              <w:spacing w:after="40"/>
            </w:pPr>
            <w:r>
              <w:t>13 Apr 2007 p. 1686-8</w:t>
            </w:r>
          </w:p>
        </w:tc>
        <w:tc>
          <w:tcPr>
            <w:tcW w:w="2693" w:type="dxa"/>
          </w:tcPr>
          <w:p>
            <w:pPr>
              <w:pStyle w:val="nTable"/>
              <w:spacing w:after="40"/>
            </w:pPr>
            <w:r>
              <w:t>13 Apr 2007</w:t>
            </w:r>
          </w:p>
        </w:tc>
      </w:tr>
      <w:tr>
        <w:trPr>
          <w:cantSplit/>
        </w:trPr>
        <w:tc>
          <w:tcPr>
            <w:tcW w:w="3118" w:type="dxa"/>
          </w:tcPr>
          <w:p>
            <w:pPr>
              <w:pStyle w:val="nTable"/>
              <w:spacing w:after="40"/>
              <w:ind w:right="113"/>
              <w:rPr>
                <w:i/>
              </w:rPr>
            </w:pPr>
            <w:r>
              <w:rPr>
                <w:i/>
              </w:rPr>
              <w:t>Water Agencies (Charges) Amendment By</w:t>
            </w:r>
            <w:r>
              <w:rPr>
                <w:i/>
              </w:rPr>
              <w:noBreakHyphen/>
              <w:t>laws (No. 2) 2007</w:t>
            </w:r>
          </w:p>
        </w:tc>
        <w:tc>
          <w:tcPr>
            <w:tcW w:w="1276" w:type="dxa"/>
          </w:tcPr>
          <w:p>
            <w:pPr>
              <w:pStyle w:val="nTable"/>
              <w:spacing w:after="40"/>
            </w:pPr>
            <w:r>
              <w:t>29 Jun 2007 p. 3245-88</w:t>
            </w:r>
          </w:p>
        </w:tc>
        <w:tc>
          <w:tcPr>
            <w:tcW w:w="2693" w:type="dxa"/>
          </w:tcPr>
          <w:p>
            <w:pPr>
              <w:pStyle w:val="nTable"/>
              <w:spacing w:after="40"/>
            </w:pPr>
            <w:r>
              <w:t>bl. 1 and 2: 29 Jun 2007 (see bl. 2(a));</w:t>
            </w:r>
            <w:r>
              <w:br/>
              <w:t>By-laws other than bl. 1 and 2: 1 Jul 2007 (see bl. 2(b))</w:t>
            </w:r>
          </w:p>
        </w:tc>
      </w:tr>
      <w:tr>
        <w:trPr>
          <w:cantSplit/>
        </w:trPr>
        <w:tc>
          <w:tcPr>
            <w:tcW w:w="7087" w:type="dxa"/>
            <w:gridSpan w:val="3"/>
          </w:tcPr>
          <w:p>
            <w:pPr>
              <w:pStyle w:val="nTable"/>
              <w:spacing w:after="40"/>
            </w:pPr>
            <w:r>
              <w:rPr>
                <w:b/>
              </w:rPr>
              <w:t xml:space="preserve">Reprint 5:  The </w:t>
            </w:r>
            <w:r>
              <w:rPr>
                <w:b/>
                <w:i/>
              </w:rPr>
              <w:t>Water Agencies (Charges) By</w:t>
            </w:r>
            <w:r>
              <w:rPr>
                <w:b/>
                <w:bCs/>
                <w:i/>
              </w:rPr>
              <w:noBreakHyphen/>
            </w:r>
            <w:r>
              <w:rPr>
                <w:b/>
                <w:i/>
              </w:rPr>
              <w:t>laws 1987</w:t>
            </w:r>
            <w:r>
              <w:rPr>
                <w:b/>
              </w:rPr>
              <w:t xml:space="preserve"> as at 5 Oct 2007 </w:t>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(No. 4) 2007</w:t>
            </w:r>
          </w:p>
        </w:tc>
        <w:tc>
          <w:tcPr>
            <w:tcW w:w="1276" w:type="dxa"/>
          </w:tcPr>
          <w:p>
            <w:pPr>
              <w:pStyle w:val="nTable"/>
              <w:spacing w:after="40"/>
            </w:pPr>
            <w:r>
              <w:t>21 Dec 2007 p. 6349</w:t>
            </w:r>
          </w:p>
        </w:tc>
        <w:tc>
          <w:tcPr>
            <w:tcW w:w="2693" w:type="dxa"/>
          </w:tcPr>
          <w:p>
            <w:pPr>
              <w:pStyle w:val="nTable"/>
              <w:spacing w:before="0" w:after="40"/>
            </w:pPr>
            <w:r>
              <w:t>bl. 1 and 2: 21 Dec 2007 (see bl. 2(a));</w:t>
            </w:r>
            <w:r>
              <w:br/>
              <w:t>By-laws other than bl. 1 and 2: 22 Dec 2007 (see bl. 2(b))</w:t>
            </w:r>
          </w:p>
        </w:tc>
      </w:tr>
      <w:tr>
        <w:trPr>
          <w:cantSplit/>
        </w:trPr>
        <w:tc>
          <w:tcPr>
            <w:tcW w:w="3118" w:type="dxa"/>
          </w:tcPr>
          <w:p>
            <w:pPr>
              <w:pStyle w:val="nTable"/>
              <w:spacing w:after="40"/>
              <w:ind w:right="113"/>
              <w:rPr>
                <w:i/>
              </w:rPr>
            </w:pPr>
            <w:r>
              <w:rPr>
                <w:i/>
              </w:rPr>
              <w:t>Water Agencies (Charges) Amendment By</w:t>
            </w:r>
            <w:r>
              <w:rPr>
                <w:i/>
              </w:rPr>
              <w:noBreakHyphen/>
              <w:t>laws 2008</w:t>
            </w:r>
          </w:p>
        </w:tc>
        <w:tc>
          <w:tcPr>
            <w:tcW w:w="1276" w:type="dxa"/>
          </w:tcPr>
          <w:p>
            <w:pPr>
              <w:pStyle w:val="nTable"/>
              <w:spacing w:after="40"/>
            </w:pPr>
            <w:r>
              <w:t>27 Jun 2008 p. 2981</w:t>
            </w:r>
            <w:r>
              <w:noBreakHyphen/>
              <w:t>3048</w:t>
            </w:r>
          </w:p>
        </w:tc>
        <w:tc>
          <w:tcPr>
            <w:tcW w:w="2693" w:type="dxa"/>
          </w:tcPr>
          <w:p>
            <w:pPr>
              <w:pStyle w:val="nTable"/>
              <w:spacing w:before="0" w:after="40"/>
            </w:pPr>
            <w:r>
              <w:t>bl. 1 and 2: 27 Jun 2008 (see bl. 2(a));</w:t>
            </w:r>
            <w:r>
              <w:br/>
              <w:t>By-laws other than bl. 1 and 2: 1 Jul 2008 (see bl. 2(b))</w:t>
            </w:r>
          </w:p>
        </w:tc>
      </w:tr>
      <w:tr>
        <w:trPr>
          <w:cantSplit/>
        </w:trPr>
        <w:tc>
          <w:tcPr>
            <w:tcW w:w="3118" w:type="dxa"/>
          </w:tcPr>
          <w:p>
            <w:pPr>
              <w:pStyle w:val="nTable"/>
              <w:spacing w:after="40"/>
              <w:ind w:right="113"/>
              <w:rPr>
                <w:i/>
              </w:rPr>
            </w:pPr>
            <w:r>
              <w:rPr>
                <w:i/>
              </w:rPr>
              <w:t>Water Agencies (Charges) Amendment By</w:t>
            </w:r>
            <w:r>
              <w:rPr>
                <w:i/>
              </w:rPr>
              <w:noBreakHyphen/>
              <w:t>laws 2009</w:t>
            </w:r>
          </w:p>
        </w:tc>
        <w:tc>
          <w:tcPr>
            <w:tcW w:w="1276" w:type="dxa"/>
          </w:tcPr>
          <w:p>
            <w:pPr>
              <w:pStyle w:val="nTable"/>
              <w:spacing w:after="40"/>
            </w:pPr>
            <w:r>
              <w:t>19 Jun 2009 p. 2319-92</w:t>
            </w:r>
          </w:p>
        </w:tc>
        <w:tc>
          <w:tcPr>
            <w:tcW w:w="2693" w:type="dxa"/>
          </w:tcPr>
          <w:p>
            <w:pPr>
              <w:pStyle w:val="nTable"/>
              <w:spacing w:before="0" w:after="40"/>
            </w:pPr>
            <w:r>
              <w:t>bl. 1 and 2: 19 Jun 2009 (see bl. 2(a));</w:t>
            </w:r>
            <w:r>
              <w:br/>
              <w:t>By-laws other than bl. 1 and 2: 1 Jul 2009 (see bl. 2(b))</w:t>
            </w:r>
          </w:p>
        </w:tc>
      </w:tr>
      <w:tr>
        <w:trPr>
          <w:cantSplit/>
        </w:trPr>
        <w:tc>
          <w:tcPr>
            <w:tcW w:w="7087" w:type="dxa"/>
            <w:gridSpan w:val="3"/>
          </w:tcPr>
          <w:p>
            <w:pPr>
              <w:pStyle w:val="nTable"/>
              <w:spacing w:before="0" w:after="40"/>
            </w:pPr>
            <w:r>
              <w:rPr>
                <w:b/>
              </w:rPr>
              <w:t xml:space="preserve">Reprint 6:  The </w:t>
            </w:r>
            <w:r>
              <w:rPr>
                <w:b/>
                <w:i/>
              </w:rPr>
              <w:t>Water Agencies (Charges) By</w:t>
            </w:r>
            <w:r>
              <w:rPr>
                <w:b/>
                <w:bCs/>
                <w:i/>
              </w:rPr>
              <w:noBreakHyphen/>
            </w:r>
            <w:r>
              <w:rPr>
                <w:b/>
                <w:i/>
              </w:rPr>
              <w:t>laws 1987</w:t>
            </w:r>
            <w:r>
              <w:rPr>
                <w:b/>
              </w:rPr>
              <w:t xml:space="preserve"> as at 7 Aug 2009 </w:t>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2010</w:t>
            </w:r>
          </w:p>
        </w:tc>
        <w:tc>
          <w:tcPr>
            <w:tcW w:w="1276" w:type="dxa"/>
          </w:tcPr>
          <w:p>
            <w:pPr>
              <w:pStyle w:val="nTable"/>
              <w:spacing w:after="40"/>
            </w:pPr>
            <w:r>
              <w:t>25 Jun 2010 p. 2901</w:t>
            </w:r>
            <w:r>
              <w:noBreakHyphen/>
              <w:t>81</w:t>
            </w:r>
          </w:p>
        </w:tc>
        <w:tc>
          <w:tcPr>
            <w:tcW w:w="2693" w:type="dxa"/>
          </w:tcPr>
          <w:p>
            <w:pPr>
              <w:pStyle w:val="nTable"/>
              <w:spacing w:before="0" w:after="40"/>
            </w:pPr>
            <w:r>
              <w:t>bl. 1 and 2: 25 Jun 2010 (see bl. 2(a));</w:t>
            </w:r>
            <w:r>
              <w:br/>
              <w:t>By-laws other than bl. 1 and 2: 1 Jul 2010 (see bl. 2(b))</w:t>
            </w:r>
          </w:p>
        </w:tc>
      </w:tr>
      <w:tr>
        <w:trPr>
          <w:cantSplit/>
        </w:trPr>
        <w:tc>
          <w:tcPr>
            <w:tcW w:w="3118" w:type="dxa"/>
          </w:tcPr>
          <w:p>
            <w:pPr>
              <w:pStyle w:val="nTable"/>
              <w:spacing w:after="40"/>
              <w:ind w:right="113"/>
              <w:rPr>
                <w:i/>
              </w:rPr>
            </w:pPr>
            <w:r>
              <w:rPr>
                <w:i/>
              </w:rPr>
              <w:t>Water Agencies (Charges) Amendment By</w:t>
            </w:r>
            <w:r>
              <w:rPr>
                <w:i/>
              </w:rPr>
              <w:noBreakHyphen/>
              <w:t>laws (No. 2) 2010</w:t>
            </w:r>
          </w:p>
        </w:tc>
        <w:tc>
          <w:tcPr>
            <w:tcW w:w="1276" w:type="dxa"/>
          </w:tcPr>
          <w:p>
            <w:pPr>
              <w:pStyle w:val="nTable"/>
              <w:spacing w:after="40"/>
            </w:pPr>
            <w:r>
              <w:t>10 Sep 2010 p. 4350-1</w:t>
            </w:r>
          </w:p>
        </w:tc>
        <w:tc>
          <w:tcPr>
            <w:tcW w:w="2693" w:type="dxa"/>
          </w:tcPr>
          <w:p>
            <w:pPr>
              <w:pStyle w:val="nTable"/>
              <w:spacing w:before="0" w:after="40"/>
            </w:pPr>
            <w:r>
              <w:t>bl. 1 and 2: 10 Sep 2010 (see bl. 2(a));</w:t>
            </w:r>
            <w:r>
              <w:br/>
              <w:t>By-laws other than bl. 1 and 2: 11 Sep 2010 (see bl. 2(b))</w:t>
            </w:r>
          </w:p>
        </w:tc>
      </w:tr>
      <w:tr>
        <w:trPr>
          <w:cantSplit/>
        </w:trPr>
        <w:tc>
          <w:tcPr>
            <w:tcW w:w="3118" w:type="dxa"/>
          </w:tcPr>
          <w:p>
            <w:pPr>
              <w:pStyle w:val="nTable"/>
              <w:spacing w:after="40"/>
              <w:ind w:right="113"/>
              <w:rPr>
                <w:i/>
              </w:rPr>
            </w:pPr>
            <w:r>
              <w:rPr>
                <w:i/>
              </w:rPr>
              <w:t>Water Agencies (Charges) Amendment By</w:t>
            </w:r>
            <w:r>
              <w:rPr>
                <w:i/>
              </w:rPr>
              <w:noBreakHyphen/>
              <w:t>laws 2011</w:t>
            </w:r>
          </w:p>
        </w:tc>
        <w:tc>
          <w:tcPr>
            <w:tcW w:w="1276" w:type="dxa"/>
          </w:tcPr>
          <w:p>
            <w:pPr>
              <w:pStyle w:val="nTable"/>
              <w:spacing w:after="40"/>
            </w:pPr>
            <w:r>
              <w:t>23 Jun 2011 p. 2417-93</w:t>
            </w:r>
          </w:p>
        </w:tc>
        <w:tc>
          <w:tcPr>
            <w:tcW w:w="2693" w:type="dxa"/>
          </w:tcPr>
          <w:p>
            <w:pPr>
              <w:pStyle w:val="nTable"/>
              <w:spacing w:before="0" w:after="40"/>
            </w:pPr>
            <w:r>
              <w:t>bl. 1 and 2: 23 Jun 2011 (see bl. 2(a));</w:t>
            </w:r>
            <w:r>
              <w:br/>
              <w:t>By-laws other than bl. 1 and 2: 1 Jul 2011 (see bl. 2(b))</w:t>
            </w:r>
          </w:p>
        </w:tc>
      </w:tr>
      <w:tr>
        <w:trPr>
          <w:cantSplit/>
        </w:trPr>
        <w:tc>
          <w:tcPr>
            <w:tcW w:w="3118" w:type="dxa"/>
            <w:tcBorders>
              <w:bottom w:val="single" w:sz="4" w:space="0" w:color="auto"/>
            </w:tcBorders>
          </w:tcPr>
          <w:p>
            <w:pPr>
              <w:pStyle w:val="nTable"/>
              <w:spacing w:after="40"/>
              <w:ind w:right="113"/>
              <w:rPr>
                <w:i/>
              </w:rPr>
            </w:pPr>
            <w:r>
              <w:rPr>
                <w:i/>
              </w:rPr>
              <w:t>Water Agencies (Charges) Amendment By</w:t>
            </w:r>
            <w:r>
              <w:rPr>
                <w:i/>
              </w:rPr>
              <w:noBreakHyphen/>
              <w:t>laws 2012</w:t>
            </w:r>
          </w:p>
        </w:tc>
        <w:tc>
          <w:tcPr>
            <w:tcW w:w="1276" w:type="dxa"/>
            <w:tcBorders>
              <w:bottom w:val="single" w:sz="4" w:space="0" w:color="auto"/>
            </w:tcBorders>
          </w:tcPr>
          <w:p>
            <w:pPr>
              <w:pStyle w:val="nTable"/>
              <w:spacing w:after="40"/>
            </w:pPr>
            <w:r>
              <w:t>20 Jun 2012 p. 2693</w:t>
            </w:r>
            <w:r>
              <w:noBreakHyphen/>
              <w:t>774</w:t>
            </w:r>
          </w:p>
        </w:tc>
        <w:tc>
          <w:tcPr>
            <w:tcW w:w="2693" w:type="dxa"/>
            <w:tcBorders>
              <w:bottom w:val="single" w:sz="4" w:space="0" w:color="auto"/>
            </w:tcBorders>
          </w:tcPr>
          <w:p>
            <w:pPr>
              <w:pStyle w:val="nTable"/>
              <w:spacing w:before="0" w:after="40"/>
            </w:pPr>
            <w:r>
              <w:rPr>
                <w:snapToGrid w:val="0"/>
                <w:spacing w:val="-2"/>
              </w:rPr>
              <w:t>bl. 1 and 2: 20 Jun 2012 (see bl. 2(a));</w:t>
            </w:r>
            <w:r>
              <w:rPr>
                <w:snapToGrid w:val="0"/>
                <w:spacing w:val="-2"/>
              </w:rPr>
              <w:br/>
              <w:t>By-laws other than bl. 1 and 2: 1 Jul 2012 (see bl. 2(b))</w:t>
            </w:r>
          </w:p>
        </w:tc>
      </w:tr>
    </w:tbl>
    <w:p>
      <w:pPr>
        <w:pStyle w:val="nNote"/>
        <w:tabs>
          <w:tab w:val="left" w:pos="567"/>
        </w:tabs>
        <w:spacing w:before="120"/>
        <w:ind w:left="567" w:hanging="567"/>
        <w:rPr>
          <w:ins w:id="921" w:author="Master Repository Process" w:date="2021-10-06T15:57:00Z"/>
          <w:snapToGrid w:val="0"/>
        </w:rPr>
      </w:pPr>
      <w:ins w:id="922" w:author="Master Repository Process" w:date="2021-10-06T15: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23" w:author="Master Repository Process" w:date="2021-10-06T15:57:00Z"/>
        </w:rPr>
      </w:pPr>
      <w:bookmarkStart w:id="924" w:name="_Toc84428023"/>
      <w:ins w:id="925" w:author="Master Repository Process" w:date="2021-10-06T15:57:00Z">
        <w:r>
          <w:t>Provisions that have not come into operation</w:t>
        </w:r>
        <w:bookmarkEnd w:id="924"/>
      </w:ins>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rPr>
          <w:ins w:id="926" w:author="Master Repository Process" w:date="2021-10-06T15:57:00Z"/>
        </w:trPr>
        <w:tc>
          <w:tcPr>
            <w:tcW w:w="2319" w:type="dxa"/>
          </w:tcPr>
          <w:p>
            <w:pPr>
              <w:pStyle w:val="nTable"/>
              <w:spacing w:after="40"/>
              <w:rPr>
                <w:ins w:id="927" w:author="Master Repository Process" w:date="2021-10-06T15:57:00Z"/>
                <w:b/>
                <w:snapToGrid w:val="0"/>
              </w:rPr>
            </w:pPr>
            <w:ins w:id="928" w:author="Master Repository Process" w:date="2021-10-06T15:57:00Z">
              <w:r>
                <w:rPr>
                  <w:b/>
                  <w:snapToGrid w:val="0"/>
                </w:rPr>
                <w:t>Short title</w:t>
              </w:r>
            </w:ins>
          </w:p>
        </w:tc>
        <w:tc>
          <w:tcPr>
            <w:tcW w:w="1118" w:type="dxa"/>
          </w:tcPr>
          <w:p>
            <w:pPr>
              <w:pStyle w:val="nTable"/>
              <w:spacing w:after="40"/>
              <w:rPr>
                <w:ins w:id="929" w:author="Master Repository Process" w:date="2021-10-06T15:57:00Z"/>
                <w:b/>
                <w:snapToGrid w:val="0"/>
              </w:rPr>
            </w:pPr>
            <w:ins w:id="930" w:author="Master Repository Process" w:date="2021-10-06T15:57:00Z">
              <w:r>
                <w:rPr>
                  <w:b/>
                  <w:snapToGrid w:val="0"/>
                </w:rPr>
                <w:t>Number and year</w:t>
              </w:r>
            </w:ins>
          </w:p>
        </w:tc>
        <w:tc>
          <w:tcPr>
            <w:tcW w:w="1134" w:type="dxa"/>
          </w:tcPr>
          <w:p>
            <w:pPr>
              <w:pStyle w:val="nTable"/>
              <w:spacing w:after="40"/>
              <w:rPr>
                <w:ins w:id="931" w:author="Master Repository Process" w:date="2021-10-06T15:57:00Z"/>
                <w:b/>
                <w:snapToGrid w:val="0"/>
              </w:rPr>
            </w:pPr>
            <w:ins w:id="932" w:author="Master Repository Process" w:date="2021-10-06T15:57:00Z">
              <w:r>
                <w:rPr>
                  <w:b/>
                  <w:snapToGrid w:val="0"/>
                </w:rPr>
                <w:t>Assent</w:t>
              </w:r>
            </w:ins>
          </w:p>
        </w:tc>
        <w:tc>
          <w:tcPr>
            <w:tcW w:w="2552" w:type="dxa"/>
          </w:tcPr>
          <w:p>
            <w:pPr>
              <w:pStyle w:val="nTable"/>
              <w:spacing w:after="40"/>
              <w:rPr>
                <w:ins w:id="933" w:author="Master Repository Process" w:date="2021-10-06T15:57:00Z"/>
                <w:b/>
                <w:snapToGrid w:val="0"/>
              </w:rPr>
            </w:pPr>
            <w:ins w:id="934" w:author="Master Repository Process" w:date="2021-10-06T15:57:00Z">
              <w:r>
                <w:rPr>
                  <w:b/>
                  <w:snapToGrid w:val="0"/>
                </w:rPr>
                <w:t>Commencement</w:t>
              </w:r>
            </w:ins>
          </w:p>
        </w:tc>
      </w:tr>
      <w:tr>
        <w:trPr>
          <w:ins w:id="935" w:author="Master Repository Process" w:date="2021-10-06T15:57:00Z"/>
        </w:trPr>
        <w:tc>
          <w:tcPr>
            <w:tcW w:w="2319" w:type="dxa"/>
          </w:tcPr>
          <w:p>
            <w:pPr>
              <w:pStyle w:val="nTable"/>
              <w:spacing w:after="40"/>
              <w:rPr>
                <w:ins w:id="936" w:author="Master Repository Process" w:date="2021-10-06T15:57:00Z"/>
                <w:snapToGrid w:val="0"/>
              </w:rPr>
            </w:pPr>
            <w:ins w:id="937" w:author="Master Repository Process" w:date="2021-10-06T15:57:00Z">
              <w:r>
                <w:rPr>
                  <w:i/>
                  <w:snapToGrid w:val="0"/>
                </w:rPr>
                <w:t>Water Services Legislation Amendment and Repeal Act 2012</w:t>
              </w:r>
              <w:r>
                <w:rPr>
                  <w:snapToGrid w:val="0"/>
                </w:rPr>
                <w:t xml:space="preserve"> s. 202(b)</w:t>
              </w:r>
              <w:r>
                <w:rPr>
                  <w:snapToGrid w:val="0"/>
                  <w:vertAlign w:val="superscript"/>
                </w:rPr>
                <w:t> 22</w:t>
              </w:r>
            </w:ins>
          </w:p>
        </w:tc>
        <w:tc>
          <w:tcPr>
            <w:tcW w:w="1118" w:type="dxa"/>
          </w:tcPr>
          <w:p>
            <w:pPr>
              <w:pStyle w:val="nTable"/>
              <w:spacing w:after="40"/>
              <w:rPr>
                <w:ins w:id="938" w:author="Master Repository Process" w:date="2021-10-06T15:57:00Z"/>
                <w:snapToGrid w:val="0"/>
              </w:rPr>
            </w:pPr>
            <w:ins w:id="939" w:author="Master Repository Process" w:date="2021-10-06T15:57:00Z">
              <w:r>
                <w:rPr>
                  <w:snapToGrid w:val="0"/>
                </w:rPr>
                <w:t>25 of 2012</w:t>
              </w:r>
            </w:ins>
          </w:p>
        </w:tc>
        <w:tc>
          <w:tcPr>
            <w:tcW w:w="1134" w:type="dxa"/>
          </w:tcPr>
          <w:p>
            <w:pPr>
              <w:pStyle w:val="nTable"/>
              <w:spacing w:after="40"/>
              <w:rPr>
                <w:ins w:id="940" w:author="Master Repository Process" w:date="2021-10-06T15:57:00Z"/>
                <w:snapToGrid w:val="0"/>
              </w:rPr>
            </w:pPr>
            <w:ins w:id="941" w:author="Master Repository Process" w:date="2021-10-06T15:57:00Z">
              <w:r>
                <w:t>3 Sep 2012</w:t>
              </w:r>
            </w:ins>
          </w:p>
        </w:tc>
        <w:tc>
          <w:tcPr>
            <w:tcW w:w="2552" w:type="dxa"/>
          </w:tcPr>
          <w:p>
            <w:pPr>
              <w:pStyle w:val="nTable"/>
              <w:spacing w:after="40"/>
              <w:rPr>
                <w:ins w:id="942" w:author="Master Repository Process" w:date="2021-10-06T15:57:00Z"/>
                <w:snapToGrid w:val="0"/>
              </w:rPr>
            </w:pPr>
            <w:ins w:id="943" w:author="Master Repository Process" w:date="2021-10-06T15:57:00Z">
              <w:r>
                <w:rPr>
                  <w:snapToGrid w:val="0"/>
                </w:rPr>
                <w:t>To be proclaimed (see s. 2(b))</w:t>
              </w:r>
            </w:ins>
          </w:p>
        </w:tc>
      </w:tr>
    </w:tbl>
    <w:p>
      <w:pPr>
        <w:pStyle w:val="nNote"/>
        <w:rPr>
          <w:snapToGrid w:val="0"/>
          <w:vertAlign w:val="superscript"/>
        </w:rPr>
      </w:pPr>
    </w:p>
    <w:p>
      <w:pPr>
        <w:pStyle w:val="nNote"/>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Note"/>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Note"/>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Note"/>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Note"/>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Note"/>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Note"/>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Note"/>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Note"/>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Note"/>
        <w:rPr>
          <w:snapToGrid w:val="0"/>
        </w:rPr>
      </w:pPr>
      <w:r>
        <w:rPr>
          <w:snapToGrid w:val="0"/>
          <w:vertAlign w:val="superscript"/>
        </w:rPr>
        <w:t>11</w:t>
      </w:r>
      <w:r>
        <w:rPr>
          <w:snapToGrid w:val="0"/>
        </w:rPr>
        <w:tab/>
        <w:t xml:space="preserve">Repealed by the </w:t>
      </w:r>
      <w:r>
        <w:rPr>
          <w:i/>
          <w:color w:val="000000"/>
        </w:rPr>
        <w:t>Racing and Gambling Legislation Amendment and Repeal Act 2003</w:t>
      </w:r>
      <w:r>
        <w:rPr>
          <w:snapToGrid w:val="0"/>
        </w:rPr>
        <w:t>.</w:t>
      </w:r>
    </w:p>
    <w:p>
      <w:pPr>
        <w:pStyle w:val="nNote"/>
        <w:spacing w:before="60"/>
        <w:rPr>
          <w:snapToGrid w:val="0"/>
        </w:rPr>
      </w:pPr>
      <w:r>
        <w:rPr>
          <w:snapToGrid w:val="0"/>
          <w:vertAlign w:val="superscript"/>
        </w:rPr>
        <w:t>12</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Note"/>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Note"/>
        <w:rPr>
          <w:snapToGrid w:val="0"/>
        </w:rPr>
      </w:pPr>
      <w:r>
        <w:rPr>
          <w:snapToGrid w:val="0"/>
          <w:vertAlign w:val="superscript"/>
        </w:rPr>
        <w:t>14</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Note"/>
      </w:pPr>
      <w:r>
        <w:rPr>
          <w:vertAlign w:val="superscript"/>
        </w:rPr>
        <w:t>15</w:t>
      </w:r>
      <w:r>
        <w:tab/>
        <w:t xml:space="preserve">The </w:t>
      </w:r>
      <w:r>
        <w:rPr>
          <w:i/>
        </w:rPr>
        <w:t>Water Authority (Charges) Amendment By</w:t>
      </w:r>
      <w:r>
        <w:rPr>
          <w:i/>
        </w:rPr>
        <w:noBreakHyphen/>
        <w:t>laws 1991</w:t>
      </w:r>
      <w:r>
        <w:t xml:space="preserve"> bl. 3 and 7 are application provisions that are of no further effect.</w:t>
      </w:r>
    </w:p>
    <w:p>
      <w:pPr>
        <w:pStyle w:val="nNote"/>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Note"/>
        <w:rPr>
          <w:snapToGrid w:val="0"/>
        </w:rPr>
      </w:pPr>
      <w:r>
        <w:rPr>
          <w:snapToGrid w:val="0"/>
          <w:vertAlign w:val="superscript"/>
        </w:rPr>
        <w:t>17</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Note"/>
        <w:keepNext/>
        <w:rPr>
          <w:snapToGrid w:val="0"/>
        </w:rPr>
      </w:pPr>
      <w:r>
        <w:rPr>
          <w:snapToGrid w:val="0"/>
          <w:vertAlign w:val="superscript"/>
        </w:rPr>
        <w:t>18</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Note"/>
      </w:pPr>
      <w:r>
        <w:rPr>
          <w:vertAlign w:val="superscript"/>
        </w:rPr>
        <w:t>19</w:t>
      </w:r>
      <w:r>
        <w:tab/>
        <w:t xml:space="preserve">The </w:t>
      </w:r>
      <w:r>
        <w:rPr>
          <w:i/>
        </w:rPr>
        <w:t>Water Agencies (Charges) Amendment By</w:t>
      </w:r>
      <w:r>
        <w:rPr>
          <w:i/>
        </w:rPr>
        <w:noBreakHyphen/>
        <w:t>laws (No. 2) 1999</w:t>
      </w:r>
      <w:r>
        <w:t xml:space="preserve"> bl. 32(2) is a transitional provision that is of no further effect.</w:t>
      </w:r>
    </w:p>
    <w:p>
      <w:pPr>
        <w:pStyle w:val="nNote"/>
        <w:rPr>
          <w:snapToGrid w:val="0"/>
        </w:rPr>
      </w:pPr>
      <w:r>
        <w:rPr>
          <w:vertAlign w:val="superscript"/>
        </w:rPr>
        <w:t>20</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Note"/>
        <w:keepNext/>
        <w:keepLines/>
      </w:pPr>
      <w:r>
        <w:rPr>
          <w:vertAlign w:val="superscript"/>
        </w:rPr>
        <w:t>21</w:t>
      </w:r>
      <w:r>
        <w:tab/>
        <w:t xml:space="preserve">The </w:t>
      </w:r>
      <w:r>
        <w:rPr>
          <w:i/>
        </w:rPr>
        <w:t>Water Agencies (Charges) Amendment By</w:t>
      </w:r>
      <w:r>
        <w:rPr>
          <w:i/>
        </w:rPr>
        <w:noBreakHyphen/>
        <w:t xml:space="preserve">laws 2002 </w:t>
      </w:r>
      <w:r>
        <w:t>bl. 3</w:t>
      </w:r>
      <w:r>
        <w:rPr>
          <w:i/>
        </w:rPr>
        <w:t xml:space="preserve"> </w:t>
      </w:r>
      <w:r>
        <w:t>reads as follows:</w:t>
      </w:r>
    </w:p>
    <w:p>
      <w:pPr>
        <w:pStyle w:val="BlankOpen"/>
      </w:pP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BlankClose"/>
        <w:rPr>
          <w:snapToGrid w:val="0"/>
        </w:rPr>
      </w:pPr>
    </w:p>
    <w:p>
      <w:pPr>
        <w:pStyle w:val="nNote"/>
        <w:rPr>
          <w:ins w:id="944" w:author="Master Repository Process" w:date="2021-10-06T15:57:00Z"/>
          <w:snapToGrid w:val="0"/>
        </w:rPr>
      </w:pPr>
      <w:ins w:id="945" w:author="Master Repository Process" w:date="2021-10-06T15:57:00Z">
        <w:r>
          <w:rPr>
            <w:snapToGrid w:val="0"/>
            <w:vertAlign w:val="superscript"/>
          </w:rPr>
          <w:t>22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202(b) had not come into operation.  It reads as follows:</w:t>
        </w:r>
      </w:ins>
    </w:p>
    <w:p>
      <w:pPr>
        <w:pStyle w:val="BlankOpen"/>
        <w:rPr>
          <w:ins w:id="946" w:author="Master Repository Process" w:date="2021-10-06T15:57:00Z"/>
        </w:rPr>
      </w:pPr>
    </w:p>
    <w:p>
      <w:pPr>
        <w:pStyle w:val="nzHeading5"/>
        <w:rPr>
          <w:ins w:id="947" w:author="Master Repository Process" w:date="2021-10-06T15:57:00Z"/>
        </w:rPr>
      </w:pPr>
      <w:ins w:id="948" w:author="Master Repository Process" w:date="2021-10-06T15:57:00Z">
        <w:r>
          <w:rPr>
            <w:rStyle w:val="CharSectno"/>
          </w:rPr>
          <w:t>202</w:t>
        </w:r>
        <w:r>
          <w:t>.</w:t>
        </w:r>
        <w:r>
          <w:tab/>
          <w:t>Other legislation repealed</w:t>
        </w:r>
      </w:ins>
    </w:p>
    <w:p>
      <w:pPr>
        <w:pStyle w:val="nzSubsection"/>
        <w:rPr>
          <w:ins w:id="949" w:author="Master Repository Process" w:date="2021-10-06T15:57:00Z"/>
        </w:rPr>
      </w:pPr>
      <w:ins w:id="950" w:author="Master Repository Process" w:date="2021-10-06T15:57:00Z">
        <w:r>
          <w:tab/>
        </w:r>
        <w:r>
          <w:tab/>
          <w:t>These written laws are repealed:</w:t>
        </w:r>
      </w:ins>
    </w:p>
    <w:p>
      <w:pPr>
        <w:pStyle w:val="nzIndenta"/>
        <w:rPr>
          <w:ins w:id="951" w:author="Master Repository Process" w:date="2021-10-06T15:57:00Z"/>
        </w:rPr>
      </w:pPr>
      <w:ins w:id="952" w:author="Master Repository Process" w:date="2021-10-06T15:57:00Z">
        <w:r>
          <w:tab/>
          <w:t>(b)</w:t>
        </w:r>
        <w:r>
          <w:tab/>
          <w:t xml:space="preserve">the </w:t>
        </w:r>
        <w:r>
          <w:rPr>
            <w:i/>
          </w:rPr>
          <w:t>Water Agencies (Charges) By</w:t>
        </w:r>
        <w:r>
          <w:rPr>
            <w:i/>
          </w:rPr>
          <w:noBreakHyphen/>
          <w:t>laws 1987</w:t>
        </w:r>
        <w:r>
          <w:t>;</w:t>
        </w:r>
      </w:ins>
    </w:p>
    <w:p>
      <w:pPr>
        <w:pStyle w:val="BlankClose"/>
        <w:rPr>
          <w:ins w:id="953" w:author="Master Repository Process" w:date="2021-10-06T15:57:00Z"/>
        </w:rPr>
      </w:pPr>
    </w:p>
    <w:p>
      <w:pPr>
        <w:rPr>
          <w:ins w:id="954" w:author="Master Repository Process" w:date="2021-10-06T15:57:00Z"/>
        </w:rPr>
      </w:pP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type w:val="continuous"/>
      <w:pgSz w:w="11907" w:h="16840"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1632"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680" w:type="dxa"/>
        </w:tcPr>
        <w:p>
          <w:pPr>
            <w:pStyle w:val="Header"/>
            <w:spacing w:before="40"/>
          </w:pPr>
          <w:r>
            <w:fldChar w:fldCharType="begin"/>
          </w:r>
          <w:r>
            <w:instrText xml:space="preserve"> styleref CharPartText </w:instrText>
          </w:r>
          <w:r>
            <w:fldChar w:fldCharType="end"/>
          </w:r>
        </w:p>
      </w:tc>
    </w:tr>
    <w:tr>
      <w:tc>
        <w:tcPr>
          <w:tcW w:w="1632"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680"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60"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60"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302" w:type="dxa"/>
          <w:gridSpan w:val="2"/>
        </w:tcPr>
        <w:p>
          <w:pPr>
            <w:pStyle w:val="Header"/>
            <w:spacing w:before="40"/>
            <w:ind w:right="17"/>
            <w:jc w:val="right"/>
          </w:pPr>
          <w:r>
            <w:rPr>
              <w:b/>
            </w:rPr>
            <w:t xml:space="preserve">bl.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bCs/>
            </w:rPr>
            <w:fldChar w:fldCharType="begin"/>
          </w:r>
          <w:r>
            <w:rPr>
              <w:b/>
              <w:bCs/>
            </w:rPr>
            <w:instrText xml:space="preserve"> STYLEREF CharSDivNo \* charformat</w:instrText>
          </w:r>
          <w:r>
            <w:rPr>
              <w:b/>
              <w:bCs/>
            </w:rPr>
            <w:fldChar w:fldCharType="end"/>
          </w:r>
        </w:p>
      </w:tc>
      <w:tc>
        <w:tcPr>
          <w:tcW w:w="5715" w:type="dxa"/>
        </w:tcPr>
        <w:p>
          <w:pPr>
            <w:pStyle w:val="Header"/>
            <w:spacing w:before="40"/>
          </w:pPr>
          <w:r>
            <w:fldChar w:fldCharType="begin"/>
          </w:r>
          <w:r>
            <w:instrText>styleref CharSDivText</w:instrText>
          </w:r>
          <w:r>
            <w:fldChar w:fldCharType="end"/>
          </w:r>
          <w:r>
            <w:tab/>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rPr>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Formula for calculating AGRV</w:t>
          </w:r>
          <w:r>
            <w:fldChar w:fldCharType="end"/>
          </w:r>
        </w:p>
      </w:tc>
    </w:tr>
    <w:tr>
      <w:tc>
        <w:tcPr>
          <w:tcW w:w="1548" w:type="dxa"/>
        </w:tcPr>
        <w:p>
          <w:pPr>
            <w:pStyle w:val="Header"/>
            <w:spacing w:before="40"/>
          </w:pPr>
          <w:r>
            <w:rPr>
              <w:b/>
              <w:bCs/>
            </w:rPr>
            <w:fldChar w:fldCharType="begin"/>
          </w:r>
          <w:r>
            <w:rPr>
              <w:b/>
              <w:bCs/>
            </w:rPr>
            <w:instrText xml:space="preserve"> STYLEREF CharSDivNo \* charformat</w:instrText>
          </w:r>
          <w:r>
            <w:rPr>
              <w:b/>
              <w:bCs/>
            </w:rPr>
            <w:fldChar w:fldCharType="separate"/>
          </w:r>
          <w:r>
            <w:rPr>
              <w:b/>
              <w:bCs/>
            </w:rPr>
            <w:t>Division 2</w:t>
          </w:r>
          <w:r>
            <w:rPr>
              <w:b/>
              <w:bCs/>
            </w:rPr>
            <w:fldChar w:fldCharType="end"/>
          </w:r>
        </w:p>
      </w:tc>
      <w:tc>
        <w:tcPr>
          <w:tcW w:w="5715" w:type="dxa"/>
        </w:tcPr>
        <w:p>
          <w:pPr>
            <w:pStyle w:val="Header"/>
            <w:spacing w:before="40"/>
          </w:pPr>
          <w:r>
            <w:fldChar w:fldCharType="begin"/>
          </w:r>
          <w:r>
            <w:instrText>styleref CharSDivText</w:instrText>
          </w:r>
          <w:r>
            <w:fldChar w:fldCharType="separate"/>
          </w:r>
          <w:r>
            <w:t>Charges by way of rate</w:t>
          </w:r>
          <w:r>
            <w:fldChar w:fldCharType="end"/>
          </w:r>
          <w:r>
            <w:tab/>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8</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8</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Water supply charges for Government trading organisations and non-commercial Government property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Charges by way of rate</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Water supply charges for Government trading organisations and non-commercial Government property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8</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8</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Charges by way of rate</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1"/>
  </w:num>
  <w:num w:numId="15">
    <w:abstractNumId w:val="1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06154350"/>
    <w:docVar w:name="WAFER_202110061543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6154350_GUID" w:val="a6a9bd24-c1f1-4478-863d-b46dc573bd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3F9E1A1-CBE2-4CBA-9CB8-40DD68312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27694</Words>
  <Characters>126841</Characters>
  <Application>Microsoft Office Word</Application>
  <DocSecurity>0</DocSecurity>
  <Lines>7046</Lines>
  <Paragraphs>5328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06-e0-02 - 06-f0-02</dc:title>
  <dc:subject/>
  <dc:creator/>
  <cp:keywords/>
  <dc:description/>
  <cp:lastModifiedBy>Master Repository Process</cp:lastModifiedBy>
  <cp:revision>2</cp:revision>
  <cp:lastPrinted>2009-08-27T02:26:00Z</cp:lastPrinted>
  <dcterms:created xsi:type="dcterms:W3CDTF">2021-10-06T07:57:00Z</dcterms:created>
  <dcterms:modified xsi:type="dcterms:W3CDTF">2021-10-06T07:57:00Z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20120903</vt:lpwstr>
  </property>
  <property fmtid="{D5CDD505-2E9C-101B-9397-08002B2CF9AE}" pid="4" name="DocumentType">
    <vt:lpwstr>Reg</vt:lpwstr>
  </property>
  <property fmtid="{D5CDD505-2E9C-101B-9397-08002B2CF9AE}" pid="5" name="OwlsUID">
    <vt:i4>4852</vt:i4>
  </property>
  <property fmtid="{D5CDD505-2E9C-101B-9397-08002B2CF9AE}" pid="6" name="ReprintNo">
    <vt:lpwstr>6</vt:lpwstr>
  </property>
  <property fmtid="{D5CDD505-2E9C-101B-9397-08002B2CF9AE}" pid="7" name="FromSuffix">
    <vt:lpwstr>06-e0-02</vt:lpwstr>
  </property>
  <property fmtid="{D5CDD505-2E9C-101B-9397-08002B2CF9AE}" pid="8" name="FromAsAtDate">
    <vt:lpwstr>01 Jul 2012</vt:lpwstr>
  </property>
  <property fmtid="{D5CDD505-2E9C-101B-9397-08002B2CF9AE}" pid="9" name="ToSuffix">
    <vt:lpwstr>06-f0-02</vt:lpwstr>
  </property>
  <property fmtid="{D5CDD505-2E9C-101B-9397-08002B2CF9AE}" pid="10" name="ToAsAtDate">
    <vt:lpwstr>03 Sep 2012</vt:lpwstr>
  </property>
</Properties>
</file>