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Criminal Investigation (Extra</w:t>
      </w:r>
      <w:r>
        <w:noBreakHyphen/>
        <w:t xml:space="preserve">territorial Offences) Act 1987 </w:t>
      </w:r>
    </w:p>
    <w:p>
      <w:pPr>
        <w:pStyle w:val="LongTitle"/>
      </w:pPr>
      <w:bookmarkStart w:id="1" w:name="_Toc411841833"/>
      <w:bookmarkStart w:id="2" w:name="_Toc13468052"/>
      <w:bookmarkStart w:id="3" w:name="_Toc151795291"/>
      <w:r>
        <w:t>A</w:t>
      </w:r>
      <w:bookmarkStart w:id="4" w:name="_GoBack"/>
      <w:bookmarkEnd w:id="4"/>
      <w:r>
        <w:t>n Act to provide powers to investigate in this State certain offences against the law of other places, and for related purposes.</w:t>
      </w:r>
    </w:p>
    <w:p>
      <w:pPr>
        <w:pStyle w:val="Footnotelongtitle"/>
      </w:pPr>
      <w:r>
        <w:tab/>
        <w:t>[Long title inserted</w:t>
      </w:r>
      <w:del w:id="5" w:author="svcMRProcess" w:date="2019-01-24T08:39:00Z">
        <w:r>
          <w:delText xml:space="preserve"> by</w:delText>
        </w:r>
      </w:del>
      <w:ins w:id="6" w:author="svcMRProcess" w:date="2019-01-24T08:39:00Z">
        <w:r>
          <w:t>:</w:t>
        </w:r>
      </w:ins>
      <w:r>
        <w:t xml:space="preserve"> No. 59 of 2006 s. 31.] </w:t>
      </w:r>
    </w:p>
    <w:p>
      <w:pPr>
        <w:pStyle w:val="Heading2"/>
      </w:pPr>
      <w:bookmarkStart w:id="7" w:name="_Toc378154135"/>
      <w:bookmarkStart w:id="8" w:name="_Toc415665123"/>
      <w:bookmarkStart w:id="9" w:name="_Toc415665141"/>
      <w:bookmarkStart w:id="10" w:name="_Toc152558236"/>
      <w:bookmarkStart w:id="11" w:name="_Toc170639161"/>
      <w:bookmarkStart w:id="12" w:name="_Toc170639180"/>
      <w:bookmarkStart w:id="13" w:name="_Toc171062498"/>
      <w:bookmarkStart w:id="14" w:name="_Toc173891892"/>
      <w:bookmarkStart w:id="15" w:name="_Toc173892616"/>
      <w:bookmarkStart w:id="16" w:name="_Toc175110715"/>
      <w:bookmarkStart w:id="17" w:name="_Toc175110764"/>
      <w:bookmarkStart w:id="18" w:name="_Toc176334840"/>
      <w:bookmarkStart w:id="19" w:name="_Toc307410668"/>
      <w:bookmarkStart w:id="20" w:name="_Toc325550705"/>
      <w:bookmarkStart w:id="21" w:name="_Toc325553208"/>
      <w:bookmarkStart w:id="22" w:name="_Toc325553226"/>
      <w:r>
        <w:rPr>
          <w:rStyle w:val="CharPartNo"/>
        </w:rPr>
        <w:lastRenderedPageBreak/>
        <w:t>Part 1</w:t>
      </w:r>
      <w:r>
        <w:rPr>
          <w:b w:val="0"/>
        </w:rPr>
        <w:t> </w:t>
      </w:r>
      <w:r>
        <w:t>—</w:t>
      </w:r>
      <w:r>
        <w:rPr>
          <w:b w:val="0"/>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[Heading inserted</w:t>
      </w:r>
      <w:del w:id="23" w:author="svcMRProcess" w:date="2019-01-24T08:39:00Z">
        <w:r>
          <w:delText xml:space="preserve"> by</w:delText>
        </w:r>
      </w:del>
      <w:ins w:id="24" w:author="svcMRProcess" w:date="2019-01-24T08:39:00Z">
        <w:r>
          <w:t>:</w:t>
        </w:r>
      </w:ins>
      <w:r>
        <w:t xml:space="preserve"> No. 59 of 2006 s. 32(1).] </w:t>
      </w:r>
    </w:p>
    <w:p>
      <w:pPr>
        <w:pStyle w:val="Heading5"/>
        <w:rPr>
          <w:snapToGrid w:val="0"/>
        </w:rPr>
      </w:pPr>
      <w:bookmarkStart w:id="25" w:name="_Toc378154136"/>
      <w:bookmarkStart w:id="26" w:name="_Toc415665142"/>
      <w:bookmarkStart w:id="27" w:name="_Toc325553227"/>
      <w:r>
        <w:rPr>
          <w:rStyle w:val="CharSectno"/>
        </w:rPr>
        <w:t>1</w:t>
      </w:r>
      <w:r>
        <w:rPr>
          <w:snapToGrid w:val="0"/>
        </w:rPr>
        <w:t>.</w:t>
      </w:r>
      <w:r>
        <w:rPr>
          <w:snapToGrid w:val="0"/>
        </w:rPr>
        <w:tab/>
        <w:t>Short title</w:t>
      </w:r>
      <w:bookmarkEnd w:id="25"/>
      <w:bookmarkEnd w:id="26"/>
      <w:bookmarkEnd w:id="1"/>
      <w:bookmarkEnd w:id="2"/>
      <w:bookmarkEnd w:id="3"/>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28" w:name="_Toc378154137"/>
      <w:bookmarkStart w:id="29" w:name="_Toc415665143"/>
      <w:bookmarkStart w:id="30" w:name="_Toc411841834"/>
      <w:bookmarkStart w:id="31" w:name="_Toc13468053"/>
      <w:bookmarkStart w:id="32" w:name="_Toc151795292"/>
      <w:bookmarkStart w:id="33" w:name="_Toc325553228"/>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ins w:id="34" w:author="svcMRProcess" w:date="2019-01-24T08:39:00Z"/>
        </w:rPr>
      </w:pPr>
      <w:bookmarkStart w:id="35" w:name="_Toc378154138"/>
      <w:bookmarkStart w:id="36" w:name="_Toc415665144"/>
      <w:ins w:id="37" w:author="svcMRProcess" w:date="2019-01-24T08:39:00Z">
        <w:r>
          <w:rPr>
            <w:rStyle w:val="CharSectno"/>
          </w:rPr>
          <w:t>3A</w:t>
        </w:r>
        <w:r>
          <w:t>.</w:t>
        </w:r>
        <w:r>
          <w:tab/>
          <w:t>Authority required for some investigations</w:t>
        </w:r>
        <w:bookmarkEnd w:id="35"/>
        <w:bookmarkEnd w:id="36"/>
      </w:ins>
    </w:p>
    <w:p>
      <w:pPr>
        <w:pStyle w:val="Subsection"/>
        <w:rPr>
          <w:ins w:id="38" w:author="svcMRProcess" w:date="2019-01-24T08:39:00Z"/>
        </w:rPr>
      </w:pPr>
      <w:ins w:id="39" w:author="svcMRProcess" w:date="2019-01-24T08:39:00Z">
        <w:r>
          <w:tab/>
        </w:r>
        <w:r>
          <w:tab/>
          <w:t xml:space="preserve">This Act is subject to the </w:t>
        </w:r>
        <w:r>
          <w:rPr>
            <w:i/>
          </w:rPr>
          <w:t>Criminal Appeals Act 2004</w:t>
        </w:r>
        <w:r>
          <w:t xml:space="preserve"> section 46C.</w:t>
        </w:r>
      </w:ins>
    </w:p>
    <w:p>
      <w:pPr>
        <w:pStyle w:val="Footnotesection"/>
        <w:rPr>
          <w:ins w:id="40" w:author="svcMRProcess" w:date="2019-01-24T08:39:00Z"/>
        </w:rPr>
      </w:pPr>
      <w:ins w:id="41" w:author="svcMRProcess" w:date="2019-01-24T08:39:00Z">
        <w:r>
          <w:tab/>
          <w:t xml:space="preserve">[Section 3A inserted: No. 9 of 2012 s. 8.] </w:t>
        </w:r>
      </w:ins>
    </w:p>
    <w:p>
      <w:pPr>
        <w:pStyle w:val="Heading2"/>
      </w:pPr>
      <w:bookmarkStart w:id="42" w:name="_Toc378154139"/>
      <w:bookmarkStart w:id="43" w:name="_Toc415665127"/>
      <w:bookmarkStart w:id="44" w:name="_Toc415665145"/>
      <w:bookmarkStart w:id="45" w:name="_Toc152558237"/>
      <w:bookmarkStart w:id="46" w:name="_Toc170639164"/>
      <w:bookmarkStart w:id="47" w:name="_Toc170639183"/>
      <w:bookmarkStart w:id="48" w:name="_Toc171062501"/>
      <w:bookmarkStart w:id="49" w:name="_Toc173891895"/>
      <w:bookmarkStart w:id="50" w:name="_Toc173892619"/>
      <w:bookmarkStart w:id="51" w:name="_Toc175110718"/>
      <w:bookmarkStart w:id="52" w:name="_Toc175110767"/>
      <w:bookmarkStart w:id="53" w:name="_Toc176334843"/>
      <w:bookmarkStart w:id="54" w:name="_Toc307410671"/>
      <w:bookmarkStart w:id="55" w:name="_Toc325550708"/>
      <w:bookmarkStart w:id="56" w:name="_Toc325553211"/>
      <w:bookmarkStart w:id="57" w:name="_Toc325553229"/>
      <w:bookmarkStart w:id="58" w:name="_Toc411841835"/>
      <w:bookmarkStart w:id="59" w:name="_Toc13468054"/>
      <w:bookmarkStart w:id="60" w:name="_Toc151795293"/>
      <w:r>
        <w:rPr>
          <w:rStyle w:val="CharPartNo"/>
        </w:rPr>
        <w:lastRenderedPageBreak/>
        <w:t>Part 2</w:t>
      </w:r>
      <w:r>
        <w:rPr>
          <w:b w:val="0"/>
        </w:rPr>
        <w:t> </w:t>
      </w:r>
      <w:r>
        <w:t>—</w:t>
      </w:r>
      <w:r>
        <w:rPr>
          <w:b w:val="0"/>
        </w:rPr>
        <w:t> </w:t>
      </w:r>
      <w:r>
        <w:rPr>
          <w:rStyle w:val="CharPartText"/>
        </w:rPr>
        <w:t>Search warrants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w:t>
      </w:r>
      <w:del w:id="61" w:author="svcMRProcess" w:date="2019-01-24T08:39:00Z">
        <w:r>
          <w:delText xml:space="preserve"> by</w:delText>
        </w:r>
      </w:del>
      <w:ins w:id="62" w:author="svcMRProcess" w:date="2019-01-24T08:39:00Z">
        <w:r>
          <w:t>:</w:t>
        </w:r>
      </w:ins>
      <w:r>
        <w:t xml:space="preserve"> No. 59 of 2006 s. 32(2).] </w:t>
      </w:r>
    </w:p>
    <w:p>
      <w:pPr>
        <w:pStyle w:val="Heading5"/>
        <w:rPr>
          <w:snapToGrid w:val="0"/>
        </w:rPr>
      </w:pPr>
      <w:bookmarkStart w:id="63" w:name="_Toc378154140"/>
      <w:bookmarkStart w:id="64" w:name="_Toc415665146"/>
      <w:bookmarkStart w:id="65" w:name="_Toc325553230"/>
      <w:r>
        <w:rPr>
          <w:rStyle w:val="CharSectno"/>
        </w:rPr>
        <w:t>3</w:t>
      </w:r>
      <w:r>
        <w:rPr>
          <w:snapToGrid w:val="0"/>
        </w:rPr>
        <w:t>.</w:t>
      </w:r>
      <w:r>
        <w:rPr>
          <w:snapToGrid w:val="0"/>
        </w:rPr>
        <w:tab/>
      </w:r>
      <w:bookmarkEnd w:id="58"/>
      <w:bookmarkEnd w:id="59"/>
      <w:bookmarkEnd w:id="60"/>
      <w:r>
        <w:rPr>
          <w:snapToGrid w:val="0"/>
        </w:rPr>
        <w:t>Terms used in this Part</w:t>
      </w:r>
      <w:bookmarkEnd w:id="63"/>
      <w:bookmarkEnd w:id="64"/>
      <w:bookmarkEnd w:id="65"/>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[Section 3 amended</w:t>
      </w:r>
      <w:del w:id="66" w:author="svcMRProcess" w:date="2019-01-24T08:39:00Z">
        <w:r>
          <w:delText xml:space="preserve"> by</w:delText>
        </w:r>
      </w:del>
      <w:ins w:id="67" w:author="svcMRProcess" w:date="2019-01-24T08:39:00Z">
        <w:r>
          <w:t>:</w:t>
        </w:r>
      </w:ins>
      <w:r>
        <w:t xml:space="preserve"> No. 59 of 2006 s. 33(1).] </w:t>
      </w:r>
    </w:p>
    <w:p>
      <w:pPr>
        <w:pStyle w:val="Heading5"/>
        <w:rPr>
          <w:snapToGrid w:val="0"/>
        </w:rPr>
      </w:pPr>
      <w:bookmarkStart w:id="68" w:name="_Toc378154141"/>
      <w:bookmarkStart w:id="69" w:name="_Toc415665147"/>
      <w:bookmarkStart w:id="70" w:name="_Toc411841836"/>
      <w:bookmarkStart w:id="71" w:name="_Toc13468055"/>
      <w:bookmarkStart w:id="72" w:name="_Toc151795294"/>
      <w:bookmarkStart w:id="73" w:name="_Toc325553231"/>
      <w:r>
        <w:rPr>
          <w:rStyle w:val="CharSectno"/>
        </w:rPr>
        <w:t>4</w:t>
      </w:r>
      <w:r>
        <w:rPr>
          <w:snapToGrid w:val="0"/>
        </w:rPr>
        <w:t>.</w:t>
      </w:r>
      <w:r>
        <w:rPr>
          <w:snapToGrid w:val="0"/>
        </w:rPr>
        <w:tab/>
        <w:t>Issue of search warrants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pPr>
        <w:pStyle w:val="Footnotesection"/>
      </w:pPr>
      <w:r>
        <w:tab/>
        <w:t>[Section 4 amended</w:t>
      </w:r>
      <w:del w:id="74" w:author="svcMRProcess" w:date="2019-01-24T08:39:00Z">
        <w:r>
          <w:delText xml:space="preserve"> by</w:delText>
        </w:r>
      </w:del>
      <w:ins w:id="75" w:author="svcMRProcess" w:date="2019-01-24T08:39:00Z">
        <w:r>
          <w:t>:</w:t>
        </w:r>
      </w:ins>
      <w:r>
        <w:t xml:space="preserve"> No. 59 of 2004 s. 141; No. 84 of 2004 s. 80; No. 59 of 2006 s. 33(2).]</w:t>
      </w:r>
    </w:p>
    <w:p>
      <w:pPr>
        <w:pStyle w:val="Heading5"/>
        <w:rPr>
          <w:snapToGrid w:val="0"/>
        </w:rPr>
      </w:pPr>
      <w:bookmarkStart w:id="76" w:name="_Toc378154142"/>
      <w:bookmarkStart w:id="77" w:name="_Toc415665148"/>
      <w:bookmarkStart w:id="78" w:name="_Toc411841837"/>
      <w:bookmarkStart w:id="79" w:name="_Toc13468056"/>
      <w:bookmarkStart w:id="80" w:name="_Toc151795295"/>
      <w:bookmarkStart w:id="81" w:name="_Toc325553232"/>
      <w:r>
        <w:rPr>
          <w:rStyle w:val="CharSectno"/>
        </w:rPr>
        <w:t>5</w:t>
      </w:r>
      <w:r>
        <w:rPr>
          <w:snapToGrid w:val="0"/>
        </w:rPr>
        <w:t>.</w:t>
      </w:r>
      <w:r>
        <w:rPr>
          <w:snapToGrid w:val="0"/>
        </w:rPr>
        <w:tab/>
        <w:t>Authority conferred by, and other incidents of, a search warrant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82" w:name="_Toc378154143"/>
      <w:bookmarkStart w:id="83" w:name="_Toc415665149"/>
      <w:bookmarkStart w:id="84" w:name="_Toc411841838"/>
      <w:bookmarkStart w:id="85" w:name="_Toc13468057"/>
      <w:bookmarkStart w:id="86" w:name="_Toc151795296"/>
      <w:bookmarkStart w:id="87" w:name="_Toc325553233"/>
      <w:r>
        <w:rPr>
          <w:rStyle w:val="CharSectno"/>
        </w:rPr>
        <w:t>6</w:t>
      </w:r>
      <w:r>
        <w:rPr>
          <w:snapToGrid w:val="0"/>
        </w:rPr>
        <w:t>.</w:t>
      </w:r>
      <w:r>
        <w:rPr>
          <w:snapToGrid w:val="0"/>
        </w:rPr>
        <w:tab/>
        <w:t>Offence of hindering execution of search warrant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w:t>
      </w:r>
      <w:del w:id="88" w:author="svcMRProcess" w:date="2019-01-24T08:39:00Z">
        <w:r>
          <w:delText xml:space="preserve"> by</w:delText>
        </w:r>
      </w:del>
      <w:ins w:id="89" w:author="svcMRProcess" w:date="2019-01-24T08:39:00Z">
        <w:r>
          <w:t>:</w:t>
        </w:r>
      </w:ins>
      <w:r>
        <w:t xml:space="preserve"> No. 50 of 2003 s. 52(2).]</w:t>
      </w:r>
    </w:p>
    <w:p>
      <w:pPr>
        <w:pStyle w:val="Heading5"/>
        <w:rPr>
          <w:snapToGrid w:val="0"/>
        </w:rPr>
      </w:pPr>
      <w:bookmarkStart w:id="90" w:name="_Toc378154144"/>
      <w:bookmarkStart w:id="91" w:name="_Toc415665150"/>
      <w:bookmarkStart w:id="92" w:name="_Toc411841839"/>
      <w:bookmarkStart w:id="93" w:name="_Toc13468058"/>
      <w:bookmarkStart w:id="94" w:name="_Toc151795297"/>
      <w:bookmarkStart w:id="95" w:name="_Toc325553234"/>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w:t>
      </w:r>
      <w:del w:id="96" w:author="svcMRProcess" w:date="2019-01-24T08:39:00Z">
        <w:r>
          <w:delText xml:space="preserve"> by</w:delText>
        </w:r>
      </w:del>
      <w:ins w:id="97" w:author="svcMRProcess" w:date="2019-01-24T08:39:00Z">
        <w:r>
          <w:t>:</w:t>
        </w:r>
      </w:ins>
      <w:r>
        <w:t xml:space="preserve"> No. 59 of 2006 s. 33(3).]</w:t>
      </w:r>
    </w:p>
    <w:p>
      <w:pPr>
        <w:pStyle w:val="Heading2"/>
      </w:pPr>
      <w:bookmarkStart w:id="98" w:name="_Toc378154145"/>
      <w:bookmarkStart w:id="99" w:name="_Toc415665133"/>
      <w:bookmarkStart w:id="100" w:name="_Toc415665151"/>
      <w:bookmarkStart w:id="101" w:name="_Toc152558241"/>
      <w:bookmarkStart w:id="102" w:name="_Toc170639171"/>
      <w:bookmarkStart w:id="103" w:name="_Toc170639190"/>
      <w:bookmarkStart w:id="104" w:name="_Toc171062507"/>
      <w:bookmarkStart w:id="105" w:name="_Toc173891901"/>
      <w:bookmarkStart w:id="106" w:name="_Toc173892625"/>
      <w:bookmarkStart w:id="107" w:name="_Toc175110724"/>
      <w:bookmarkStart w:id="108" w:name="_Toc175110773"/>
      <w:bookmarkStart w:id="109" w:name="_Toc176334849"/>
      <w:bookmarkStart w:id="110" w:name="_Toc307410677"/>
      <w:bookmarkStart w:id="111" w:name="_Toc325550714"/>
      <w:bookmarkStart w:id="112" w:name="_Toc325553217"/>
      <w:bookmarkStart w:id="113" w:name="_Toc325553235"/>
      <w:bookmarkStart w:id="114" w:name="_Toc152558238"/>
      <w:bookmarkStart w:id="115" w:name="_Toc411841841"/>
      <w:bookmarkStart w:id="116" w:name="_Toc13468060"/>
      <w:bookmarkStart w:id="117" w:name="_Toc151795299"/>
      <w:r>
        <w:rPr>
          <w:rStyle w:val="CharPartNo"/>
        </w:rPr>
        <w:t>Part 3</w:t>
      </w:r>
      <w:r>
        <w:rPr>
          <w:b w:val="0"/>
        </w:rPr>
        <w:t> </w:t>
      </w:r>
      <w:r>
        <w:t>—</w:t>
      </w:r>
      <w:r>
        <w:rPr>
          <w:b w:val="0"/>
        </w:rPr>
        <w:t> </w:t>
      </w:r>
      <w:r>
        <w:rPr>
          <w:rStyle w:val="CharPartText"/>
        </w:rPr>
        <w:t>Searching vehicles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bookmarkStart w:id="118" w:name="_Toc152558242"/>
      <w:r>
        <w:tab/>
        <w:t>[Heading inserted</w:t>
      </w:r>
      <w:del w:id="119" w:author="svcMRProcess" w:date="2019-01-24T08:39:00Z">
        <w:r>
          <w:delText xml:space="preserve"> by</w:delText>
        </w:r>
      </w:del>
      <w:ins w:id="120" w:author="svcMRProcess" w:date="2019-01-24T08:39:00Z">
        <w:r>
          <w:t>:</w:t>
        </w:r>
      </w:ins>
      <w:r>
        <w:t xml:space="preserve"> No. 59 of 2006 s. 34.] </w:t>
      </w:r>
    </w:p>
    <w:p>
      <w:pPr>
        <w:pStyle w:val="Heading5"/>
      </w:pPr>
      <w:bookmarkStart w:id="121" w:name="_Toc378154146"/>
      <w:bookmarkStart w:id="122" w:name="_Toc415665152"/>
      <w:bookmarkStart w:id="123" w:name="_Toc325553236"/>
      <w:r>
        <w:rPr>
          <w:rStyle w:val="CharSectno"/>
        </w:rPr>
        <w:t>8</w:t>
      </w:r>
      <w:r>
        <w:t>.</w:t>
      </w:r>
      <w:r>
        <w:tab/>
        <w:t>Vehicle in WA used to commit offence outside WA</w:t>
      </w:r>
      <w:bookmarkEnd w:id="121"/>
      <w:bookmarkEnd w:id="122"/>
      <w:bookmarkEnd w:id="118"/>
      <w:bookmarkEnd w:id="123"/>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pPr>
        <w:pStyle w:val="Subsection"/>
        <w:keepNext/>
        <w:keepLines/>
      </w:pPr>
      <w:r>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pPr>
        <w:pStyle w:val="Footnotesection"/>
      </w:pPr>
      <w:bookmarkStart w:id="124" w:name="_Toc152558243"/>
      <w:r>
        <w:tab/>
        <w:t>[Section 8 inserted</w:t>
      </w:r>
      <w:del w:id="125" w:author="svcMRProcess" w:date="2019-01-24T08:39:00Z">
        <w:r>
          <w:delText xml:space="preserve"> by</w:delText>
        </w:r>
      </w:del>
      <w:ins w:id="126" w:author="svcMRProcess" w:date="2019-01-24T08:39:00Z">
        <w:r>
          <w:t>:</w:t>
        </w:r>
      </w:ins>
      <w:r>
        <w:t xml:space="preserve"> No. 59 of 2006 s. 34.]</w:t>
      </w:r>
    </w:p>
    <w:p>
      <w:pPr>
        <w:pStyle w:val="Heading2"/>
      </w:pPr>
      <w:bookmarkStart w:id="127" w:name="_Toc378154147"/>
      <w:bookmarkStart w:id="128" w:name="_Toc415665135"/>
      <w:bookmarkStart w:id="129" w:name="_Toc415665153"/>
      <w:bookmarkStart w:id="130" w:name="_Toc170639173"/>
      <w:bookmarkStart w:id="131" w:name="_Toc170639192"/>
      <w:bookmarkStart w:id="132" w:name="_Toc171062509"/>
      <w:bookmarkStart w:id="133" w:name="_Toc173891903"/>
      <w:bookmarkStart w:id="134" w:name="_Toc173892627"/>
      <w:bookmarkStart w:id="135" w:name="_Toc175110726"/>
      <w:bookmarkStart w:id="136" w:name="_Toc175110775"/>
      <w:bookmarkStart w:id="137" w:name="_Toc176334851"/>
      <w:bookmarkStart w:id="138" w:name="_Toc307410679"/>
      <w:bookmarkStart w:id="139" w:name="_Toc325550716"/>
      <w:bookmarkStart w:id="140" w:name="_Toc325553219"/>
      <w:bookmarkStart w:id="141" w:name="_Toc325553237"/>
      <w:r>
        <w:rPr>
          <w:rStyle w:val="CharPartNo"/>
        </w:rPr>
        <w:t>Part 4</w:t>
      </w:r>
      <w:r>
        <w:rPr>
          <w:b w:val="0"/>
        </w:rPr>
        <w:t> </w:t>
      </w:r>
      <w:r>
        <w:t>—</w:t>
      </w:r>
      <w:r>
        <w:rPr>
          <w:b w:val="0"/>
        </w:rPr>
        <w:t> </w:t>
      </w:r>
      <w:r>
        <w:rPr>
          <w:rStyle w:val="CharPartText"/>
        </w:rPr>
        <w:t>Arrest powers</w:t>
      </w:r>
      <w:bookmarkEnd w:id="127"/>
      <w:bookmarkEnd w:id="128"/>
      <w:bookmarkEnd w:id="129"/>
      <w:bookmarkEnd w:id="124"/>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bookmarkStart w:id="142" w:name="_Toc152558244"/>
      <w:r>
        <w:tab/>
        <w:t>[Heading inserted</w:t>
      </w:r>
      <w:del w:id="143" w:author="svcMRProcess" w:date="2019-01-24T08:39:00Z">
        <w:r>
          <w:delText xml:space="preserve"> by</w:delText>
        </w:r>
      </w:del>
      <w:ins w:id="144" w:author="svcMRProcess" w:date="2019-01-24T08:39:00Z">
        <w:r>
          <w:t>:</w:t>
        </w:r>
      </w:ins>
      <w:r>
        <w:t xml:space="preserve"> No. 59 of 2006 s. 34.] </w:t>
      </w:r>
    </w:p>
    <w:p>
      <w:pPr>
        <w:pStyle w:val="Heading5"/>
      </w:pPr>
      <w:bookmarkStart w:id="145" w:name="_Toc378154148"/>
      <w:bookmarkStart w:id="146" w:name="_Toc415665154"/>
      <w:bookmarkStart w:id="147" w:name="_Toc325553238"/>
      <w:r>
        <w:rPr>
          <w:rStyle w:val="CharSectno"/>
        </w:rPr>
        <w:t>8A</w:t>
      </w:r>
      <w:r>
        <w:t>.</w:t>
      </w:r>
      <w:r>
        <w:tab/>
        <w:t>Arrest power for foreign offence</w:t>
      </w:r>
      <w:bookmarkEnd w:id="145"/>
      <w:bookmarkEnd w:id="146"/>
      <w:bookmarkEnd w:id="142"/>
      <w:bookmarkEnd w:id="147"/>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of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pPr>
        <w:pStyle w:val="Footnotesection"/>
      </w:pPr>
      <w:r>
        <w:tab/>
        <w:t>[Section 8A inserted</w:t>
      </w:r>
      <w:del w:id="148" w:author="svcMRProcess" w:date="2019-01-24T08:39:00Z">
        <w:r>
          <w:delText xml:space="preserve"> by</w:delText>
        </w:r>
      </w:del>
      <w:ins w:id="149" w:author="svcMRProcess" w:date="2019-01-24T08:39:00Z">
        <w:r>
          <w:t>:</w:t>
        </w:r>
      </w:ins>
      <w:r>
        <w:t xml:space="preserve"> No. 59 of 2006 s. 34; amended</w:t>
      </w:r>
      <w:del w:id="150" w:author="svcMRProcess" w:date="2019-01-24T08:39:00Z">
        <w:r>
          <w:delText xml:space="preserve"> by</w:delText>
        </w:r>
      </w:del>
      <w:ins w:id="151" w:author="svcMRProcess" w:date="2019-01-24T08:39:00Z">
        <w:r>
          <w:t>:</w:t>
        </w:r>
      </w:ins>
      <w:r>
        <w:t xml:space="preserve"> No. 47 of 2011 s. 27.]</w:t>
      </w:r>
    </w:p>
    <w:p>
      <w:pPr>
        <w:pStyle w:val="Footnotesection"/>
      </w:pPr>
      <w:r>
        <w:tab/>
        <w:t>[Section 8A. Modifications to be applied in order to give effect to Cross-border Justice Act 2008: section altered 1 Nov 2009. See endnote 1M.]</w:t>
      </w:r>
    </w:p>
    <w:p>
      <w:pPr>
        <w:pStyle w:val="Heading2"/>
      </w:pPr>
      <w:bookmarkStart w:id="152" w:name="_Toc378154149"/>
      <w:bookmarkStart w:id="153" w:name="_Toc415665137"/>
      <w:bookmarkStart w:id="154" w:name="_Toc415665155"/>
      <w:bookmarkStart w:id="155" w:name="_Toc170639175"/>
      <w:bookmarkStart w:id="156" w:name="_Toc170639194"/>
      <w:bookmarkStart w:id="157" w:name="_Toc171062511"/>
      <w:bookmarkStart w:id="158" w:name="_Toc173891905"/>
      <w:bookmarkStart w:id="159" w:name="_Toc173892629"/>
      <w:bookmarkStart w:id="160" w:name="_Toc175110728"/>
      <w:bookmarkStart w:id="161" w:name="_Toc175110777"/>
      <w:bookmarkStart w:id="162" w:name="_Toc176334853"/>
      <w:bookmarkStart w:id="163" w:name="_Toc307410681"/>
      <w:bookmarkStart w:id="164" w:name="_Toc325550718"/>
      <w:bookmarkStart w:id="165" w:name="_Toc325553221"/>
      <w:bookmarkStart w:id="166" w:name="_Toc325553239"/>
      <w:r>
        <w:rPr>
          <w:rStyle w:val="CharPartNo"/>
        </w:rPr>
        <w:t>Part 5</w:t>
      </w:r>
      <w:r>
        <w:rPr>
          <w:b w:val="0"/>
        </w:rPr>
        <w:t> </w:t>
      </w:r>
      <w:r>
        <w:t>—</w:t>
      </w:r>
      <w:r>
        <w:rPr>
          <w:b w:val="0"/>
        </w:rPr>
        <w:t> </w:t>
      </w:r>
      <w:r>
        <w:rPr>
          <w:rStyle w:val="CharPartText"/>
        </w:rPr>
        <w:t>Miscellaneous</w:t>
      </w:r>
      <w:bookmarkEnd w:id="152"/>
      <w:bookmarkEnd w:id="153"/>
      <w:bookmarkEnd w:id="154"/>
      <w:bookmarkEnd w:id="11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w:t>
      </w:r>
      <w:del w:id="167" w:author="svcMRProcess" w:date="2019-01-24T08:39:00Z">
        <w:r>
          <w:delText xml:space="preserve"> by</w:delText>
        </w:r>
      </w:del>
      <w:ins w:id="168" w:author="svcMRProcess" w:date="2019-01-24T08:39:00Z">
        <w:r>
          <w:t>:</w:t>
        </w:r>
      </w:ins>
      <w:r>
        <w:t xml:space="preserve"> No. 59 of 2006 s. 32(3).] </w:t>
      </w:r>
    </w:p>
    <w:p>
      <w:pPr>
        <w:pStyle w:val="Heading5"/>
        <w:rPr>
          <w:snapToGrid w:val="0"/>
        </w:rPr>
      </w:pPr>
      <w:bookmarkStart w:id="169" w:name="_Toc378154150"/>
      <w:bookmarkStart w:id="170" w:name="_Toc415665156"/>
      <w:bookmarkStart w:id="171" w:name="_Toc325553240"/>
      <w:r>
        <w:rPr>
          <w:rStyle w:val="CharSectno"/>
        </w:rPr>
        <w:t>9</w:t>
      </w:r>
      <w:r>
        <w:rPr>
          <w:snapToGrid w:val="0"/>
        </w:rPr>
        <w:t>.</w:t>
      </w:r>
      <w:r>
        <w:rPr>
          <w:snapToGrid w:val="0"/>
        </w:rPr>
        <w:tab/>
        <w:t>Regulations</w:t>
      </w:r>
      <w:bookmarkEnd w:id="169"/>
      <w:bookmarkEnd w:id="170"/>
      <w:bookmarkEnd w:id="115"/>
      <w:bookmarkEnd w:id="116"/>
      <w:bookmarkEnd w:id="117"/>
      <w:bookmarkEnd w:id="171"/>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72" w:name="_Toc378154151"/>
      <w:bookmarkStart w:id="173" w:name="_Toc415665139"/>
      <w:bookmarkStart w:id="174" w:name="_Toc415665157"/>
      <w:bookmarkStart w:id="175" w:name="_Toc72573510"/>
      <w:bookmarkStart w:id="176" w:name="_Toc89511300"/>
      <w:bookmarkStart w:id="177" w:name="_Toc97105888"/>
      <w:bookmarkStart w:id="178" w:name="_Toc101953727"/>
      <w:bookmarkStart w:id="179" w:name="_Toc101953793"/>
      <w:bookmarkStart w:id="180" w:name="_Toc103064835"/>
      <w:bookmarkStart w:id="181" w:name="_Toc151795300"/>
      <w:bookmarkStart w:id="182" w:name="_Toc170633539"/>
      <w:bookmarkStart w:id="183" w:name="_Toc170633551"/>
      <w:bookmarkStart w:id="184" w:name="_Toc170639177"/>
      <w:bookmarkStart w:id="185" w:name="_Toc170639196"/>
      <w:bookmarkStart w:id="186" w:name="_Toc171062513"/>
      <w:bookmarkStart w:id="187" w:name="_Toc173891907"/>
      <w:bookmarkStart w:id="188" w:name="_Toc173892631"/>
      <w:bookmarkStart w:id="189" w:name="_Toc175110730"/>
      <w:bookmarkStart w:id="190" w:name="_Toc175110779"/>
      <w:bookmarkStart w:id="191" w:name="_Toc176334855"/>
      <w:bookmarkStart w:id="192" w:name="_Toc307410683"/>
      <w:bookmarkStart w:id="193" w:name="_Toc325550720"/>
      <w:bookmarkStart w:id="194" w:name="_Toc325553223"/>
      <w:bookmarkStart w:id="195" w:name="_Toc325553241"/>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w:t>
      </w:r>
      <w:r>
        <w:rPr>
          <w:snapToGrid w:val="0"/>
          <w:vertAlign w:val="superscript"/>
        </w:rPr>
        <w:t> 1M</w:t>
      </w:r>
      <w:del w:id="196" w:author="svcMRProcess" w:date="2019-01-24T08:39:00Z">
        <w:r>
          <w:rPr>
            <w:snapToGrid w:val="0"/>
            <w:vertAlign w:val="superscript"/>
          </w:rPr>
          <w:delText>, 1a</w:delText>
        </w:r>
      </w:del>
      <w:r>
        <w:rPr>
          <w:snapToGrid w:val="0"/>
        </w:rPr>
        <w:t>.  The table also contains information about any reprint.</w:t>
      </w:r>
    </w:p>
    <w:p>
      <w:pPr>
        <w:pStyle w:val="nHeading3"/>
        <w:rPr>
          <w:snapToGrid w:val="0"/>
        </w:rPr>
      </w:pPr>
      <w:bookmarkStart w:id="197" w:name="_Toc378154152"/>
      <w:bookmarkStart w:id="198" w:name="_Toc415665158"/>
      <w:bookmarkStart w:id="199" w:name="_Toc325553242"/>
      <w:r>
        <w:rPr>
          <w:snapToGrid w:val="0"/>
        </w:rPr>
        <w:t>Compilation table</w:t>
      </w:r>
      <w:bookmarkEnd w:id="197"/>
      <w:bookmarkEnd w:id="198"/>
      <w:bookmarkEnd w:id="19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Investigation (Extra</w:t>
            </w:r>
            <w:r>
              <w:rPr>
                <w:i/>
              </w:rPr>
              <w:noBreakHyphen/>
              <w:t>territorial Offences) Act 1987</w:t>
            </w:r>
          </w:p>
        </w:tc>
        <w:tc>
          <w:tcPr>
            <w:tcW w:w="1134" w:type="dxa"/>
          </w:tcPr>
          <w:p>
            <w:pPr>
              <w:pStyle w:val="nTable"/>
              <w:spacing w:after="40"/>
            </w:pPr>
            <w:r>
              <w:t>67 of 1987</w:t>
            </w:r>
          </w:p>
        </w:tc>
        <w:tc>
          <w:tcPr>
            <w:tcW w:w="1134" w:type="dxa"/>
          </w:tcPr>
          <w:p>
            <w:pPr>
              <w:pStyle w:val="nTable"/>
              <w:spacing w:after="40"/>
            </w:pPr>
            <w:r>
              <w:t>22 Nov 1987</w:t>
            </w:r>
          </w:p>
        </w:tc>
        <w:tc>
          <w:tcPr>
            <w:tcW w:w="2551" w:type="dxa"/>
          </w:tcPr>
          <w:p>
            <w:pPr>
              <w:pStyle w:val="nTable"/>
              <w:spacing w:after="40"/>
            </w:pPr>
            <w:r>
              <w:t>s. 1 and 2: 22 Nov 1987;</w:t>
            </w:r>
            <w:r>
              <w:br/>
              <w:t xml:space="preserve">Act other than s. 1 and 2: 5 May 1989 (see s. 2 and </w:t>
            </w:r>
            <w:r>
              <w:rPr>
                <w:i/>
              </w:rPr>
              <w:t>Gazette</w:t>
            </w:r>
            <w:r>
              <w:t xml:space="preserve"> 5 May 1989 p. 1367)</w:t>
            </w:r>
          </w:p>
        </w:tc>
      </w:tr>
      <w:tr>
        <w:trPr>
          <w:cantSplit/>
        </w:trPr>
        <w:tc>
          <w:tcPr>
            <w:tcW w:w="7087" w:type="dxa"/>
            <w:gridSpan w:val="4"/>
          </w:tcPr>
          <w:p>
            <w:pPr>
              <w:pStyle w:val="nTable"/>
              <w:spacing w:after="40"/>
              <w:rPr>
                <w:b/>
              </w:rPr>
            </w:pPr>
            <w:r>
              <w:rPr>
                <w:b/>
              </w:rPr>
              <w:t xml:space="preserve">Reprint of the </w:t>
            </w:r>
            <w:r>
              <w:rPr>
                <w:b/>
                <w:i/>
              </w:rPr>
              <w:t>Criminal Investigation (Extra</w:t>
            </w:r>
            <w:r>
              <w:rPr>
                <w:b/>
                <w:i/>
              </w:rPr>
              <w:noBreakHyphen/>
              <w:t>territorial Offences) Act 1987</w:t>
            </w:r>
            <w:r>
              <w:rPr>
                <w:b/>
              </w:rPr>
              <w:t xml:space="preserve"> as at 23 Aug 2002</w:t>
            </w:r>
          </w:p>
        </w:tc>
      </w:tr>
      <w:tr>
        <w:trPr>
          <w:cantSplit/>
        </w:trPr>
        <w:tc>
          <w:tcPr>
            <w:tcW w:w="2268" w:type="dxa"/>
          </w:tcPr>
          <w:p>
            <w:pPr>
              <w:pStyle w:val="nTable"/>
              <w:spacing w:after="40"/>
              <w:ind w:right="113"/>
            </w:pPr>
            <w:r>
              <w:rPr>
                <w:i/>
              </w:rPr>
              <w:t xml:space="preserve">Sentencing Legislation Amendment and Repeal Act 2003 </w:t>
            </w:r>
            <w:r>
              <w:t>s. 52</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snapToGrid w:val="0"/>
              </w:rPr>
              <w:t>Criminal Investigation (Consequential Provisions) Act 2006</w:t>
            </w:r>
            <w:r>
              <w:rPr>
                <w:iCs/>
                <w:snapToGrid w:val="0"/>
              </w:rPr>
              <w:t xml:space="preserve"> Pt. 6</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7087" w:type="dxa"/>
            <w:gridSpan w:val="4"/>
          </w:tcPr>
          <w:p>
            <w:pPr>
              <w:pStyle w:val="nTable"/>
              <w:spacing w:after="40"/>
              <w:rPr>
                <w:bCs/>
                <w:snapToGrid w:val="0"/>
              </w:rPr>
            </w:pPr>
            <w:r>
              <w:rPr>
                <w:b/>
              </w:rPr>
              <w:t xml:space="preserve">Reprint 2: The </w:t>
            </w:r>
            <w:r>
              <w:rPr>
                <w:b/>
                <w:i/>
              </w:rPr>
              <w:t>Criminal Investigation (Extra</w:t>
            </w:r>
            <w:r>
              <w:rPr>
                <w:b/>
                <w:i/>
              </w:rPr>
              <w:noBreakHyphen/>
              <w:t>territorial Offences) Act 1987</w:t>
            </w:r>
            <w:r>
              <w:rPr>
                <w:b/>
              </w:rPr>
              <w:t xml:space="preserve"> as at 24 Aug 2007</w:t>
            </w:r>
            <w:r>
              <w:rPr>
                <w:bCs/>
              </w:rPr>
              <w:t xml:space="preserve"> (includes amendments listed above)</w:t>
            </w:r>
          </w:p>
        </w:tc>
      </w:tr>
      <w:tr>
        <w:tc>
          <w:tcPr>
            <w:tcW w:w="2268" w:type="dxa"/>
          </w:tcPr>
          <w:p>
            <w:pPr>
              <w:pStyle w:val="nTable"/>
              <w:spacing w:after="40"/>
              <w:rPr>
                <w:iCs/>
                <w:snapToGrid w:val="0"/>
              </w:rPr>
            </w:pPr>
            <w:r>
              <w:rPr>
                <w:i/>
                <w:snapToGrid w:val="0"/>
              </w:rPr>
              <w:t>Statutes (Repeals and Minor Amendments) Act 2011</w:t>
            </w:r>
            <w:r>
              <w:rPr>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ins w:id="200" w:author="svcMRProcess" w:date="2019-01-24T08:39:00Z"/>
        </w:trPr>
        <w:tc>
          <w:tcPr>
            <w:tcW w:w="2268" w:type="dxa"/>
            <w:tcBorders>
              <w:bottom w:val="single" w:sz="8" w:space="0" w:color="auto"/>
            </w:tcBorders>
            <w:shd w:val="clear" w:color="auto" w:fill="auto"/>
          </w:tcPr>
          <w:p>
            <w:pPr>
              <w:pStyle w:val="nTable"/>
              <w:spacing w:after="40"/>
              <w:rPr>
                <w:ins w:id="201" w:author="svcMRProcess" w:date="2019-01-24T08:39:00Z"/>
                <w:i/>
                <w:snapToGrid w:val="0"/>
              </w:rPr>
            </w:pPr>
            <w:ins w:id="202" w:author="svcMRProcess" w:date="2019-01-24T08:39:00Z">
              <w:r>
                <w:rPr>
                  <w:i/>
                  <w:snapToGrid w:val="0"/>
                </w:rPr>
                <w:t>Criminal Appeals Amendment (Double Jeopardy) Act 2012</w:t>
              </w:r>
              <w:r>
                <w:rPr>
                  <w:snapToGrid w:val="0"/>
                </w:rPr>
                <w:t xml:space="preserve"> s. 8</w:t>
              </w:r>
            </w:ins>
          </w:p>
        </w:tc>
        <w:tc>
          <w:tcPr>
            <w:tcW w:w="1134" w:type="dxa"/>
            <w:tcBorders>
              <w:bottom w:val="single" w:sz="8" w:space="0" w:color="auto"/>
            </w:tcBorders>
            <w:shd w:val="clear" w:color="auto" w:fill="auto"/>
          </w:tcPr>
          <w:p>
            <w:pPr>
              <w:pStyle w:val="nTable"/>
              <w:spacing w:after="40"/>
              <w:rPr>
                <w:ins w:id="203" w:author="svcMRProcess" w:date="2019-01-24T08:39:00Z"/>
                <w:snapToGrid w:val="0"/>
              </w:rPr>
            </w:pPr>
            <w:ins w:id="204" w:author="svcMRProcess" w:date="2019-01-24T08:39:00Z">
              <w:r>
                <w:rPr>
                  <w:snapToGrid w:val="0"/>
                </w:rPr>
                <w:t>9 of 2012</w:t>
              </w:r>
            </w:ins>
          </w:p>
        </w:tc>
        <w:tc>
          <w:tcPr>
            <w:tcW w:w="1134" w:type="dxa"/>
            <w:tcBorders>
              <w:bottom w:val="single" w:sz="8" w:space="0" w:color="auto"/>
            </w:tcBorders>
            <w:shd w:val="clear" w:color="auto" w:fill="auto"/>
          </w:tcPr>
          <w:p>
            <w:pPr>
              <w:pStyle w:val="nTable"/>
              <w:spacing w:after="40"/>
              <w:rPr>
                <w:ins w:id="205" w:author="svcMRProcess" w:date="2019-01-24T08:39:00Z"/>
                <w:snapToGrid w:val="0"/>
              </w:rPr>
            </w:pPr>
            <w:ins w:id="206" w:author="svcMRProcess" w:date="2019-01-24T08:39:00Z">
              <w:r>
                <w:t>21 May 2012</w:t>
              </w:r>
            </w:ins>
          </w:p>
        </w:tc>
        <w:tc>
          <w:tcPr>
            <w:tcW w:w="2551" w:type="dxa"/>
            <w:tcBorders>
              <w:bottom w:val="single" w:sz="8" w:space="0" w:color="auto"/>
            </w:tcBorders>
            <w:shd w:val="clear" w:color="auto" w:fill="auto"/>
          </w:tcPr>
          <w:p>
            <w:pPr>
              <w:pStyle w:val="nTable"/>
              <w:spacing w:after="40"/>
              <w:rPr>
                <w:ins w:id="207" w:author="svcMRProcess" w:date="2019-01-24T08:39:00Z"/>
                <w:snapToGrid w:val="0"/>
              </w:rPr>
            </w:pPr>
            <w:ins w:id="208" w:author="svcMRProcess" w:date="2019-01-24T08:39:00Z">
              <w:r>
                <w:rPr>
                  <w:snapToGrid w:val="0"/>
                </w:rPr>
                <w:t xml:space="preserve">26 Sep 2012 (see s. 2(b) and </w:t>
              </w:r>
              <w:r>
                <w:rPr>
                  <w:i/>
                  <w:snapToGrid w:val="0"/>
                </w:rPr>
                <w:t>Gazette</w:t>
              </w:r>
              <w:r>
                <w:rPr>
                  <w:snapToGrid w:val="0"/>
                </w:rPr>
                <w:t xml:space="preserve"> 25 Sep 2012 p. 4499)</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209" w:author="svcMRProcess" w:date="2019-01-24T08:39:00Z"/>
          <w:snapToGrid w:val="0"/>
        </w:rPr>
      </w:pPr>
      <w:del w:id="210" w:author="svcMRProcess" w:date="2019-01-24T08: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1" w:author="svcMRProcess" w:date="2019-01-24T08:39:00Z"/>
        </w:rPr>
      </w:pPr>
      <w:bookmarkStart w:id="212" w:name="_Toc7405065"/>
      <w:bookmarkStart w:id="213" w:name="_Toc325550536"/>
      <w:bookmarkStart w:id="214" w:name="_Toc325553243"/>
      <w:del w:id="215" w:author="svcMRProcess" w:date="2019-01-24T08:39:00Z">
        <w:r>
          <w:delText>Provisions that have not come into operation</w:delText>
        </w:r>
        <w:bookmarkEnd w:id="212"/>
        <w:bookmarkEnd w:id="213"/>
        <w:bookmarkEnd w:id="21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16" w:author="svcMRProcess" w:date="2019-01-24T08:39:00Z"/>
        </w:trPr>
        <w:tc>
          <w:tcPr>
            <w:tcW w:w="2268" w:type="dxa"/>
            <w:tcBorders>
              <w:bottom w:val="single" w:sz="8" w:space="0" w:color="auto"/>
            </w:tcBorders>
          </w:tcPr>
          <w:p>
            <w:pPr>
              <w:pStyle w:val="nTable"/>
              <w:spacing w:after="40"/>
              <w:rPr>
                <w:del w:id="217" w:author="svcMRProcess" w:date="2019-01-24T08:39:00Z"/>
                <w:b/>
                <w:snapToGrid w:val="0"/>
                <w:lang w:val="en-US"/>
              </w:rPr>
            </w:pPr>
            <w:del w:id="218" w:author="svcMRProcess" w:date="2019-01-24T08:39:00Z">
              <w:r>
                <w:rPr>
                  <w:b/>
                  <w:snapToGrid w:val="0"/>
                  <w:lang w:val="en-US"/>
                </w:rPr>
                <w:delText>Short title</w:delText>
              </w:r>
            </w:del>
          </w:p>
        </w:tc>
        <w:tc>
          <w:tcPr>
            <w:tcW w:w="1118" w:type="dxa"/>
            <w:tcBorders>
              <w:bottom w:val="single" w:sz="8" w:space="0" w:color="auto"/>
            </w:tcBorders>
          </w:tcPr>
          <w:p>
            <w:pPr>
              <w:pStyle w:val="nTable"/>
              <w:spacing w:after="40"/>
              <w:rPr>
                <w:del w:id="219" w:author="svcMRProcess" w:date="2019-01-24T08:39:00Z"/>
                <w:b/>
                <w:snapToGrid w:val="0"/>
                <w:lang w:val="en-US"/>
              </w:rPr>
            </w:pPr>
            <w:del w:id="220" w:author="svcMRProcess" w:date="2019-01-24T08:39:00Z">
              <w:r>
                <w:rPr>
                  <w:b/>
                  <w:snapToGrid w:val="0"/>
                  <w:lang w:val="en-US"/>
                </w:rPr>
                <w:delText>Number and year</w:delText>
              </w:r>
            </w:del>
          </w:p>
        </w:tc>
        <w:tc>
          <w:tcPr>
            <w:tcW w:w="1134" w:type="dxa"/>
            <w:tcBorders>
              <w:bottom w:val="single" w:sz="8" w:space="0" w:color="auto"/>
            </w:tcBorders>
          </w:tcPr>
          <w:p>
            <w:pPr>
              <w:pStyle w:val="nTable"/>
              <w:spacing w:after="40"/>
              <w:rPr>
                <w:del w:id="221" w:author="svcMRProcess" w:date="2019-01-24T08:39:00Z"/>
                <w:b/>
                <w:snapToGrid w:val="0"/>
                <w:lang w:val="en-US"/>
              </w:rPr>
            </w:pPr>
            <w:del w:id="222" w:author="svcMRProcess" w:date="2019-01-24T08:39:00Z">
              <w:r>
                <w:rPr>
                  <w:b/>
                  <w:snapToGrid w:val="0"/>
                  <w:lang w:val="en-US"/>
                </w:rPr>
                <w:delText>Assent</w:delText>
              </w:r>
            </w:del>
          </w:p>
        </w:tc>
        <w:tc>
          <w:tcPr>
            <w:tcW w:w="2552" w:type="dxa"/>
            <w:tcBorders>
              <w:bottom w:val="single" w:sz="8" w:space="0" w:color="auto"/>
            </w:tcBorders>
          </w:tcPr>
          <w:p>
            <w:pPr>
              <w:pStyle w:val="nTable"/>
              <w:spacing w:after="40"/>
              <w:rPr>
                <w:del w:id="223" w:author="svcMRProcess" w:date="2019-01-24T08:39:00Z"/>
                <w:b/>
                <w:snapToGrid w:val="0"/>
                <w:lang w:val="en-US"/>
              </w:rPr>
            </w:pPr>
            <w:del w:id="224" w:author="svcMRProcess" w:date="2019-01-24T08:39:00Z">
              <w:r>
                <w:rPr>
                  <w:b/>
                  <w:snapToGrid w:val="0"/>
                  <w:lang w:val="en-US"/>
                </w:rPr>
                <w:delText>Commencement</w:delText>
              </w:r>
            </w:del>
          </w:p>
        </w:tc>
      </w:tr>
      <w:tr>
        <w:trPr>
          <w:del w:id="225" w:author="svcMRProcess" w:date="2019-01-24T08:39:00Z"/>
        </w:trPr>
        <w:tc>
          <w:tcPr>
            <w:tcW w:w="2268" w:type="dxa"/>
            <w:tcBorders>
              <w:top w:val="nil"/>
            </w:tcBorders>
          </w:tcPr>
          <w:p>
            <w:pPr>
              <w:pStyle w:val="nTable"/>
              <w:spacing w:after="40"/>
              <w:rPr>
                <w:del w:id="226" w:author="svcMRProcess" w:date="2019-01-24T08:39:00Z"/>
                <w:i/>
                <w:snapToGrid w:val="0"/>
                <w:lang w:val="en-US"/>
              </w:rPr>
            </w:pPr>
            <w:del w:id="227" w:author="svcMRProcess" w:date="2019-01-24T08:39:00Z">
              <w:r>
                <w:rPr>
                  <w:i/>
                  <w:snapToGrid w:val="0"/>
                  <w:szCs w:val="19"/>
                </w:rPr>
                <w:delText>Criminal Appeals Amendment (Double Jeopardy) Act 2012</w:delText>
              </w:r>
              <w:r>
                <w:rPr>
                  <w:snapToGrid w:val="0"/>
                  <w:szCs w:val="19"/>
                </w:rPr>
                <w:delText xml:space="preserve"> s. 8</w:delText>
              </w:r>
              <w:r>
                <w:rPr>
                  <w:rFonts w:ascii="Times" w:hAnsi="Times"/>
                  <w:vertAlign w:val="superscript"/>
                </w:rPr>
                <w:delText> 2</w:delText>
              </w:r>
            </w:del>
          </w:p>
        </w:tc>
        <w:tc>
          <w:tcPr>
            <w:tcW w:w="1118" w:type="dxa"/>
            <w:tcBorders>
              <w:top w:val="nil"/>
            </w:tcBorders>
          </w:tcPr>
          <w:p>
            <w:pPr>
              <w:pStyle w:val="nTable"/>
              <w:spacing w:after="40"/>
              <w:rPr>
                <w:del w:id="228" w:author="svcMRProcess" w:date="2019-01-24T08:39:00Z"/>
                <w:snapToGrid w:val="0"/>
                <w:lang w:val="en-US"/>
              </w:rPr>
            </w:pPr>
            <w:del w:id="229" w:author="svcMRProcess" w:date="2019-01-24T08:39:00Z">
              <w:r>
                <w:rPr>
                  <w:snapToGrid w:val="0"/>
                  <w:lang w:val="en-US"/>
                </w:rPr>
                <w:delText>9 of 2012</w:delText>
              </w:r>
            </w:del>
          </w:p>
        </w:tc>
        <w:tc>
          <w:tcPr>
            <w:tcW w:w="1134" w:type="dxa"/>
            <w:tcBorders>
              <w:top w:val="nil"/>
            </w:tcBorders>
          </w:tcPr>
          <w:p>
            <w:pPr>
              <w:pStyle w:val="nTable"/>
              <w:spacing w:after="40"/>
              <w:rPr>
                <w:del w:id="230" w:author="svcMRProcess" w:date="2019-01-24T08:39:00Z"/>
              </w:rPr>
            </w:pPr>
            <w:del w:id="231" w:author="svcMRProcess" w:date="2019-01-24T08:39:00Z">
              <w:r>
                <w:delText>21 May 2012</w:delText>
              </w:r>
            </w:del>
          </w:p>
        </w:tc>
        <w:tc>
          <w:tcPr>
            <w:tcW w:w="2552" w:type="dxa"/>
            <w:tcBorders>
              <w:top w:val="nil"/>
            </w:tcBorders>
          </w:tcPr>
          <w:p>
            <w:pPr>
              <w:pStyle w:val="nTable"/>
              <w:spacing w:after="40"/>
              <w:rPr>
                <w:del w:id="232" w:author="svcMRProcess" w:date="2019-01-24T08:39:00Z"/>
                <w:snapToGrid w:val="0"/>
                <w:lang w:val="en-US"/>
              </w:rPr>
            </w:pPr>
            <w:del w:id="233" w:author="svcMRProcess" w:date="2019-01-24T08:39:00Z">
              <w:r>
                <w:rPr>
                  <w:snapToGrid w:val="0"/>
                  <w:lang w:val="en-US"/>
                </w:rPr>
                <w:delText>To be proclaimed (see s. 2(b))</w:delText>
              </w:r>
            </w:del>
          </w:p>
        </w:tc>
      </w:tr>
    </w:tbl>
    <w:p>
      <w:pPr>
        <w:pStyle w:val="nSubsection"/>
        <w:keepLines/>
        <w:spacing w:before="0"/>
        <w:rPr>
          <w:del w:id="234" w:author="svcMRProcess" w:date="2019-01-24T08:39:00Z"/>
          <w:snapToGrid w:val="0"/>
        </w:rPr>
      </w:pPr>
      <w:del w:id="235" w:author="svcMRProcess" w:date="2019-01-24T08:3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8 had not come into operation.  It reads as follows:</w:delText>
        </w:r>
      </w:del>
    </w:p>
    <w:p>
      <w:pPr>
        <w:pStyle w:val="BlankOpen"/>
        <w:rPr>
          <w:del w:id="236" w:author="svcMRProcess" w:date="2019-01-24T08:39:00Z"/>
          <w:snapToGrid w:val="0"/>
        </w:rPr>
      </w:pPr>
    </w:p>
    <w:p>
      <w:pPr>
        <w:pStyle w:val="nzHeading5"/>
        <w:rPr>
          <w:del w:id="237" w:author="svcMRProcess" w:date="2019-01-24T08:39:00Z"/>
        </w:rPr>
      </w:pPr>
      <w:bookmarkStart w:id="238" w:name="_Toc325381987"/>
      <w:bookmarkStart w:id="239" w:name="_Toc325382023"/>
      <w:del w:id="240" w:author="svcMRProcess" w:date="2019-01-24T08:39:00Z">
        <w:r>
          <w:rPr>
            <w:rStyle w:val="CharSectno"/>
          </w:rPr>
          <w:delText>8</w:delText>
        </w:r>
        <w:r>
          <w:delText>.</w:delText>
        </w:r>
        <w:r>
          <w:tab/>
        </w:r>
        <w:r>
          <w:rPr>
            <w:i/>
          </w:rPr>
          <w:delText>Criminal Investigation (Extra</w:delText>
        </w:r>
        <w:r>
          <w:rPr>
            <w:i/>
          </w:rPr>
          <w:noBreakHyphen/>
          <w:delText xml:space="preserve">territorial Offences) Act 1987 </w:delText>
        </w:r>
        <w:r>
          <w:delText>amended</w:delText>
        </w:r>
        <w:bookmarkEnd w:id="238"/>
        <w:bookmarkEnd w:id="239"/>
      </w:del>
    </w:p>
    <w:p>
      <w:pPr>
        <w:pStyle w:val="nzSubsection"/>
        <w:rPr>
          <w:del w:id="241" w:author="svcMRProcess" w:date="2019-01-24T08:39:00Z"/>
        </w:rPr>
      </w:pPr>
      <w:del w:id="242" w:author="svcMRProcess" w:date="2019-01-24T08:39:00Z">
        <w:r>
          <w:tab/>
          <w:delText>(1)</w:delText>
        </w:r>
        <w:r>
          <w:tab/>
          <w:delText xml:space="preserve">This section amends the </w:delText>
        </w:r>
        <w:r>
          <w:rPr>
            <w:i/>
          </w:rPr>
          <w:delText>Criminal Investigation (Extra</w:delText>
        </w:r>
        <w:r>
          <w:rPr>
            <w:i/>
          </w:rPr>
          <w:noBreakHyphen/>
          <w:delText>territorial Offences) Act 1987</w:delText>
        </w:r>
        <w:r>
          <w:delText>.</w:delText>
        </w:r>
      </w:del>
    </w:p>
    <w:p>
      <w:pPr>
        <w:pStyle w:val="nzSubsection"/>
        <w:rPr>
          <w:del w:id="243" w:author="svcMRProcess" w:date="2019-01-24T08:39:00Z"/>
        </w:rPr>
      </w:pPr>
      <w:del w:id="244" w:author="svcMRProcess" w:date="2019-01-24T08:39:00Z">
        <w:r>
          <w:tab/>
          <w:delText>(2)</w:delText>
        </w:r>
        <w:r>
          <w:tab/>
          <w:delText>At the end of Part 1 insert:</w:delText>
        </w:r>
      </w:del>
    </w:p>
    <w:p>
      <w:pPr>
        <w:pStyle w:val="BlankOpen"/>
        <w:rPr>
          <w:del w:id="245" w:author="svcMRProcess" w:date="2019-01-24T08:39:00Z"/>
        </w:rPr>
      </w:pPr>
    </w:p>
    <w:p>
      <w:pPr>
        <w:pStyle w:val="nzHeading5"/>
        <w:rPr>
          <w:del w:id="246" w:author="svcMRProcess" w:date="2019-01-24T08:39:00Z"/>
        </w:rPr>
      </w:pPr>
      <w:bookmarkStart w:id="247" w:name="_Toc325381988"/>
      <w:bookmarkStart w:id="248" w:name="_Toc325382024"/>
      <w:del w:id="249" w:author="svcMRProcess" w:date="2019-01-24T08:39:00Z">
        <w:r>
          <w:delText>3A.</w:delText>
        </w:r>
        <w:r>
          <w:tab/>
          <w:delText>Authority required for some investigations</w:delText>
        </w:r>
        <w:bookmarkEnd w:id="247"/>
        <w:bookmarkEnd w:id="248"/>
      </w:del>
    </w:p>
    <w:p>
      <w:pPr>
        <w:pStyle w:val="nzSubsection"/>
        <w:rPr>
          <w:del w:id="250" w:author="svcMRProcess" w:date="2019-01-24T08:39:00Z"/>
        </w:rPr>
      </w:pPr>
      <w:del w:id="251" w:author="svcMRProcess" w:date="2019-01-24T08:39:00Z">
        <w:r>
          <w:tab/>
        </w:r>
        <w:r>
          <w:tab/>
          <w:delText xml:space="preserve">This Act is subject to the </w:delText>
        </w:r>
        <w:r>
          <w:rPr>
            <w:i/>
          </w:rPr>
          <w:delText>Criminal Appeals Act 2004</w:delText>
        </w:r>
        <w:r>
          <w:delText xml:space="preserve"> section 46C.</w:delText>
        </w:r>
      </w:del>
    </w:p>
    <w:p>
      <w:pPr>
        <w:pStyle w:val="BlankClose"/>
        <w:rPr>
          <w:del w:id="252" w:author="svcMRProcess" w:date="2019-01-24T08:39:00Z"/>
        </w:rPr>
      </w:pPr>
    </w:p>
    <w:p>
      <w:pPr>
        <w:pStyle w:val="BlankClose"/>
        <w:rPr>
          <w:del w:id="253" w:author="svcMRProcess" w:date="2019-01-24T08:39: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5" w:name="Coversheet"/>
    <w:bookmarkEnd w:id="2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lvlText w:val="%1."/>
      <w:lvlJc w:val="left"/>
      <w:pPr>
        <w:tabs>
          <w:tab w:val="num" w:pos="1800"/>
        </w:tabs>
        <w:ind w:left="1800" w:hanging="360"/>
      </w:pPr>
    </w:lvl>
  </w:abstractNum>
  <w:abstractNum w:abstractNumId="1">
    <w:nsid w:val="FFFFFF7D"/>
    <w:multiLevelType w:val="singleLevel"/>
    <w:tmpl w:val="2A74220C"/>
    <w:lvl w:ilvl="0">
      <w:start w:val="1"/>
      <w:numFmt w:val="decimal"/>
      <w:lvlText w:val="%1."/>
      <w:lvlJc w:val="left"/>
      <w:pPr>
        <w:tabs>
          <w:tab w:val="num" w:pos="1440"/>
        </w:tabs>
        <w:ind w:left="1440" w:hanging="360"/>
      </w:pPr>
    </w:lvl>
  </w:abstractNum>
  <w:abstractNum w:abstractNumId="2">
    <w:nsid w:val="FFFFFF7E"/>
    <w:multiLevelType w:val="singleLevel"/>
    <w:tmpl w:val="EED85EC6"/>
    <w:lvl w:ilvl="0">
      <w:start w:val="1"/>
      <w:numFmt w:val="decimal"/>
      <w:lvlText w:val="%1."/>
      <w:lvlJc w:val="left"/>
      <w:pPr>
        <w:tabs>
          <w:tab w:val="num" w:pos="1080"/>
        </w:tabs>
        <w:ind w:left="1080" w:hanging="360"/>
      </w:pPr>
    </w:lvl>
  </w:abstractNum>
  <w:abstractNum w:abstractNumId="3">
    <w:nsid w:val="FFFFFF7F"/>
    <w:multiLevelType w:val="singleLevel"/>
    <w:tmpl w:val="8B9C7376"/>
    <w:lvl w:ilvl="0">
      <w:start w:val="1"/>
      <w:numFmt w:val="decimal"/>
      <w:lvlText w:val="%1."/>
      <w:lvlJc w:val="left"/>
      <w:pPr>
        <w:tabs>
          <w:tab w:val="num" w:pos="720"/>
        </w:tabs>
        <w:ind w:left="720" w:hanging="360"/>
      </w:pPr>
    </w:lvl>
  </w:abstractNum>
  <w:abstractNum w:abstractNumId="4">
    <w:nsid w:val="FFFFFF80"/>
    <w:multiLevelType w:val="singleLevel"/>
    <w:tmpl w:val="6B4E2A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lvlText w:val="%1."/>
      <w:lvlJc w:val="left"/>
      <w:pPr>
        <w:tabs>
          <w:tab w:val="num" w:pos="360"/>
        </w:tabs>
        <w:ind w:left="360" w:hanging="360"/>
      </w:pPr>
    </w:lvl>
  </w:abstractNum>
  <w:abstractNum w:abstractNumId="9">
    <w:nsid w:val="FFFFFF89"/>
    <w:multiLevelType w:val="singleLevel"/>
    <w:tmpl w:val="BA6420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5A5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742"/>
    <w:docVar w:name="WAFER_20140122112615" w:val="RemoveTocBookmarks,RemoveUnusedBookmarks,RemoveLanguageTags,UsedStyles,ResetPageSize,UpdateArrangement"/>
    <w:docVar w:name="WAFER_20140122112615_GUID" w:val="d37d1caa-0ccf-4fe9-8a77-4b16d2a2fd5b"/>
    <w:docVar w:name="WAFER_20140122112929" w:val="RemoveTocBookmarks,RunningHeaders"/>
    <w:docVar w:name="WAFER_20140122112929_GUID" w:val="549ab13b-2061-412c-a81f-ec543b401255"/>
    <w:docVar w:name="WAFER_20150401152228" w:val="ResetPageSize,UpdateArrangement,UpdateNTable"/>
    <w:docVar w:name="WAFER_20150401152228_GUID" w:val="3b21935f-4aac-4d12-b368-d922f3b175a5"/>
    <w:docVar w:name="WAFER_20151103102742" w:val="UpdateStyles,UsedStyles"/>
    <w:docVar w:name="WAFER_20151103102742_GUID" w:val="5abb5d4b-bf47-4f48-bfca-93149effe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2900</Words>
  <Characters>13456</Characters>
  <Application>Microsoft Office Word</Application>
  <DocSecurity>0</DocSecurity>
  <Lines>395</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02-d0-01 - 02-e0-05</dc:title>
  <dc:subject/>
  <dc:creator/>
  <cp:keywords/>
  <dc:description/>
  <cp:lastModifiedBy>svcMRProcess</cp:lastModifiedBy>
  <cp:revision>2</cp:revision>
  <cp:lastPrinted>2007-08-20T01:56:00Z</cp:lastPrinted>
  <dcterms:created xsi:type="dcterms:W3CDTF">2019-01-24T00:39:00Z</dcterms:created>
  <dcterms:modified xsi:type="dcterms:W3CDTF">2019-01-24T00:39:00Z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FromSuffix">
    <vt:lpwstr>02-d0-01</vt:lpwstr>
  </property>
  <property fmtid="{D5CDD505-2E9C-101B-9397-08002B2CF9AE}" pid="9" name="FromAsAtDate">
    <vt:lpwstr>21 May 2012</vt:lpwstr>
  </property>
  <property fmtid="{D5CDD505-2E9C-101B-9397-08002B2CF9AE}" pid="10" name="ToSuffix">
    <vt:lpwstr>02-e0-05</vt:lpwstr>
  </property>
  <property fmtid="{D5CDD505-2E9C-101B-9397-08002B2CF9AE}" pid="11" name="ToAsAtDate">
    <vt:lpwstr>26 Sep 2012</vt:lpwstr>
  </property>
</Properties>
</file>