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Misuse of Drugs Act 1981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May 2012</w:t>
      </w:r>
      <w:r>
        <w:fldChar w:fldCharType="end"/>
      </w:r>
      <w:r>
        <w:t xml:space="preserve">, </w:t>
      </w:r>
      <w:r>
        <w:fldChar w:fldCharType="begin"/>
      </w:r>
      <w:r>
        <w:instrText xml:space="preserve"> DocProperty FromSuffix </w:instrText>
      </w:r>
      <w:r>
        <w:fldChar w:fldCharType="separate"/>
      </w:r>
      <w:r>
        <w:t>05-f0-01</w:t>
      </w:r>
      <w:r>
        <w:fldChar w:fldCharType="end"/>
      </w:r>
      <w:r>
        <w:t>] and [</w:t>
      </w:r>
      <w:r>
        <w:fldChar w:fldCharType="begin"/>
      </w:r>
      <w:r>
        <w:instrText xml:space="preserve"> DocProperty ToAsAtDate</w:instrText>
      </w:r>
      <w:r>
        <w:fldChar w:fldCharType="separate"/>
      </w:r>
      <w:r>
        <w:t>26 Sep 2012</w:t>
      </w:r>
      <w:r>
        <w:fldChar w:fldCharType="end"/>
      </w:r>
      <w:r>
        <w:t xml:space="preserve">, </w:t>
      </w:r>
      <w:r>
        <w:fldChar w:fldCharType="begin"/>
      </w:r>
      <w:r>
        <w:instrText xml:space="preserve"> DocProperty ToSuffix</w:instrText>
      </w:r>
      <w:r>
        <w:fldChar w:fldCharType="separate"/>
      </w:r>
      <w:r>
        <w:t>05-g0-01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rPr>
          <w:rStyle w:val="CharDivText"/>
        </w:rPr>
      </w:pPr>
      <w:r>
        <w:lastRenderedPageBreak/>
        <w:t>Western Australia</w:t>
      </w:r>
    </w:p>
    <w:p>
      <w:pPr>
        <w:pStyle w:val="NameofActReg"/>
        <w:spacing w:before="1200" w:after="1200"/>
      </w:pPr>
      <w:r>
        <w:t xml:space="preserve">Misuse of Drugs Act 1981 </w:t>
      </w:r>
    </w:p>
    <w:p>
      <w:pPr>
        <w:pStyle w:val="LongTitle"/>
        <w:rPr>
          <w:snapToGrid w:val="0"/>
        </w:rPr>
      </w:pPr>
      <w:r>
        <w:rPr>
          <w:snapToGrid w:val="0"/>
        </w:rPr>
        <w:t>A</w:t>
      </w:r>
      <w:bookmarkStart w:id="0" w:name="_GoBack"/>
      <w:bookmarkEnd w:id="0"/>
      <w:r>
        <w:rPr>
          <w:snapToGrid w:val="0"/>
        </w:rPr>
        <w:t xml:space="preserve">n Act to prevent the misuse of certain drugs and plants and to provide for matters incidental thereto or connected therewith. </w:t>
      </w:r>
    </w:p>
    <w:p>
      <w:pPr>
        <w:pStyle w:val="Heading2"/>
      </w:pPr>
      <w:bookmarkStart w:id="1" w:name="_Toc72912327"/>
      <w:bookmarkStart w:id="2" w:name="_Toc89162854"/>
      <w:bookmarkStart w:id="3" w:name="_Toc89571141"/>
      <w:bookmarkStart w:id="4" w:name="_Toc90092309"/>
      <w:bookmarkStart w:id="5" w:name="_Toc92603580"/>
      <w:bookmarkStart w:id="6" w:name="_Toc92797764"/>
      <w:bookmarkStart w:id="7" w:name="_Toc97018066"/>
      <w:bookmarkStart w:id="8" w:name="_Toc102387621"/>
      <w:bookmarkStart w:id="9" w:name="_Toc102905252"/>
      <w:bookmarkStart w:id="10" w:name="_Toc105219495"/>
      <w:bookmarkStart w:id="11" w:name="_Toc105220399"/>
      <w:bookmarkStart w:id="12" w:name="_Toc105220467"/>
      <w:bookmarkStart w:id="13" w:name="_Toc105909911"/>
      <w:bookmarkStart w:id="14" w:name="_Toc105910826"/>
      <w:bookmarkStart w:id="15" w:name="_Toc106600670"/>
      <w:bookmarkStart w:id="16" w:name="_Toc106600968"/>
      <w:bookmarkStart w:id="17" w:name="_Toc109615225"/>
      <w:bookmarkStart w:id="18" w:name="_Toc139344519"/>
      <w:bookmarkStart w:id="19" w:name="_Toc139699283"/>
      <w:bookmarkStart w:id="20" w:name="_Toc147051316"/>
      <w:bookmarkStart w:id="21" w:name="_Toc147118771"/>
      <w:bookmarkStart w:id="22" w:name="_Toc148236092"/>
      <w:bookmarkStart w:id="23" w:name="_Toc158704966"/>
      <w:bookmarkStart w:id="24" w:name="_Toc165369926"/>
      <w:bookmarkStart w:id="25" w:name="_Toc177873268"/>
      <w:bookmarkStart w:id="26" w:name="_Toc177873393"/>
      <w:bookmarkStart w:id="27" w:name="_Toc184707350"/>
      <w:bookmarkStart w:id="28" w:name="_Toc189464681"/>
      <w:bookmarkStart w:id="29" w:name="_Toc190249245"/>
      <w:bookmarkStart w:id="30" w:name="_Toc191703139"/>
      <w:bookmarkStart w:id="31" w:name="_Toc193692056"/>
      <w:bookmarkStart w:id="32" w:name="_Toc199817238"/>
      <w:bookmarkStart w:id="33" w:name="_Toc215543711"/>
      <w:bookmarkStart w:id="34" w:name="_Toc215543971"/>
      <w:bookmarkStart w:id="35" w:name="_Toc248029008"/>
      <w:bookmarkStart w:id="36" w:name="_Toc256085057"/>
      <w:bookmarkStart w:id="37" w:name="_Toc256092122"/>
      <w:bookmarkStart w:id="38" w:name="_Toc268600308"/>
      <w:bookmarkStart w:id="39" w:name="_Toc272237437"/>
      <w:bookmarkStart w:id="40" w:name="_Toc275253516"/>
      <w:bookmarkStart w:id="41" w:name="_Toc283287440"/>
      <w:bookmarkStart w:id="42" w:name="_Toc290558426"/>
      <w:bookmarkStart w:id="43" w:name="_Toc290558502"/>
      <w:bookmarkStart w:id="44" w:name="_Toc291764641"/>
      <w:bookmarkStart w:id="45" w:name="_Toc291768213"/>
      <w:bookmarkStart w:id="46" w:name="_Toc297718714"/>
      <w:bookmarkStart w:id="47" w:name="_Toc297904447"/>
      <w:bookmarkStart w:id="48" w:name="_Toc297904521"/>
      <w:bookmarkStart w:id="49" w:name="_Toc299716952"/>
      <w:bookmarkStart w:id="50" w:name="_Toc299717449"/>
      <w:bookmarkStart w:id="51" w:name="_Toc301268076"/>
      <w:bookmarkStart w:id="52" w:name="_Toc301345246"/>
      <w:bookmarkStart w:id="53" w:name="_Toc303929239"/>
      <w:bookmarkStart w:id="54" w:name="_Toc306013855"/>
      <w:bookmarkStart w:id="55" w:name="_Toc306013953"/>
      <w:bookmarkStart w:id="56" w:name="_Toc306018389"/>
      <w:bookmarkStart w:id="57" w:name="_Toc309727363"/>
      <w:bookmarkStart w:id="58" w:name="_Toc309730084"/>
      <w:bookmarkStart w:id="59" w:name="_Toc320107606"/>
      <w:bookmarkStart w:id="60" w:name="_Toc320108236"/>
      <w:bookmarkStart w:id="61" w:name="_Toc320187186"/>
      <w:bookmarkStart w:id="62" w:name="_Toc322004248"/>
      <w:bookmarkStart w:id="63" w:name="_Toc322006184"/>
      <w:bookmarkStart w:id="64" w:name="_Toc325551382"/>
      <w:bookmarkStart w:id="65" w:name="_Toc325553548"/>
      <w:bookmarkStart w:id="66" w:name="_Toc325553647"/>
      <w:bookmarkStart w:id="67" w:name="_Toc325553746"/>
      <w:bookmarkStart w:id="68" w:name="_Toc325554216"/>
      <w:bookmarkStart w:id="69" w:name="_Toc336264277"/>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p>
    <w:p>
      <w:pPr>
        <w:pStyle w:val="Heading5"/>
        <w:rPr>
          <w:snapToGrid w:val="0"/>
        </w:rPr>
      </w:pPr>
      <w:bookmarkStart w:id="70" w:name="_Toc503149534"/>
      <w:bookmarkStart w:id="71" w:name="_Toc534613829"/>
      <w:bookmarkStart w:id="72" w:name="_Toc535053868"/>
      <w:bookmarkStart w:id="73" w:name="_Toc109615226"/>
      <w:bookmarkStart w:id="74" w:name="_Toc215543712"/>
      <w:bookmarkStart w:id="75" w:name="_Toc336264278"/>
      <w:bookmarkStart w:id="76" w:name="_Toc325554217"/>
      <w:r>
        <w:rPr>
          <w:rStyle w:val="CharSectno"/>
        </w:rPr>
        <w:t>1</w:t>
      </w:r>
      <w:r>
        <w:rPr>
          <w:snapToGrid w:val="0"/>
        </w:rPr>
        <w:t>.</w:t>
      </w:r>
      <w:r>
        <w:rPr>
          <w:snapToGrid w:val="0"/>
        </w:rPr>
        <w:tab/>
        <w:t>Short title</w:t>
      </w:r>
      <w:bookmarkEnd w:id="70"/>
      <w:bookmarkEnd w:id="71"/>
      <w:bookmarkEnd w:id="72"/>
      <w:bookmarkEnd w:id="73"/>
      <w:bookmarkEnd w:id="74"/>
      <w:bookmarkEnd w:id="75"/>
      <w:bookmarkEnd w:id="76"/>
    </w:p>
    <w:p>
      <w:pPr>
        <w:pStyle w:val="Subsection"/>
        <w:rPr>
          <w:snapToGrid w:val="0"/>
        </w:rPr>
      </w:pPr>
      <w:r>
        <w:rPr>
          <w:snapToGrid w:val="0"/>
        </w:rPr>
        <w:tab/>
      </w:r>
      <w:r>
        <w:rPr>
          <w:snapToGrid w:val="0"/>
        </w:rPr>
        <w:tab/>
        <w:t xml:space="preserve">This Act may be cited as the </w:t>
      </w:r>
      <w:r>
        <w:rPr>
          <w:i/>
          <w:snapToGrid w:val="0"/>
        </w:rPr>
        <w:t>Misuse of Drugs Act 1981</w:t>
      </w:r>
      <w:r>
        <w:rPr>
          <w:snapToGrid w:val="0"/>
        </w:rPr>
        <w:t xml:space="preserve"> </w:t>
      </w:r>
      <w:r>
        <w:rPr>
          <w:snapToGrid w:val="0"/>
          <w:vertAlign w:val="superscript"/>
        </w:rPr>
        <w:t>1</w:t>
      </w:r>
      <w:r>
        <w:rPr>
          <w:snapToGrid w:val="0"/>
        </w:rPr>
        <w:t>.</w:t>
      </w:r>
    </w:p>
    <w:p>
      <w:pPr>
        <w:pStyle w:val="Heading5"/>
        <w:rPr>
          <w:snapToGrid w:val="0"/>
        </w:rPr>
      </w:pPr>
      <w:bookmarkStart w:id="77" w:name="_Toc503149535"/>
      <w:bookmarkStart w:id="78" w:name="_Toc534613830"/>
      <w:bookmarkStart w:id="79" w:name="_Toc535053869"/>
      <w:bookmarkStart w:id="80" w:name="_Toc109615227"/>
      <w:bookmarkStart w:id="81" w:name="_Toc215543713"/>
      <w:bookmarkStart w:id="82" w:name="_Toc336264279"/>
      <w:bookmarkStart w:id="83" w:name="_Toc325554218"/>
      <w:r>
        <w:rPr>
          <w:rStyle w:val="CharSectno"/>
        </w:rPr>
        <w:t>2</w:t>
      </w:r>
      <w:r>
        <w:rPr>
          <w:snapToGrid w:val="0"/>
        </w:rPr>
        <w:t>.</w:t>
      </w:r>
      <w:r>
        <w:rPr>
          <w:snapToGrid w:val="0"/>
        </w:rPr>
        <w:tab/>
        <w:t>Commencement</w:t>
      </w:r>
      <w:bookmarkEnd w:id="77"/>
      <w:bookmarkEnd w:id="78"/>
      <w:bookmarkEnd w:id="79"/>
      <w:bookmarkEnd w:id="80"/>
      <w:bookmarkEnd w:id="81"/>
      <w:bookmarkEnd w:id="82"/>
      <w:bookmarkEnd w:id="83"/>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84" w:name="_Toc503149536"/>
      <w:bookmarkStart w:id="85" w:name="_Toc534613831"/>
      <w:bookmarkStart w:id="86" w:name="_Toc535053870"/>
      <w:bookmarkStart w:id="87" w:name="_Toc109615228"/>
      <w:bookmarkStart w:id="88" w:name="_Toc215543714"/>
      <w:bookmarkStart w:id="89" w:name="_Toc336264280"/>
      <w:bookmarkStart w:id="90" w:name="_Toc325554219"/>
      <w:r>
        <w:rPr>
          <w:rStyle w:val="CharSectno"/>
        </w:rPr>
        <w:t>3</w:t>
      </w:r>
      <w:r>
        <w:rPr>
          <w:snapToGrid w:val="0"/>
        </w:rPr>
        <w:t>.</w:t>
      </w:r>
      <w:r>
        <w:rPr>
          <w:snapToGrid w:val="0"/>
        </w:rPr>
        <w:tab/>
      </w:r>
      <w:bookmarkEnd w:id="84"/>
      <w:bookmarkEnd w:id="85"/>
      <w:bookmarkEnd w:id="86"/>
      <w:bookmarkEnd w:id="87"/>
      <w:r>
        <w:rPr>
          <w:snapToGrid w:val="0"/>
        </w:rPr>
        <w:t>Terms used</w:t>
      </w:r>
      <w:bookmarkEnd w:id="88"/>
      <w:bookmarkEnd w:id="89"/>
      <w:bookmarkEnd w:id="90"/>
    </w:p>
    <w:p>
      <w:pPr>
        <w:pStyle w:val="Subsection"/>
        <w:rPr>
          <w:snapToGrid w:val="0"/>
        </w:rPr>
      </w:pPr>
      <w:r>
        <w:rPr>
          <w:snapToGrid w:val="0"/>
        </w:rPr>
        <w:tab/>
        <w:t>(1)</w:t>
      </w:r>
      <w:r>
        <w:rPr>
          <w:snapToGrid w:val="0"/>
        </w:rPr>
        <w:tab/>
        <w:t xml:space="preserve">In this Act, unless the contrary intention appears — </w:t>
      </w:r>
    </w:p>
    <w:p>
      <w:pPr>
        <w:pStyle w:val="Defstart"/>
      </w:pPr>
      <w:r>
        <w:tab/>
      </w:r>
      <w:r>
        <w:rPr>
          <w:rStyle w:val="CharDefText"/>
        </w:rPr>
        <w:t>adult</w:t>
      </w:r>
      <w:r>
        <w:t xml:space="preserve"> means a person who has reached 18 years of age;</w:t>
      </w:r>
    </w:p>
    <w:p>
      <w:pPr>
        <w:pStyle w:val="Defstart"/>
      </w:pPr>
      <w:r>
        <w:rPr>
          <w:b/>
        </w:rPr>
        <w:tab/>
      </w:r>
      <w:r>
        <w:rPr>
          <w:rStyle w:val="CharDefText"/>
        </w:rPr>
        <w:t>analyst</w:t>
      </w:r>
      <w:r>
        <w:t xml:space="preserve"> means analyst registered under section 203 of the </w:t>
      </w:r>
      <w:r>
        <w:rPr>
          <w:i/>
        </w:rPr>
        <w:t>Health Act 1911</w:t>
      </w:r>
      <w:r>
        <w:t>;</w:t>
      </w:r>
    </w:p>
    <w:p>
      <w:pPr>
        <w:pStyle w:val="Defstart"/>
      </w:pPr>
      <w:r>
        <w:rPr>
          <w:b/>
        </w:rPr>
        <w:tab/>
      </w:r>
      <w:r>
        <w:rPr>
          <w:rStyle w:val="CharDefText"/>
        </w:rPr>
        <w:t>approved analyst</w:t>
      </w:r>
      <w:r>
        <w:t xml:space="preserve"> means — </w:t>
      </w:r>
    </w:p>
    <w:p>
      <w:pPr>
        <w:pStyle w:val="Defpara"/>
      </w:pPr>
      <w:r>
        <w:tab/>
        <w:t>(a)</w:t>
      </w:r>
      <w:r>
        <w:tab/>
        <w:t>a person declared under section 3A to be an approved analyst;</w:t>
      </w:r>
      <w:r>
        <w:rPr>
          <w:i/>
        </w:rPr>
        <w:t xml:space="preserve"> </w:t>
      </w:r>
      <w:r>
        <w:t>or</w:t>
      </w:r>
    </w:p>
    <w:p>
      <w:pPr>
        <w:pStyle w:val="Defpara"/>
      </w:pPr>
      <w:r>
        <w:tab/>
        <w:t>(b)</w:t>
      </w:r>
      <w:r>
        <w:tab/>
        <w:t>a person belonging to a class prescribed for the purposes of this definition;</w:t>
      </w:r>
    </w:p>
    <w:p>
      <w:pPr>
        <w:pStyle w:val="Defstart"/>
      </w:pPr>
      <w:r>
        <w:rPr>
          <w:b/>
        </w:rPr>
        <w:tab/>
      </w:r>
      <w:r>
        <w:rPr>
          <w:rStyle w:val="CharDefText"/>
        </w:rPr>
        <w:t>approved botanist</w:t>
      </w:r>
      <w:r>
        <w:t xml:space="preserve"> means a botanist declared under section 3A to be an approved botanist;</w:t>
      </w:r>
    </w:p>
    <w:p>
      <w:pPr>
        <w:pStyle w:val="Defstart"/>
      </w:pPr>
      <w:r>
        <w:rPr>
          <w:b/>
        </w:rPr>
        <w:tab/>
      </w:r>
      <w:r>
        <w:rPr>
          <w:rStyle w:val="CharDefText"/>
        </w:rPr>
        <w:t>authorised prescription</w:t>
      </w:r>
      <w:r>
        <w:t xml:space="preserve"> means document or prescription — </w:t>
      </w:r>
    </w:p>
    <w:p>
      <w:pPr>
        <w:pStyle w:val="Defpara"/>
      </w:pPr>
      <w:r>
        <w:tab/>
        <w:t>(a)</w:t>
      </w:r>
      <w:r>
        <w:tab/>
        <w:t>referred to in section 23(2)(d) of; and</w:t>
      </w:r>
    </w:p>
    <w:p>
      <w:pPr>
        <w:pStyle w:val="Defpara"/>
      </w:pPr>
      <w:r>
        <w:tab/>
        <w:t>(b)</w:t>
      </w:r>
      <w:r>
        <w:tab/>
        <w:t xml:space="preserve">complying with, the </w:t>
      </w:r>
      <w:r>
        <w:rPr>
          <w:i/>
        </w:rPr>
        <w:t>Poisons Act 1964</w:t>
      </w:r>
      <w:r>
        <w:t>;</w:t>
      </w:r>
    </w:p>
    <w:p>
      <w:pPr>
        <w:pStyle w:val="Defstart"/>
      </w:pPr>
      <w:r>
        <w:rPr>
          <w:b/>
        </w:rPr>
        <w:tab/>
      </w:r>
      <w:r>
        <w:rPr>
          <w:rStyle w:val="CharDefText"/>
        </w:rPr>
        <w:t>botanist</w:t>
      </w:r>
      <w:r>
        <w:t xml:space="preserve"> means a person who — </w:t>
      </w:r>
    </w:p>
    <w:p>
      <w:pPr>
        <w:pStyle w:val="Defpara"/>
      </w:pPr>
      <w:r>
        <w:tab/>
        <w:t>(a)</w:t>
      </w:r>
      <w:r>
        <w:tab/>
        <w:t>holds a science degree in, or to a major extent in, botany awarded by — </w:t>
      </w:r>
    </w:p>
    <w:p>
      <w:pPr>
        <w:pStyle w:val="Defsubpara"/>
        <w:rPr>
          <w:snapToGrid w:val="0"/>
        </w:rPr>
      </w:pPr>
      <w:r>
        <w:rPr>
          <w:snapToGrid w:val="0"/>
        </w:rPr>
        <w:tab/>
        <w:t>(i)</w:t>
      </w:r>
      <w:r>
        <w:rPr>
          <w:snapToGrid w:val="0"/>
        </w:rPr>
        <w:tab/>
        <w:t xml:space="preserve">a university in </w:t>
      </w:r>
      <w:smartTag w:uri="urn:schemas-microsoft-com:office:smarttags" w:element="place">
        <w:smartTag w:uri="urn:schemas-microsoft-com:office:smarttags" w:element="country-region">
          <w:r>
            <w:rPr>
              <w:snapToGrid w:val="0"/>
            </w:rPr>
            <w:t>Australia</w:t>
          </w:r>
        </w:smartTag>
      </w:smartTag>
      <w:r>
        <w:rPr>
          <w:snapToGrid w:val="0"/>
        </w:rPr>
        <w:t>; or</w:t>
      </w:r>
    </w:p>
    <w:p>
      <w:pPr>
        <w:pStyle w:val="Defsubpara"/>
        <w:rPr>
          <w:snapToGrid w:val="0"/>
        </w:rPr>
      </w:pPr>
      <w:r>
        <w:rPr>
          <w:snapToGrid w:val="0"/>
        </w:rPr>
        <w:tab/>
        <w:t>(ii)</w:t>
      </w:r>
      <w:r>
        <w:rPr>
          <w:snapToGrid w:val="0"/>
        </w:rPr>
        <w:tab/>
        <w:t>a prescribed university;</w:t>
      </w:r>
    </w:p>
    <w:p>
      <w:pPr>
        <w:pStyle w:val="Defpara"/>
      </w:pPr>
      <w:r>
        <w:tab/>
      </w:r>
      <w:r>
        <w:tab/>
        <w:t>and</w:t>
      </w:r>
    </w:p>
    <w:p>
      <w:pPr>
        <w:pStyle w:val="Defpara"/>
      </w:pPr>
      <w:r>
        <w:lastRenderedPageBreak/>
        <w:tab/>
        <w:t>(b)</w:t>
      </w:r>
      <w:r>
        <w:tab/>
        <w:t>has had not less than 2 years practical experience in plant taxonomy;</w:t>
      </w:r>
    </w:p>
    <w:p>
      <w:pPr>
        <w:pStyle w:val="Defstart"/>
      </w:pPr>
      <w:r>
        <w:rPr>
          <w:b/>
        </w:rPr>
        <w:tab/>
      </w:r>
      <w:r>
        <w:rPr>
          <w:rStyle w:val="CharDefText"/>
        </w:rPr>
        <w:t>cannabis</w:t>
      </w:r>
      <w:r>
        <w:t xml:space="preserve"> means plant of the genus </w:t>
      </w:r>
      <w:r>
        <w:rPr>
          <w:i/>
        </w:rPr>
        <w:t>Cannabis</w:t>
      </w:r>
      <w:r>
        <w:t xml:space="preserve"> (by whatever name designated) or part of that plant;</w:t>
      </w:r>
    </w:p>
    <w:p>
      <w:pPr>
        <w:pStyle w:val="Defstart"/>
      </w:pPr>
      <w:r>
        <w:rPr>
          <w:b/>
        </w:rPr>
        <w:tab/>
      </w:r>
      <w:r>
        <w:rPr>
          <w:rStyle w:val="CharDefText"/>
        </w:rPr>
        <w:t>cannabis resin</w:t>
      </w:r>
      <w:r>
        <w:t xml:space="preserve"> means separated resin, whether crude or purified, obtained from cannabis;</w:t>
      </w:r>
    </w:p>
    <w:p>
      <w:pPr>
        <w:pStyle w:val="Defstart"/>
      </w:pPr>
      <w:r>
        <w:rPr>
          <w:b/>
          <w:i/>
          <w:szCs w:val="22"/>
        </w:rPr>
        <w:tab/>
      </w:r>
      <w:r>
        <w:rPr>
          <w:rStyle w:val="CharDefText"/>
        </w:rPr>
        <w:t>child</w:t>
      </w:r>
      <w:r>
        <w:rPr>
          <w:b/>
          <w:i/>
          <w:szCs w:val="22"/>
        </w:rPr>
        <w:t xml:space="preserve"> </w:t>
      </w:r>
      <w:r>
        <w:rPr>
          <w:szCs w:val="22"/>
        </w:rPr>
        <w:t>means a person who is under 18 years of age;</w:t>
      </w:r>
    </w:p>
    <w:p>
      <w:pPr>
        <w:pStyle w:val="Defstart"/>
      </w:pPr>
      <w:r>
        <w:rPr>
          <w:b/>
        </w:rPr>
        <w:tab/>
      </w:r>
      <w:r>
        <w:rPr>
          <w:rStyle w:val="CharDefText"/>
        </w:rPr>
        <w:t>Commissioner</w:t>
      </w:r>
      <w:r>
        <w:t xml:space="preserve"> means the Commissioner of Police appointed under the </w:t>
      </w:r>
      <w:r>
        <w:rPr>
          <w:i/>
        </w:rPr>
        <w:t>Police Act 1892</w:t>
      </w:r>
      <w:r>
        <w:t>;</w:t>
      </w:r>
    </w:p>
    <w:p>
      <w:pPr>
        <w:pStyle w:val="Defstart"/>
      </w:pPr>
      <w:r>
        <w:rPr>
          <w:b/>
        </w:rPr>
        <w:tab/>
      </w:r>
      <w:r>
        <w:rPr>
          <w:rStyle w:val="CharDefText"/>
        </w:rPr>
        <w:t>dangerous substance</w:t>
      </w:r>
      <w:r>
        <w:t xml:space="preserve"> means a substance (other than a prohibited drug or prohibited plant) that is noxious or volatile;</w:t>
      </w:r>
    </w:p>
    <w:p>
      <w:pPr>
        <w:pStyle w:val="Defstart"/>
      </w:pPr>
      <w:r>
        <w:tab/>
      </w:r>
      <w:r>
        <w:rPr>
          <w:rStyle w:val="CharDefText"/>
        </w:rPr>
        <w:t>dentist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dental profession whose name is entered on the Dentists Division of the Register of Dental Practitioners kept under that Law;</w:t>
      </w:r>
    </w:p>
    <w:p>
      <w:pPr>
        <w:pStyle w:val="Defstart"/>
      </w:pPr>
      <w:r>
        <w:rPr>
          <w:b/>
        </w:rPr>
        <w:tab/>
      </w:r>
      <w:r>
        <w:rPr>
          <w:rStyle w:val="CharDefText"/>
        </w:rPr>
        <w:t>drug of addiction</w:t>
      </w:r>
      <w:r>
        <w:t xml:space="preserve"> means drug of addiction as defined by section 5 of the </w:t>
      </w:r>
      <w:r>
        <w:rPr>
          <w:i/>
        </w:rPr>
        <w:t>Poisons Act 1964</w:t>
      </w:r>
      <w:r>
        <w:t>;</w:t>
      </w:r>
    </w:p>
    <w:p>
      <w:pPr>
        <w:pStyle w:val="Defstart"/>
      </w:pPr>
      <w:r>
        <w:rPr>
          <w:b/>
        </w:rPr>
        <w:tab/>
      </w:r>
      <w:r>
        <w:rPr>
          <w:rStyle w:val="CharDefText"/>
        </w:rPr>
        <w:t>heroin</w:t>
      </w:r>
      <w:r>
        <w:t xml:space="preserve"> means the drug commonly known as heroin and includes any substance containing diacetylmorphine or its salts and any preparation, admixture or extract containing diacetylmorphine or any such salt;</w:t>
      </w:r>
    </w:p>
    <w:p>
      <w:pPr>
        <w:pStyle w:val="Defstart"/>
      </w:pPr>
      <w:r>
        <w:rPr>
          <w:b/>
        </w:rPr>
        <w:tab/>
      </w:r>
      <w:r>
        <w:rPr>
          <w:rStyle w:val="CharDefText"/>
        </w:rPr>
        <w:t>industrial hemp</w:t>
      </w:r>
      <w:r>
        <w:t xml:space="preserve"> has the meaning given to that term in section 3(1) of the </w:t>
      </w:r>
      <w:r>
        <w:rPr>
          <w:i/>
        </w:rPr>
        <w:t>Industrial Hemp Act 2004</w:t>
      </w:r>
      <w:r>
        <w:t>;</w:t>
      </w:r>
    </w:p>
    <w:p>
      <w:pPr>
        <w:pStyle w:val="Defstart"/>
      </w:pPr>
      <w:r>
        <w:rPr>
          <w:b/>
        </w:rPr>
        <w:tab/>
      </w:r>
      <w:r>
        <w:rPr>
          <w:rStyle w:val="CharDefText"/>
        </w:rPr>
        <w:t>industrial hemp seed</w:t>
      </w:r>
      <w:r>
        <w:t xml:space="preserve"> has the meaning given to that term in section 3(1) of the </w:t>
      </w:r>
      <w:r>
        <w:rPr>
          <w:i/>
        </w:rPr>
        <w:t>Industrial Hemp Act 2004</w:t>
      </w:r>
      <w:r>
        <w:t>;</w:t>
      </w:r>
    </w:p>
    <w:p>
      <w:pPr>
        <w:pStyle w:val="Defstart"/>
      </w:pPr>
      <w:r>
        <w:tab/>
      </w:r>
      <w:r>
        <w:rPr>
          <w:rStyle w:val="CharDefText"/>
        </w:rPr>
        <w:t>medical practitioner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tab/>
      </w:r>
      <w:r>
        <w:rPr>
          <w:rStyle w:val="CharDefText"/>
        </w:rPr>
        <w:t>nurse practitioner</w:t>
      </w:r>
      <w:r>
        <w:t xml:space="preserve"> means a person registered under the </w:t>
      </w:r>
      <w:r>
        <w:rPr>
          <w:i/>
        </w:rPr>
        <w:t>Health Practitioner Regulation National Law (Western Australia)</w:t>
      </w:r>
      <w:r>
        <w:t xml:space="preserve"> whose name is entered on the Register of Nurses kept under that Law as being qualified to practise as a nurse practitioner;</w:t>
      </w:r>
    </w:p>
    <w:p>
      <w:pPr>
        <w:pStyle w:val="Defstart"/>
      </w:pPr>
      <w:r>
        <w:rPr>
          <w:b/>
        </w:rPr>
        <w:tab/>
      </w:r>
      <w:r>
        <w:rPr>
          <w:rStyle w:val="CharDefText"/>
        </w:rPr>
        <w:t>opium</w:t>
      </w:r>
      <w:r>
        <w:t xml:space="preserve"> means spontaneously coagulated juice obtained from the capsules of the opium poppy </w:t>
      </w:r>
      <w:r>
        <w:rPr>
          <w:i/>
        </w:rPr>
        <w:t>Papaver somniferum</w:t>
      </w:r>
      <w:r>
        <w:t>;</w:t>
      </w:r>
    </w:p>
    <w:p>
      <w:pPr>
        <w:pStyle w:val="Defstart"/>
      </w:pPr>
      <w:r>
        <w:rPr>
          <w:b/>
        </w:rPr>
        <w:tab/>
      </w:r>
      <w:r>
        <w:rPr>
          <w:rStyle w:val="CharDefText"/>
        </w:rPr>
        <w:t>Poisons Act 1964</w:t>
      </w:r>
      <w:r>
        <w:t xml:space="preserve"> includes any regulations made and in force under that Act;</w:t>
      </w:r>
    </w:p>
    <w:p>
      <w:pPr>
        <w:pStyle w:val="Defstart"/>
      </w:pPr>
      <w:r>
        <w:tab/>
      </w:r>
      <w:r>
        <w:rPr>
          <w:rStyle w:val="CharDefText"/>
        </w:rPr>
        <w:t>processed industrial hemp</w:t>
      </w:r>
      <w:r>
        <w:rPr>
          <w:b/>
        </w:rPr>
        <w:t xml:space="preserve"> </w:t>
      </w:r>
      <w:r>
        <w:t xml:space="preserve">means any product made from industrial hemp or industrial hemp seed that — </w:t>
      </w:r>
    </w:p>
    <w:p>
      <w:pPr>
        <w:pStyle w:val="Defpara"/>
      </w:pPr>
      <w:r>
        <w:tab/>
        <w:t>(a)</w:t>
      </w:r>
      <w:r>
        <w:tab/>
        <w:t>does not contain more than 0.35% of tetrahydrocannabinol; and</w:t>
      </w:r>
    </w:p>
    <w:p>
      <w:pPr>
        <w:pStyle w:val="Defpara"/>
      </w:pPr>
      <w:r>
        <w:tab/>
        <w:t>(b)</w:t>
      </w:r>
      <w:r>
        <w:tab/>
        <w:t>does not contain viable whole cannabis seed; and</w:t>
      </w:r>
    </w:p>
    <w:p>
      <w:pPr>
        <w:pStyle w:val="Defpara"/>
      </w:pPr>
      <w:r>
        <w:tab/>
        <w:t>(c)</w:t>
      </w:r>
      <w:r>
        <w:tab/>
        <w:t>is not manufactured in a form to be inhaled;</w:t>
      </w:r>
    </w:p>
    <w:p>
      <w:pPr>
        <w:pStyle w:val="Defstart"/>
      </w:pPr>
      <w:r>
        <w:rPr>
          <w:b/>
        </w:rPr>
        <w:tab/>
      </w:r>
      <w:r>
        <w:rPr>
          <w:rStyle w:val="CharDefText"/>
        </w:rPr>
        <w:t>prohibited drug</w:t>
      </w:r>
      <w:r>
        <w:t xml:space="preserve"> means drug to which this Act applies by virtue of section 4;</w:t>
      </w:r>
    </w:p>
    <w:p>
      <w:pPr>
        <w:pStyle w:val="Defstart"/>
      </w:pPr>
      <w:r>
        <w:rPr>
          <w:b/>
        </w:rPr>
        <w:tab/>
      </w:r>
      <w:r>
        <w:rPr>
          <w:rStyle w:val="CharDefText"/>
        </w:rPr>
        <w:t>prohibited plant</w:t>
      </w:r>
      <w:r>
        <w:t xml:space="preserve"> means plant to which this Act applies by virtue of section 4, or part of that plant;</w:t>
      </w:r>
    </w:p>
    <w:p>
      <w:pPr>
        <w:pStyle w:val="Defstart"/>
      </w:pPr>
      <w:r>
        <w:rPr>
          <w:b/>
        </w:rPr>
        <w:tab/>
      </w:r>
      <w:r>
        <w:rPr>
          <w:rStyle w:val="CharDefText"/>
        </w:rPr>
        <w:t>regulations</w:t>
      </w:r>
      <w:r>
        <w:t xml:space="preserve"> means the regulations made and in force under this Act;</w:t>
      </w:r>
    </w:p>
    <w:p>
      <w:pPr>
        <w:pStyle w:val="Defstart"/>
      </w:pPr>
      <w:r>
        <w:tab/>
      </w:r>
      <w:r>
        <w:rPr>
          <w:rStyle w:val="CharDefText"/>
        </w:rPr>
        <w:t>sample</w:t>
      </w:r>
      <w:r>
        <w:t>, in relation to any thing, means a sample of the thing taken by an approved analyst or an approved botanist under section 26A(a);</w:t>
      </w:r>
    </w:p>
    <w:p>
      <w:pPr>
        <w:pStyle w:val="Defstart"/>
      </w:pPr>
      <w:r>
        <w:rPr>
          <w:b/>
        </w:rPr>
        <w:tab/>
      </w:r>
      <w:r>
        <w:rPr>
          <w:rStyle w:val="CharDefText"/>
        </w:rPr>
        <w:t>simple offence</w:t>
      </w:r>
      <w:r>
        <w:t xml:space="preserve"> means simple offence under this Act;</w:t>
      </w:r>
    </w:p>
    <w:p>
      <w:pPr>
        <w:pStyle w:val="Defstart"/>
      </w:pPr>
      <w:r>
        <w:rPr>
          <w:b/>
        </w:rPr>
        <w:tab/>
      </w:r>
      <w:r>
        <w:rPr>
          <w:rStyle w:val="CharDefText"/>
        </w:rPr>
        <w:t>specified drug</w:t>
      </w:r>
      <w:r>
        <w:t xml:space="preserve"> means specified drug as defined by section 5 of the </w:t>
      </w:r>
      <w:r>
        <w:rPr>
          <w:i/>
        </w:rPr>
        <w:t>Poisons Act 1964</w:t>
      </w:r>
      <w:r>
        <w:t>;</w:t>
      </w:r>
    </w:p>
    <w:p>
      <w:pPr>
        <w:pStyle w:val="Defstart"/>
      </w:pPr>
      <w:r>
        <w:rPr>
          <w:b/>
        </w:rPr>
        <w:tab/>
      </w:r>
      <w:r>
        <w:rPr>
          <w:rStyle w:val="CharDefText"/>
        </w:rPr>
        <w:t>summary court</w:t>
      </w:r>
      <w:r>
        <w:t xml:space="preserve"> means court of summary jurisdiction constituted by a magistrate sitting alone;</w:t>
      </w:r>
    </w:p>
    <w:p>
      <w:pPr>
        <w:pStyle w:val="Defstart"/>
      </w:pPr>
      <w:r>
        <w:rPr>
          <w:b/>
        </w:rPr>
        <w:tab/>
      </w:r>
      <w:r>
        <w:rPr>
          <w:rStyle w:val="CharDefText"/>
        </w:rPr>
        <w:t>to cultivate</w:t>
      </w:r>
      <w:r>
        <w:t>, in relation to a prohibited plant, includes to grow, sow or scatter the seed produced by, or to plant, nurture, tend or harvest, the prohibited plant;</w:t>
      </w:r>
    </w:p>
    <w:p>
      <w:pPr>
        <w:pStyle w:val="Defstart"/>
      </w:pPr>
      <w:r>
        <w:rPr>
          <w:b/>
        </w:rPr>
        <w:tab/>
      </w:r>
      <w:r>
        <w:rPr>
          <w:rStyle w:val="CharDefText"/>
        </w:rPr>
        <w:t>to possess</w:t>
      </w:r>
      <w:r>
        <w:t xml:space="preserve"> includes to control or have dominion over, and to have the order or disposition of, and inflections and derivatives of the verb “to possess” have correlative meanings;</w:t>
      </w:r>
    </w:p>
    <w:p>
      <w:pPr>
        <w:pStyle w:val="Defstart"/>
      </w:pPr>
      <w:r>
        <w:tab/>
      </w:r>
      <w:r>
        <w:rPr>
          <w:rStyle w:val="CharDefText"/>
        </w:rPr>
        <w:t>to supply</w:t>
      </w:r>
      <w:r>
        <w:t xml:space="preserve"> includes to deliver, dispense, distribute, forward, furnish, make available, provide, return or send, and it does not matter that something is supplied on behalf of another or on whose behalf it is supplied;</w:t>
      </w:r>
    </w:p>
    <w:p>
      <w:pPr>
        <w:pStyle w:val="Defstart"/>
      </w:pPr>
      <w:r>
        <w:rPr>
          <w:b/>
        </w:rPr>
        <w:tab/>
      </w:r>
      <w:r>
        <w:rPr>
          <w:rStyle w:val="CharDefText"/>
        </w:rPr>
        <w:t>veterinary surgeon</w:t>
      </w:r>
      <w:r>
        <w:t xml:space="preserve"> means registered veterinary surgeon as defined by section 2 of the </w:t>
      </w:r>
      <w:r>
        <w:rPr>
          <w:i/>
        </w:rPr>
        <w:t>Veterinary Surgeons Act 1960</w:t>
      </w:r>
      <w:r>
        <w:t>.</w:t>
      </w:r>
    </w:p>
    <w:p>
      <w:pPr>
        <w:pStyle w:val="Subsection"/>
        <w:rPr>
          <w:snapToGrid w:val="0"/>
        </w:rPr>
      </w:pPr>
      <w:r>
        <w:rPr>
          <w:snapToGrid w:val="0"/>
        </w:rPr>
        <w:tab/>
        <w:t>(2)</w:t>
      </w:r>
      <w:r>
        <w:rPr>
          <w:snapToGrid w:val="0"/>
        </w:rPr>
        <w:tab/>
        <w:t>In the case of liquid preparations, percentages shall, unless other provision in that behalf is made by the regulations, be calculated on the basis that a preparation containing 1% of a substance means a preparation in which one gram of the substance, if a solid, or one ml of the substance, if a liquid, is contained in every 100 ml of the preparation, and so in proportion for any greater or lesser percentage.</w:t>
      </w:r>
    </w:p>
    <w:p>
      <w:pPr>
        <w:pStyle w:val="Footnotesection"/>
      </w:pPr>
      <w:r>
        <w:tab/>
        <w:t>[Section 3 amended by No. 50 of 1990 s. 7; No. 20 of 1991 s. 57; No. 32 of 1994 s. 3(2); No. 44 of 1995 s. 4; No. 3 of 1998 s. 3; No. 9 of 2003 s. 28; No. 1 of 2004 s. 50; No. 4 of 2004 s. 58; No. 59 of 2004 s. 141; No. 62 of 2004 s. 4; No. 50 of 2006 Sch. 3 cl. 15; No. 22 of 2008 Sch. 3 cl. 37; No. 42 of 2009 s. 21; No. 35 of 2010 s. 118; No. 45 of 2010 s. 5; No. 56 of 2011 s. 4.]</w:t>
      </w:r>
    </w:p>
    <w:p>
      <w:pPr>
        <w:pStyle w:val="Heading5"/>
        <w:rPr>
          <w:snapToGrid w:val="0"/>
        </w:rPr>
      </w:pPr>
      <w:bookmarkStart w:id="91" w:name="_Toc503149537"/>
      <w:bookmarkStart w:id="92" w:name="_Toc534613832"/>
      <w:bookmarkStart w:id="93" w:name="_Toc535053871"/>
      <w:bookmarkStart w:id="94" w:name="_Toc109615229"/>
      <w:bookmarkStart w:id="95" w:name="_Toc215543715"/>
      <w:bookmarkStart w:id="96" w:name="_Toc336264281"/>
      <w:bookmarkStart w:id="97" w:name="_Toc325554220"/>
      <w:r>
        <w:rPr>
          <w:rStyle w:val="CharSectno"/>
        </w:rPr>
        <w:t>3A</w:t>
      </w:r>
      <w:r>
        <w:rPr>
          <w:snapToGrid w:val="0"/>
        </w:rPr>
        <w:t xml:space="preserve">. </w:t>
      </w:r>
      <w:r>
        <w:rPr>
          <w:snapToGrid w:val="0"/>
        </w:rPr>
        <w:tab/>
        <w:t>Approved analysts and botanists</w:t>
      </w:r>
      <w:bookmarkEnd w:id="91"/>
      <w:bookmarkEnd w:id="92"/>
      <w:bookmarkEnd w:id="93"/>
      <w:bookmarkEnd w:id="94"/>
      <w:bookmarkEnd w:id="95"/>
      <w:bookmarkEnd w:id="96"/>
      <w:bookmarkEnd w:id="97"/>
    </w:p>
    <w:p>
      <w:pPr>
        <w:pStyle w:val="Subsection"/>
        <w:rPr>
          <w:snapToGrid w:val="0"/>
        </w:rPr>
      </w:pPr>
      <w:r>
        <w:rPr>
          <w:snapToGrid w:val="0"/>
        </w:rPr>
        <w:tab/>
        <w:t>(1)</w:t>
      </w:r>
      <w:r>
        <w:rPr>
          <w:snapToGrid w:val="0"/>
        </w:rPr>
        <w:tab/>
        <w:t xml:space="preserve">The Commissioner may by notice published in the </w:t>
      </w:r>
      <w:r>
        <w:rPr>
          <w:i/>
          <w:snapToGrid w:val="0"/>
        </w:rPr>
        <w:t>Gazette</w:t>
      </w:r>
      <w:r>
        <w:rPr>
          <w:snapToGrid w:val="0"/>
        </w:rPr>
        <w:t xml:space="preserve"> declare — </w:t>
      </w:r>
    </w:p>
    <w:p>
      <w:pPr>
        <w:pStyle w:val="Indenta"/>
        <w:rPr>
          <w:snapToGrid w:val="0"/>
        </w:rPr>
      </w:pPr>
      <w:r>
        <w:rPr>
          <w:snapToGrid w:val="0"/>
        </w:rPr>
        <w:tab/>
        <w:t>(a)</w:t>
      </w:r>
      <w:r>
        <w:rPr>
          <w:snapToGrid w:val="0"/>
        </w:rPr>
        <w:tab/>
        <w:t>an analyst to be an approved analyst for the purposes of this Act; or</w:t>
      </w:r>
    </w:p>
    <w:p>
      <w:pPr>
        <w:pStyle w:val="Indenta"/>
        <w:rPr>
          <w:snapToGrid w:val="0"/>
        </w:rPr>
      </w:pPr>
      <w:r>
        <w:rPr>
          <w:snapToGrid w:val="0"/>
        </w:rPr>
        <w:tab/>
        <w:t>(b)</w:t>
      </w:r>
      <w:r>
        <w:rPr>
          <w:snapToGrid w:val="0"/>
        </w:rPr>
        <w:tab/>
        <w:t>a botanist to be an approved botanist for the purposes of this Act.</w:t>
      </w:r>
    </w:p>
    <w:p>
      <w:pPr>
        <w:pStyle w:val="Subsection"/>
        <w:rPr>
          <w:snapToGrid w:val="0"/>
        </w:rPr>
      </w:pPr>
      <w:r>
        <w:rPr>
          <w:snapToGrid w:val="0"/>
        </w:rPr>
        <w:tab/>
        <w:t>(2)</w:t>
      </w:r>
      <w:r>
        <w:rPr>
          <w:snapToGrid w:val="0"/>
        </w:rPr>
        <w:tab/>
        <w:t xml:space="preserve">The Commissioner may by further notice published in the </w:t>
      </w:r>
      <w:r>
        <w:rPr>
          <w:i/>
          <w:snapToGrid w:val="0"/>
        </w:rPr>
        <w:t>Gazette</w:t>
      </w:r>
      <w:r>
        <w:rPr>
          <w:snapToGrid w:val="0"/>
        </w:rPr>
        <w:t xml:space="preserve"> amend or revoke a notice under this section.</w:t>
      </w:r>
    </w:p>
    <w:p>
      <w:pPr>
        <w:pStyle w:val="Footnotesection"/>
      </w:pPr>
      <w:r>
        <w:tab/>
        <w:t>[Section 3A inserted by No. 44 of 1995 s. 5.]</w:t>
      </w:r>
    </w:p>
    <w:p>
      <w:pPr>
        <w:pStyle w:val="Heading5"/>
        <w:rPr>
          <w:snapToGrid w:val="0"/>
        </w:rPr>
      </w:pPr>
      <w:bookmarkStart w:id="98" w:name="_Toc503149538"/>
      <w:bookmarkStart w:id="99" w:name="_Toc534613833"/>
      <w:bookmarkStart w:id="100" w:name="_Toc535053872"/>
      <w:bookmarkStart w:id="101" w:name="_Toc109615230"/>
      <w:bookmarkStart w:id="102" w:name="_Toc215543716"/>
      <w:bookmarkStart w:id="103" w:name="_Toc336264282"/>
      <w:bookmarkStart w:id="104" w:name="_Toc325554221"/>
      <w:r>
        <w:rPr>
          <w:rStyle w:val="CharSectno"/>
        </w:rPr>
        <w:t>4</w:t>
      </w:r>
      <w:r>
        <w:rPr>
          <w:snapToGrid w:val="0"/>
        </w:rPr>
        <w:t>.</w:t>
      </w:r>
      <w:r>
        <w:rPr>
          <w:snapToGrid w:val="0"/>
        </w:rPr>
        <w:tab/>
        <w:t>Drugs and plants to which Act applies</w:t>
      </w:r>
      <w:bookmarkEnd w:id="98"/>
      <w:bookmarkEnd w:id="99"/>
      <w:bookmarkEnd w:id="100"/>
      <w:bookmarkEnd w:id="101"/>
      <w:bookmarkEnd w:id="102"/>
      <w:bookmarkEnd w:id="103"/>
      <w:bookmarkEnd w:id="104"/>
    </w:p>
    <w:p>
      <w:pPr>
        <w:pStyle w:val="Subsection"/>
        <w:rPr>
          <w:snapToGrid w:val="0"/>
        </w:rPr>
      </w:pPr>
      <w:r>
        <w:rPr>
          <w:snapToGrid w:val="0"/>
        </w:rPr>
        <w:tab/>
        <w:t>(1)</w:t>
      </w:r>
      <w:r>
        <w:rPr>
          <w:snapToGrid w:val="0"/>
        </w:rPr>
        <w:tab/>
      </w:r>
      <w:r>
        <w:t>Subject to subsection (4), the</w:t>
      </w:r>
      <w:r>
        <w:rPr>
          <w:snapToGrid w:val="0"/>
        </w:rPr>
        <w:t xml:space="preserve"> drugs to which this Act applies are — </w:t>
      </w:r>
    </w:p>
    <w:p>
      <w:pPr>
        <w:pStyle w:val="Indenta"/>
        <w:rPr>
          <w:snapToGrid w:val="0"/>
        </w:rPr>
      </w:pPr>
      <w:r>
        <w:rPr>
          <w:snapToGrid w:val="0"/>
        </w:rPr>
        <w:tab/>
        <w:t>(a)</w:t>
      </w:r>
      <w:r>
        <w:rPr>
          <w:snapToGrid w:val="0"/>
        </w:rPr>
        <w:tab/>
        <w:t>drugs of addiction; and</w:t>
      </w:r>
    </w:p>
    <w:p>
      <w:pPr>
        <w:pStyle w:val="Indenta"/>
        <w:rPr>
          <w:snapToGrid w:val="0"/>
        </w:rPr>
      </w:pPr>
      <w:r>
        <w:rPr>
          <w:snapToGrid w:val="0"/>
        </w:rPr>
        <w:tab/>
        <w:t>(b)</w:t>
      </w:r>
      <w:r>
        <w:rPr>
          <w:snapToGrid w:val="0"/>
        </w:rPr>
        <w:tab/>
        <w:t>specified drugs; and</w:t>
      </w:r>
    </w:p>
    <w:p>
      <w:pPr>
        <w:pStyle w:val="Indenta"/>
        <w:rPr>
          <w:snapToGrid w:val="0"/>
        </w:rPr>
      </w:pPr>
      <w:r>
        <w:rPr>
          <w:snapToGrid w:val="0"/>
        </w:rPr>
        <w:tab/>
        <w:t>(c)</w:t>
      </w:r>
      <w:r>
        <w:rPr>
          <w:snapToGrid w:val="0"/>
        </w:rPr>
        <w:tab/>
        <w:t>whether or not they are also drugs of addiction or specified drugs, the drugs specified in Schedule I.</w:t>
      </w:r>
    </w:p>
    <w:p>
      <w:pPr>
        <w:pStyle w:val="Subsection"/>
        <w:rPr>
          <w:snapToGrid w:val="0"/>
        </w:rPr>
      </w:pPr>
      <w:r>
        <w:rPr>
          <w:snapToGrid w:val="0"/>
        </w:rPr>
        <w:tab/>
        <w:t>(2)</w:t>
      </w:r>
      <w:r>
        <w:rPr>
          <w:snapToGrid w:val="0"/>
        </w:rPr>
        <w:tab/>
        <w:t>Subject to subsection (3), the plants to which this Act applies are — </w:t>
      </w:r>
    </w:p>
    <w:p>
      <w:pPr>
        <w:pStyle w:val="Indenta"/>
        <w:rPr>
          <w:snapToGrid w:val="0"/>
        </w:rPr>
      </w:pPr>
      <w:r>
        <w:rPr>
          <w:snapToGrid w:val="0"/>
        </w:rPr>
        <w:tab/>
        <w:t>(a)</w:t>
      </w:r>
      <w:r>
        <w:rPr>
          <w:snapToGrid w:val="0"/>
        </w:rPr>
        <w:tab/>
        <w:t xml:space="preserve">prohibited plants as defined by section 5 of the </w:t>
      </w:r>
      <w:r>
        <w:rPr>
          <w:i/>
          <w:snapToGrid w:val="0"/>
        </w:rPr>
        <w:t>Poisons Act 1964</w:t>
      </w:r>
      <w:r>
        <w:rPr>
          <w:snapToGrid w:val="0"/>
        </w:rPr>
        <w:t>; and</w:t>
      </w:r>
    </w:p>
    <w:p>
      <w:pPr>
        <w:pStyle w:val="Indenta"/>
        <w:rPr>
          <w:snapToGrid w:val="0"/>
        </w:rPr>
      </w:pPr>
      <w:r>
        <w:rPr>
          <w:snapToGrid w:val="0"/>
        </w:rPr>
        <w:tab/>
        <w:t>(b)</w:t>
      </w:r>
      <w:r>
        <w:rPr>
          <w:snapToGrid w:val="0"/>
        </w:rPr>
        <w:tab/>
        <w:t xml:space="preserve">whether or not they are also prohibited plants as defined by section 5 of the </w:t>
      </w:r>
      <w:r>
        <w:rPr>
          <w:i/>
          <w:snapToGrid w:val="0"/>
        </w:rPr>
        <w:t>Poisons Act 1964</w:t>
      </w:r>
      <w:r>
        <w:rPr>
          <w:snapToGrid w:val="0"/>
        </w:rPr>
        <w:t>, the plants specified in Schedule II.</w:t>
      </w:r>
    </w:p>
    <w:p>
      <w:pPr>
        <w:pStyle w:val="Subsection"/>
        <w:rPr>
          <w:snapToGrid w:val="0"/>
        </w:rPr>
      </w:pPr>
      <w:r>
        <w:rPr>
          <w:snapToGrid w:val="0"/>
        </w:rPr>
        <w:tab/>
        <w:t>(3)</w:t>
      </w:r>
      <w:r>
        <w:rPr>
          <w:snapToGrid w:val="0"/>
        </w:rPr>
        <w:tab/>
        <w:t>This Act does not apply to the non</w:t>
      </w:r>
      <w:r>
        <w:rPr>
          <w:snapToGrid w:val="0"/>
        </w:rPr>
        <w:noBreakHyphen/>
        <w:t xml:space="preserve">viable seeds of the opium poppy </w:t>
      </w:r>
      <w:r>
        <w:rPr>
          <w:i/>
          <w:snapToGrid w:val="0"/>
        </w:rPr>
        <w:t>Papaver somniferum</w:t>
      </w:r>
      <w:r>
        <w:rPr>
          <w:snapToGrid w:val="0"/>
        </w:rPr>
        <w:t>.</w:t>
      </w:r>
    </w:p>
    <w:p>
      <w:pPr>
        <w:pStyle w:val="Subsection"/>
      </w:pPr>
      <w:r>
        <w:tab/>
        <w:t>(4)</w:t>
      </w:r>
      <w:r>
        <w:tab/>
        <w:t>This Act does not apply to processed industrial hemp.</w:t>
      </w:r>
    </w:p>
    <w:p>
      <w:pPr>
        <w:pStyle w:val="Footnotesection"/>
        <w:rPr>
          <w:ins w:id="105" w:author="svcMRProcess" w:date="2018-09-06T00:44:00Z"/>
        </w:rPr>
      </w:pPr>
      <w:r>
        <w:tab/>
        <w:t>[Section 4 amended by No. 1 of 2004 s. 51</w:t>
      </w:r>
      <w:ins w:id="106" w:author="svcMRProcess" w:date="2018-09-06T00:44:00Z">
        <w:r>
          <w:t>.]</w:t>
        </w:r>
      </w:ins>
    </w:p>
    <w:p>
      <w:pPr>
        <w:pStyle w:val="Heading5"/>
        <w:rPr>
          <w:ins w:id="107" w:author="svcMRProcess" w:date="2018-09-06T00:44:00Z"/>
        </w:rPr>
      </w:pPr>
      <w:bookmarkStart w:id="108" w:name="_Toc325379884"/>
      <w:bookmarkStart w:id="109" w:name="_Toc336249880"/>
      <w:bookmarkStart w:id="110" w:name="_Toc336264283"/>
      <w:bookmarkStart w:id="111" w:name="_Toc72912333"/>
      <w:bookmarkStart w:id="112" w:name="_Toc89162860"/>
      <w:bookmarkStart w:id="113" w:name="_Toc89571147"/>
      <w:bookmarkStart w:id="114" w:name="_Toc90092315"/>
      <w:bookmarkStart w:id="115" w:name="_Toc92603586"/>
      <w:bookmarkStart w:id="116" w:name="_Toc92797770"/>
      <w:bookmarkStart w:id="117" w:name="_Toc97018072"/>
      <w:bookmarkStart w:id="118" w:name="_Toc102387627"/>
      <w:bookmarkStart w:id="119" w:name="_Toc102905258"/>
      <w:bookmarkStart w:id="120" w:name="_Toc105219501"/>
      <w:bookmarkStart w:id="121" w:name="_Toc105220405"/>
      <w:bookmarkStart w:id="122" w:name="_Toc105220473"/>
      <w:bookmarkStart w:id="123" w:name="_Toc105909917"/>
      <w:bookmarkStart w:id="124" w:name="_Toc105910832"/>
      <w:bookmarkStart w:id="125" w:name="_Toc106600676"/>
      <w:bookmarkStart w:id="126" w:name="_Toc106600974"/>
      <w:bookmarkStart w:id="127" w:name="_Toc109615231"/>
      <w:bookmarkStart w:id="128" w:name="_Toc139344525"/>
      <w:bookmarkStart w:id="129" w:name="_Toc139699289"/>
      <w:bookmarkStart w:id="130" w:name="_Toc147051322"/>
      <w:bookmarkStart w:id="131" w:name="_Toc147118777"/>
      <w:bookmarkStart w:id="132" w:name="_Toc148236098"/>
      <w:bookmarkStart w:id="133" w:name="_Toc158704972"/>
      <w:bookmarkStart w:id="134" w:name="_Toc165369932"/>
      <w:bookmarkStart w:id="135" w:name="_Toc177873274"/>
      <w:bookmarkStart w:id="136" w:name="_Toc177873399"/>
      <w:bookmarkStart w:id="137" w:name="_Toc184707356"/>
      <w:bookmarkStart w:id="138" w:name="_Toc189464687"/>
      <w:bookmarkStart w:id="139" w:name="_Toc190249251"/>
      <w:bookmarkStart w:id="140" w:name="_Toc191703145"/>
      <w:bookmarkStart w:id="141" w:name="_Toc193692062"/>
      <w:bookmarkStart w:id="142" w:name="_Toc199817244"/>
      <w:bookmarkStart w:id="143" w:name="_Toc215543717"/>
      <w:bookmarkStart w:id="144" w:name="_Toc215543977"/>
      <w:bookmarkStart w:id="145" w:name="_Toc248029014"/>
      <w:bookmarkStart w:id="146" w:name="_Toc256085063"/>
      <w:bookmarkStart w:id="147" w:name="_Toc256092128"/>
      <w:bookmarkStart w:id="148" w:name="_Toc268600314"/>
      <w:bookmarkStart w:id="149" w:name="_Toc272237443"/>
      <w:bookmarkStart w:id="150" w:name="_Toc275253522"/>
      <w:bookmarkStart w:id="151" w:name="_Toc283287446"/>
      <w:bookmarkStart w:id="152" w:name="_Toc290558432"/>
      <w:bookmarkStart w:id="153" w:name="_Toc290558508"/>
      <w:bookmarkStart w:id="154" w:name="_Toc291764647"/>
      <w:bookmarkStart w:id="155" w:name="_Toc291768219"/>
      <w:bookmarkStart w:id="156" w:name="_Toc297718720"/>
      <w:bookmarkStart w:id="157" w:name="_Toc297904453"/>
      <w:bookmarkStart w:id="158" w:name="_Toc297904527"/>
      <w:bookmarkStart w:id="159" w:name="_Toc299716958"/>
      <w:bookmarkStart w:id="160" w:name="_Toc299717455"/>
      <w:bookmarkStart w:id="161" w:name="_Toc301268082"/>
      <w:bookmarkStart w:id="162" w:name="_Toc301345252"/>
      <w:bookmarkStart w:id="163" w:name="_Toc303929245"/>
      <w:bookmarkStart w:id="164" w:name="_Toc306013861"/>
      <w:bookmarkStart w:id="165" w:name="_Toc306013959"/>
      <w:bookmarkStart w:id="166" w:name="_Toc306018395"/>
      <w:bookmarkStart w:id="167" w:name="_Toc309727369"/>
      <w:bookmarkStart w:id="168" w:name="_Toc309730090"/>
      <w:bookmarkStart w:id="169" w:name="_Toc320107612"/>
      <w:bookmarkStart w:id="170" w:name="_Toc320108242"/>
      <w:bookmarkStart w:id="171" w:name="_Toc320187192"/>
      <w:bookmarkStart w:id="172" w:name="_Toc322004254"/>
      <w:bookmarkStart w:id="173" w:name="_Toc322006190"/>
      <w:bookmarkStart w:id="174" w:name="_Toc325551388"/>
      <w:bookmarkStart w:id="175" w:name="_Toc325553554"/>
      <w:bookmarkStart w:id="176" w:name="_Toc325553653"/>
      <w:bookmarkStart w:id="177" w:name="_Toc325553752"/>
      <w:bookmarkStart w:id="178" w:name="_Toc325554222"/>
      <w:ins w:id="179" w:author="svcMRProcess" w:date="2018-09-06T00:44:00Z">
        <w:r>
          <w:rPr>
            <w:rStyle w:val="CharSectno"/>
          </w:rPr>
          <w:t>5A</w:t>
        </w:r>
        <w:r>
          <w:t>.</w:t>
        </w:r>
        <w:r>
          <w:tab/>
          <w:t>Authority required for some investigations</w:t>
        </w:r>
        <w:bookmarkEnd w:id="108"/>
        <w:bookmarkEnd w:id="109"/>
        <w:bookmarkEnd w:id="110"/>
      </w:ins>
    </w:p>
    <w:p>
      <w:pPr>
        <w:pStyle w:val="Subsection"/>
        <w:rPr>
          <w:ins w:id="180" w:author="svcMRProcess" w:date="2018-09-06T00:44:00Z"/>
        </w:rPr>
      </w:pPr>
      <w:ins w:id="181" w:author="svcMRProcess" w:date="2018-09-06T00:44:00Z">
        <w:r>
          <w:tab/>
        </w:r>
        <w:r>
          <w:tab/>
          <w:t xml:space="preserve">This Act is subject to the </w:t>
        </w:r>
        <w:r>
          <w:rPr>
            <w:i/>
          </w:rPr>
          <w:t>Criminal Appeals Act 2004</w:t>
        </w:r>
        <w:r>
          <w:t xml:space="preserve"> section 46C.</w:t>
        </w:r>
      </w:ins>
    </w:p>
    <w:p>
      <w:pPr>
        <w:pStyle w:val="Footnotesection"/>
      </w:pPr>
      <w:ins w:id="182" w:author="svcMRProcess" w:date="2018-09-06T00:44:00Z">
        <w:r>
          <w:tab/>
          <w:t>[Section 5A inserted by No. 9 of 2012 s. 10</w:t>
        </w:r>
      </w:ins>
      <w:r>
        <w:t>.]</w:t>
      </w:r>
    </w:p>
    <w:p>
      <w:pPr>
        <w:pStyle w:val="Heading2"/>
      </w:pPr>
      <w:bookmarkStart w:id="183" w:name="_Toc336264284"/>
      <w:r>
        <w:rPr>
          <w:rStyle w:val="CharPartNo"/>
        </w:rPr>
        <w:t>Part II</w:t>
      </w:r>
      <w:r>
        <w:rPr>
          <w:rStyle w:val="CharDivNo"/>
        </w:rPr>
        <w:t> </w:t>
      </w:r>
      <w:r>
        <w:t>—</w:t>
      </w:r>
      <w:r>
        <w:rPr>
          <w:rStyle w:val="CharDivText"/>
        </w:rPr>
        <w:t> </w:t>
      </w:r>
      <w:r>
        <w:rPr>
          <w:rStyle w:val="CharPartText"/>
        </w:rPr>
        <w:t>Offences relating to prohibited drugs and prohibited plants</w:t>
      </w:r>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83"/>
    </w:p>
    <w:p>
      <w:pPr>
        <w:pStyle w:val="Heading5"/>
        <w:rPr>
          <w:snapToGrid w:val="0"/>
        </w:rPr>
      </w:pPr>
      <w:bookmarkStart w:id="184" w:name="_Toc503149539"/>
      <w:bookmarkStart w:id="185" w:name="_Toc534613834"/>
      <w:bookmarkStart w:id="186" w:name="_Toc535053873"/>
      <w:bookmarkStart w:id="187" w:name="_Toc109615232"/>
      <w:bookmarkStart w:id="188" w:name="_Toc215543718"/>
      <w:bookmarkStart w:id="189" w:name="_Toc336264285"/>
      <w:bookmarkStart w:id="190" w:name="_Toc325554223"/>
      <w:r>
        <w:rPr>
          <w:rStyle w:val="CharSectno"/>
        </w:rPr>
        <w:t>5</w:t>
      </w:r>
      <w:r>
        <w:rPr>
          <w:snapToGrid w:val="0"/>
        </w:rPr>
        <w:t>.</w:t>
      </w:r>
      <w:r>
        <w:rPr>
          <w:snapToGrid w:val="0"/>
        </w:rPr>
        <w:tab/>
        <w:t>Offences concerned with prohibited drugs and prohibited plants in relation to premises and utensils</w:t>
      </w:r>
      <w:bookmarkEnd w:id="184"/>
      <w:bookmarkEnd w:id="185"/>
      <w:bookmarkEnd w:id="186"/>
      <w:bookmarkEnd w:id="187"/>
      <w:bookmarkEnd w:id="188"/>
      <w:bookmarkEnd w:id="189"/>
      <w:bookmarkEnd w:id="190"/>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being the occupier of any premises, knowingly permits those premises to be used for the purpose of — </w:t>
      </w:r>
    </w:p>
    <w:p>
      <w:pPr>
        <w:pStyle w:val="Indenti"/>
        <w:rPr>
          <w:snapToGrid w:val="0"/>
        </w:rPr>
      </w:pPr>
      <w:r>
        <w:rPr>
          <w:snapToGrid w:val="0"/>
        </w:rPr>
        <w:tab/>
        <w:t>(i)</w:t>
      </w:r>
      <w:r>
        <w:rPr>
          <w:snapToGrid w:val="0"/>
        </w:rPr>
        <w:tab/>
        <w:t>the manufacture or preparation of a prohibited drug or prohibited plant for use; or</w:t>
      </w:r>
    </w:p>
    <w:p>
      <w:pPr>
        <w:pStyle w:val="Indenti"/>
        <w:rPr>
          <w:snapToGrid w:val="0"/>
        </w:rPr>
      </w:pPr>
      <w:r>
        <w:rPr>
          <w:snapToGrid w:val="0"/>
        </w:rPr>
        <w:tab/>
        <w:t>(ii)</w:t>
      </w:r>
      <w:r>
        <w:rPr>
          <w:snapToGrid w:val="0"/>
        </w:rPr>
        <w:tab/>
        <w:t>the manufacture, preparation, sale, supply or use of a prohibited drug or prohibited plant;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being the owner or lessee of any premises, knowingly permits those premises to be used for the purpose of using a prohibited drug or prohibited plant; or</w:t>
      </w:r>
    </w:p>
    <w:p>
      <w:pPr>
        <w:pStyle w:val="Indenta"/>
        <w:rPr>
          <w:snapToGrid w:val="0"/>
        </w:rPr>
      </w:pPr>
      <w:r>
        <w:rPr>
          <w:snapToGrid w:val="0"/>
        </w:rPr>
        <w:tab/>
        <w:t>(c)</w:t>
      </w:r>
      <w:r>
        <w:rPr>
          <w:snapToGrid w:val="0"/>
        </w:rPr>
        <w:tab/>
        <w:t>is knowingly concerned in the management of any premises used for any of the purposes referred to in paragraphs (a) and (b); or</w:t>
      </w:r>
    </w:p>
    <w:p>
      <w:pPr>
        <w:pStyle w:val="Indenta"/>
        <w:rPr>
          <w:snapToGrid w:val="0"/>
        </w:rPr>
      </w:pPr>
      <w:r>
        <w:rPr>
          <w:snapToGrid w:val="0"/>
        </w:rPr>
        <w:tab/>
        <w:t>(d)</w:t>
      </w:r>
      <w:r>
        <w:rPr>
          <w:snapToGrid w:val="0"/>
        </w:rPr>
        <w:tab/>
        <w:t>has in his possession — </w:t>
      </w:r>
    </w:p>
    <w:p>
      <w:pPr>
        <w:pStyle w:val="Indenti"/>
        <w:rPr>
          <w:snapToGrid w:val="0"/>
        </w:rPr>
      </w:pPr>
      <w:r>
        <w:rPr>
          <w:snapToGrid w:val="0"/>
        </w:rPr>
        <w:tab/>
        <w:t>(i)</w:t>
      </w:r>
      <w:r>
        <w:rPr>
          <w:snapToGrid w:val="0"/>
        </w:rPr>
        <w:tab/>
        <w:t>any pipes or other utensils for use in connection with the smoking of a prohibited drug or prohibited plant; or</w:t>
      </w:r>
    </w:p>
    <w:p>
      <w:pPr>
        <w:pStyle w:val="Indenti"/>
        <w:rPr>
          <w:snapToGrid w:val="0"/>
        </w:rPr>
      </w:pPr>
      <w:r>
        <w:rPr>
          <w:snapToGrid w:val="0"/>
        </w:rPr>
        <w:tab/>
        <w:t>(ii)</w:t>
      </w:r>
      <w:r>
        <w:rPr>
          <w:snapToGrid w:val="0"/>
        </w:rPr>
        <w:tab/>
        <w:t>any utensils used in connection with the manufacture or preparation of a prohibited drug or prohibited plant for smoking,</w:t>
      </w:r>
    </w:p>
    <w:p>
      <w:pPr>
        <w:pStyle w:val="Indenta"/>
        <w:rPr>
          <w:snapToGrid w:val="0"/>
        </w:rPr>
      </w:pPr>
      <w:r>
        <w:rPr>
          <w:snapToGrid w:val="0"/>
        </w:rPr>
        <w:tab/>
      </w:r>
      <w:r>
        <w:rPr>
          <w:snapToGrid w:val="0"/>
        </w:rPr>
        <w:tab/>
        <w:t>in or on which pipes or utensils there are detectable traces of a prohibited drug or prohibited plant; or</w:t>
      </w:r>
    </w:p>
    <w:p>
      <w:pPr>
        <w:pStyle w:val="Indenta"/>
        <w:rPr>
          <w:snapToGrid w:val="0"/>
        </w:rPr>
      </w:pPr>
      <w:r>
        <w:rPr>
          <w:snapToGrid w:val="0"/>
        </w:rPr>
        <w:tab/>
        <w:t>(e)</w:t>
      </w:r>
      <w:r>
        <w:rPr>
          <w:snapToGrid w:val="0"/>
        </w:rPr>
        <w:tab/>
        <w:t>is found in any place which is then being used for the purpose of smoking a prohibited drug or prohibited plant other than cannabis,</w:t>
      </w:r>
    </w:p>
    <w:p>
      <w:pPr>
        <w:pStyle w:val="Subsection"/>
        <w:spacing w:before="120"/>
        <w:rPr>
          <w:snapToGrid w:val="0"/>
        </w:rPr>
      </w:pPr>
      <w:r>
        <w:rPr>
          <w:snapToGrid w:val="0"/>
        </w:rPr>
        <w:tab/>
      </w:r>
      <w:r>
        <w:rPr>
          <w:snapToGrid w:val="0"/>
        </w:rPr>
        <w:tab/>
        <w:t xml:space="preserve">except when he is authorised by or under this Act or by or under the </w:t>
      </w:r>
      <w:r>
        <w:rPr>
          <w:i/>
          <w:snapToGrid w:val="0"/>
        </w:rPr>
        <w:t>Poisons Act 1964</w:t>
      </w:r>
      <w:r>
        <w:rPr>
          <w:snapToGrid w:val="0"/>
        </w:rPr>
        <w:t xml:space="preserve"> to do so, commits a simple offence.</w:t>
      </w:r>
    </w:p>
    <w:p>
      <w:pPr>
        <w:pStyle w:val="Subsection"/>
        <w:keepNext/>
        <w:rPr>
          <w:snapToGrid w:val="0"/>
        </w:rPr>
      </w:pPr>
      <w:r>
        <w:rPr>
          <w:snapToGrid w:val="0"/>
        </w:rPr>
        <w:tab/>
        <w:t>(2)</w:t>
      </w:r>
      <w:r>
        <w:rPr>
          <w:snapToGrid w:val="0"/>
        </w:rPr>
        <w:tab/>
        <w:t>In subsection (1) — </w:t>
      </w:r>
    </w:p>
    <w:p>
      <w:pPr>
        <w:pStyle w:val="Defstart"/>
      </w:pPr>
      <w:r>
        <w:rPr>
          <w:b/>
        </w:rPr>
        <w:tab/>
      </w:r>
      <w:r>
        <w:rPr>
          <w:rStyle w:val="CharDefText"/>
        </w:rPr>
        <w:t>owner</w:t>
      </w:r>
      <w:r>
        <w:t>, in relation to any premises, includes the person entitled to receive the rent of those premises and the person to whom the rent of those premises is paid.</w:t>
      </w:r>
    </w:p>
    <w:p>
      <w:pPr>
        <w:pStyle w:val="Subsection"/>
        <w:keepNext/>
      </w:pPr>
      <w:r>
        <w:tab/>
        <w:t>(3)</w:t>
      </w:r>
      <w:r>
        <w:tab/>
        <w:t xml:space="preserve">A </w:t>
      </w:r>
      <w:r>
        <w:rPr>
          <w:snapToGrid w:val="0"/>
        </w:rPr>
        <w:t>person</w:t>
      </w:r>
      <w:r>
        <w:t xml:space="preserve"> does not commit a simple offence under subsection (1)(d) by reason only of his having in his possession a pipe or utensil if he proves —</w:t>
      </w:r>
    </w:p>
    <w:p>
      <w:pPr>
        <w:pStyle w:val="Indenta"/>
      </w:pPr>
      <w:r>
        <w:tab/>
        <w:t>(a)</w:t>
      </w:r>
      <w:r>
        <w:tab/>
        <w:t>that he had possession of the pipe or utensil —</w:t>
      </w:r>
    </w:p>
    <w:p>
      <w:pPr>
        <w:pStyle w:val="Indenti"/>
      </w:pPr>
      <w:r>
        <w:tab/>
        <w:t>(i)</w:t>
      </w:r>
      <w:r>
        <w:tab/>
      </w:r>
      <w:r>
        <w:rPr>
          <w:snapToGrid w:val="0"/>
        </w:rPr>
        <w:t>only</w:t>
      </w:r>
      <w:r>
        <w:t xml:space="preserve"> for the purpose of delivering it to a person authorised under this Act or the </w:t>
      </w:r>
      <w:r>
        <w:rPr>
          <w:i/>
          <w:iCs/>
        </w:rPr>
        <w:t>Poisons Act 1964</w:t>
      </w:r>
      <w:r>
        <w:t xml:space="preserve"> to have possession of any prohibited drug or prohibited plant in or on it; and</w:t>
      </w:r>
    </w:p>
    <w:p>
      <w:pPr>
        <w:pStyle w:val="Indenti"/>
      </w:pPr>
      <w:r>
        <w:tab/>
        <w:t>(ii)</w:t>
      </w:r>
      <w:r>
        <w:tab/>
        <w:t>in accordance with the authority in writing of the person so authorised,</w:t>
      </w:r>
    </w:p>
    <w:p>
      <w:pPr>
        <w:pStyle w:val="Indenta"/>
      </w:pPr>
      <w:r>
        <w:tab/>
      </w:r>
      <w:r>
        <w:tab/>
        <w:t>and that, after taking possession of the pipe or utensil, he took all such steps as were reasonably open to him to deliver it into the possession of that person; or</w:t>
      </w:r>
    </w:p>
    <w:p>
      <w:pPr>
        <w:pStyle w:val="Indenta"/>
      </w:pPr>
      <w:r>
        <w:tab/>
        <w:t>(b)</w:t>
      </w:r>
      <w:r>
        <w:tab/>
      </w:r>
      <w:r>
        <w:rPr>
          <w:snapToGrid w:val="0"/>
        </w:rPr>
        <w:t>that</w:t>
      </w:r>
      <w:r>
        <w:t xml:space="preserve"> he had possession of the pipe or utensil only for the purpose of analysing material in or on it, examining it or otherwise dealing with it for the purposes of this Act in his capacity as an analyst, botanist or other expert.</w:t>
      </w:r>
    </w:p>
    <w:p>
      <w:pPr>
        <w:pStyle w:val="Footnotesection"/>
      </w:pPr>
      <w:r>
        <w:tab/>
        <w:t>[Section 5 amended by No. 52 of 2003 s. 28; No. 44 of 2010 s. 4.]</w:t>
      </w:r>
    </w:p>
    <w:p>
      <w:pPr>
        <w:pStyle w:val="Heading5"/>
        <w:rPr>
          <w:snapToGrid w:val="0"/>
        </w:rPr>
      </w:pPr>
      <w:bookmarkStart w:id="191" w:name="_Toc503149540"/>
      <w:bookmarkStart w:id="192" w:name="_Toc534613835"/>
      <w:bookmarkStart w:id="193" w:name="_Toc535053874"/>
      <w:bookmarkStart w:id="194" w:name="_Toc109615233"/>
      <w:bookmarkStart w:id="195" w:name="_Toc215543719"/>
      <w:bookmarkStart w:id="196" w:name="_Toc336264286"/>
      <w:bookmarkStart w:id="197" w:name="_Toc325554224"/>
      <w:r>
        <w:rPr>
          <w:rStyle w:val="CharSectno"/>
        </w:rPr>
        <w:t>6</w:t>
      </w:r>
      <w:r>
        <w:rPr>
          <w:snapToGrid w:val="0"/>
        </w:rPr>
        <w:t>.</w:t>
      </w:r>
      <w:r>
        <w:rPr>
          <w:snapToGrid w:val="0"/>
        </w:rPr>
        <w:tab/>
        <w:t>Offences concerned with prohibited drugs generally</w:t>
      </w:r>
      <w:bookmarkEnd w:id="191"/>
      <w:bookmarkEnd w:id="192"/>
      <w:bookmarkEnd w:id="193"/>
      <w:bookmarkEnd w:id="194"/>
      <w:bookmarkEnd w:id="195"/>
      <w:bookmarkEnd w:id="196"/>
      <w:bookmarkEnd w:id="197"/>
    </w:p>
    <w:p>
      <w:pPr>
        <w:pStyle w:val="Subsection"/>
        <w:rPr>
          <w:snapToGrid w:val="0"/>
        </w:rPr>
      </w:pPr>
      <w:r>
        <w:rPr>
          <w:snapToGrid w:val="0"/>
        </w:rPr>
        <w:tab/>
        <w:t>(1)</w:t>
      </w:r>
      <w:r>
        <w:rPr>
          <w:snapToGrid w:val="0"/>
        </w:rPr>
        <w:tab/>
        <w:t>Subject to subsection (3), a person who — </w:t>
      </w:r>
    </w:p>
    <w:p>
      <w:pPr>
        <w:pStyle w:val="Indenta"/>
        <w:rPr>
          <w:snapToGrid w:val="0"/>
        </w:rPr>
      </w:pPr>
      <w:r>
        <w:rPr>
          <w:snapToGrid w:val="0"/>
        </w:rPr>
        <w:tab/>
        <w:t>(a)</w:t>
      </w:r>
      <w:r>
        <w:rPr>
          <w:snapToGrid w:val="0"/>
        </w:rPr>
        <w:tab/>
        <w:t>with intent to sell or supply it to another, has in his possession; or</w:t>
      </w:r>
    </w:p>
    <w:p>
      <w:pPr>
        <w:pStyle w:val="Indenta"/>
        <w:rPr>
          <w:snapToGrid w:val="0"/>
        </w:rPr>
      </w:pPr>
      <w:r>
        <w:rPr>
          <w:snapToGrid w:val="0"/>
        </w:rPr>
        <w:tab/>
        <w:t>(b)</w:t>
      </w:r>
      <w:r>
        <w:rPr>
          <w:snapToGrid w:val="0"/>
        </w:rPr>
        <w:tab/>
        <w:t>manufactures or prepares; or</w:t>
      </w:r>
    </w:p>
    <w:p>
      <w:pPr>
        <w:pStyle w:val="Indenta"/>
        <w:rPr>
          <w:snapToGrid w:val="0"/>
        </w:rPr>
      </w:pPr>
      <w:r>
        <w:rPr>
          <w:snapToGrid w:val="0"/>
        </w:rPr>
        <w:tab/>
        <w:t>(c)</w:t>
      </w:r>
      <w:r>
        <w:rPr>
          <w:snapToGrid w:val="0"/>
        </w:rPr>
        <w:tab/>
        <w:t>sells or supplies, or offers to sell or supply, to another,</w:t>
      </w:r>
    </w:p>
    <w:p>
      <w:pPr>
        <w:pStyle w:val="Subsection"/>
        <w:rPr>
          <w:snapToGrid w:val="0"/>
        </w:rPr>
      </w:pPr>
      <w:r>
        <w:rPr>
          <w:snapToGrid w:val="0"/>
        </w:rPr>
        <w:tab/>
      </w:r>
      <w:r>
        <w:rPr>
          <w:snapToGrid w:val="0"/>
        </w:rPr>
        <w:tab/>
        <w:t xml:space="preserve">a prohibited drug commits a crime, except when he is authorised by or under this Act or by or under the </w:t>
      </w:r>
      <w:r>
        <w:rPr>
          <w:i/>
          <w:snapToGrid w:val="0"/>
        </w:rPr>
        <w:t>Poisons Act 1964</w:t>
      </w:r>
      <w:r>
        <w:rPr>
          <w:snapToGrid w:val="0"/>
        </w:rPr>
        <w:t xml:space="preserve"> to do so and does so in accordance with that authority.</w:t>
      </w:r>
    </w:p>
    <w:p>
      <w:pPr>
        <w:pStyle w:val="Subsection"/>
        <w:rPr>
          <w:snapToGrid w:val="0"/>
        </w:rPr>
      </w:pPr>
      <w:r>
        <w:rPr>
          <w:snapToGrid w:val="0"/>
        </w:rPr>
        <w:tab/>
        <w:t>(2)</w:t>
      </w:r>
      <w:r>
        <w:rPr>
          <w:snapToGrid w:val="0"/>
        </w:rPr>
        <w:tab/>
        <w:t xml:space="preserve">Subject to subsection (3) and to section 36A of the </w:t>
      </w:r>
      <w:r>
        <w:rPr>
          <w:i/>
          <w:snapToGrid w:val="0"/>
        </w:rPr>
        <w:t>Poisons Act 1964</w:t>
      </w:r>
      <w:r>
        <w:rPr>
          <w:snapToGrid w:val="0"/>
        </w:rPr>
        <w:t>, a person who has in his possession or uses a prohibited drug commits a simple offence, except when, in the case of a person who has the prohibited drug in his possession — </w:t>
      </w:r>
    </w:p>
    <w:p>
      <w:pPr>
        <w:pStyle w:val="Indenta"/>
        <w:rPr>
          <w:snapToGrid w:val="0"/>
        </w:rPr>
      </w:pPr>
      <w:r>
        <w:rPr>
          <w:snapToGrid w:val="0"/>
        </w:rPr>
        <w:tab/>
        <w:t>(a)</w:t>
      </w:r>
      <w:r>
        <w:rPr>
          <w:snapToGrid w:val="0"/>
        </w:rPr>
        <w:tab/>
        <w:t xml:space="preserve">he is authorised by or under this Act or by or under the </w:t>
      </w:r>
      <w:r>
        <w:rPr>
          <w:i/>
          <w:snapToGrid w:val="0"/>
        </w:rPr>
        <w:t>Poisons Act 1964</w:t>
      </w:r>
      <w:r>
        <w:rPr>
          <w:snapToGrid w:val="0"/>
        </w:rPr>
        <w:t xml:space="preserve"> </w:t>
      </w:r>
      <w:r>
        <w:t xml:space="preserve">or the </w:t>
      </w:r>
      <w:r>
        <w:rPr>
          <w:i/>
        </w:rPr>
        <w:t>Industrial Hemp Act 2004</w:t>
      </w:r>
      <w:r>
        <w:t xml:space="preserve"> </w:t>
      </w:r>
      <w:r>
        <w:rPr>
          <w:snapToGrid w:val="0"/>
        </w:rPr>
        <w:t>to do so and does so in accordance with that authority; or</w:t>
      </w:r>
    </w:p>
    <w:p>
      <w:pPr>
        <w:pStyle w:val="Indenta"/>
        <w:rPr>
          <w:snapToGrid w:val="0"/>
        </w:rPr>
      </w:pPr>
      <w:r>
        <w:rPr>
          <w:snapToGrid w:val="0"/>
        </w:rPr>
        <w:tab/>
        <w:t>(b)</w:t>
      </w:r>
      <w:r>
        <w:rPr>
          <w:snapToGrid w:val="0"/>
        </w:rPr>
        <w:tab/>
        <w:t>the prohibited drug was sold or supplied, or requested to be sold or supplied, to him — </w:t>
      </w:r>
    </w:p>
    <w:p>
      <w:pPr>
        <w:pStyle w:val="Indenti"/>
        <w:rPr>
          <w:snapToGrid w:val="0"/>
        </w:rPr>
      </w:pPr>
      <w:r>
        <w:rPr>
          <w:snapToGrid w:val="0"/>
        </w:rPr>
        <w:tab/>
        <w:t>(i)</w:t>
      </w:r>
      <w:r>
        <w:rPr>
          <w:snapToGrid w:val="0"/>
        </w:rPr>
        <w:tab/>
        <w:t>by a medical practitioner</w:t>
      </w:r>
      <w:r>
        <w:t>, nurse practitioner</w:t>
      </w:r>
      <w:r>
        <w:rPr>
          <w:snapToGrid w:val="0"/>
        </w:rPr>
        <w:t xml:space="preserve"> or veterinary surgeon in the lawful practice of his profession; or</w:t>
      </w:r>
    </w:p>
    <w:p>
      <w:pPr>
        <w:pStyle w:val="Indenti"/>
        <w:rPr>
          <w:snapToGrid w:val="0"/>
        </w:rPr>
      </w:pPr>
      <w:r>
        <w:rPr>
          <w:snapToGrid w:val="0"/>
        </w:rPr>
        <w:tab/>
        <w:t>(ii)</w:t>
      </w:r>
      <w:r>
        <w:rPr>
          <w:snapToGrid w:val="0"/>
        </w:rPr>
        <w:tab/>
        <w:t>on and in accordance with an authorised prescription.</w:t>
      </w:r>
    </w:p>
    <w:p>
      <w:pPr>
        <w:pStyle w:val="Subsection"/>
        <w:rPr>
          <w:snapToGrid w:val="0"/>
        </w:rPr>
      </w:pPr>
      <w:r>
        <w:rPr>
          <w:snapToGrid w:val="0"/>
        </w:rPr>
        <w:tab/>
        <w:t>(3)</w:t>
      </w:r>
      <w:r>
        <w:rPr>
          <w:snapToGrid w:val="0"/>
        </w:rPr>
        <w:tab/>
        <w:t>A person does not commit a crime under subsection (1) or a simple offence under subsection (2) by reason only of his having in his possession or manufacturing or preparing a prohibited drug if he proves that he had possession of or manufactured or prepared the prohibited drug only for the purpose of — </w:t>
      </w:r>
    </w:p>
    <w:p>
      <w:pPr>
        <w:pStyle w:val="Indenta"/>
        <w:rPr>
          <w:snapToGrid w:val="0"/>
        </w:rPr>
      </w:pPr>
      <w:r>
        <w:rPr>
          <w:snapToGrid w:val="0"/>
        </w:rPr>
        <w:tab/>
        <w:t>(a)</w:t>
      </w:r>
      <w:r>
        <w:rPr>
          <w:snapToGrid w:val="0"/>
        </w:rPr>
        <w:tab/>
        <w:t>delivering it to a person authorised — </w:t>
      </w:r>
    </w:p>
    <w:p>
      <w:pPr>
        <w:pStyle w:val="Indenti"/>
        <w:rPr>
          <w:snapToGrid w:val="0"/>
        </w:rPr>
      </w:pPr>
      <w:r>
        <w:rPr>
          <w:snapToGrid w:val="0"/>
        </w:rPr>
        <w:tab/>
        <w:t>(i)</w:t>
      </w:r>
      <w:r>
        <w:rPr>
          <w:snapToGrid w:val="0"/>
        </w:rPr>
        <w:tab/>
        <w:t xml:space="preserve">to have possession of the prohibited drug by or under this Act, by or under the </w:t>
      </w:r>
      <w:r>
        <w:rPr>
          <w:i/>
          <w:snapToGrid w:val="0"/>
        </w:rPr>
        <w:t>Poisons Act 1964</w:t>
      </w:r>
      <w:r>
        <w:rPr>
          <w:snapToGrid w:val="0"/>
        </w:rPr>
        <w:t xml:space="preserve"> or on and in accordance with an authorised prescription; or</w:t>
      </w:r>
    </w:p>
    <w:p>
      <w:pPr>
        <w:pStyle w:val="Indenti"/>
        <w:rPr>
          <w:snapToGrid w:val="0"/>
        </w:rPr>
      </w:pPr>
      <w:r>
        <w:rPr>
          <w:snapToGrid w:val="0"/>
        </w:rPr>
        <w:tab/>
        <w:t>(ii)</w:t>
      </w:r>
      <w:r>
        <w:rPr>
          <w:snapToGrid w:val="0"/>
        </w:rPr>
        <w:tab/>
        <w:t xml:space="preserve">by or under this Act or by or under the </w:t>
      </w:r>
      <w:r>
        <w:rPr>
          <w:i/>
          <w:snapToGrid w:val="0"/>
        </w:rPr>
        <w:t>Poisons Act 1964</w:t>
      </w:r>
      <w:r>
        <w:rPr>
          <w:snapToGrid w:val="0"/>
        </w:rPr>
        <w:t xml:space="preserve"> to manufacture, prepare, sell or supply the prohibited drug,</w:t>
      </w:r>
    </w:p>
    <w:p>
      <w:pPr>
        <w:pStyle w:val="Indenta"/>
        <w:rPr>
          <w:snapToGrid w:val="0"/>
        </w:rPr>
      </w:pPr>
      <w:r>
        <w:rPr>
          <w:snapToGrid w:val="0"/>
        </w:rPr>
        <w:tab/>
      </w:r>
      <w:r>
        <w:rPr>
          <w:snapToGrid w:val="0"/>
        </w:rPr>
        <w:tab/>
        <w:t>and had possession thereof (except in the case of intended delivery to a person authorised to have possession of the prohibited drug on and in accordance with an authorised prescription) in accordance with the authority in writing of the person so authorised, and that, after taking possession of the prohibited drug, he took all such steps as were reasonably open to him to deliver the prohibited drug into the possession of that person; or</w:t>
      </w:r>
    </w:p>
    <w:p>
      <w:pPr>
        <w:pStyle w:val="Indenta"/>
        <w:rPr>
          <w:snapToGrid w:val="0"/>
        </w:rPr>
      </w:pPr>
      <w:r>
        <w:rPr>
          <w:snapToGrid w:val="0"/>
        </w:rPr>
        <w:tab/>
        <w:t>(b)</w:t>
      </w:r>
      <w:r>
        <w:rPr>
          <w:snapToGrid w:val="0"/>
        </w:rPr>
        <w:tab/>
        <w:t>analysing, examining or otherwise dealing with it for the purposes of this Act in his capacity as an analyst, botanist or other expert.</w:t>
      </w:r>
    </w:p>
    <w:p>
      <w:pPr>
        <w:pStyle w:val="Footnotesection"/>
      </w:pPr>
      <w:r>
        <w:tab/>
        <w:t xml:space="preserve">[Section 6 amended by No. 12 of 1994 s. 11; No. 9 of 2003 s. 29; No. 1 of 2004 s. 52; No. 4 of 2004 s. 58.] </w:t>
      </w:r>
    </w:p>
    <w:p>
      <w:pPr>
        <w:pStyle w:val="Heading5"/>
        <w:rPr>
          <w:snapToGrid w:val="0"/>
        </w:rPr>
      </w:pPr>
      <w:bookmarkStart w:id="198" w:name="_Toc503149541"/>
      <w:bookmarkStart w:id="199" w:name="_Toc534613836"/>
      <w:bookmarkStart w:id="200" w:name="_Toc535053875"/>
      <w:bookmarkStart w:id="201" w:name="_Toc109615234"/>
      <w:bookmarkStart w:id="202" w:name="_Toc215543720"/>
      <w:bookmarkStart w:id="203" w:name="_Toc336264287"/>
      <w:bookmarkStart w:id="204" w:name="_Toc325554225"/>
      <w:r>
        <w:rPr>
          <w:rStyle w:val="CharSectno"/>
        </w:rPr>
        <w:t>7</w:t>
      </w:r>
      <w:r>
        <w:rPr>
          <w:snapToGrid w:val="0"/>
        </w:rPr>
        <w:t>.</w:t>
      </w:r>
      <w:r>
        <w:rPr>
          <w:snapToGrid w:val="0"/>
        </w:rPr>
        <w:tab/>
        <w:t>Offences concerned with prohibited plants generally</w:t>
      </w:r>
      <w:bookmarkEnd w:id="198"/>
      <w:bookmarkEnd w:id="199"/>
      <w:bookmarkEnd w:id="200"/>
      <w:bookmarkEnd w:id="201"/>
      <w:bookmarkEnd w:id="202"/>
      <w:bookmarkEnd w:id="203"/>
      <w:bookmarkEnd w:id="204"/>
    </w:p>
    <w:p>
      <w:pPr>
        <w:pStyle w:val="Subsection"/>
        <w:rPr>
          <w:snapToGrid w:val="0"/>
        </w:rPr>
      </w:pPr>
      <w:r>
        <w:rPr>
          <w:snapToGrid w:val="0"/>
        </w:rPr>
        <w:tab/>
        <w:t>(1)</w:t>
      </w:r>
      <w:r>
        <w:rPr>
          <w:snapToGrid w:val="0"/>
        </w:rPr>
        <w:tab/>
        <w:t>Subject to subsection (3), a person who — </w:t>
      </w:r>
    </w:p>
    <w:p>
      <w:pPr>
        <w:pStyle w:val="Indenta"/>
        <w:rPr>
          <w:snapToGrid w:val="0"/>
        </w:rPr>
      </w:pPr>
      <w:r>
        <w:rPr>
          <w:snapToGrid w:val="0"/>
        </w:rPr>
        <w:tab/>
        <w:t>(a)</w:t>
      </w:r>
      <w:r>
        <w:rPr>
          <w:snapToGrid w:val="0"/>
        </w:rPr>
        <w:tab/>
        <w:t>with intent to sell or supply a prohibited plant or any prohibited drug obtainable therefrom to another, has in his possession or cultivates the prohibited plant; or</w:t>
      </w:r>
    </w:p>
    <w:p>
      <w:pPr>
        <w:pStyle w:val="Indenta"/>
        <w:rPr>
          <w:snapToGrid w:val="0"/>
        </w:rPr>
      </w:pPr>
      <w:r>
        <w:rPr>
          <w:snapToGrid w:val="0"/>
        </w:rPr>
        <w:tab/>
        <w:t>(b)</w:t>
      </w:r>
      <w:r>
        <w:rPr>
          <w:snapToGrid w:val="0"/>
        </w:rPr>
        <w:tab/>
        <w:t>sells or supplies, or offers to sell or supply, a prohibited plant to another,</w:t>
      </w:r>
    </w:p>
    <w:p>
      <w:pPr>
        <w:pStyle w:val="Subsection"/>
        <w:rPr>
          <w:snapToGrid w:val="0"/>
        </w:rPr>
      </w:pPr>
      <w:r>
        <w:rPr>
          <w:snapToGrid w:val="0"/>
        </w:rPr>
        <w:tab/>
      </w:r>
      <w:r>
        <w:rPr>
          <w:snapToGrid w:val="0"/>
        </w:rPr>
        <w:tab/>
        <w:t xml:space="preserve">commits a crime, except when he is authorised by or under this Act or by or under the </w:t>
      </w:r>
      <w:r>
        <w:rPr>
          <w:i/>
          <w:snapToGrid w:val="0"/>
        </w:rPr>
        <w:t>Poisons Act 1964</w:t>
      </w:r>
      <w:r>
        <w:rPr>
          <w:snapToGrid w:val="0"/>
        </w:rPr>
        <w:t xml:space="preserve"> to do so and does so in accordance with that authority.</w:t>
      </w:r>
    </w:p>
    <w:p>
      <w:pPr>
        <w:pStyle w:val="Subsection"/>
        <w:rPr>
          <w:snapToGrid w:val="0"/>
        </w:rPr>
      </w:pPr>
      <w:r>
        <w:rPr>
          <w:snapToGrid w:val="0"/>
        </w:rPr>
        <w:tab/>
        <w:t>(2)</w:t>
      </w:r>
      <w:r>
        <w:rPr>
          <w:snapToGrid w:val="0"/>
        </w:rPr>
        <w:tab/>
        <w:t xml:space="preserve">Subject to subsection (3), a person who has in his possession or cultivates a prohibited plant commits a simple offence, except when he is authorised by or under this Act or by or under the </w:t>
      </w:r>
      <w:r>
        <w:rPr>
          <w:i/>
          <w:snapToGrid w:val="0"/>
        </w:rPr>
        <w:t>Poisons Act 1964</w:t>
      </w:r>
      <w:r>
        <w:rPr>
          <w:snapToGrid w:val="0"/>
        </w:rPr>
        <w:t xml:space="preserve"> </w:t>
      </w:r>
      <w:r>
        <w:t xml:space="preserve">or the </w:t>
      </w:r>
      <w:r>
        <w:rPr>
          <w:i/>
        </w:rPr>
        <w:t>Industrial Hemp Act 2004</w:t>
      </w:r>
      <w:r>
        <w:t xml:space="preserve"> </w:t>
      </w:r>
      <w:r>
        <w:rPr>
          <w:snapToGrid w:val="0"/>
        </w:rPr>
        <w:t>to do so and does so in accordance with that authority.</w:t>
      </w:r>
    </w:p>
    <w:p>
      <w:pPr>
        <w:pStyle w:val="Subsection"/>
        <w:rPr>
          <w:snapToGrid w:val="0"/>
        </w:rPr>
      </w:pPr>
      <w:r>
        <w:rPr>
          <w:snapToGrid w:val="0"/>
        </w:rPr>
        <w:tab/>
        <w:t>(3)</w:t>
      </w:r>
      <w:r>
        <w:rPr>
          <w:snapToGrid w:val="0"/>
        </w:rPr>
        <w:tab/>
        <w:t>A person does not commit a crime under subsection (1) or a simple offence under subsection (2) by reason only of his having in his possession a prohibited plant if he proves that he had possession of the prohibited plant only for the purpose of —</w:t>
      </w:r>
    </w:p>
    <w:p>
      <w:pPr>
        <w:pStyle w:val="Indenta"/>
        <w:rPr>
          <w:snapToGrid w:val="0"/>
        </w:rPr>
      </w:pPr>
      <w:r>
        <w:rPr>
          <w:snapToGrid w:val="0"/>
        </w:rPr>
        <w:tab/>
        <w:t>(a)</w:t>
      </w:r>
      <w:r>
        <w:rPr>
          <w:snapToGrid w:val="0"/>
        </w:rPr>
        <w:tab/>
        <w:t>delivering it or any prohibited drug obtainable therefrom to a person authorised — </w:t>
      </w:r>
    </w:p>
    <w:p>
      <w:pPr>
        <w:pStyle w:val="Indenti"/>
        <w:rPr>
          <w:snapToGrid w:val="0"/>
        </w:rPr>
      </w:pPr>
      <w:r>
        <w:rPr>
          <w:snapToGrid w:val="0"/>
        </w:rPr>
        <w:tab/>
        <w:t>(i)</w:t>
      </w:r>
      <w:r>
        <w:rPr>
          <w:snapToGrid w:val="0"/>
        </w:rPr>
        <w:tab/>
        <w:t xml:space="preserve">to have possession of the prohibited plant or that prohibited drug, as the case requires, by or under this Act or by or under the </w:t>
      </w:r>
      <w:r>
        <w:rPr>
          <w:i/>
          <w:snapToGrid w:val="0"/>
        </w:rPr>
        <w:t>Poisons Act 1964</w:t>
      </w:r>
      <w:r>
        <w:rPr>
          <w:snapToGrid w:val="0"/>
        </w:rPr>
        <w:t>; or</w:t>
      </w:r>
    </w:p>
    <w:p>
      <w:pPr>
        <w:pStyle w:val="Indenti"/>
        <w:rPr>
          <w:snapToGrid w:val="0"/>
        </w:rPr>
      </w:pPr>
      <w:r>
        <w:rPr>
          <w:snapToGrid w:val="0"/>
        </w:rPr>
        <w:tab/>
        <w:t>(ii)</w:t>
      </w:r>
      <w:r>
        <w:rPr>
          <w:snapToGrid w:val="0"/>
        </w:rPr>
        <w:tab/>
        <w:t xml:space="preserve">by or under this Act or by or under the </w:t>
      </w:r>
      <w:r>
        <w:rPr>
          <w:i/>
          <w:snapToGrid w:val="0"/>
        </w:rPr>
        <w:t>Poisons Act 1964</w:t>
      </w:r>
      <w:r>
        <w:rPr>
          <w:snapToGrid w:val="0"/>
        </w:rPr>
        <w:t xml:space="preserve"> to sell or supply the prohibited plant or to manufacture, prepare, sell or supply that prohibited drug, as the case requires,</w:t>
      </w:r>
    </w:p>
    <w:p>
      <w:pPr>
        <w:pStyle w:val="Indenta"/>
        <w:rPr>
          <w:snapToGrid w:val="0"/>
        </w:rPr>
      </w:pPr>
      <w:r>
        <w:rPr>
          <w:snapToGrid w:val="0"/>
        </w:rPr>
        <w:tab/>
      </w:r>
      <w:r>
        <w:rPr>
          <w:snapToGrid w:val="0"/>
        </w:rPr>
        <w:tab/>
        <w:t>and had possession of the prohibited plant in accordance with the authority in writing of the person so authorised, and that, after taking possession of the prohibited plant, he took all such steps as were reasonably open to him to deliver the prohibited plant or that prohibited drug into the possession of that person; or</w:t>
      </w:r>
    </w:p>
    <w:p>
      <w:pPr>
        <w:pStyle w:val="Indenta"/>
        <w:rPr>
          <w:snapToGrid w:val="0"/>
        </w:rPr>
      </w:pPr>
      <w:r>
        <w:rPr>
          <w:snapToGrid w:val="0"/>
        </w:rPr>
        <w:tab/>
        <w:t>(b)</w:t>
      </w:r>
      <w:r>
        <w:rPr>
          <w:snapToGrid w:val="0"/>
        </w:rPr>
        <w:tab/>
        <w:t>analysing, examining or otherwise dealing with the prohibited plant or that prohibited drug for the purposes of this Act in his capacity as an analyst, botanist or other expert.</w:t>
      </w:r>
    </w:p>
    <w:p>
      <w:pPr>
        <w:pStyle w:val="Footnotesection"/>
      </w:pPr>
      <w:r>
        <w:tab/>
        <w:t>[Section 7 amended by No. 1 of 2004 s. 52; No. 4 of 2004 s. 58.]</w:t>
      </w:r>
    </w:p>
    <w:p>
      <w:pPr>
        <w:pStyle w:val="Heading5"/>
        <w:spacing w:before="180"/>
        <w:rPr>
          <w:snapToGrid w:val="0"/>
        </w:rPr>
      </w:pPr>
      <w:bookmarkStart w:id="205" w:name="_Toc109615235"/>
      <w:bookmarkStart w:id="206" w:name="_Toc215543721"/>
      <w:bookmarkStart w:id="207" w:name="_Toc336264288"/>
      <w:bookmarkStart w:id="208" w:name="_Toc325554226"/>
      <w:bookmarkStart w:id="209" w:name="_Toc503149542"/>
      <w:bookmarkStart w:id="210" w:name="_Toc534613837"/>
      <w:bookmarkStart w:id="211" w:name="_Toc535053876"/>
      <w:r>
        <w:rPr>
          <w:rStyle w:val="CharSectno"/>
        </w:rPr>
        <w:t>7A</w:t>
      </w:r>
      <w:r>
        <w:rPr>
          <w:snapToGrid w:val="0"/>
        </w:rPr>
        <w:t>.</w:t>
      </w:r>
      <w:r>
        <w:rPr>
          <w:snapToGrid w:val="0"/>
        </w:rPr>
        <w:tab/>
        <w:t>Selling or supplying a thing knowing it will be used in  hydroponic cultivation of prohibited plant</w:t>
      </w:r>
      <w:bookmarkEnd w:id="205"/>
      <w:bookmarkEnd w:id="206"/>
      <w:r>
        <w:rPr>
          <w:snapToGrid w:val="0"/>
        </w:rPr>
        <w:t>s</w:t>
      </w:r>
      <w:bookmarkEnd w:id="207"/>
      <w:bookmarkEnd w:id="208"/>
    </w:p>
    <w:p>
      <w:pPr>
        <w:pStyle w:val="Subsection"/>
        <w:rPr>
          <w:snapToGrid w:val="0"/>
        </w:rPr>
      </w:pPr>
      <w:r>
        <w:rPr>
          <w:snapToGrid w:val="0"/>
        </w:rPr>
        <w:tab/>
        <w:t>(1)</w:t>
      </w:r>
      <w:r>
        <w:rPr>
          <w:snapToGrid w:val="0"/>
        </w:rPr>
        <w:tab/>
        <w:t>A person who sells or supplies, or offers to sell or supply, to another, any thing that the person knows will be used to cultivate a prohibited plant contrary to section 7(1)(a) or (2) by hydroponic means commits an indictable offence.</w:t>
      </w:r>
    </w:p>
    <w:p>
      <w:pPr>
        <w:pStyle w:val="Subsection"/>
        <w:rPr>
          <w:snapToGrid w:val="0"/>
        </w:rPr>
      </w:pPr>
      <w:r>
        <w:rPr>
          <w:snapToGrid w:val="0"/>
        </w:rPr>
        <w:tab/>
        <w:t>(2)</w:t>
      </w:r>
      <w:r>
        <w:rPr>
          <w:snapToGrid w:val="0"/>
        </w:rPr>
        <w:tab/>
        <w:t>A court convicting a person of the offence under subsection (1) may, on the application of the Director of Public Prosecutions or a police prosecutor, in addition order that the person be prohibited for a period set by the court (but not exceeding 2 years) from selling or supplying, or offering for sale or supply, to another, any thing that may be used to cultivate plants by hydroponic means.</w:t>
      </w:r>
    </w:p>
    <w:p>
      <w:pPr>
        <w:pStyle w:val="Subsection"/>
        <w:rPr>
          <w:snapToGrid w:val="0"/>
        </w:rPr>
      </w:pPr>
      <w:r>
        <w:rPr>
          <w:snapToGrid w:val="0"/>
        </w:rPr>
        <w:tab/>
        <w:t>(3)</w:t>
      </w:r>
      <w:r>
        <w:rPr>
          <w:snapToGrid w:val="0"/>
        </w:rPr>
        <w:tab/>
        <w:t>A person who contravenes an order under subsection (2) is guilty of a simple offence.</w:t>
      </w:r>
    </w:p>
    <w:p>
      <w:pPr>
        <w:pStyle w:val="Footnotesection"/>
        <w:rPr>
          <w:snapToGrid/>
        </w:rPr>
      </w:pPr>
      <w:r>
        <w:rPr>
          <w:snapToGrid/>
        </w:rPr>
        <w:tab/>
        <w:t>[Section 7A inserted by No. 52 of 2003 s. 29.]</w:t>
      </w:r>
    </w:p>
    <w:p>
      <w:pPr>
        <w:pStyle w:val="Heading5"/>
        <w:rPr>
          <w:snapToGrid w:val="0"/>
        </w:rPr>
      </w:pPr>
      <w:bookmarkStart w:id="212" w:name="_Toc109615236"/>
      <w:bookmarkStart w:id="213" w:name="_Toc215543722"/>
      <w:bookmarkStart w:id="214" w:name="_Toc336264289"/>
      <w:bookmarkStart w:id="215" w:name="_Toc325554227"/>
      <w:r>
        <w:rPr>
          <w:rStyle w:val="CharSectno"/>
        </w:rPr>
        <w:t>8</w:t>
      </w:r>
      <w:r>
        <w:rPr>
          <w:snapToGrid w:val="0"/>
        </w:rPr>
        <w:t>.</w:t>
      </w:r>
      <w:r>
        <w:rPr>
          <w:snapToGrid w:val="0"/>
        </w:rPr>
        <w:tab/>
        <w:t>Fraudulent behaviour in relation to prohibited drugs</w:t>
      </w:r>
      <w:bookmarkEnd w:id="209"/>
      <w:bookmarkEnd w:id="210"/>
      <w:bookmarkEnd w:id="211"/>
      <w:bookmarkEnd w:id="212"/>
      <w:bookmarkEnd w:id="213"/>
      <w:bookmarkEnd w:id="214"/>
      <w:bookmarkEnd w:id="215"/>
    </w:p>
    <w:p>
      <w:pPr>
        <w:pStyle w:val="Subsection"/>
        <w:rPr>
          <w:snapToGrid w:val="0"/>
        </w:rPr>
      </w:pPr>
      <w:r>
        <w:rPr>
          <w:snapToGrid w:val="0"/>
        </w:rPr>
        <w:tab/>
        <w:t>(1)</w:t>
      </w:r>
      <w:r>
        <w:rPr>
          <w:snapToGrid w:val="0"/>
        </w:rPr>
        <w:tab/>
        <w:t>A person who forges or fraudulently alters, or utters knowing it to be forged or fraudulently altered, a prescription or order for a prohibited drug commits a simple offence.</w:t>
      </w:r>
    </w:p>
    <w:p>
      <w:pPr>
        <w:pStyle w:val="Subsection"/>
        <w:rPr>
          <w:snapToGrid w:val="0"/>
        </w:rPr>
      </w:pPr>
      <w:r>
        <w:rPr>
          <w:snapToGrid w:val="0"/>
        </w:rPr>
        <w:tab/>
        <w:t>(2)</w:t>
      </w:r>
      <w:r>
        <w:rPr>
          <w:snapToGrid w:val="0"/>
        </w:rPr>
        <w:tab/>
        <w:t>A person who by any false representation, whether oral or in writing or otherwise, causes or induces — </w:t>
      </w:r>
    </w:p>
    <w:p>
      <w:pPr>
        <w:pStyle w:val="Indenta"/>
        <w:rPr>
          <w:snapToGrid w:val="0"/>
        </w:rPr>
      </w:pPr>
      <w:r>
        <w:rPr>
          <w:snapToGrid w:val="0"/>
        </w:rPr>
        <w:tab/>
        <w:t>(a)</w:t>
      </w:r>
      <w:r>
        <w:rPr>
          <w:snapToGrid w:val="0"/>
        </w:rPr>
        <w:tab/>
        <w:t xml:space="preserve">a person licensed under the </w:t>
      </w:r>
      <w:r>
        <w:rPr>
          <w:i/>
          <w:snapToGrid w:val="0"/>
        </w:rPr>
        <w:t>Poisons Act 1964</w:t>
      </w:r>
      <w:r>
        <w:rPr>
          <w:snapToGrid w:val="0"/>
        </w:rPr>
        <w:t xml:space="preserve"> to manufacture, sell or supply any prohibited drug; or</w:t>
      </w:r>
    </w:p>
    <w:p>
      <w:pPr>
        <w:pStyle w:val="Indenta"/>
        <w:rPr>
          <w:snapToGrid w:val="0"/>
        </w:rPr>
      </w:pPr>
      <w:r>
        <w:rPr>
          <w:snapToGrid w:val="0"/>
        </w:rPr>
        <w:tab/>
        <w:t>(b)</w:t>
      </w:r>
      <w:r>
        <w:rPr>
          <w:snapToGrid w:val="0"/>
        </w:rPr>
        <w:tab/>
        <w:t>a medical practitioner</w:t>
      </w:r>
      <w:r>
        <w:t>, nurse practitioner</w:t>
      </w:r>
      <w:r>
        <w:rPr>
          <w:snapToGrid w:val="0"/>
        </w:rPr>
        <w:t xml:space="preserve"> or dentist,</w:t>
      </w:r>
    </w:p>
    <w:p>
      <w:pPr>
        <w:pStyle w:val="Subsection"/>
        <w:rPr>
          <w:snapToGrid w:val="0"/>
        </w:rPr>
      </w:pPr>
      <w:r>
        <w:rPr>
          <w:snapToGrid w:val="0"/>
        </w:rPr>
        <w:tab/>
      </w:r>
      <w:r>
        <w:rPr>
          <w:snapToGrid w:val="0"/>
        </w:rPr>
        <w:tab/>
        <w:t>to administer or supply to him by injection or otherwise a prohibited drug commits a simple offence.</w:t>
      </w:r>
    </w:p>
    <w:p>
      <w:pPr>
        <w:pStyle w:val="Footnotesection"/>
      </w:pPr>
      <w:r>
        <w:tab/>
        <w:t>[Section 8 amended by No. 9 of 2003 s. 30.]</w:t>
      </w:r>
    </w:p>
    <w:p>
      <w:pPr>
        <w:pStyle w:val="Heading5"/>
        <w:spacing w:before="180"/>
      </w:pPr>
      <w:bookmarkStart w:id="216" w:name="_Toc109615237"/>
      <w:bookmarkStart w:id="217" w:name="_Toc215543723"/>
      <w:bookmarkStart w:id="218" w:name="_Toc336264290"/>
      <w:bookmarkStart w:id="219" w:name="_Toc325554228"/>
      <w:r>
        <w:rPr>
          <w:rStyle w:val="CharSectno"/>
        </w:rPr>
        <w:t>8A</w:t>
      </w:r>
      <w:r>
        <w:t>.</w:t>
      </w:r>
      <w:r>
        <w:tab/>
        <w:t>Defences relating to industrial hemp or industrial hemp seed</w:t>
      </w:r>
      <w:bookmarkEnd w:id="216"/>
      <w:bookmarkEnd w:id="217"/>
      <w:bookmarkEnd w:id="218"/>
      <w:bookmarkEnd w:id="219"/>
    </w:p>
    <w:p>
      <w:pPr>
        <w:pStyle w:val="Subsection"/>
      </w:pPr>
      <w:r>
        <w:tab/>
        <w:t>(1)</w:t>
      </w:r>
      <w:r>
        <w:tab/>
        <w:t xml:space="preserve">In proceedings against — </w:t>
      </w:r>
    </w:p>
    <w:p>
      <w:pPr>
        <w:pStyle w:val="Indenta"/>
      </w:pPr>
      <w:r>
        <w:tab/>
        <w:t>(a)</w:t>
      </w:r>
      <w:r>
        <w:tab/>
        <w:t xml:space="preserve">a person who may process industrial hemp under a licence granted under the </w:t>
      </w:r>
      <w:r>
        <w:rPr>
          <w:i/>
        </w:rPr>
        <w:t>Industrial Hemp Act 2004</w:t>
      </w:r>
      <w:r>
        <w:t>; or</w:t>
      </w:r>
    </w:p>
    <w:p>
      <w:pPr>
        <w:pStyle w:val="Indenta"/>
        <w:keepNext/>
      </w:pPr>
      <w:r>
        <w:tab/>
        <w:t>(b)</w:t>
      </w:r>
      <w:r>
        <w:tab/>
        <w:t>an employee, agent or contractor of a person referred to in paragraph (a),</w:t>
      </w:r>
    </w:p>
    <w:p>
      <w:pPr>
        <w:pStyle w:val="Subsection"/>
        <w:spacing w:before="120"/>
      </w:pPr>
      <w:r>
        <w:tab/>
      </w:r>
      <w:r>
        <w:tab/>
        <w:t>for an offence against section 5(1)(a)(i) involving the manufacture or preparation of a prohibited drug or prohibited plant for use, it is a defence for the person to prove that the prohibited drug or prohibited plant is industrial hemp or industrial hemp seed.</w:t>
      </w:r>
    </w:p>
    <w:p>
      <w:pPr>
        <w:pStyle w:val="Subsection"/>
        <w:spacing w:before="120"/>
      </w:pPr>
      <w:r>
        <w:tab/>
        <w:t>(2)</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spacing w:before="120"/>
      </w:pPr>
      <w:r>
        <w:tab/>
      </w:r>
      <w:r>
        <w:tab/>
        <w:t>for an offence against section 5(1)(a)(ii) involving the manufacture, preparation, sale, supply or use of a prohibited drug or prohibited plant, it is a defence for the person to prove that the prohibited drug or prohibited plant is industrial hemp or industrial hemp seed.</w:t>
      </w:r>
    </w:p>
    <w:p>
      <w:pPr>
        <w:pStyle w:val="Subsection"/>
      </w:pPr>
      <w:r>
        <w:tab/>
        <w:t>(3)</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5(1)(c) involving being knowingly concerned in the management of any premises used for a purpose referred to in section 5(1)(a), it is a defence for the person to prove that the prohibited drug or prohibited plant is industrial hemp or industrial hemp seed.</w:t>
      </w:r>
    </w:p>
    <w:p>
      <w:pPr>
        <w:pStyle w:val="Subsection"/>
        <w:keepNext/>
      </w:pPr>
      <w:r>
        <w:tab/>
        <w:t>(4)</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6(1)(a), it is a defence for the person to prove that the prohibited drug is industrial hemp or industrial hemp seed.</w:t>
      </w:r>
    </w:p>
    <w:p>
      <w:pPr>
        <w:pStyle w:val="Subsection"/>
      </w:pPr>
      <w:r>
        <w:tab/>
        <w:t>(5)</w:t>
      </w:r>
      <w:r>
        <w:tab/>
        <w:t xml:space="preserve">In proceedings against — </w:t>
      </w:r>
    </w:p>
    <w:p>
      <w:pPr>
        <w:pStyle w:val="Indenta"/>
      </w:pPr>
      <w:r>
        <w:tab/>
        <w:t>(a)</w:t>
      </w:r>
      <w:r>
        <w:tab/>
        <w:t xml:space="preserve">a person who may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6(1)(b) involving manufacturing or preparing a prohibited drug, it is a defence for the person to prove that the prohibited drug is industrial hemp or industrial hemp seed.</w:t>
      </w:r>
    </w:p>
    <w:p>
      <w:pPr>
        <w:pStyle w:val="Subsection"/>
        <w:spacing w:before="120"/>
      </w:pPr>
      <w:r>
        <w:tab/>
        <w:t>(6)</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6(1)(c) involving selling or supplying, or offering to sell or supply a prohibited drug to another, it is a defence for the person to prove that the prohibited drug is industrial hemp or industrial hemp seed.</w:t>
      </w:r>
    </w:p>
    <w:p>
      <w:pPr>
        <w:pStyle w:val="Subsection"/>
      </w:pPr>
      <w:r>
        <w:tab/>
        <w:t>(7)</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6(2) involving possession or use of a prohibited drug, it is a defence for the person to prove that the prohibited drug is industrial hemp or industrial hemp seed.</w:t>
      </w:r>
    </w:p>
    <w:p>
      <w:pPr>
        <w:pStyle w:val="Subsection"/>
      </w:pPr>
      <w:r>
        <w:tab/>
        <w:t>(8)</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 xml:space="preserve">for an offence against — </w:t>
      </w:r>
    </w:p>
    <w:p>
      <w:pPr>
        <w:pStyle w:val="Indenta"/>
      </w:pPr>
      <w:r>
        <w:tab/>
        <w:t>(c)</w:t>
      </w:r>
      <w:r>
        <w:tab/>
        <w:t>section 7(1)(a) involving possessing or cultivating a prohibited plant with intent to sell or supply the prohibited plant or any prohibited drug obtainable therefrom to another; or</w:t>
      </w:r>
    </w:p>
    <w:p>
      <w:pPr>
        <w:pStyle w:val="Indenta"/>
        <w:keepNext/>
      </w:pPr>
      <w:r>
        <w:tab/>
        <w:t>(d)</w:t>
      </w:r>
      <w:r>
        <w:tab/>
        <w:t>section 7(1)(b) involving selling or supplying, or offering to sell or supply, a prohibited plant to another,</w:t>
      </w:r>
    </w:p>
    <w:p>
      <w:pPr>
        <w:pStyle w:val="Subsection"/>
      </w:pPr>
      <w:r>
        <w:tab/>
      </w:r>
      <w:r>
        <w:tab/>
        <w:t>it is a defence for the person to prove that the prohibited plant is industrial hemp or industrial hemp seed.</w:t>
      </w:r>
    </w:p>
    <w:p>
      <w:pPr>
        <w:pStyle w:val="Subsection"/>
      </w:pPr>
      <w:r>
        <w:tab/>
        <w:t>(9)</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7(2) involving having in his or her possession or cultivating a prohibited plant, it is a defence for the person to prove that the prohibited plant is industrial hemp or industrial hemp seed.</w:t>
      </w:r>
    </w:p>
    <w:p>
      <w:pPr>
        <w:pStyle w:val="Footnotesection"/>
      </w:pPr>
      <w:r>
        <w:tab/>
        <w:t>[Section 8A inserted by No. 1 of 2004 s. 54.]</w:t>
      </w:r>
    </w:p>
    <w:p>
      <w:pPr>
        <w:pStyle w:val="Heading2"/>
      </w:pPr>
      <w:bookmarkStart w:id="220" w:name="_Toc299701953"/>
      <w:bookmarkStart w:id="221" w:name="_Toc299716965"/>
      <w:bookmarkStart w:id="222" w:name="_Toc299717462"/>
      <w:bookmarkStart w:id="223" w:name="_Toc301268089"/>
      <w:bookmarkStart w:id="224" w:name="_Toc301345259"/>
      <w:bookmarkStart w:id="225" w:name="_Toc303929252"/>
      <w:bookmarkStart w:id="226" w:name="_Toc306013868"/>
      <w:bookmarkStart w:id="227" w:name="_Toc306013966"/>
      <w:bookmarkStart w:id="228" w:name="_Toc306018402"/>
      <w:bookmarkStart w:id="229" w:name="_Toc309727376"/>
      <w:bookmarkStart w:id="230" w:name="_Toc309730097"/>
      <w:bookmarkStart w:id="231" w:name="_Toc320107619"/>
      <w:bookmarkStart w:id="232" w:name="_Toc320108249"/>
      <w:bookmarkStart w:id="233" w:name="_Toc320187199"/>
      <w:bookmarkStart w:id="234" w:name="_Toc322004261"/>
      <w:bookmarkStart w:id="235" w:name="_Toc322006197"/>
      <w:bookmarkStart w:id="236" w:name="_Toc325551395"/>
      <w:bookmarkStart w:id="237" w:name="_Toc325553561"/>
      <w:bookmarkStart w:id="238" w:name="_Toc325553660"/>
      <w:bookmarkStart w:id="239" w:name="_Toc325553759"/>
      <w:bookmarkStart w:id="240" w:name="_Toc325554229"/>
      <w:bookmarkStart w:id="241" w:name="_Toc336264291"/>
      <w:bookmarkStart w:id="242" w:name="_Toc72912340"/>
      <w:bookmarkStart w:id="243" w:name="_Toc89162867"/>
      <w:bookmarkStart w:id="244" w:name="_Toc89571154"/>
      <w:bookmarkStart w:id="245" w:name="_Toc90092322"/>
      <w:bookmarkStart w:id="246" w:name="_Toc92603593"/>
      <w:bookmarkStart w:id="247" w:name="_Toc92797777"/>
      <w:bookmarkStart w:id="248" w:name="_Toc97018079"/>
      <w:bookmarkStart w:id="249" w:name="_Toc102387634"/>
      <w:bookmarkStart w:id="250" w:name="_Toc102905265"/>
      <w:bookmarkStart w:id="251" w:name="_Toc105219508"/>
      <w:bookmarkStart w:id="252" w:name="_Toc105220412"/>
      <w:bookmarkStart w:id="253" w:name="_Toc105220480"/>
      <w:bookmarkStart w:id="254" w:name="_Toc105909924"/>
      <w:bookmarkStart w:id="255" w:name="_Toc105910839"/>
      <w:bookmarkStart w:id="256" w:name="_Toc106600683"/>
      <w:bookmarkStart w:id="257" w:name="_Toc106600981"/>
      <w:bookmarkStart w:id="258" w:name="_Toc109615238"/>
      <w:bookmarkStart w:id="259" w:name="_Toc139344532"/>
      <w:bookmarkStart w:id="260" w:name="_Toc139699296"/>
      <w:bookmarkStart w:id="261" w:name="_Toc147051329"/>
      <w:bookmarkStart w:id="262" w:name="_Toc147118784"/>
      <w:bookmarkStart w:id="263" w:name="_Toc148236105"/>
      <w:bookmarkStart w:id="264" w:name="_Toc158704979"/>
      <w:bookmarkStart w:id="265" w:name="_Toc165369939"/>
      <w:bookmarkStart w:id="266" w:name="_Toc177873281"/>
      <w:bookmarkStart w:id="267" w:name="_Toc177873406"/>
      <w:bookmarkStart w:id="268" w:name="_Toc184707363"/>
      <w:bookmarkStart w:id="269" w:name="_Toc189464694"/>
      <w:bookmarkStart w:id="270" w:name="_Toc190249258"/>
      <w:bookmarkStart w:id="271" w:name="_Toc191703152"/>
      <w:bookmarkStart w:id="272" w:name="_Toc193692069"/>
      <w:bookmarkStart w:id="273" w:name="_Toc199817251"/>
      <w:bookmarkStart w:id="274" w:name="_Toc215543724"/>
      <w:bookmarkStart w:id="275" w:name="_Toc215543984"/>
      <w:bookmarkStart w:id="276" w:name="_Toc248029021"/>
      <w:bookmarkStart w:id="277" w:name="_Toc256085070"/>
      <w:bookmarkStart w:id="278" w:name="_Toc256092135"/>
      <w:bookmarkStart w:id="279" w:name="_Toc268600321"/>
      <w:bookmarkStart w:id="280" w:name="_Toc272237450"/>
      <w:bookmarkStart w:id="281" w:name="_Toc275253529"/>
      <w:bookmarkStart w:id="282" w:name="_Toc283287453"/>
      <w:bookmarkStart w:id="283" w:name="_Toc290558439"/>
      <w:bookmarkStart w:id="284" w:name="_Toc290558515"/>
      <w:bookmarkStart w:id="285" w:name="_Toc291764654"/>
      <w:bookmarkStart w:id="286" w:name="_Toc291768226"/>
      <w:bookmarkStart w:id="287" w:name="_Toc297718727"/>
      <w:bookmarkStart w:id="288" w:name="_Toc297904460"/>
      <w:bookmarkStart w:id="289" w:name="_Toc297904534"/>
      <w:r>
        <w:rPr>
          <w:rStyle w:val="CharPartNo"/>
        </w:rPr>
        <w:t>Part IIIA</w:t>
      </w:r>
      <w:r>
        <w:rPr>
          <w:b w:val="0"/>
        </w:rPr>
        <w:t> </w:t>
      </w:r>
      <w:r>
        <w:t>—</w:t>
      </w:r>
      <w:r>
        <w:rPr>
          <w:b w:val="0"/>
        </w:rPr>
        <w:t> </w:t>
      </w:r>
      <w:r>
        <w:rPr>
          <w:rStyle w:val="CharPartText"/>
        </w:rPr>
        <w:t>Cannabis intervention</w:t>
      </w:r>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p>
    <w:p>
      <w:pPr>
        <w:pStyle w:val="Footnoteheading"/>
      </w:pPr>
      <w:r>
        <w:tab/>
        <w:t>[Heading inserted by No. 45 of 2010 s. 6.]</w:t>
      </w:r>
    </w:p>
    <w:p>
      <w:pPr>
        <w:pStyle w:val="Heading3"/>
      </w:pPr>
      <w:bookmarkStart w:id="290" w:name="_Toc299701954"/>
      <w:bookmarkStart w:id="291" w:name="_Toc299716966"/>
      <w:bookmarkStart w:id="292" w:name="_Toc299717463"/>
      <w:bookmarkStart w:id="293" w:name="_Toc301268090"/>
      <w:bookmarkStart w:id="294" w:name="_Toc301345260"/>
      <w:bookmarkStart w:id="295" w:name="_Toc303929253"/>
      <w:bookmarkStart w:id="296" w:name="_Toc306013869"/>
      <w:bookmarkStart w:id="297" w:name="_Toc306013967"/>
      <w:bookmarkStart w:id="298" w:name="_Toc306018403"/>
      <w:bookmarkStart w:id="299" w:name="_Toc309727377"/>
      <w:bookmarkStart w:id="300" w:name="_Toc309730098"/>
      <w:bookmarkStart w:id="301" w:name="_Toc320107620"/>
      <w:bookmarkStart w:id="302" w:name="_Toc320108250"/>
      <w:bookmarkStart w:id="303" w:name="_Toc320187200"/>
      <w:bookmarkStart w:id="304" w:name="_Toc322004262"/>
      <w:bookmarkStart w:id="305" w:name="_Toc322006198"/>
      <w:bookmarkStart w:id="306" w:name="_Toc325551396"/>
      <w:bookmarkStart w:id="307" w:name="_Toc325553562"/>
      <w:bookmarkStart w:id="308" w:name="_Toc325553661"/>
      <w:bookmarkStart w:id="309" w:name="_Toc325553760"/>
      <w:bookmarkStart w:id="310" w:name="_Toc325554230"/>
      <w:bookmarkStart w:id="311" w:name="_Toc336264292"/>
      <w:r>
        <w:rPr>
          <w:rStyle w:val="CharDivNo"/>
        </w:rPr>
        <w:t>Division 1</w:t>
      </w:r>
      <w:r>
        <w:t> — </w:t>
      </w:r>
      <w:r>
        <w:rPr>
          <w:rStyle w:val="CharDivText"/>
        </w:rPr>
        <w:t>Preliminary</w:t>
      </w:r>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p>
    <w:p>
      <w:pPr>
        <w:pStyle w:val="Footnoteheading"/>
      </w:pPr>
      <w:r>
        <w:tab/>
        <w:t>[Heading inserted by No. 45 of 2010 s. 6.]</w:t>
      </w:r>
    </w:p>
    <w:p>
      <w:pPr>
        <w:pStyle w:val="Heading5"/>
      </w:pPr>
      <w:bookmarkStart w:id="312" w:name="_Toc299701955"/>
      <w:bookmarkStart w:id="313" w:name="_Toc336264293"/>
      <w:bookmarkStart w:id="314" w:name="_Toc325554231"/>
      <w:r>
        <w:rPr>
          <w:rStyle w:val="CharSectno"/>
        </w:rPr>
        <w:t>8B</w:t>
      </w:r>
      <w:r>
        <w:t>.</w:t>
      </w:r>
      <w:r>
        <w:tab/>
        <w:t>Terms used</w:t>
      </w:r>
      <w:bookmarkEnd w:id="312"/>
      <w:bookmarkEnd w:id="313"/>
      <w:bookmarkEnd w:id="314"/>
    </w:p>
    <w:p>
      <w:pPr>
        <w:pStyle w:val="Subsection"/>
      </w:pPr>
      <w:r>
        <w:tab/>
        <w:t>(1)</w:t>
      </w:r>
      <w:r>
        <w:tab/>
        <w:t xml:space="preserve">In this Part — </w:t>
      </w:r>
    </w:p>
    <w:p>
      <w:pPr>
        <w:pStyle w:val="Defstart"/>
      </w:pPr>
      <w:r>
        <w:tab/>
      </w:r>
      <w:r>
        <w:rPr>
          <w:rStyle w:val="CharDefText"/>
        </w:rPr>
        <w:t>adult</w:t>
      </w:r>
      <w:r>
        <w:rPr>
          <w:szCs w:val="22"/>
        </w:rPr>
        <w:t xml:space="preserve"> means a person who is not a young person;</w:t>
      </w:r>
    </w:p>
    <w:p>
      <w:pPr>
        <w:pStyle w:val="Defstart"/>
      </w:pPr>
      <w:r>
        <w:tab/>
      </w:r>
      <w:r>
        <w:rPr>
          <w:rStyle w:val="CharDefText"/>
        </w:rPr>
        <w:t>authorised person</w:t>
      </w:r>
      <w:r>
        <w:t>, in section 8I or 8L, means a person appointed under section 8D to be an authorised person for the purposes of the section in which the term is used;</w:t>
      </w:r>
    </w:p>
    <w:p>
      <w:pPr>
        <w:pStyle w:val="Defstart"/>
      </w:pPr>
      <w:r>
        <w:tab/>
      </w:r>
      <w:r>
        <w:rPr>
          <w:rStyle w:val="CharDefText"/>
        </w:rPr>
        <w:t>cannabis intervention requirement</w:t>
      </w:r>
      <w:r>
        <w:t xml:space="preserve"> means a notice referred to in section 8F;</w:t>
      </w:r>
    </w:p>
    <w:p>
      <w:pPr>
        <w:pStyle w:val="Defstart"/>
      </w:pPr>
      <w:r>
        <w:tab/>
      </w:r>
      <w:r>
        <w:rPr>
          <w:rStyle w:val="CharDefText"/>
        </w:rPr>
        <w:t>cannabis intervention session</w:t>
      </w:r>
      <w:r>
        <w:t xml:space="preserve"> means a cannabis intervention session — </w:t>
      </w:r>
    </w:p>
    <w:p>
      <w:pPr>
        <w:pStyle w:val="Defpara"/>
      </w:pPr>
      <w:r>
        <w:tab/>
        <w:t>(a)</w:t>
      </w:r>
      <w:r>
        <w:tab/>
        <w:t>provided by a treatment provider approved under section 8J(2)(b); and</w:t>
      </w:r>
    </w:p>
    <w:p>
      <w:pPr>
        <w:pStyle w:val="Defpara"/>
      </w:pPr>
      <w:r>
        <w:tab/>
        <w:t>(b)</w:t>
      </w:r>
      <w:r>
        <w:tab/>
        <w:t>the content of which is approved under section 8J(2)(a);</w:t>
      </w:r>
    </w:p>
    <w:p>
      <w:pPr>
        <w:pStyle w:val="Defstart"/>
      </w:pPr>
      <w:r>
        <w:tab/>
      </w:r>
      <w:r>
        <w:rPr>
          <w:rStyle w:val="CharDefText"/>
        </w:rPr>
        <w:t xml:space="preserve">CEO (Health) </w:t>
      </w:r>
      <w:r>
        <w:t>has the meaning given in section 38D(1);</w:t>
      </w:r>
    </w:p>
    <w:p>
      <w:pPr>
        <w:pStyle w:val="Defstart"/>
      </w:pPr>
      <w:r>
        <w:tab/>
      </w:r>
      <w:r>
        <w:rPr>
          <w:rStyle w:val="CharDefText"/>
        </w:rPr>
        <w:t>minor cannabis related offence</w:t>
      </w:r>
      <w:r>
        <w:t xml:space="preserve"> means — </w:t>
      </w:r>
    </w:p>
    <w:p>
      <w:pPr>
        <w:pStyle w:val="Defpara"/>
      </w:pPr>
      <w:r>
        <w:tab/>
        <w:t>(a)</w:t>
      </w:r>
      <w:r>
        <w:tab/>
        <w:t>an offence under section 5(1)(d)(i) that involves cannabis; and</w:t>
      </w:r>
    </w:p>
    <w:p>
      <w:pPr>
        <w:pStyle w:val="Defpara"/>
      </w:pPr>
      <w:r>
        <w:tab/>
        <w:t>(b)</w:t>
      </w:r>
      <w:r>
        <w:tab/>
        <w:t>an offence under</w:t>
      </w:r>
      <w:r>
        <w:rPr>
          <w:i/>
        </w:rPr>
        <w:t xml:space="preserve"> </w:t>
      </w:r>
      <w:r>
        <w:t>section 6(2) that involves cannabis —</w:t>
      </w:r>
    </w:p>
    <w:p>
      <w:pPr>
        <w:pStyle w:val="Defsubpara"/>
      </w:pPr>
      <w:r>
        <w:tab/>
        <w:t>(i)</w:t>
      </w:r>
      <w:r>
        <w:tab/>
        <w:t>if the amount is not more than 10 g, or such other amount as is prescribed by the regulations; and</w:t>
      </w:r>
    </w:p>
    <w:p>
      <w:pPr>
        <w:pStyle w:val="Defsubpara"/>
      </w:pPr>
      <w:r>
        <w:tab/>
        <w:t>(ii)</w:t>
      </w:r>
      <w:r>
        <w:tab/>
        <w:t>if the offence does not involve a cannabis plant under cultivation, cannabis resin or any other cannabis derivative;</w:t>
      </w:r>
    </w:p>
    <w:p>
      <w:pPr>
        <w:pStyle w:val="Defstart"/>
      </w:pPr>
      <w:r>
        <w:tab/>
      </w:r>
      <w:r>
        <w:rPr>
          <w:rStyle w:val="CharDefText"/>
        </w:rPr>
        <w:t>police officer</w:t>
      </w:r>
      <w:r>
        <w:t xml:space="preserve"> does not include a person appointed by the Commissioner as an authorised person under section 8D;</w:t>
      </w:r>
    </w:p>
    <w:p>
      <w:pPr>
        <w:pStyle w:val="Defstart"/>
      </w:pPr>
      <w:r>
        <w:rPr>
          <w:b/>
        </w:rPr>
        <w:tab/>
      </w:r>
      <w:r>
        <w:rPr>
          <w:rStyle w:val="CharDefText"/>
        </w:rPr>
        <w:t>responsible adult</w:t>
      </w:r>
      <w:r>
        <w:rPr>
          <w:bCs/>
        </w:rPr>
        <w:t xml:space="preserve"> </w:t>
      </w:r>
      <w:r>
        <w:t xml:space="preserve">has the meaning given in the </w:t>
      </w:r>
      <w:r>
        <w:rPr>
          <w:i/>
          <w:iCs/>
        </w:rPr>
        <w:t>Young Offenders Act 1994</w:t>
      </w:r>
      <w:r>
        <w:t xml:space="preserve"> section 3;</w:t>
      </w:r>
    </w:p>
    <w:p>
      <w:pPr>
        <w:pStyle w:val="Defstart"/>
        <w:rPr>
          <w:szCs w:val="22"/>
        </w:rPr>
      </w:pPr>
      <w:r>
        <w:tab/>
      </w:r>
      <w:r>
        <w:rPr>
          <w:rStyle w:val="CharDefText"/>
          <w:szCs w:val="22"/>
        </w:rPr>
        <w:t>young person</w:t>
      </w:r>
      <w:r>
        <w:rPr>
          <w:szCs w:val="22"/>
        </w:rPr>
        <w:t xml:space="preserve"> means a person who — </w:t>
      </w:r>
    </w:p>
    <w:p>
      <w:pPr>
        <w:pStyle w:val="Defpara"/>
      </w:pPr>
      <w:r>
        <w:rPr>
          <w:szCs w:val="22"/>
        </w:rPr>
        <w:tab/>
        <w:t>(a)</w:t>
      </w:r>
      <w:r>
        <w:rPr>
          <w:szCs w:val="22"/>
        </w:rPr>
        <w:tab/>
        <w:t>is under 18 years of age; or</w:t>
      </w:r>
    </w:p>
    <w:p>
      <w:pPr>
        <w:pStyle w:val="Defpara"/>
      </w:pPr>
      <w:r>
        <w:tab/>
        <w:t>(b)</w:t>
      </w:r>
      <w:r>
        <w:tab/>
        <w:t>in relation to the commission, or alleged commission, of a minor cannabis related offence, was under 18 years of age when the offence was committed, or allegedly committed.</w:t>
      </w:r>
    </w:p>
    <w:p>
      <w:pPr>
        <w:pStyle w:val="Subsection"/>
      </w:pPr>
      <w:r>
        <w:tab/>
        <w:t>(2)</w:t>
      </w:r>
      <w:r>
        <w:tab/>
        <w:t>In this Part the following abbreviations are used —</w:t>
      </w:r>
    </w:p>
    <w:p>
      <w:pPr>
        <w:pStyle w:val="Defstart"/>
      </w:pPr>
      <w:r>
        <w:tab/>
      </w:r>
      <w:r>
        <w:rPr>
          <w:rStyle w:val="CharDefText"/>
        </w:rPr>
        <w:t>CIR</w:t>
      </w:r>
      <w:r>
        <w:t xml:space="preserve"> for cannabis intervention requirement;</w:t>
      </w:r>
    </w:p>
    <w:p>
      <w:pPr>
        <w:pStyle w:val="Defstart"/>
      </w:pPr>
      <w:r>
        <w:tab/>
      </w:r>
      <w:r>
        <w:rPr>
          <w:rStyle w:val="CharDefText"/>
        </w:rPr>
        <w:t>CIS</w:t>
      </w:r>
      <w:r>
        <w:t xml:space="preserve"> for cannabis intervention session.</w:t>
      </w:r>
    </w:p>
    <w:p>
      <w:pPr>
        <w:pStyle w:val="Footnotesection"/>
      </w:pPr>
      <w:r>
        <w:tab/>
        <w:t>[Section 8B inserted by No. 45 of 2010 s. 6.]</w:t>
      </w:r>
    </w:p>
    <w:p>
      <w:pPr>
        <w:pStyle w:val="Heading5"/>
      </w:pPr>
      <w:bookmarkStart w:id="315" w:name="_Toc299701956"/>
      <w:bookmarkStart w:id="316" w:name="_Toc336264294"/>
      <w:bookmarkStart w:id="317" w:name="_Toc325554232"/>
      <w:r>
        <w:rPr>
          <w:rStyle w:val="CharSectno"/>
        </w:rPr>
        <w:t>8C</w:t>
      </w:r>
      <w:r>
        <w:t>.</w:t>
      </w:r>
      <w:r>
        <w:tab/>
        <w:t xml:space="preserve">Operation of </w:t>
      </w:r>
      <w:r>
        <w:rPr>
          <w:i/>
          <w:iCs/>
        </w:rPr>
        <w:t>Young Offenders Act 1994</w:t>
      </w:r>
      <w:r>
        <w:t xml:space="preserve"> unaffected</w:t>
      </w:r>
      <w:bookmarkEnd w:id="315"/>
      <w:bookmarkEnd w:id="316"/>
      <w:bookmarkEnd w:id="317"/>
    </w:p>
    <w:p>
      <w:pPr>
        <w:pStyle w:val="Subsection"/>
      </w:pPr>
      <w:r>
        <w:tab/>
      </w:r>
      <w:r>
        <w:tab/>
        <w:t xml:space="preserve">Nothing in this Part prevents a young person from being dealt with under the </w:t>
      </w:r>
      <w:r>
        <w:rPr>
          <w:i/>
          <w:iCs/>
        </w:rPr>
        <w:t>Young Offenders Act 1994</w:t>
      </w:r>
      <w:r>
        <w:t xml:space="preserve"> Part 5 in respect of a minor cannabis related offence.</w:t>
      </w:r>
    </w:p>
    <w:p>
      <w:pPr>
        <w:pStyle w:val="Footnotesection"/>
      </w:pPr>
      <w:bookmarkStart w:id="318" w:name="_Toc299701957"/>
      <w:r>
        <w:tab/>
        <w:t>[Section 8C inserted by No. 45 of 2010 s. 6.]</w:t>
      </w:r>
    </w:p>
    <w:p>
      <w:pPr>
        <w:pStyle w:val="Heading5"/>
      </w:pPr>
      <w:bookmarkStart w:id="319" w:name="_Toc336264295"/>
      <w:bookmarkStart w:id="320" w:name="_Toc325554233"/>
      <w:r>
        <w:rPr>
          <w:rStyle w:val="CharSectno"/>
        </w:rPr>
        <w:t>8D</w:t>
      </w:r>
      <w:r>
        <w:t>.</w:t>
      </w:r>
      <w:r>
        <w:tab/>
        <w:t>Appointment of authorised persons</w:t>
      </w:r>
      <w:bookmarkEnd w:id="318"/>
      <w:bookmarkEnd w:id="319"/>
      <w:bookmarkEnd w:id="320"/>
    </w:p>
    <w:p>
      <w:pPr>
        <w:pStyle w:val="Subsection"/>
      </w:pPr>
      <w:r>
        <w:tab/>
      </w:r>
      <w:r>
        <w:tab/>
        <w:t>The Commissioner may, in writing, appoint persons or classes of persons to be authorised persons for the purposes of section 8I or 8L, or for the purposes of both of those sections.</w:t>
      </w:r>
    </w:p>
    <w:p>
      <w:pPr>
        <w:pStyle w:val="Footnotesection"/>
      </w:pPr>
      <w:bookmarkStart w:id="321" w:name="_Toc299701958"/>
      <w:r>
        <w:tab/>
        <w:t>[Section 8D inserted by No. 45 of 2010 s. 6.]</w:t>
      </w:r>
    </w:p>
    <w:p>
      <w:pPr>
        <w:pStyle w:val="Heading3"/>
      </w:pPr>
      <w:bookmarkStart w:id="322" w:name="_Toc299716970"/>
      <w:bookmarkStart w:id="323" w:name="_Toc299717467"/>
      <w:bookmarkStart w:id="324" w:name="_Toc301268094"/>
      <w:bookmarkStart w:id="325" w:name="_Toc301345264"/>
      <w:bookmarkStart w:id="326" w:name="_Toc303929257"/>
      <w:bookmarkStart w:id="327" w:name="_Toc306013873"/>
      <w:bookmarkStart w:id="328" w:name="_Toc306013971"/>
      <w:bookmarkStart w:id="329" w:name="_Toc306018407"/>
      <w:bookmarkStart w:id="330" w:name="_Toc309727381"/>
      <w:bookmarkStart w:id="331" w:name="_Toc309730102"/>
      <w:bookmarkStart w:id="332" w:name="_Toc320107624"/>
      <w:bookmarkStart w:id="333" w:name="_Toc320108254"/>
      <w:bookmarkStart w:id="334" w:name="_Toc320187204"/>
      <w:bookmarkStart w:id="335" w:name="_Toc322004266"/>
      <w:bookmarkStart w:id="336" w:name="_Toc322006202"/>
      <w:bookmarkStart w:id="337" w:name="_Toc325551400"/>
      <w:bookmarkStart w:id="338" w:name="_Toc325553566"/>
      <w:bookmarkStart w:id="339" w:name="_Toc325553665"/>
      <w:bookmarkStart w:id="340" w:name="_Toc325553764"/>
      <w:bookmarkStart w:id="341" w:name="_Toc325554234"/>
      <w:bookmarkStart w:id="342" w:name="_Toc336264296"/>
      <w:r>
        <w:rPr>
          <w:rStyle w:val="CharDivNo"/>
        </w:rPr>
        <w:t>Division 2</w:t>
      </w:r>
      <w:r>
        <w:t> — </w:t>
      </w:r>
      <w:r>
        <w:rPr>
          <w:rStyle w:val="CharDivText"/>
        </w:rPr>
        <w:t>Cannabis intervention requirements</w:t>
      </w:r>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p>
    <w:p>
      <w:pPr>
        <w:pStyle w:val="Footnoteheading"/>
      </w:pPr>
      <w:bookmarkStart w:id="343" w:name="_Toc299701959"/>
      <w:r>
        <w:tab/>
        <w:t>[Heading inserted by No. 45 of 2010 s. 6.]</w:t>
      </w:r>
    </w:p>
    <w:p>
      <w:pPr>
        <w:pStyle w:val="Heading5"/>
      </w:pPr>
      <w:bookmarkStart w:id="344" w:name="_Toc336264297"/>
      <w:bookmarkStart w:id="345" w:name="_Toc325554235"/>
      <w:r>
        <w:rPr>
          <w:rStyle w:val="CharSectno"/>
        </w:rPr>
        <w:t>8E</w:t>
      </w:r>
      <w:r>
        <w:t>.</w:t>
      </w:r>
      <w:r>
        <w:tab/>
        <w:t>CIR may be given for minor cannabis related offence</w:t>
      </w:r>
      <w:bookmarkEnd w:id="343"/>
      <w:bookmarkEnd w:id="344"/>
      <w:bookmarkEnd w:id="345"/>
    </w:p>
    <w:p>
      <w:pPr>
        <w:pStyle w:val="Subsection"/>
      </w:pPr>
      <w:r>
        <w:tab/>
        <w:t>(1)</w:t>
      </w:r>
      <w:r>
        <w:tab/>
        <w:t>A police officer who has reason to believe that a person has committed a minor cannabis related offence may give a cannabis intervention requirement to the alleged offender, unless subsection (4) or section 8G(1) applies.</w:t>
      </w:r>
    </w:p>
    <w:p>
      <w:pPr>
        <w:pStyle w:val="Subsection"/>
        <w:spacing w:before="180"/>
      </w:pPr>
      <w:r>
        <w:tab/>
        <w:t>(2)</w:t>
      </w:r>
      <w:r>
        <w:tab/>
        <w:t xml:space="preserve">A police officer who believes — </w:t>
      </w:r>
    </w:p>
    <w:p>
      <w:pPr>
        <w:pStyle w:val="Indenta"/>
      </w:pPr>
      <w:r>
        <w:tab/>
        <w:t>(a)</w:t>
      </w:r>
      <w:r>
        <w:tab/>
        <w:t>that an alleged offender has committed more than one minor cannabis related offence; and</w:t>
      </w:r>
    </w:p>
    <w:p>
      <w:pPr>
        <w:pStyle w:val="Indenta"/>
      </w:pPr>
      <w:r>
        <w:tab/>
        <w:t>(b)</w:t>
      </w:r>
      <w:r>
        <w:tab/>
        <w:t>that the alleged offences have arisen out of the same incident,</w:t>
      </w:r>
    </w:p>
    <w:p>
      <w:pPr>
        <w:pStyle w:val="Subsection"/>
        <w:spacing w:before="180"/>
      </w:pPr>
      <w:r>
        <w:tab/>
      </w:r>
      <w:r>
        <w:tab/>
        <w:t>may give a single CIR in respect of all or some of the offences.</w:t>
      </w:r>
    </w:p>
    <w:p>
      <w:pPr>
        <w:pStyle w:val="Subsection"/>
        <w:spacing w:before="180"/>
      </w:pPr>
      <w:r>
        <w:tab/>
        <w:t>(3)</w:t>
      </w:r>
      <w:r>
        <w:tab/>
        <w:t>A CIR is to be given as soon as practicable, and in any event within 60 days, after an alleged offence is believed to have been committed.</w:t>
      </w:r>
    </w:p>
    <w:p>
      <w:pPr>
        <w:pStyle w:val="Subsection"/>
        <w:spacing w:before="180"/>
      </w:pPr>
      <w:r>
        <w:tab/>
        <w:t>(4)</w:t>
      </w:r>
      <w:r>
        <w:tab/>
        <w:t>A CIR cannot be given in respect of an alleged offence (the</w:t>
      </w:r>
      <w:r>
        <w:rPr>
          <w:b/>
          <w:bCs/>
        </w:rPr>
        <w:t xml:space="preserve"> </w:t>
      </w:r>
      <w:r>
        <w:rPr>
          <w:rStyle w:val="CharDefText"/>
        </w:rPr>
        <w:t>new offence</w:t>
      </w:r>
      <w:r>
        <w:t xml:space="preserve">) if the alleged offender — </w:t>
      </w:r>
    </w:p>
    <w:p>
      <w:pPr>
        <w:pStyle w:val="Indenta"/>
      </w:pPr>
      <w:r>
        <w:tab/>
        <w:t>(a)</w:t>
      </w:r>
      <w:r>
        <w:tab/>
        <w:t>is an adult who, before the new offence was allegedly committed, had been convicted of a minor cannabis related offence or given a CIR; and</w:t>
      </w:r>
    </w:p>
    <w:p>
      <w:pPr>
        <w:pStyle w:val="Indenta"/>
      </w:pPr>
      <w:r>
        <w:tab/>
        <w:t>(b)</w:t>
      </w:r>
      <w:r>
        <w:tab/>
        <w:t>was an adult when so convicted or given the CIR.</w:t>
      </w:r>
    </w:p>
    <w:p>
      <w:pPr>
        <w:pStyle w:val="Footnotesection"/>
      </w:pPr>
      <w:bookmarkStart w:id="346" w:name="_Toc299701960"/>
      <w:r>
        <w:tab/>
        <w:t>[Section 8E inserted by No. 45 of 2010 s. 6.]</w:t>
      </w:r>
    </w:p>
    <w:p>
      <w:pPr>
        <w:pStyle w:val="Heading5"/>
      </w:pPr>
      <w:bookmarkStart w:id="347" w:name="_Toc336264298"/>
      <w:bookmarkStart w:id="348" w:name="_Toc325554236"/>
      <w:r>
        <w:rPr>
          <w:rStyle w:val="CharSectno"/>
        </w:rPr>
        <w:t>8F</w:t>
      </w:r>
      <w:r>
        <w:t>.</w:t>
      </w:r>
      <w:r>
        <w:tab/>
        <w:t>Cannabis intervention requirement</w:t>
      </w:r>
      <w:bookmarkEnd w:id="346"/>
      <w:bookmarkEnd w:id="347"/>
      <w:bookmarkEnd w:id="348"/>
    </w:p>
    <w:p>
      <w:pPr>
        <w:pStyle w:val="Subsection"/>
        <w:spacing w:before="180"/>
      </w:pPr>
      <w:r>
        <w:tab/>
        <w:t>(1)</w:t>
      </w:r>
      <w:r>
        <w:tab/>
        <w:t xml:space="preserve">A CIR is a notice in a form prescribed by the regulations — </w:t>
      </w:r>
    </w:p>
    <w:p>
      <w:pPr>
        <w:pStyle w:val="Indenta"/>
      </w:pPr>
      <w:r>
        <w:tab/>
        <w:t>(a)</w:t>
      </w:r>
      <w:r>
        <w:tab/>
        <w:t>containing a description of the alleged offence, or offences; and</w:t>
      </w:r>
    </w:p>
    <w:p>
      <w:pPr>
        <w:pStyle w:val="Indenta"/>
      </w:pPr>
      <w:r>
        <w:tab/>
        <w:t>(b)</w:t>
      </w:r>
      <w:r>
        <w:tab/>
        <w:t xml:space="preserve">informing the alleged offender that — </w:t>
      </w:r>
    </w:p>
    <w:p>
      <w:pPr>
        <w:pStyle w:val="Indenti"/>
      </w:pPr>
      <w:r>
        <w:tab/>
        <w:t>(i)</w:t>
      </w:r>
      <w:r>
        <w:tab/>
        <w:t>he or she may, in writing, elect to be prosecuted for the alleged offence, or offences, in a court, and informing the alleged offender how to make that election; and</w:t>
      </w:r>
    </w:p>
    <w:p>
      <w:pPr>
        <w:pStyle w:val="Indenti"/>
      </w:pPr>
      <w:r>
        <w:tab/>
        <w:t>(ii)</w:t>
      </w:r>
      <w:r>
        <w:tab/>
        <w:t>if he or she does not wish to be prosecuted for the alleged offence, or offences, in a court, the alleged offender may, within a period of 28 days after the giving of the CIR, complete a CIS;</w:t>
      </w:r>
    </w:p>
    <w:p>
      <w:pPr>
        <w:pStyle w:val="Indenta"/>
      </w:pPr>
      <w:r>
        <w:tab/>
      </w:r>
      <w:r>
        <w:tab/>
        <w:t>and</w:t>
      </w:r>
    </w:p>
    <w:p>
      <w:pPr>
        <w:pStyle w:val="Indenta"/>
      </w:pPr>
      <w:r>
        <w:tab/>
        <w:t>(c)</w:t>
      </w:r>
      <w:r>
        <w:tab/>
        <w:t>informing the alleged offender as to how the alleged offender may arrange to complete a CIS.</w:t>
      </w:r>
    </w:p>
    <w:p>
      <w:pPr>
        <w:pStyle w:val="Subsection"/>
      </w:pPr>
      <w:r>
        <w:tab/>
        <w:t>(2)</w:t>
      </w:r>
      <w:r>
        <w:tab/>
        <w:t>A person need only complete a single CIS for each CIR given to the person, even if the CIR is given in respect of more than one alleged offence.</w:t>
      </w:r>
    </w:p>
    <w:p>
      <w:pPr>
        <w:pStyle w:val="Footnotesection"/>
      </w:pPr>
      <w:bookmarkStart w:id="349" w:name="_Toc299701961"/>
      <w:r>
        <w:tab/>
        <w:t>[Section 8F inserted by No. 45 of 2010 s. 6.]</w:t>
      </w:r>
    </w:p>
    <w:p>
      <w:pPr>
        <w:pStyle w:val="Heading5"/>
      </w:pPr>
      <w:bookmarkStart w:id="350" w:name="_Toc336264299"/>
      <w:bookmarkStart w:id="351" w:name="_Toc325554237"/>
      <w:r>
        <w:rPr>
          <w:rStyle w:val="CharSectno"/>
        </w:rPr>
        <w:t>8G</w:t>
      </w:r>
      <w:r>
        <w:t>.</w:t>
      </w:r>
      <w:r>
        <w:tab/>
        <w:t>Young persons — special requirements about CIRs</w:t>
      </w:r>
      <w:bookmarkEnd w:id="349"/>
      <w:bookmarkEnd w:id="350"/>
      <w:bookmarkEnd w:id="351"/>
    </w:p>
    <w:p>
      <w:pPr>
        <w:pStyle w:val="Subsection"/>
      </w:pPr>
      <w:r>
        <w:tab/>
        <w:t>(1)</w:t>
      </w:r>
      <w:r>
        <w:tab/>
        <w:t>A CIR cannot be given in respect of an alleged offence (the</w:t>
      </w:r>
      <w:r>
        <w:rPr>
          <w:b/>
          <w:bCs/>
        </w:rPr>
        <w:t xml:space="preserve"> </w:t>
      </w:r>
      <w:r>
        <w:rPr>
          <w:rStyle w:val="CharDefText"/>
        </w:rPr>
        <w:t>new offence</w:t>
      </w:r>
      <w:r>
        <w:t xml:space="preserve">) if the alleged offender — </w:t>
      </w:r>
    </w:p>
    <w:p>
      <w:pPr>
        <w:pStyle w:val="Indenta"/>
      </w:pPr>
      <w:r>
        <w:tab/>
        <w:t>(a)</w:t>
      </w:r>
      <w:r>
        <w:tab/>
        <w:t>is a young person who, before the new offence was allegedly committed, had been convicted of, or given a CIR in respect of, 2 or more minor cannabis related offences; and</w:t>
      </w:r>
    </w:p>
    <w:p>
      <w:pPr>
        <w:pStyle w:val="Indenta"/>
      </w:pPr>
      <w:r>
        <w:tab/>
        <w:t>(b)</w:t>
      </w:r>
      <w:r>
        <w:tab/>
        <w:t>at least 2 of those offences arose out of separate incidents, or are alleged to have done so.</w:t>
      </w:r>
    </w:p>
    <w:p>
      <w:pPr>
        <w:pStyle w:val="Subsection"/>
      </w:pPr>
      <w:r>
        <w:tab/>
        <w:t>(2)</w:t>
      </w:r>
      <w:r>
        <w:tab/>
        <w:t xml:space="preserve">A police officer who gives a young person a CIR is to ensure that a responsible adult is given a copy of the CIR as soon as is reasonably practicable after the CIR is given to the young person, unless — </w:t>
      </w:r>
    </w:p>
    <w:p>
      <w:pPr>
        <w:pStyle w:val="Indenta"/>
      </w:pPr>
      <w:r>
        <w:tab/>
        <w:t>(a)</w:t>
      </w:r>
      <w:r>
        <w:tab/>
        <w:t>after reasonable enquiry, neither the whereabouts nor the address of a responsible adult can be ascertained; or</w:t>
      </w:r>
    </w:p>
    <w:p>
      <w:pPr>
        <w:pStyle w:val="Indenta"/>
      </w:pPr>
      <w:r>
        <w:tab/>
        <w:t>(b)</w:t>
      </w:r>
      <w:r>
        <w:tab/>
        <w:t>in the circumstances it would be inappropriate to give a responsible adult a copy of the CIR.</w:t>
      </w:r>
    </w:p>
    <w:p>
      <w:pPr>
        <w:pStyle w:val="Subsection"/>
      </w:pPr>
      <w:r>
        <w:tab/>
        <w:t>(3)</w:t>
      </w:r>
      <w:r>
        <w:tab/>
        <w:t>A young person who has been given 2 CIRs need only complete a single CIS in respect of the CIRs if both CIRs were given before the completion of the CIS.</w:t>
      </w:r>
    </w:p>
    <w:p>
      <w:pPr>
        <w:pStyle w:val="Footnotesection"/>
      </w:pPr>
      <w:bookmarkStart w:id="352" w:name="_Toc299701962"/>
      <w:r>
        <w:tab/>
        <w:t>[Section 8G inserted by No. 45 of 2010 s. 6.]</w:t>
      </w:r>
    </w:p>
    <w:p>
      <w:pPr>
        <w:pStyle w:val="Heading5"/>
      </w:pPr>
      <w:bookmarkStart w:id="353" w:name="_Toc336264300"/>
      <w:bookmarkStart w:id="354" w:name="_Toc325554238"/>
      <w:r>
        <w:rPr>
          <w:rStyle w:val="CharSectno"/>
        </w:rPr>
        <w:t>8H</w:t>
      </w:r>
      <w:r>
        <w:t>.</w:t>
      </w:r>
      <w:r>
        <w:tab/>
        <w:t>Referral of young persons at risk to juvenile justice teams</w:t>
      </w:r>
      <w:bookmarkEnd w:id="352"/>
      <w:bookmarkEnd w:id="353"/>
      <w:bookmarkEnd w:id="354"/>
    </w:p>
    <w:p>
      <w:pPr>
        <w:pStyle w:val="Subsection"/>
      </w:pPr>
      <w:r>
        <w:tab/>
        <w:t>(1)</w:t>
      </w:r>
      <w:r>
        <w:tab/>
        <w:t xml:space="preserve">A police officer is to refer a young person at risk to a juvenile justice team where appropriate under the </w:t>
      </w:r>
      <w:r>
        <w:rPr>
          <w:i/>
          <w:iCs/>
        </w:rPr>
        <w:t>Young Offenders Act 1994</w:t>
      </w:r>
      <w:r>
        <w:t xml:space="preserve"> in preference to charging the young person under this Act.</w:t>
      </w:r>
    </w:p>
    <w:p>
      <w:pPr>
        <w:pStyle w:val="Subsection"/>
      </w:pPr>
      <w:r>
        <w:tab/>
        <w:t>(2)</w:t>
      </w:r>
      <w:r>
        <w:tab/>
        <w:t xml:space="preserve">In subsection (1) — </w:t>
      </w:r>
    </w:p>
    <w:p>
      <w:pPr>
        <w:pStyle w:val="Defstart"/>
      </w:pPr>
      <w:r>
        <w:tab/>
      </w:r>
      <w:r>
        <w:rPr>
          <w:rStyle w:val="CharDefText"/>
        </w:rPr>
        <w:t>young person at risk</w:t>
      </w:r>
      <w:r>
        <w:t xml:space="preserve"> means an alleged offender who is a young person — </w:t>
      </w:r>
    </w:p>
    <w:p>
      <w:pPr>
        <w:pStyle w:val="Defpara"/>
      </w:pPr>
      <w:r>
        <w:tab/>
        <w:t>(a)</w:t>
      </w:r>
      <w:r>
        <w:tab/>
        <w:t>to whom the police officer would have given a CIR, but for section 8G(1); or</w:t>
      </w:r>
    </w:p>
    <w:p>
      <w:pPr>
        <w:pStyle w:val="Defpara"/>
      </w:pPr>
      <w:r>
        <w:tab/>
        <w:t>(b)</w:t>
      </w:r>
      <w:r>
        <w:tab/>
        <w:t xml:space="preserve">who has been given a CIR and has not completed a CIS within 28 days or any further time allowed under section 8L, unless — </w:t>
      </w:r>
    </w:p>
    <w:p>
      <w:pPr>
        <w:pStyle w:val="Defsubpara"/>
      </w:pPr>
      <w:r>
        <w:tab/>
        <w:t>(i)</w:t>
      </w:r>
      <w:r>
        <w:tab/>
        <w:t>the CIR has been withdrawn under section 8I; or</w:t>
      </w:r>
    </w:p>
    <w:p>
      <w:pPr>
        <w:pStyle w:val="Defsubpara"/>
      </w:pPr>
      <w:r>
        <w:tab/>
        <w:t>(ii)</w:t>
      </w:r>
      <w:r>
        <w:tab/>
        <w:t>the young person has elected to be prosecuted for the alleged offence in a court.</w:t>
      </w:r>
    </w:p>
    <w:p>
      <w:pPr>
        <w:pStyle w:val="Footnotesection"/>
      </w:pPr>
      <w:bookmarkStart w:id="355" w:name="_Toc299701963"/>
      <w:r>
        <w:tab/>
        <w:t>[Section 8H inserted by No. 45 of 2010 s. 6.]</w:t>
      </w:r>
    </w:p>
    <w:p>
      <w:pPr>
        <w:pStyle w:val="Heading5"/>
      </w:pPr>
      <w:bookmarkStart w:id="356" w:name="_Toc336264301"/>
      <w:bookmarkStart w:id="357" w:name="_Toc325554239"/>
      <w:r>
        <w:rPr>
          <w:rStyle w:val="CharSectno"/>
        </w:rPr>
        <w:t>8I</w:t>
      </w:r>
      <w:r>
        <w:t>.</w:t>
      </w:r>
      <w:r>
        <w:tab/>
        <w:t>Withdrawal of CIR</w:t>
      </w:r>
      <w:bookmarkEnd w:id="355"/>
      <w:bookmarkEnd w:id="356"/>
      <w:bookmarkEnd w:id="357"/>
    </w:p>
    <w:p>
      <w:pPr>
        <w:pStyle w:val="Subsection"/>
      </w:pPr>
      <w:r>
        <w:tab/>
        <w:t>(1)</w:t>
      </w:r>
      <w:r>
        <w:tab/>
        <w:t>An authorised person may withdraw a CIR by sending to the alleged offender a notice in a form prescribed by the regulations stating that the CIR has been withdrawn.</w:t>
      </w:r>
    </w:p>
    <w:p>
      <w:pPr>
        <w:pStyle w:val="Subsection"/>
      </w:pPr>
      <w:r>
        <w:tab/>
        <w:t>(2)</w:t>
      </w:r>
      <w:r>
        <w:tab/>
        <w:t>A CIR cannot be withdrawn if the alleged offender has completed a CIS in relation to the CIR.</w:t>
      </w:r>
    </w:p>
    <w:p>
      <w:pPr>
        <w:pStyle w:val="Subsection"/>
      </w:pPr>
      <w:r>
        <w:tab/>
        <w:t>(3)</w:t>
      </w:r>
      <w:r>
        <w:tab/>
        <w:t>A CIR that is withdrawn is taken not to have been given to an alleged offender for the purposes of sections 8E(4) and 8G(1).</w:t>
      </w:r>
    </w:p>
    <w:p>
      <w:pPr>
        <w:pStyle w:val="Footnotesection"/>
      </w:pPr>
      <w:r>
        <w:tab/>
        <w:t>[Section 8I inserted by No. 45 of 2010 s. 6.]</w:t>
      </w:r>
    </w:p>
    <w:p>
      <w:pPr>
        <w:pStyle w:val="Heading3"/>
        <w:keepLines/>
      </w:pPr>
      <w:bookmarkStart w:id="358" w:name="_Toc299701964"/>
      <w:bookmarkStart w:id="359" w:name="_Toc299716976"/>
      <w:bookmarkStart w:id="360" w:name="_Toc299717473"/>
      <w:bookmarkStart w:id="361" w:name="_Toc301268100"/>
      <w:bookmarkStart w:id="362" w:name="_Toc301345270"/>
      <w:bookmarkStart w:id="363" w:name="_Toc303929263"/>
      <w:bookmarkStart w:id="364" w:name="_Toc306013879"/>
      <w:bookmarkStart w:id="365" w:name="_Toc306013977"/>
      <w:bookmarkStart w:id="366" w:name="_Toc306018413"/>
      <w:bookmarkStart w:id="367" w:name="_Toc309727387"/>
      <w:bookmarkStart w:id="368" w:name="_Toc309730108"/>
      <w:bookmarkStart w:id="369" w:name="_Toc320107630"/>
      <w:bookmarkStart w:id="370" w:name="_Toc320108260"/>
      <w:bookmarkStart w:id="371" w:name="_Toc320187210"/>
      <w:bookmarkStart w:id="372" w:name="_Toc322004272"/>
      <w:bookmarkStart w:id="373" w:name="_Toc322006208"/>
      <w:bookmarkStart w:id="374" w:name="_Toc325551406"/>
      <w:bookmarkStart w:id="375" w:name="_Toc325553572"/>
      <w:bookmarkStart w:id="376" w:name="_Toc325553671"/>
      <w:bookmarkStart w:id="377" w:name="_Toc325553770"/>
      <w:bookmarkStart w:id="378" w:name="_Toc325554240"/>
      <w:bookmarkStart w:id="379" w:name="_Toc336264302"/>
      <w:r>
        <w:rPr>
          <w:rStyle w:val="CharDivNo"/>
        </w:rPr>
        <w:t>Division 3</w:t>
      </w:r>
      <w:r>
        <w:t> — </w:t>
      </w:r>
      <w:r>
        <w:rPr>
          <w:rStyle w:val="CharDivText"/>
        </w:rPr>
        <w:t>Cannabis intervention sessions</w:t>
      </w:r>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p>
    <w:p>
      <w:pPr>
        <w:pStyle w:val="Footnoteheading"/>
        <w:keepNext/>
        <w:keepLines/>
      </w:pPr>
      <w:bookmarkStart w:id="380" w:name="_Toc299701965"/>
      <w:r>
        <w:tab/>
        <w:t>[Heading inserted by No. 45 of 2010 s. 6.]</w:t>
      </w:r>
    </w:p>
    <w:p>
      <w:pPr>
        <w:pStyle w:val="Heading5"/>
      </w:pPr>
      <w:bookmarkStart w:id="381" w:name="_Toc336264303"/>
      <w:bookmarkStart w:id="382" w:name="_Toc325554241"/>
      <w:r>
        <w:rPr>
          <w:rStyle w:val="CharSectno"/>
        </w:rPr>
        <w:t>8J</w:t>
      </w:r>
      <w:r>
        <w:t>.</w:t>
      </w:r>
      <w:r>
        <w:tab/>
        <w:t>Cannabis intervention session</w:t>
      </w:r>
      <w:bookmarkEnd w:id="380"/>
      <w:bookmarkEnd w:id="381"/>
      <w:bookmarkEnd w:id="382"/>
    </w:p>
    <w:p>
      <w:pPr>
        <w:pStyle w:val="Subsection"/>
      </w:pPr>
      <w:r>
        <w:tab/>
        <w:t>(1)</w:t>
      </w:r>
      <w:r>
        <w:tab/>
        <w:t xml:space="preserve">The purpose of a cannabis intervention session is to inform those who complete it about — </w:t>
      </w:r>
    </w:p>
    <w:p>
      <w:pPr>
        <w:pStyle w:val="Indenta"/>
      </w:pPr>
      <w:r>
        <w:tab/>
        <w:t>(a)</w:t>
      </w:r>
      <w:r>
        <w:tab/>
        <w:t>the adverse health and social consequences of cannabis use; and</w:t>
      </w:r>
    </w:p>
    <w:p>
      <w:pPr>
        <w:pStyle w:val="Indenta"/>
      </w:pPr>
      <w:r>
        <w:tab/>
        <w:t>(b)</w:t>
      </w:r>
      <w:r>
        <w:tab/>
        <w:t>the laws relating to the use, possession and cultivation of cannabis; and</w:t>
      </w:r>
    </w:p>
    <w:p>
      <w:pPr>
        <w:pStyle w:val="Indenta"/>
      </w:pPr>
      <w:r>
        <w:tab/>
        <w:t>(c)</w:t>
      </w:r>
      <w:r>
        <w:tab/>
        <w:t>effective strategies to address cannabis using behaviour.</w:t>
      </w:r>
    </w:p>
    <w:p>
      <w:pPr>
        <w:pStyle w:val="Subsection"/>
      </w:pPr>
      <w:r>
        <w:tab/>
        <w:t>(2)</w:t>
      </w:r>
      <w:r>
        <w:tab/>
        <w:t>The CEO (Health) may, in writing, do any of the following —</w:t>
      </w:r>
    </w:p>
    <w:p>
      <w:pPr>
        <w:pStyle w:val="Indenta"/>
      </w:pPr>
      <w:r>
        <w:tab/>
        <w:t>(a)</w:t>
      </w:r>
      <w:r>
        <w:tab/>
        <w:t>having regard to subsection (1), approve the content of a cannabis intervention session;</w:t>
      </w:r>
    </w:p>
    <w:p>
      <w:pPr>
        <w:pStyle w:val="Indenta"/>
      </w:pPr>
      <w:r>
        <w:tab/>
        <w:t>(b)</w:t>
      </w:r>
      <w:r>
        <w:tab/>
        <w:t>approve treatment providers to provide cannabis intervention sessions;</w:t>
      </w:r>
    </w:p>
    <w:p>
      <w:pPr>
        <w:pStyle w:val="Indenta"/>
      </w:pPr>
      <w:r>
        <w:tab/>
        <w:t>(c)</w:t>
      </w:r>
      <w:r>
        <w:tab/>
        <w:t>give an approval under paragraph (b) subject to conditions to be obeyed by the treatment provider approved;</w:t>
      </w:r>
    </w:p>
    <w:p>
      <w:pPr>
        <w:pStyle w:val="Indenta"/>
      </w:pPr>
      <w:r>
        <w:tab/>
        <w:t>(d)</w:t>
      </w:r>
      <w:r>
        <w:tab/>
        <w:t>cancel or amend an approval given under paragraph (a) or (b).</w:t>
      </w:r>
    </w:p>
    <w:p>
      <w:pPr>
        <w:pStyle w:val="Subsection"/>
      </w:pPr>
      <w:r>
        <w:tab/>
        <w:t>(3)</w:t>
      </w:r>
      <w:r>
        <w:tab/>
        <w:t xml:space="preserve">For the purposes of this section, this Act is to be taken to be a relevant Act as referred to in the </w:t>
      </w:r>
      <w:r>
        <w:rPr>
          <w:i/>
          <w:iCs/>
        </w:rPr>
        <w:t>Health Legislation Administration Act 1984</w:t>
      </w:r>
      <w:r>
        <w:t xml:space="preserve"> section 9.</w:t>
      </w:r>
    </w:p>
    <w:p>
      <w:pPr>
        <w:pStyle w:val="Footnotesection"/>
      </w:pPr>
      <w:r>
        <w:tab/>
        <w:t>[Section 8J inserted by No. 45 of 2010 s. 6.]</w:t>
      </w:r>
    </w:p>
    <w:p>
      <w:pPr>
        <w:pStyle w:val="Heading5"/>
      </w:pPr>
      <w:bookmarkStart w:id="383" w:name="_Toc299701966"/>
      <w:bookmarkStart w:id="384" w:name="_Toc336264304"/>
      <w:bookmarkStart w:id="385" w:name="_Toc325554242"/>
      <w:r>
        <w:rPr>
          <w:rStyle w:val="CharSectno"/>
        </w:rPr>
        <w:t>8K</w:t>
      </w:r>
      <w:r>
        <w:t>.</w:t>
      </w:r>
      <w:r>
        <w:tab/>
        <w:t>Benefit of completing CIS</w:t>
      </w:r>
      <w:bookmarkEnd w:id="383"/>
      <w:bookmarkEnd w:id="384"/>
      <w:bookmarkEnd w:id="385"/>
    </w:p>
    <w:p>
      <w:pPr>
        <w:pStyle w:val="Subsection"/>
      </w:pPr>
      <w:r>
        <w:tab/>
        <w:t>(1)</w:t>
      </w:r>
      <w:r>
        <w:tab/>
        <w:t>If the alleged offender has completed a CIS in respect of a CIR within 28 days or such further time as is allowed under section 8L, the bringing of proceedings and the imposition of penalties are prevented to the same extent that they would be prevented if the alleged offender had been convicted by a court of, and punished for, the alleged offence.</w:t>
      </w:r>
    </w:p>
    <w:p>
      <w:pPr>
        <w:pStyle w:val="Subsection"/>
      </w:pPr>
      <w:r>
        <w:tab/>
        <w:t>(2)</w:t>
      </w:r>
      <w:r>
        <w:tab/>
        <w:t>Completion of a CIS is not to be regarded as an admission for the purposes of any proceedings, whether civil or criminal.</w:t>
      </w:r>
    </w:p>
    <w:p>
      <w:pPr>
        <w:pStyle w:val="Footnotesection"/>
      </w:pPr>
      <w:r>
        <w:tab/>
        <w:t>[Section 8K inserted by No. 45 of 2010 s. 6.]</w:t>
      </w:r>
    </w:p>
    <w:p>
      <w:pPr>
        <w:pStyle w:val="Heading5"/>
      </w:pPr>
      <w:bookmarkStart w:id="386" w:name="_Toc299701967"/>
      <w:bookmarkStart w:id="387" w:name="_Toc336264305"/>
      <w:bookmarkStart w:id="388" w:name="_Toc325554243"/>
      <w:r>
        <w:rPr>
          <w:rStyle w:val="CharSectno"/>
        </w:rPr>
        <w:t>8L</w:t>
      </w:r>
      <w:r>
        <w:t>.</w:t>
      </w:r>
      <w:r>
        <w:tab/>
        <w:t>Extension of time to complete CIS</w:t>
      </w:r>
      <w:bookmarkEnd w:id="386"/>
      <w:bookmarkEnd w:id="387"/>
      <w:bookmarkEnd w:id="388"/>
    </w:p>
    <w:p>
      <w:pPr>
        <w:pStyle w:val="Subsection"/>
      </w:pPr>
      <w:r>
        <w:tab/>
        <w:t>(1)</w:t>
      </w:r>
      <w:r>
        <w:tab/>
        <w:t>An authorised person may, in a particular case, extend the period of 28 days within which the alleged offender may complete a CIS.</w:t>
      </w:r>
    </w:p>
    <w:p>
      <w:pPr>
        <w:pStyle w:val="Subsection"/>
      </w:pPr>
      <w:r>
        <w:tab/>
        <w:t>(2)</w:t>
      </w:r>
      <w:r>
        <w:tab/>
        <w:t>The extension may be allowed whether or not the period of 28 days has elapsed.</w:t>
      </w:r>
    </w:p>
    <w:p>
      <w:pPr>
        <w:pStyle w:val="Footnotesection"/>
      </w:pPr>
      <w:bookmarkStart w:id="389" w:name="_Toc299701968"/>
      <w:r>
        <w:tab/>
        <w:t>[Section 8L inserted by No. 45 of 2010 s. 6.]</w:t>
      </w:r>
    </w:p>
    <w:p>
      <w:pPr>
        <w:pStyle w:val="Heading5"/>
      </w:pPr>
      <w:bookmarkStart w:id="390" w:name="_Toc336264306"/>
      <w:bookmarkStart w:id="391" w:name="_Toc325554244"/>
      <w:r>
        <w:rPr>
          <w:rStyle w:val="CharSectno"/>
        </w:rPr>
        <w:t>8M</w:t>
      </w:r>
      <w:r>
        <w:t>.</w:t>
      </w:r>
      <w:r>
        <w:tab/>
        <w:t>Certificate of completion of CIS</w:t>
      </w:r>
      <w:bookmarkEnd w:id="389"/>
      <w:bookmarkEnd w:id="390"/>
      <w:bookmarkEnd w:id="391"/>
    </w:p>
    <w:p>
      <w:pPr>
        <w:pStyle w:val="Subsection"/>
      </w:pPr>
      <w:r>
        <w:tab/>
        <w:t>(1)</w:t>
      </w:r>
      <w:r>
        <w:tab/>
        <w:t>A treatment provider approved to provide a CIS under section 8J(2)(b) is to —</w:t>
      </w:r>
    </w:p>
    <w:p>
      <w:pPr>
        <w:pStyle w:val="Indenta"/>
      </w:pPr>
      <w:r>
        <w:tab/>
        <w:t>(a)</w:t>
      </w:r>
      <w:r>
        <w:tab/>
        <w:t>give to a person who has completed a CIS a certificate of completion; and</w:t>
      </w:r>
    </w:p>
    <w:p>
      <w:pPr>
        <w:pStyle w:val="Indenta"/>
      </w:pPr>
      <w:r>
        <w:tab/>
        <w:t>(b)</w:t>
      </w:r>
      <w:r>
        <w:tab/>
        <w:t>send a copy of the certificate to the Commissioner.</w:t>
      </w:r>
    </w:p>
    <w:p>
      <w:pPr>
        <w:pStyle w:val="Subsection"/>
      </w:pPr>
      <w:r>
        <w:tab/>
        <w:t>(2)</w:t>
      </w:r>
      <w:r>
        <w:tab/>
        <w:t>A certificate of completion is to be in a form prescribed by the regulations and is to set out —</w:t>
      </w:r>
    </w:p>
    <w:p>
      <w:pPr>
        <w:pStyle w:val="Indenta"/>
      </w:pPr>
      <w:r>
        <w:tab/>
        <w:t>(a)</w:t>
      </w:r>
      <w:r>
        <w:tab/>
        <w:t>the name and address of the person who has completed the CIS; and</w:t>
      </w:r>
    </w:p>
    <w:p>
      <w:pPr>
        <w:pStyle w:val="Indenta"/>
      </w:pPr>
      <w:r>
        <w:tab/>
        <w:t>(b)</w:t>
      </w:r>
      <w:r>
        <w:tab/>
        <w:t>the date of completion; and</w:t>
      </w:r>
    </w:p>
    <w:p>
      <w:pPr>
        <w:pStyle w:val="Indenta"/>
      </w:pPr>
      <w:r>
        <w:tab/>
        <w:t>(c)</w:t>
      </w:r>
      <w:r>
        <w:tab/>
        <w:t>the details of the CIR in respect of which the CIS was completed.</w:t>
      </w:r>
    </w:p>
    <w:p>
      <w:pPr>
        <w:pStyle w:val="Footnotesection"/>
      </w:pPr>
      <w:r>
        <w:tab/>
        <w:t>[Section 8M inserted by No. 45 of 2010 s. 6.]</w:t>
      </w:r>
    </w:p>
    <w:p>
      <w:pPr>
        <w:pStyle w:val="Heading2"/>
      </w:pPr>
      <w:bookmarkStart w:id="392" w:name="_Toc299716981"/>
      <w:bookmarkStart w:id="393" w:name="_Toc299717478"/>
      <w:bookmarkStart w:id="394" w:name="_Toc301268105"/>
      <w:bookmarkStart w:id="395" w:name="_Toc301345275"/>
      <w:bookmarkStart w:id="396" w:name="_Toc303929268"/>
      <w:bookmarkStart w:id="397" w:name="_Toc306013884"/>
      <w:bookmarkStart w:id="398" w:name="_Toc306013982"/>
      <w:bookmarkStart w:id="399" w:name="_Toc306018418"/>
      <w:bookmarkStart w:id="400" w:name="_Toc309727392"/>
      <w:bookmarkStart w:id="401" w:name="_Toc309730113"/>
      <w:bookmarkStart w:id="402" w:name="_Toc320107635"/>
      <w:bookmarkStart w:id="403" w:name="_Toc320108265"/>
      <w:bookmarkStart w:id="404" w:name="_Toc320187215"/>
      <w:bookmarkStart w:id="405" w:name="_Toc322004277"/>
      <w:bookmarkStart w:id="406" w:name="_Toc322006213"/>
      <w:bookmarkStart w:id="407" w:name="_Toc325551411"/>
      <w:bookmarkStart w:id="408" w:name="_Toc325553577"/>
      <w:bookmarkStart w:id="409" w:name="_Toc325553676"/>
      <w:bookmarkStart w:id="410" w:name="_Toc325553775"/>
      <w:bookmarkStart w:id="411" w:name="_Toc325554245"/>
      <w:bookmarkStart w:id="412" w:name="_Toc336264307"/>
      <w:r>
        <w:rPr>
          <w:rStyle w:val="CharPartNo"/>
        </w:rPr>
        <w:t>Part III</w:t>
      </w:r>
      <w:r>
        <w:rPr>
          <w:rStyle w:val="CharDivNo"/>
        </w:rPr>
        <w:t> </w:t>
      </w:r>
      <w:r>
        <w:t>—</w:t>
      </w:r>
      <w:r>
        <w:rPr>
          <w:rStyle w:val="CharDivText"/>
        </w:rPr>
        <w:t> </w:t>
      </w:r>
      <w:r>
        <w:rPr>
          <w:rStyle w:val="CharPartText"/>
        </w:rPr>
        <w:t>Procedure</w:t>
      </w:r>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p>
    <w:p>
      <w:pPr>
        <w:pStyle w:val="Heading5"/>
        <w:spacing w:before="180"/>
      </w:pPr>
      <w:bookmarkStart w:id="413" w:name="_Toc109615239"/>
      <w:bookmarkStart w:id="414" w:name="_Toc215543725"/>
      <w:bookmarkStart w:id="415" w:name="_Toc336264308"/>
      <w:bookmarkStart w:id="416" w:name="_Toc325554246"/>
      <w:bookmarkStart w:id="417" w:name="_Toc503149544"/>
      <w:bookmarkStart w:id="418" w:name="_Toc534613839"/>
      <w:bookmarkStart w:id="419" w:name="_Toc535053878"/>
      <w:r>
        <w:rPr>
          <w:rStyle w:val="CharSectno"/>
        </w:rPr>
        <w:t>9</w:t>
      </w:r>
      <w:r>
        <w:t>.</w:t>
      </w:r>
      <w:r>
        <w:tab/>
        <w:t>Summary trial of some indictable offences</w:t>
      </w:r>
      <w:bookmarkEnd w:id="413"/>
      <w:bookmarkEnd w:id="414"/>
      <w:bookmarkEnd w:id="415"/>
      <w:bookmarkEnd w:id="416"/>
    </w:p>
    <w:p>
      <w:pPr>
        <w:pStyle w:val="Subsection"/>
        <w:spacing w:before="120"/>
      </w:pPr>
      <w:r>
        <w:tab/>
        <w:t>(1)</w:t>
      </w:r>
      <w:r>
        <w:tab/>
        <w:t xml:space="preserve">If a person is charged before a court of summary jurisdiction with — </w:t>
      </w:r>
    </w:p>
    <w:p>
      <w:pPr>
        <w:pStyle w:val="Indenta"/>
      </w:pPr>
      <w:r>
        <w:tab/>
        <w:t>(a)</w:t>
      </w:r>
      <w:r>
        <w:tab/>
        <w:t>an offence under section 6(1) in respect of a quantity of a prohibited drug referred to in Schedule III that is less than the quantity specified in that Schedule in relation to that prohibited drug; or</w:t>
      </w:r>
    </w:p>
    <w:p>
      <w:pPr>
        <w:pStyle w:val="Indenta"/>
      </w:pPr>
      <w:r>
        <w:tab/>
        <w:t>(b)</w:t>
      </w:r>
      <w:r>
        <w:tab/>
        <w:t>an offence under section 7(1) in respect of a number of prohibited plants of a particular species or genus referred to in Schedule IV that is less than the number specified in that Schedule in relation to that species or genus; or</w:t>
      </w:r>
    </w:p>
    <w:p>
      <w:pPr>
        <w:pStyle w:val="Indenta"/>
      </w:pPr>
      <w:r>
        <w:tab/>
        <w:t>(c)</w:t>
      </w:r>
      <w:r>
        <w:tab/>
        <w:t>an offence under section 7A(1),</w:t>
      </w:r>
    </w:p>
    <w:p>
      <w:pPr>
        <w:pStyle w:val="Subsection"/>
      </w:pPr>
      <w:r>
        <w:tab/>
      </w:r>
      <w:r>
        <w:tab/>
        <w:t>then, except in a case where the person is charged with conspiring to commit the offence, the summary conviction penalty for the offence is that set out in section 34(2)(b).</w:t>
      </w:r>
    </w:p>
    <w:p>
      <w:pPr>
        <w:pStyle w:val="Subsection"/>
      </w:pPr>
      <w:r>
        <w:tab/>
        <w:t>(2)</w:t>
      </w:r>
      <w:r>
        <w:tab/>
        <w:t>A court of summary jurisdiction that tries a person summarily for a charge of an offence referred to in subsection (1) must be constituted by a magistrate sitting alone.</w:t>
      </w:r>
    </w:p>
    <w:p>
      <w:pPr>
        <w:pStyle w:val="Subsection"/>
      </w:pPr>
      <w:r>
        <w:tab/>
        <w:t>(3)</w:t>
      </w:r>
      <w:r>
        <w:tab/>
        <w:t xml:space="preserve">If a person charged before a court of summary jurisdiction with an offence that may be dealt with summarily under subsection (1) is, under section 5 of </w:t>
      </w:r>
      <w:r>
        <w:rPr>
          <w:i/>
        </w:rPr>
        <w:t>The Criminal Code</w:t>
      </w:r>
      <w:r>
        <w:t xml:space="preserve">, committed for trial or sentence in respect of the offence, the court to which the accused is committed may deal with the charge despite — </w:t>
      </w:r>
    </w:p>
    <w:p>
      <w:pPr>
        <w:pStyle w:val="Indenta"/>
        <w:spacing w:before="100"/>
      </w:pPr>
      <w:r>
        <w:tab/>
        <w:t>(a)</w:t>
      </w:r>
      <w:r>
        <w:tab/>
        <w:t>the quantity of the prohibited drug to which the charge relates being less than the quantity specified in Schedule III in relation to that prohibited drug; or</w:t>
      </w:r>
    </w:p>
    <w:p>
      <w:pPr>
        <w:pStyle w:val="Indenta"/>
      </w:pPr>
      <w:r>
        <w:tab/>
        <w:t>(b)</w:t>
      </w:r>
      <w:r>
        <w:tab/>
        <w:t>the number of prohibited plants of a particular species or genus to which the charge relates being less than the number specified in Schedule IV in relation to that species or genus.</w:t>
      </w:r>
    </w:p>
    <w:p>
      <w:pPr>
        <w:pStyle w:val="Footnotesection"/>
        <w:ind w:left="890" w:hanging="890"/>
      </w:pPr>
      <w:r>
        <w:tab/>
        <w:t>[Section 9 inserted by No. 4 of 2004 s. 58; amended by No. 84 of 2004 s. 82.]</w:t>
      </w:r>
    </w:p>
    <w:p>
      <w:pPr>
        <w:pStyle w:val="Heading5"/>
      </w:pPr>
      <w:bookmarkStart w:id="420" w:name="_Toc109615240"/>
      <w:bookmarkStart w:id="421" w:name="_Toc215543726"/>
      <w:bookmarkStart w:id="422" w:name="_Toc336264309"/>
      <w:bookmarkStart w:id="423" w:name="_Toc325554247"/>
      <w:r>
        <w:rPr>
          <w:rStyle w:val="CharSectno"/>
        </w:rPr>
        <w:t>10</w:t>
      </w:r>
      <w:r>
        <w:t>.</w:t>
      </w:r>
      <w:r>
        <w:tab/>
        <w:t>Alternative verdicts</w:t>
      </w:r>
      <w:bookmarkEnd w:id="417"/>
      <w:bookmarkEnd w:id="418"/>
      <w:bookmarkEnd w:id="419"/>
      <w:bookmarkEnd w:id="420"/>
      <w:bookmarkEnd w:id="421"/>
      <w:bookmarkEnd w:id="422"/>
      <w:bookmarkEnd w:id="423"/>
    </w:p>
    <w:p>
      <w:pPr>
        <w:pStyle w:val="Subsection"/>
        <w:rPr>
          <w:snapToGrid w:val="0"/>
        </w:rPr>
      </w:pPr>
      <w:r>
        <w:rPr>
          <w:snapToGrid w:val="0"/>
        </w:rPr>
        <w:tab/>
      </w:r>
      <w:r>
        <w:rPr>
          <w:snapToGrid w:val="0"/>
        </w:rPr>
        <w:tab/>
        <w:t>A court trying a person charged with having committed a crime under — </w:t>
      </w:r>
    </w:p>
    <w:p>
      <w:pPr>
        <w:pStyle w:val="Indenta"/>
        <w:rPr>
          <w:snapToGrid w:val="0"/>
        </w:rPr>
      </w:pPr>
      <w:r>
        <w:rPr>
          <w:snapToGrid w:val="0"/>
        </w:rPr>
        <w:tab/>
        <w:t>(a)</w:t>
      </w:r>
      <w:r>
        <w:rPr>
          <w:snapToGrid w:val="0"/>
        </w:rPr>
        <w:tab/>
        <w:t>section 6(1) may, if the evidence does not establish that that person is guilty of that crime but does establish that he is guilty of a simple offence under section 6(2); or</w:t>
      </w:r>
    </w:p>
    <w:p>
      <w:pPr>
        <w:pStyle w:val="Indenta"/>
        <w:rPr>
          <w:snapToGrid w:val="0"/>
        </w:rPr>
      </w:pPr>
      <w:r>
        <w:rPr>
          <w:snapToGrid w:val="0"/>
        </w:rPr>
        <w:tab/>
        <w:t>(b)</w:t>
      </w:r>
      <w:r>
        <w:rPr>
          <w:snapToGrid w:val="0"/>
        </w:rPr>
        <w:tab/>
        <w:t>section 7(1) may, if the evidence does not establish that that person is guilty of that crime but does establish that he is guilty of a simple offence under section 7(2),</w:t>
      </w:r>
    </w:p>
    <w:p>
      <w:pPr>
        <w:pStyle w:val="Subsection"/>
        <w:rPr>
          <w:snapToGrid w:val="0"/>
        </w:rPr>
      </w:pPr>
      <w:r>
        <w:rPr>
          <w:snapToGrid w:val="0"/>
        </w:rPr>
        <w:tab/>
      </w:r>
      <w:r>
        <w:rPr>
          <w:snapToGrid w:val="0"/>
        </w:rPr>
        <w:tab/>
        <w:t>convict him of having committed that simple offence and, whether that court is a summary court, the District Court or the Supreme Court, impose on him the penalty referred to in section 34(1)(e).</w:t>
      </w:r>
    </w:p>
    <w:p>
      <w:pPr>
        <w:pStyle w:val="Footnotesection"/>
      </w:pPr>
      <w:r>
        <w:tab/>
        <w:t>[Section 10 amended by No. 4 of 2004 s. 58.]</w:t>
      </w:r>
    </w:p>
    <w:p>
      <w:pPr>
        <w:pStyle w:val="Heading5"/>
        <w:rPr>
          <w:snapToGrid w:val="0"/>
        </w:rPr>
      </w:pPr>
      <w:bookmarkStart w:id="424" w:name="_Toc503149545"/>
      <w:bookmarkStart w:id="425" w:name="_Toc534613840"/>
      <w:bookmarkStart w:id="426" w:name="_Toc535053879"/>
      <w:bookmarkStart w:id="427" w:name="_Toc109615241"/>
      <w:bookmarkStart w:id="428" w:name="_Toc215543727"/>
      <w:bookmarkStart w:id="429" w:name="_Toc336264310"/>
      <w:bookmarkStart w:id="430" w:name="_Toc325554248"/>
      <w:r>
        <w:rPr>
          <w:rStyle w:val="CharSectno"/>
        </w:rPr>
        <w:t>11</w:t>
      </w:r>
      <w:r>
        <w:rPr>
          <w:snapToGrid w:val="0"/>
        </w:rPr>
        <w:t>.</w:t>
      </w:r>
      <w:r>
        <w:rPr>
          <w:snapToGrid w:val="0"/>
        </w:rPr>
        <w:tab/>
        <w:t>Presumption of intent to sell or supply</w:t>
      </w:r>
      <w:bookmarkEnd w:id="424"/>
      <w:bookmarkEnd w:id="425"/>
      <w:bookmarkEnd w:id="426"/>
      <w:bookmarkEnd w:id="427"/>
      <w:bookmarkEnd w:id="428"/>
      <w:bookmarkEnd w:id="429"/>
      <w:bookmarkEnd w:id="430"/>
    </w:p>
    <w:p>
      <w:pPr>
        <w:pStyle w:val="Subsection"/>
        <w:keepNext/>
        <w:rPr>
          <w:snapToGrid w:val="0"/>
        </w:rPr>
      </w:pPr>
      <w:r>
        <w:rPr>
          <w:snapToGrid w:val="0"/>
        </w:rPr>
        <w:tab/>
      </w:r>
      <w:r>
        <w:rPr>
          <w:snapToGrid w:val="0"/>
        </w:rPr>
        <w:tab/>
        <w:t>For the purposes of — </w:t>
      </w:r>
    </w:p>
    <w:p>
      <w:pPr>
        <w:pStyle w:val="Indenta"/>
        <w:rPr>
          <w:snapToGrid w:val="0"/>
        </w:rPr>
      </w:pPr>
      <w:r>
        <w:rPr>
          <w:snapToGrid w:val="0"/>
        </w:rPr>
        <w:tab/>
        <w:t>(a)</w:t>
      </w:r>
      <w:r>
        <w:rPr>
          <w:snapToGrid w:val="0"/>
        </w:rPr>
        <w:tab/>
        <w:t>section 6(1)(a), a person shall, unless the contrary is proved, be deemed to have in his possession a prohibited drug with intent to sell or supply it to another if he has in his possession a quantity of the prohibited drug which is not less than the quantity specified in Schedule V in relation to the prohibited drug; or</w:t>
      </w:r>
    </w:p>
    <w:p>
      <w:pPr>
        <w:pStyle w:val="Indenta"/>
        <w:rPr>
          <w:snapToGrid w:val="0"/>
        </w:rPr>
      </w:pPr>
      <w:r>
        <w:rPr>
          <w:snapToGrid w:val="0"/>
        </w:rPr>
        <w:tab/>
        <w:t>(b)</w:t>
      </w:r>
      <w:r>
        <w:rPr>
          <w:snapToGrid w:val="0"/>
        </w:rPr>
        <w:tab/>
        <w:t>section 7(1)(a), a person shall, unless the contrary is proved, be deemed to have in his possession, or to cultivate, prohibited plants of a particular species or genus with intent to sell or supply those prohibited plants or any prohibited drug obtainable therefrom to another if he has in his possession, or cultivates, a number of those prohibited plants which is not less than the number specified in Schedule VI in relation to that species or genus.</w:t>
      </w:r>
    </w:p>
    <w:p>
      <w:pPr>
        <w:pStyle w:val="Heading2"/>
      </w:pPr>
      <w:bookmarkStart w:id="431" w:name="_Toc92603597"/>
      <w:bookmarkStart w:id="432" w:name="_Toc92797781"/>
      <w:bookmarkStart w:id="433" w:name="_Toc97018083"/>
      <w:bookmarkStart w:id="434" w:name="_Toc102387638"/>
      <w:bookmarkStart w:id="435" w:name="_Toc102905269"/>
      <w:bookmarkStart w:id="436" w:name="_Toc105219512"/>
      <w:bookmarkStart w:id="437" w:name="_Toc105220416"/>
      <w:bookmarkStart w:id="438" w:name="_Toc105220484"/>
      <w:bookmarkStart w:id="439" w:name="_Toc105909928"/>
      <w:bookmarkStart w:id="440" w:name="_Toc105910843"/>
      <w:bookmarkStart w:id="441" w:name="_Toc106600687"/>
      <w:bookmarkStart w:id="442" w:name="_Toc106600985"/>
      <w:bookmarkStart w:id="443" w:name="_Toc109615242"/>
      <w:bookmarkStart w:id="444" w:name="_Toc139344536"/>
      <w:bookmarkStart w:id="445" w:name="_Toc139699300"/>
      <w:bookmarkStart w:id="446" w:name="_Toc147051333"/>
      <w:bookmarkStart w:id="447" w:name="_Toc147118788"/>
      <w:bookmarkStart w:id="448" w:name="_Toc148236109"/>
      <w:bookmarkStart w:id="449" w:name="_Toc158704983"/>
      <w:bookmarkStart w:id="450" w:name="_Toc165369943"/>
      <w:bookmarkStart w:id="451" w:name="_Toc177873285"/>
      <w:bookmarkStart w:id="452" w:name="_Toc177873410"/>
      <w:bookmarkStart w:id="453" w:name="_Toc184707367"/>
      <w:bookmarkStart w:id="454" w:name="_Toc189464698"/>
      <w:bookmarkStart w:id="455" w:name="_Toc190249262"/>
      <w:bookmarkStart w:id="456" w:name="_Toc191703156"/>
      <w:bookmarkStart w:id="457" w:name="_Toc193692073"/>
      <w:bookmarkStart w:id="458" w:name="_Toc199817255"/>
      <w:bookmarkStart w:id="459" w:name="_Toc215543728"/>
      <w:bookmarkStart w:id="460" w:name="_Toc215543988"/>
      <w:bookmarkStart w:id="461" w:name="_Toc248029025"/>
      <w:bookmarkStart w:id="462" w:name="_Toc256085074"/>
      <w:bookmarkStart w:id="463" w:name="_Toc256092139"/>
      <w:bookmarkStart w:id="464" w:name="_Toc268600325"/>
      <w:bookmarkStart w:id="465" w:name="_Toc272237454"/>
      <w:bookmarkStart w:id="466" w:name="_Toc275253533"/>
      <w:bookmarkStart w:id="467" w:name="_Toc283287457"/>
      <w:bookmarkStart w:id="468" w:name="_Toc290558443"/>
      <w:bookmarkStart w:id="469" w:name="_Toc290558519"/>
      <w:bookmarkStart w:id="470" w:name="_Toc291764658"/>
      <w:bookmarkStart w:id="471" w:name="_Toc291768230"/>
      <w:bookmarkStart w:id="472" w:name="_Toc297718731"/>
      <w:bookmarkStart w:id="473" w:name="_Toc297904464"/>
      <w:bookmarkStart w:id="474" w:name="_Toc297904538"/>
      <w:bookmarkStart w:id="475" w:name="_Toc299716985"/>
      <w:bookmarkStart w:id="476" w:name="_Toc299717482"/>
      <w:bookmarkStart w:id="477" w:name="_Toc301268109"/>
      <w:bookmarkStart w:id="478" w:name="_Toc301345279"/>
      <w:bookmarkStart w:id="479" w:name="_Toc303929272"/>
      <w:bookmarkStart w:id="480" w:name="_Toc306013888"/>
      <w:bookmarkStart w:id="481" w:name="_Toc306013986"/>
      <w:bookmarkStart w:id="482" w:name="_Toc306018422"/>
      <w:bookmarkStart w:id="483" w:name="_Toc309727396"/>
      <w:bookmarkStart w:id="484" w:name="_Toc309730117"/>
      <w:bookmarkStart w:id="485" w:name="_Toc320107639"/>
      <w:bookmarkStart w:id="486" w:name="_Toc320108269"/>
      <w:bookmarkStart w:id="487" w:name="_Toc320187219"/>
      <w:bookmarkStart w:id="488" w:name="_Toc322004281"/>
      <w:bookmarkStart w:id="489" w:name="_Toc322006217"/>
      <w:bookmarkStart w:id="490" w:name="_Toc325551415"/>
      <w:bookmarkStart w:id="491" w:name="_Toc325553581"/>
      <w:bookmarkStart w:id="492" w:name="_Toc325553680"/>
      <w:bookmarkStart w:id="493" w:name="_Toc325553779"/>
      <w:bookmarkStart w:id="494" w:name="_Toc325554249"/>
      <w:bookmarkStart w:id="495" w:name="_Toc336264311"/>
      <w:r>
        <w:rPr>
          <w:rStyle w:val="CharPartNo"/>
        </w:rPr>
        <w:t>Part IV</w:t>
      </w:r>
      <w:r>
        <w:rPr>
          <w:b w:val="0"/>
        </w:rPr>
        <w:t> </w:t>
      </w:r>
      <w:r>
        <w:t>—</w:t>
      </w:r>
      <w:r>
        <w:rPr>
          <w:b w:val="0"/>
        </w:rPr>
        <w:t> </w:t>
      </w:r>
      <w:r>
        <w:rPr>
          <w:rStyle w:val="CharPartText"/>
        </w:rPr>
        <w:t>Controls relating to possession, sale, supply and storage of certain substances and things</w:t>
      </w:r>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p>
    <w:p>
      <w:pPr>
        <w:pStyle w:val="Footnoteheading"/>
      </w:pPr>
      <w:r>
        <w:tab/>
        <w:t>[Heading inserted by No. 62 of 2004 s. 5.]</w:t>
      </w:r>
    </w:p>
    <w:p>
      <w:pPr>
        <w:pStyle w:val="Heading5"/>
      </w:pPr>
      <w:bookmarkStart w:id="496" w:name="_Toc109615243"/>
      <w:bookmarkStart w:id="497" w:name="_Toc215543729"/>
      <w:bookmarkStart w:id="498" w:name="_Toc336264312"/>
      <w:bookmarkStart w:id="499" w:name="_Toc325554250"/>
      <w:r>
        <w:rPr>
          <w:rStyle w:val="CharSectno"/>
        </w:rPr>
        <w:t>12</w:t>
      </w:r>
      <w:r>
        <w:t>.</w:t>
      </w:r>
      <w:r>
        <w:tab/>
      </w:r>
      <w:bookmarkEnd w:id="496"/>
      <w:r>
        <w:t>Terms used</w:t>
      </w:r>
      <w:bookmarkEnd w:id="497"/>
      <w:bookmarkEnd w:id="498"/>
      <w:bookmarkEnd w:id="499"/>
    </w:p>
    <w:p>
      <w:pPr>
        <w:pStyle w:val="Subsection"/>
      </w:pPr>
      <w:r>
        <w:tab/>
      </w:r>
      <w:r>
        <w:tab/>
        <w:t xml:space="preserve">In this Part, unless the contrary intention appears — </w:t>
      </w:r>
    </w:p>
    <w:p>
      <w:pPr>
        <w:pStyle w:val="Defstart"/>
      </w:pPr>
      <w:r>
        <w:rPr>
          <w:b/>
        </w:rPr>
        <w:tab/>
      </w:r>
      <w:r>
        <w:rPr>
          <w:rStyle w:val="CharDefText"/>
        </w:rPr>
        <w:t>category 1 item</w:t>
      </w:r>
      <w:r>
        <w:t xml:space="preserve"> means a substance or thing designated as a category 1 item by regulations referred to in section 20;</w:t>
      </w:r>
    </w:p>
    <w:p>
      <w:pPr>
        <w:pStyle w:val="Defstart"/>
      </w:pPr>
      <w:r>
        <w:rPr>
          <w:b/>
        </w:rPr>
        <w:tab/>
      </w:r>
      <w:r>
        <w:rPr>
          <w:rStyle w:val="CharDefText"/>
        </w:rPr>
        <w:t>category 2 item</w:t>
      </w:r>
      <w:r>
        <w:t xml:space="preserve"> means a substance or thing designated as a category 2 item by regulations referred to in section 20;</w:t>
      </w:r>
    </w:p>
    <w:p>
      <w:pPr>
        <w:pStyle w:val="Defstart"/>
      </w:pPr>
      <w:r>
        <w:rPr>
          <w:b/>
        </w:rPr>
        <w:tab/>
      </w:r>
      <w:r>
        <w:rPr>
          <w:rStyle w:val="CharDefText"/>
        </w:rPr>
        <w:t>recipient</w:t>
      </w:r>
      <w:r>
        <w:t xml:space="preserve"> means a person to whom a category 1 item or category 2 item, as the case requires, is sold or supplied;</w:t>
      </w:r>
    </w:p>
    <w:p>
      <w:pPr>
        <w:pStyle w:val="Defstart"/>
      </w:pPr>
      <w:r>
        <w:rPr>
          <w:b/>
        </w:rPr>
        <w:tab/>
      </w:r>
      <w:r>
        <w:rPr>
          <w:rStyle w:val="CharDefText"/>
        </w:rPr>
        <w:t>substance</w:t>
      </w:r>
      <w:r>
        <w:t xml:space="preserve"> includes material, compound, preparation and admixture;</w:t>
      </w:r>
    </w:p>
    <w:p>
      <w:pPr>
        <w:pStyle w:val="Defstart"/>
      </w:pPr>
      <w:r>
        <w:rPr>
          <w:b/>
        </w:rPr>
        <w:tab/>
      </w:r>
      <w:r>
        <w:rPr>
          <w:rStyle w:val="CharDefText"/>
        </w:rPr>
        <w:t>supplier</w:t>
      </w:r>
      <w:r>
        <w:t xml:space="preserve"> means a person who sells or supplies a category 1 item or category 2 item, as the case requires.</w:t>
      </w:r>
    </w:p>
    <w:p>
      <w:pPr>
        <w:pStyle w:val="Footnotesection"/>
      </w:pPr>
      <w:r>
        <w:tab/>
        <w:t>[Section 12 inserted by No. 62 of 2004 s. 5.]</w:t>
      </w:r>
    </w:p>
    <w:p>
      <w:pPr>
        <w:pStyle w:val="Heading5"/>
      </w:pPr>
      <w:bookmarkStart w:id="500" w:name="_Toc109615244"/>
      <w:bookmarkStart w:id="501" w:name="_Toc215543730"/>
      <w:bookmarkStart w:id="502" w:name="_Toc336264313"/>
      <w:bookmarkStart w:id="503" w:name="_Toc325554251"/>
      <w:r>
        <w:rPr>
          <w:rStyle w:val="CharSectno"/>
        </w:rPr>
        <w:t>13</w:t>
      </w:r>
      <w:r>
        <w:t>.</w:t>
      </w:r>
      <w:r>
        <w:tab/>
        <w:t>Part not applicable to possession, sale or supply of certain substances or things</w:t>
      </w:r>
      <w:bookmarkEnd w:id="500"/>
      <w:bookmarkEnd w:id="501"/>
      <w:bookmarkEnd w:id="502"/>
      <w:bookmarkEnd w:id="503"/>
    </w:p>
    <w:p>
      <w:pPr>
        <w:pStyle w:val="Subsection"/>
      </w:pPr>
      <w:r>
        <w:tab/>
        <w:t>(1)</w:t>
      </w:r>
      <w:r>
        <w:tab/>
        <w:t xml:space="preserve">This Part does not apply to or in relation to the possession, sale or supply of a category 1 item or category 2 item if — </w:t>
      </w:r>
    </w:p>
    <w:p>
      <w:pPr>
        <w:pStyle w:val="Indenta"/>
      </w:pPr>
      <w:r>
        <w:tab/>
        <w:t>(a)</w:t>
      </w:r>
      <w:r>
        <w:tab/>
        <w:t>the item is, or is contained in, a substance that is designed, packaged and labelled for human or animal therapeutic use; and</w:t>
      </w:r>
    </w:p>
    <w:p>
      <w:pPr>
        <w:pStyle w:val="Indenta"/>
      </w:pPr>
      <w:r>
        <w:tab/>
        <w:t>(b)</w:t>
      </w:r>
      <w:r>
        <w:tab/>
        <w:t>the item is in the possession of, or the sale or supply is to or by, a person belonging to a class prescribed for the purposes of this subsection acting in the ordinary course of the person’s occupation.</w:t>
      </w:r>
    </w:p>
    <w:p>
      <w:pPr>
        <w:pStyle w:val="Subsection"/>
      </w:pPr>
      <w:r>
        <w:tab/>
        <w:t>(2)</w:t>
      </w:r>
      <w:r>
        <w:tab/>
        <w:t>This Part does not apply to or in relation to the possession or supply of a category 1 item or category 2 item if the item is in the possession of, or the supply is by, a person employed or engaged by an education institution or a research institution acting in the ordinary course of the person’s occupation and the possession or supply is solely for educational or research purposes.</w:t>
      </w:r>
    </w:p>
    <w:p>
      <w:pPr>
        <w:pStyle w:val="Footnotesection"/>
      </w:pPr>
      <w:r>
        <w:tab/>
        <w:t>[Section 13 inserted by No. 62 of 2004 s. 5.]</w:t>
      </w:r>
    </w:p>
    <w:p>
      <w:pPr>
        <w:pStyle w:val="Heading5"/>
      </w:pPr>
      <w:bookmarkStart w:id="504" w:name="_Toc109615245"/>
      <w:bookmarkStart w:id="505" w:name="_Toc215543731"/>
      <w:bookmarkStart w:id="506" w:name="_Toc336264314"/>
      <w:bookmarkStart w:id="507" w:name="_Toc325554252"/>
      <w:r>
        <w:rPr>
          <w:rStyle w:val="CharSectno"/>
        </w:rPr>
        <w:t>14</w:t>
      </w:r>
      <w:r>
        <w:t>.</w:t>
      </w:r>
      <w:r>
        <w:tab/>
        <w:t>Possession of certain substances or things</w:t>
      </w:r>
      <w:bookmarkEnd w:id="504"/>
      <w:bookmarkEnd w:id="505"/>
      <w:bookmarkEnd w:id="506"/>
      <w:bookmarkEnd w:id="507"/>
    </w:p>
    <w:p>
      <w:pPr>
        <w:pStyle w:val="Subsection"/>
      </w:pPr>
      <w:r>
        <w:tab/>
        <w:t>(1)</w:t>
      </w:r>
      <w:r>
        <w:tab/>
        <w:t>A person who, without lawful excuse, has in the person’s possession a substance that contains, or substances that together contain, a quantity of a category 1 item or a category 2 item that exceeds the quantity prescribed in relation to the item concerned commits a crime.</w:t>
      </w:r>
    </w:p>
    <w:p>
      <w:pPr>
        <w:pStyle w:val="Penstart"/>
      </w:pPr>
      <w:r>
        <w:tab/>
        <w:t>Penalty: $20 000 or imprisonment for 5 years or both.</w:t>
      </w:r>
    </w:p>
    <w:p>
      <w:pPr>
        <w:pStyle w:val="Penstart"/>
      </w:pPr>
      <w:r>
        <w:tab/>
        <w:t>Summary conviction penalty: $12 000 or imprisonment for 3 years or both.</w:t>
      </w:r>
    </w:p>
    <w:p>
      <w:pPr>
        <w:pStyle w:val="Subsection"/>
      </w:pPr>
      <w:r>
        <w:tab/>
        <w:t>(2)</w:t>
      </w:r>
      <w:r>
        <w:tab/>
        <w:t>A person who, without lawful excuse, has in the person’s possession a category 1 item or a category 2 item commits a simple offence.</w:t>
      </w:r>
    </w:p>
    <w:p>
      <w:pPr>
        <w:pStyle w:val="Penstart"/>
      </w:pPr>
      <w:r>
        <w:tab/>
        <w:t>Penalty: $12 000 or imprisonment for 3 years or both.</w:t>
      </w:r>
    </w:p>
    <w:p>
      <w:pPr>
        <w:pStyle w:val="Subsection"/>
      </w:pPr>
      <w:r>
        <w:tab/>
        <w:t>(3)</w:t>
      </w:r>
      <w:r>
        <w:tab/>
        <w:t xml:space="preserve">A person does not commit an offence under subsection (1) or (2) if the person is authorised by or under this Act or by or under the </w:t>
      </w:r>
      <w:r>
        <w:rPr>
          <w:i/>
        </w:rPr>
        <w:t>Poisons Act 1964</w:t>
      </w:r>
      <w:r>
        <w:t xml:space="preserve"> to possess the item or substance concerned and does so in accordance with that authority.</w:t>
      </w:r>
    </w:p>
    <w:p>
      <w:pPr>
        <w:pStyle w:val="Subsection"/>
      </w:pPr>
      <w:r>
        <w:tab/>
        <w:t>(4)</w:t>
      </w:r>
      <w:r>
        <w:tab/>
        <w:t>A person does not commit an offence under subsection (1) or (2) by reason only of the person having in the person’s possession a category 1 item, a category 2 item or a particular substance if the person proves that the person had possession of the item or substance only for the purpose of —</w:t>
      </w:r>
    </w:p>
    <w:p>
      <w:pPr>
        <w:pStyle w:val="Indenta"/>
      </w:pPr>
      <w:r>
        <w:tab/>
        <w:t>(a)</w:t>
      </w:r>
      <w:r>
        <w:tab/>
        <w:t xml:space="preserve">delivering it to a person authorised (the </w:t>
      </w:r>
      <w:r>
        <w:rPr>
          <w:rStyle w:val="CharDefText"/>
        </w:rPr>
        <w:t>authorised person</w:t>
      </w:r>
      <w:r>
        <w:t>) —</w:t>
      </w:r>
    </w:p>
    <w:p>
      <w:pPr>
        <w:pStyle w:val="Indenti"/>
      </w:pPr>
      <w:r>
        <w:tab/>
        <w:t>(i)</w:t>
      </w:r>
      <w:r>
        <w:tab/>
        <w:t xml:space="preserve">to have possession of the item or substance by or under this Act, by or under the </w:t>
      </w:r>
      <w:r>
        <w:rPr>
          <w:i/>
        </w:rPr>
        <w:t>Poisons Act 1964</w:t>
      </w:r>
      <w:r>
        <w:t xml:space="preserve"> or on and in accordance with an authorised prescription; or</w:t>
      </w:r>
    </w:p>
    <w:p>
      <w:pPr>
        <w:pStyle w:val="Indenti"/>
      </w:pPr>
      <w:r>
        <w:tab/>
        <w:t>(ii)</w:t>
      </w:r>
      <w:r>
        <w:tab/>
        <w:t xml:space="preserve">by or under this Act or by or under the </w:t>
      </w:r>
      <w:r>
        <w:rPr>
          <w:i/>
        </w:rPr>
        <w:t>Poisons Act 1964</w:t>
      </w:r>
      <w:r>
        <w:t xml:space="preserve"> to manufacture, prepare, sell or supply the item or substance,</w:t>
      </w:r>
    </w:p>
    <w:p>
      <w:pPr>
        <w:pStyle w:val="Indenta"/>
      </w:pPr>
      <w:r>
        <w:tab/>
      </w:r>
      <w:r>
        <w:tab/>
        <w:t>and had possession of the item or substance (except in the case of intended delivery to a person authorised to have possession of the item or substance on and in accordance with an authorised prescription) in accordance with the authority in writing of the authorised person, and that, after taking possession of the item or substance, the person took all such steps as were reasonably open to the person to deliver the item or substance into the possession of the authorised person; or</w:t>
      </w:r>
    </w:p>
    <w:p>
      <w:pPr>
        <w:pStyle w:val="Indenta"/>
      </w:pPr>
      <w:r>
        <w:tab/>
        <w:t>(b)</w:t>
      </w:r>
      <w:r>
        <w:tab/>
        <w:t>analysing, examining or otherwise dealing with it for the purposes of this Act in the person’s capacity as an analyst, botanist or other expert.</w:t>
      </w:r>
    </w:p>
    <w:p>
      <w:pPr>
        <w:pStyle w:val="Footnotesection"/>
      </w:pPr>
      <w:r>
        <w:tab/>
        <w:t>[Section 14 inserted by No. 62 of 2004 s. 5.]</w:t>
      </w:r>
    </w:p>
    <w:p>
      <w:pPr>
        <w:pStyle w:val="Heading5"/>
      </w:pPr>
      <w:bookmarkStart w:id="508" w:name="_Toc109615246"/>
      <w:bookmarkStart w:id="509" w:name="_Toc215543732"/>
      <w:bookmarkStart w:id="510" w:name="_Toc336264315"/>
      <w:bookmarkStart w:id="511" w:name="_Toc325554253"/>
      <w:r>
        <w:rPr>
          <w:rStyle w:val="CharSectno"/>
        </w:rPr>
        <w:t>15</w:t>
      </w:r>
      <w:r>
        <w:t>.</w:t>
      </w:r>
      <w:r>
        <w:tab/>
      </w:r>
      <w:smartTag w:uri="urn:schemas-microsoft-com:office:smarttags" w:element="place">
        <w:smartTag w:uri="urn:schemas-microsoft-com:office:smarttags" w:element="City">
          <w:r>
            <w:t>Sale</w:t>
          </w:r>
        </w:smartTag>
      </w:smartTag>
      <w:r>
        <w:t xml:space="preserve"> or supply of category 1 items</w:t>
      </w:r>
      <w:bookmarkEnd w:id="508"/>
      <w:bookmarkEnd w:id="509"/>
      <w:bookmarkEnd w:id="510"/>
      <w:bookmarkEnd w:id="511"/>
    </w:p>
    <w:p>
      <w:pPr>
        <w:pStyle w:val="Subsection"/>
      </w:pPr>
      <w:r>
        <w:tab/>
        <w:t>(1)</w:t>
      </w:r>
      <w:r>
        <w:tab/>
        <w:t xml:space="preserve">A supplier who sells or supplies a category 1 item commits a simple offence unless — </w:t>
      </w:r>
    </w:p>
    <w:p>
      <w:pPr>
        <w:pStyle w:val="Indenta"/>
      </w:pPr>
      <w:r>
        <w:tab/>
        <w:t>(a)</w:t>
      </w:r>
      <w:r>
        <w:tab/>
        <w:t>the recipient holds an account with the supplier; and</w:t>
      </w:r>
    </w:p>
    <w:p>
      <w:pPr>
        <w:pStyle w:val="Indenta"/>
      </w:pPr>
      <w:r>
        <w:tab/>
        <w:t>(b)</w:t>
      </w:r>
      <w:r>
        <w:tab/>
        <w:t>the sale or supply is a sale or supply on account that occurs after a written order for the item is given to the supplier by or on behalf of the recipient; and</w:t>
      </w:r>
    </w:p>
    <w:p>
      <w:pPr>
        <w:pStyle w:val="Indenta"/>
      </w:pPr>
      <w:r>
        <w:tab/>
        <w:t>(c)</w:t>
      </w:r>
      <w:r>
        <w:tab/>
        <w:t>the order is accompanied by a declaration in the prescribed form made by or on behalf of the recipient; and</w:t>
      </w:r>
    </w:p>
    <w:p>
      <w:pPr>
        <w:pStyle w:val="Indenta"/>
      </w:pPr>
      <w:r>
        <w:tab/>
        <w:t>(d)</w:t>
      </w:r>
      <w:r>
        <w:tab/>
        <w:t>the person who takes possession of the item produces to the supplier such evidence of the person’s identity as is required by the regulations.</w:t>
      </w:r>
    </w:p>
    <w:p>
      <w:pPr>
        <w:pStyle w:val="Subsection"/>
      </w:pPr>
      <w:r>
        <w:tab/>
        <w:t>(2)</w:t>
      </w:r>
      <w:r>
        <w:tab/>
        <w:t>A supplier who sells or supplies a category 1 item commits a simple offence if the supplier gives possession of the item to the recipient, or to a person on behalf of the recipient, within 24 hours after the written order for the item was given to the supplier.</w:t>
      </w:r>
    </w:p>
    <w:p>
      <w:pPr>
        <w:pStyle w:val="Subsection"/>
      </w:pPr>
      <w:r>
        <w:tab/>
        <w:t>(3)</w:t>
      </w:r>
      <w:r>
        <w:tab/>
        <w:t>A supplier who sells or supplies a category 1 item commits a simple offence if the supplier fails to give a copy of the declaration under subsection (1)(c) in respect of the sale or supply to the Commissioner in the prescribed manner within 24 hours after the written order for the item was given to the supplier.</w:t>
      </w:r>
    </w:p>
    <w:p>
      <w:pPr>
        <w:pStyle w:val="Footnotesection"/>
      </w:pPr>
      <w:r>
        <w:tab/>
        <w:t>[Section 15 inserted by No. 62 of 2004 s. 5.]</w:t>
      </w:r>
    </w:p>
    <w:p>
      <w:pPr>
        <w:pStyle w:val="Heading5"/>
      </w:pPr>
      <w:bookmarkStart w:id="512" w:name="_Toc109615247"/>
      <w:bookmarkStart w:id="513" w:name="_Toc215543733"/>
      <w:bookmarkStart w:id="514" w:name="_Toc336264316"/>
      <w:bookmarkStart w:id="515" w:name="_Toc325554254"/>
      <w:r>
        <w:rPr>
          <w:rStyle w:val="CharSectno"/>
        </w:rPr>
        <w:t>16</w:t>
      </w:r>
      <w:r>
        <w:t>.</w:t>
      </w:r>
      <w:r>
        <w:tab/>
        <w:t>Storage of category 1 items</w:t>
      </w:r>
      <w:bookmarkEnd w:id="512"/>
      <w:bookmarkEnd w:id="513"/>
      <w:bookmarkEnd w:id="514"/>
      <w:bookmarkEnd w:id="515"/>
    </w:p>
    <w:p>
      <w:pPr>
        <w:pStyle w:val="Subsection"/>
      </w:pPr>
      <w:r>
        <w:tab/>
        <w:t>(1)</w:t>
      </w:r>
      <w:r>
        <w:tab/>
        <w:t>A supplier who sells or supplies category 1 items commits a simple offence if the supplier fails to store those items in a manner that prevents access to them by any person other than a person who is authorised in writing by the supplier to have such access.</w:t>
      </w:r>
    </w:p>
    <w:p>
      <w:pPr>
        <w:pStyle w:val="Subsection"/>
      </w:pPr>
      <w:r>
        <w:tab/>
        <w:t>(2)</w:t>
      </w:r>
      <w:r>
        <w:tab/>
        <w:t>A person who sells or supplies, or has sold or supplied, category 1 items commits a simple offence if the person fails to retain a copy of each authorisation given for the purposes of subsection (1) while it has effect and for at least 5 years after it ceases to have effect.</w:t>
      </w:r>
    </w:p>
    <w:p>
      <w:pPr>
        <w:pStyle w:val="Footnotesection"/>
      </w:pPr>
      <w:r>
        <w:tab/>
        <w:t>[Section 16 inserted by No. 62 of 2004 s. 5.]</w:t>
      </w:r>
    </w:p>
    <w:p>
      <w:pPr>
        <w:pStyle w:val="Heading5"/>
      </w:pPr>
      <w:bookmarkStart w:id="516" w:name="_Toc109615248"/>
      <w:bookmarkStart w:id="517" w:name="_Toc215543734"/>
      <w:bookmarkStart w:id="518" w:name="_Toc336264317"/>
      <w:bookmarkStart w:id="519" w:name="_Toc325554255"/>
      <w:r>
        <w:rPr>
          <w:rStyle w:val="CharSectno"/>
        </w:rPr>
        <w:t>17</w:t>
      </w:r>
      <w:r>
        <w:t>.</w:t>
      </w:r>
      <w:r>
        <w:tab/>
      </w:r>
      <w:smartTag w:uri="urn:schemas-microsoft-com:office:smarttags" w:element="place">
        <w:smartTag w:uri="urn:schemas-microsoft-com:office:smarttags" w:element="City">
          <w:r>
            <w:t>Sale</w:t>
          </w:r>
        </w:smartTag>
      </w:smartTag>
      <w:r>
        <w:t xml:space="preserve"> or supply of category 2 items</w:t>
      </w:r>
      <w:bookmarkEnd w:id="516"/>
      <w:bookmarkEnd w:id="517"/>
      <w:bookmarkEnd w:id="518"/>
      <w:bookmarkEnd w:id="519"/>
    </w:p>
    <w:p>
      <w:pPr>
        <w:pStyle w:val="Subsection"/>
      </w:pPr>
      <w:r>
        <w:tab/>
        <w:t>(1)</w:t>
      </w:r>
      <w:r>
        <w:tab/>
        <w:t xml:space="preserve">A supplier who sells or supplies a category 2 item commits a simple offence unless — </w:t>
      </w:r>
    </w:p>
    <w:p>
      <w:pPr>
        <w:pStyle w:val="Indenta"/>
      </w:pPr>
      <w:r>
        <w:tab/>
        <w:t>(a)</w:t>
      </w:r>
      <w:r>
        <w:tab/>
        <w:t>the recipient holds an account with the supplier and the sale or supply is of the kind described in section 15(1)(b); or</w:t>
      </w:r>
    </w:p>
    <w:p>
      <w:pPr>
        <w:pStyle w:val="Indenta"/>
        <w:keepNext/>
      </w:pPr>
      <w:r>
        <w:tab/>
        <w:t>(b)</w:t>
      </w:r>
      <w:r>
        <w:tab/>
        <w:t xml:space="preserve">at the time of the sale or supply — </w:t>
      </w:r>
    </w:p>
    <w:p>
      <w:pPr>
        <w:pStyle w:val="Indenti"/>
      </w:pPr>
      <w:r>
        <w:tab/>
        <w:t>(i)</w:t>
      </w:r>
      <w:r>
        <w:tab/>
        <w:t>a declaration in the prescribed form made by or on behalf of the recipient is given to the supplier; and</w:t>
      </w:r>
    </w:p>
    <w:p>
      <w:pPr>
        <w:pStyle w:val="Indenti"/>
      </w:pPr>
      <w:r>
        <w:tab/>
        <w:t>(ii)</w:t>
      </w:r>
      <w:r>
        <w:tab/>
        <w:t>the person who takes possession of the item produces to the supplier such evidence of the person’s identity as is required by the regulations.</w:t>
      </w:r>
    </w:p>
    <w:p>
      <w:pPr>
        <w:pStyle w:val="Subsection"/>
      </w:pPr>
      <w:r>
        <w:tab/>
        <w:t>(2)</w:t>
      </w:r>
      <w:r>
        <w:tab/>
        <w:t xml:space="preserve">A supplier who — </w:t>
      </w:r>
    </w:p>
    <w:p>
      <w:pPr>
        <w:pStyle w:val="Indenta"/>
      </w:pPr>
      <w:r>
        <w:tab/>
        <w:t>(a)</w:t>
      </w:r>
      <w:r>
        <w:tab/>
        <w:t>sells or supplies a category 2 item; and</w:t>
      </w:r>
    </w:p>
    <w:p>
      <w:pPr>
        <w:pStyle w:val="Indenta"/>
      </w:pPr>
      <w:r>
        <w:tab/>
        <w:t>(b)</w:t>
      </w:r>
      <w:r>
        <w:tab/>
        <w:t>is given a declaration referred to in subsection (1)(b) in respect of the sale or supply,</w:t>
      </w:r>
    </w:p>
    <w:p>
      <w:pPr>
        <w:pStyle w:val="Subsection"/>
      </w:pPr>
      <w:r>
        <w:tab/>
      </w:r>
      <w:r>
        <w:tab/>
        <w:t>commits a simple offence if the supplier fails to give a copy of the declaration to the Commissioner in the prescribed manner as soon as practicable after the sale or supply.</w:t>
      </w:r>
    </w:p>
    <w:p>
      <w:pPr>
        <w:pStyle w:val="Footnotesection"/>
      </w:pPr>
      <w:r>
        <w:tab/>
        <w:t>[Section 17 inserted by No. 62 of 2004 s. 5.]</w:t>
      </w:r>
    </w:p>
    <w:p>
      <w:pPr>
        <w:pStyle w:val="Heading5"/>
      </w:pPr>
      <w:bookmarkStart w:id="520" w:name="_Toc109615249"/>
      <w:bookmarkStart w:id="521" w:name="_Toc215543735"/>
      <w:bookmarkStart w:id="522" w:name="_Toc336264318"/>
      <w:bookmarkStart w:id="523" w:name="_Toc325554256"/>
      <w:r>
        <w:rPr>
          <w:rStyle w:val="CharSectno"/>
        </w:rPr>
        <w:t>18</w:t>
      </w:r>
      <w:r>
        <w:t>.</w:t>
      </w:r>
      <w:r>
        <w:tab/>
        <w:t>Offences relating to declarations under s. 15(1)(c) or 17(1)(b)</w:t>
      </w:r>
      <w:bookmarkEnd w:id="520"/>
      <w:bookmarkEnd w:id="521"/>
      <w:bookmarkEnd w:id="522"/>
      <w:bookmarkEnd w:id="523"/>
    </w:p>
    <w:p>
      <w:pPr>
        <w:pStyle w:val="Subsection"/>
      </w:pPr>
      <w:r>
        <w:tab/>
        <w:t>(1)</w:t>
      </w:r>
      <w:r>
        <w:tab/>
        <w:t>A person who sells or supplies, or has sold or supplied, category 1 items or category 2 items commits a simple offence if the person fails to retain each declaration given to the person under section 15(1)(c) or 17(1)(b) for at least 5 years after the day on which the sale or supply to which the declaration relates occurred.</w:t>
      </w:r>
    </w:p>
    <w:p>
      <w:pPr>
        <w:pStyle w:val="Subsection"/>
      </w:pPr>
      <w:r>
        <w:tab/>
        <w:t>(2)</w:t>
      </w:r>
      <w:r>
        <w:tab/>
        <w:t>A person who gives false or misleading information in a declaration under section 15(1)(c) or 17(1)(b) commits a simple offence.</w:t>
      </w:r>
    </w:p>
    <w:p>
      <w:pPr>
        <w:pStyle w:val="Footnotesection"/>
      </w:pPr>
      <w:r>
        <w:tab/>
        <w:t>[Section 18 inserted by No. 62 of 2004 s. 5.]</w:t>
      </w:r>
    </w:p>
    <w:p>
      <w:pPr>
        <w:pStyle w:val="Heading5"/>
      </w:pPr>
      <w:bookmarkStart w:id="524" w:name="_Toc299701970"/>
      <w:bookmarkStart w:id="525" w:name="_Toc336264319"/>
      <w:bookmarkStart w:id="526" w:name="_Toc325554257"/>
      <w:bookmarkStart w:id="527" w:name="_Toc277859398"/>
      <w:bookmarkStart w:id="528" w:name="_Toc278380050"/>
      <w:bookmarkStart w:id="529" w:name="_Toc278380206"/>
      <w:bookmarkStart w:id="530" w:name="_Toc278441194"/>
      <w:bookmarkStart w:id="531" w:name="_Toc109615250"/>
      <w:bookmarkStart w:id="532" w:name="_Toc215543736"/>
      <w:r>
        <w:rPr>
          <w:rStyle w:val="CharSectno"/>
        </w:rPr>
        <w:t>19A</w:t>
      </w:r>
      <w:r>
        <w:t>.</w:t>
      </w:r>
      <w:r>
        <w:tab/>
        <w:t>Selling cannabis smoking paraphernalia</w:t>
      </w:r>
      <w:bookmarkEnd w:id="524"/>
      <w:bookmarkEnd w:id="525"/>
      <w:bookmarkEnd w:id="526"/>
    </w:p>
    <w:p>
      <w:pPr>
        <w:pStyle w:val="Subsection"/>
        <w:keepNext/>
        <w:keepLines/>
      </w:pPr>
      <w:r>
        <w:tab/>
        <w:t>(1)</w:t>
      </w:r>
      <w:r>
        <w:tab/>
        <w:t xml:space="preserve">In this section — </w:t>
      </w:r>
    </w:p>
    <w:p>
      <w:pPr>
        <w:pStyle w:val="Defstart"/>
      </w:pPr>
      <w:r>
        <w:tab/>
      </w:r>
      <w:r>
        <w:rPr>
          <w:rStyle w:val="CharDefText"/>
        </w:rPr>
        <w:t>cannabis smoking paraphernalia</w:t>
      </w:r>
      <w:r>
        <w:t xml:space="preserve"> means — </w:t>
      </w:r>
    </w:p>
    <w:p>
      <w:pPr>
        <w:pStyle w:val="Defpara"/>
      </w:pPr>
      <w:r>
        <w:tab/>
        <w:t>(a)</w:t>
      </w:r>
      <w:r>
        <w:tab/>
        <w:t>anything made or modified to be used in smoking cannabis;</w:t>
      </w:r>
    </w:p>
    <w:p>
      <w:pPr>
        <w:pStyle w:val="Defpara"/>
      </w:pPr>
      <w:r>
        <w:tab/>
        <w:t>(b)</w:t>
      </w:r>
      <w:r>
        <w:tab/>
        <w:t>any other thing that is prescribed to be cannabis smoking paraphernalia,</w:t>
      </w:r>
    </w:p>
    <w:p>
      <w:pPr>
        <w:pStyle w:val="Subsection"/>
      </w:pPr>
      <w:r>
        <w:tab/>
      </w:r>
      <w:r>
        <w:tab/>
        <w:t>but does not include anything prescribed, or belonging to a class prescribed, as excluded from this definition.</w:t>
      </w:r>
    </w:p>
    <w:p>
      <w:pPr>
        <w:pStyle w:val="Subsection"/>
        <w:rPr>
          <w:szCs w:val="22"/>
        </w:rPr>
      </w:pPr>
      <w:r>
        <w:rPr>
          <w:szCs w:val="22"/>
        </w:rPr>
        <w:tab/>
        <w:t>(2)</w:t>
      </w:r>
      <w:r>
        <w:rPr>
          <w:szCs w:val="22"/>
        </w:rPr>
        <w:tab/>
        <w:t>A person who sells, or offers to sell, cannabis smoking paraphernalia to a child commits a simple offence.</w:t>
      </w:r>
    </w:p>
    <w:p>
      <w:pPr>
        <w:pStyle w:val="Penstart"/>
      </w:pPr>
      <w:r>
        <w:tab/>
        <w:t>Penalty: a fine of $24 000 or imprisonment for 2 years or both.</w:t>
      </w:r>
    </w:p>
    <w:p>
      <w:pPr>
        <w:pStyle w:val="Subsection"/>
      </w:pPr>
      <w:r>
        <w:rPr>
          <w:szCs w:val="22"/>
        </w:rPr>
        <w:tab/>
        <w:t>(3)</w:t>
      </w:r>
      <w:r>
        <w:rPr>
          <w:szCs w:val="22"/>
        </w:rPr>
        <w:tab/>
        <w:t xml:space="preserve">A person — </w:t>
      </w:r>
    </w:p>
    <w:p>
      <w:pPr>
        <w:pStyle w:val="Indenta"/>
      </w:pPr>
      <w:r>
        <w:rPr>
          <w:szCs w:val="22"/>
        </w:rPr>
        <w:tab/>
        <w:t>(a)</w:t>
      </w:r>
      <w:r>
        <w:rPr>
          <w:szCs w:val="22"/>
        </w:rPr>
        <w:tab/>
        <w:t>who sells, or offers to sell, cannabis smoking paraphernalia to an adult; or</w:t>
      </w:r>
    </w:p>
    <w:p>
      <w:pPr>
        <w:pStyle w:val="Indenta"/>
      </w:pPr>
      <w:r>
        <w:tab/>
        <w:t>(b)</w:t>
      </w:r>
      <w:r>
        <w:tab/>
        <w:t>who displays cannabis smoking paraphernalia, or authorises or allows cannabis smoking paraphernalia to be displayed, for sale in a shop or other retail outlet,</w:t>
      </w:r>
    </w:p>
    <w:p>
      <w:pPr>
        <w:pStyle w:val="Subsection"/>
      </w:pPr>
      <w:r>
        <w:rPr>
          <w:szCs w:val="22"/>
        </w:rPr>
        <w:tab/>
      </w:r>
      <w:r>
        <w:rPr>
          <w:szCs w:val="22"/>
        </w:rPr>
        <w:tab/>
        <w:t>commits a simple offence.</w:t>
      </w:r>
    </w:p>
    <w:p>
      <w:pPr>
        <w:pStyle w:val="Penstart"/>
      </w:pPr>
      <w:r>
        <w:rPr>
          <w:szCs w:val="22"/>
        </w:rPr>
        <w:tab/>
        <w:t>Penalty: a fine of $10 000.</w:t>
      </w:r>
    </w:p>
    <w:p>
      <w:pPr>
        <w:pStyle w:val="Footnotesection"/>
      </w:pPr>
      <w:r>
        <w:tab/>
        <w:t>[Section 19A inserted by No. 45 of 2010 s. 7.]</w:t>
      </w:r>
    </w:p>
    <w:p>
      <w:pPr>
        <w:pStyle w:val="Heading5"/>
      </w:pPr>
      <w:bookmarkStart w:id="533" w:name="_Toc336264320"/>
      <w:bookmarkStart w:id="534" w:name="_Toc325554258"/>
      <w:r>
        <w:rPr>
          <w:rStyle w:val="CharSectno"/>
        </w:rPr>
        <w:t>19B</w:t>
      </w:r>
      <w:r>
        <w:t>.</w:t>
      </w:r>
      <w:r>
        <w:tab/>
        <w:t>Selling ice pipes</w:t>
      </w:r>
      <w:bookmarkEnd w:id="527"/>
      <w:bookmarkEnd w:id="528"/>
      <w:bookmarkEnd w:id="529"/>
      <w:bookmarkEnd w:id="530"/>
      <w:bookmarkEnd w:id="533"/>
      <w:bookmarkEnd w:id="534"/>
    </w:p>
    <w:p>
      <w:pPr>
        <w:pStyle w:val="Subsection"/>
      </w:pPr>
      <w:r>
        <w:tab/>
        <w:t>(1)</w:t>
      </w:r>
      <w:r>
        <w:tab/>
        <w:t xml:space="preserve">In this section — </w:t>
      </w:r>
    </w:p>
    <w:p>
      <w:pPr>
        <w:pStyle w:val="Defstart"/>
      </w:pPr>
      <w:r>
        <w:tab/>
      </w:r>
      <w:r>
        <w:rPr>
          <w:rStyle w:val="CharDefText"/>
        </w:rPr>
        <w:t>child</w:t>
      </w:r>
      <w:r>
        <w:t xml:space="preserve"> means a person who is under 18 years of age;</w:t>
      </w:r>
    </w:p>
    <w:p>
      <w:pPr>
        <w:pStyle w:val="Defstart"/>
      </w:pPr>
      <w:r>
        <w:tab/>
      </w:r>
      <w:r>
        <w:rPr>
          <w:rStyle w:val="CharDefText"/>
        </w:rPr>
        <w:t>ice pipe</w:t>
      </w:r>
      <w:r>
        <w:t xml:space="preserve"> means — </w:t>
      </w:r>
    </w:p>
    <w:p>
      <w:pPr>
        <w:pStyle w:val="Defpara"/>
      </w:pPr>
      <w:r>
        <w:tab/>
        <w:t>(a)</w:t>
      </w:r>
      <w:r>
        <w:tab/>
        <w:t>a device capable of being used for the administration of a prohibited drug by means of the inhaling of the smoke or fumes resulting from the heating or burning of the drug in a crystal, powder, oil or base form; or</w:t>
      </w:r>
    </w:p>
    <w:p>
      <w:pPr>
        <w:pStyle w:val="Defpara"/>
      </w:pPr>
      <w:r>
        <w:tab/>
        <w:t>(b)</w:t>
      </w:r>
      <w:r>
        <w:tab/>
        <w:t>a device that is apparently intended to be such a device but is not capable of being so used because it needs an adjustment, modification or addition,</w:t>
      </w:r>
    </w:p>
    <w:p>
      <w:pPr>
        <w:pStyle w:val="Defstart"/>
        <w:spacing w:before="160"/>
      </w:pPr>
      <w:r>
        <w:tab/>
        <w:t>but does not include a device prescribed, or belonging to a class prescribed, for the purposes of this definition.</w:t>
      </w:r>
    </w:p>
    <w:p>
      <w:pPr>
        <w:pStyle w:val="Subsection"/>
      </w:pPr>
      <w:r>
        <w:tab/>
        <w:t>(2)</w:t>
      </w:r>
      <w:r>
        <w:tab/>
        <w:t>A person who sells, or offers to sell, an ice pipe to a child commits a simple offence.</w:t>
      </w:r>
    </w:p>
    <w:p>
      <w:pPr>
        <w:pStyle w:val="Penstart"/>
      </w:pPr>
      <w:r>
        <w:tab/>
        <w:t>Penalty: a fine of $24 000 or imprisonment for 2 years or both.</w:t>
      </w:r>
    </w:p>
    <w:p>
      <w:pPr>
        <w:pStyle w:val="Subsection"/>
      </w:pPr>
      <w:r>
        <w:tab/>
        <w:t>(3)</w:t>
      </w:r>
      <w:r>
        <w:tab/>
        <w:t xml:space="preserve">A person — </w:t>
      </w:r>
    </w:p>
    <w:p>
      <w:pPr>
        <w:pStyle w:val="Indenta"/>
      </w:pPr>
      <w:r>
        <w:tab/>
        <w:t>(a)</w:t>
      </w:r>
      <w:r>
        <w:tab/>
        <w:t>who sells, or offers to sell, an ice pipe to a person other than a child; or</w:t>
      </w:r>
    </w:p>
    <w:p>
      <w:pPr>
        <w:pStyle w:val="Indenta"/>
      </w:pPr>
      <w:r>
        <w:tab/>
        <w:t>(b)</w:t>
      </w:r>
      <w:r>
        <w:tab/>
        <w:t>who displays an ice pipe, or authorises or allows an ice pipe to be displayed, for sale in a shop or other retail outlet,</w:t>
      </w:r>
    </w:p>
    <w:p>
      <w:pPr>
        <w:pStyle w:val="Subsection"/>
      </w:pPr>
      <w:r>
        <w:tab/>
      </w:r>
      <w:r>
        <w:tab/>
        <w:t>commits a simple offence.</w:t>
      </w:r>
    </w:p>
    <w:p>
      <w:pPr>
        <w:pStyle w:val="Penstart"/>
      </w:pPr>
      <w:r>
        <w:tab/>
        <w:t>Penalty: a fine of $10 000.</w:t>
      </w:r>
    </w:p>
    <w:p>
      <w:pPr>
        <w:pStyle w:val="Footnotesection"/>
      </w:pPr>
      <w:r>
        <w:tab/>
        <w:t xml:space="preserve">[Section 19B inserted by No. 50 of 2010 s. 4.] </w:t>
      </w:r>
    </w:p>
    <w:p>
      <w:pPr>
        <w:pStyle w:val="Heading5"/>
      </w:pPr>
      <w:bookmarkStart w:id="535" w:name="_Toc336264321"/>
      <w:bookmarkStart w:id="536" w:name="_Toc325554259"/>
      <w:r>
        <w:rPr>
          <w:rStyle w:val="CharSectno"/>
        </w:rPr>
        <w:t>19</w:t>
      </w:r>
      <w:r>
        <w:t>.</w:t>
      </w:r>
      <w:r>
        <w:tab/>
        <w:t>Powers of police officers for purposes of this Part</w:t>
      </w:r>
      <w:bookmarkEnd w:id="531"/>
      <w:bookmarkEnd w:id="532"/>
      <w:bookmarkEnd w:id="535"/>
      <w:bookmarkEnd w:id="536"/>
    </w:p>
    <w:p>
      <w:pPr>
        <w:pStyle w:val="Subsection"/>
        <w:keepNext/>
      </w:pPr>
      <w:r>
        <w:tab/>
        <w:t>(1)</w:t>
      </w:r>
      <w:r>
        <w:tab/>
        <w:t xml:space="preserve">A police officer may, for the purposes of this Part, with such assistance as the police officer considers necessary — </w:t>
      </w:r>
    </w:p>
    <w:p>
      <w:pPr>
        <w:pStyle w:val="Indenta"/>
      </w:pPr>
      <w:r>
        <w:tab/>
        <w:t>(a)</w:t>
      </w:r>
      <w:r>
        <w:tab/>
        <w:t>enter the premises of a person who sells or supplies, or has sold or supplied, category 1 items or category 2 items; and</w:t>
      </w:r>
    </w:p>
    <w:p>
      <w:pPr>
        <w:pStyle w:val="Indenta"/>
        <w:keepNext/>
      </w:pPr>
      <w:r>
        <w:tab/>
        <w:t>(b)</w:t>
      </w:r>
      <w:r>
        <w:tab/>
        <w:t xml:space="preserve">demand the production of, and inspect — </w:t>
      </w:r>
    </w:p>
    <w:p>
      <w:pPr>
        <w:pStyle w:val="Indenti"/>
      </w:pPr>
      <w:r>
        <w:tab/>
        <w:t>(i)</w:t>
      </w:r>
      <w:r>
        <w:tab/>
        <w:t>any books, papers or documents relating to the sale or supply of category 1 items or category 2 items, including any declarations under section 15(1)(c) or 17(1)(b); and</w:t>
      </w:r>
    </w:p>
    <w:p>
      <w:pPr>
        <w:pStyle w:val="Indenti"/>
        <w:keepNext/>
      </w:pPr>
      <w:r>
        <w:tab/>
        <w:t>(ii)</w:t>
      </w:r>
      <w:r>
        <w:tab/>
        <w:t>any authorisations given for the purposes of section 16(1);</w:t>
      </w:r>
    </w:p>
    <w:p>
      <w:pPr>
        <w:pStyle w:val="Indenta"/>
      </w:pPr>
      <w:r>
        <w:tab/>
      </w:r>
      <w:r>
        <w:tab/>
        <w:t>and</w:t>
      </w:r>
    </w:p>
    <w:p>
      <w:pPr>
        <w:pStyle w:val="Indenta"/>
      </w:pPr>
      <w:r>
        <w:tab/>
        <w:t>(c)</w:t>
      </w:r>
      <w:r>
        <w:tab/>
        <w:t>inspect any stocks of category 1 items or category 2 items.</w:t>
      </w:r>
    </w:p>
    <w:p>
      <w:pPr>
        <w:pStyle w:val="Subsection"/>
      </w:pPr>
      <w:r>
        <w:tab/>
        <w:t>(2)</w:t>
      </w:r>
      <w:r>
        <w:tab/>
        <w:t>Section 25 applies as if the reference in subsection (1) of that section to a police officer exercising the powers conferred by section 22 or 23 included a reference to a police officer exercising the powers in subsection (1).</w:t>
      </w:r>
    </w:p>
    <w:p>
      <w:pPr>
        <w:pStyle w:val="Subsection"/>
      </w:pPr>
      <w:r>
        <w:tab/>
        <w:t>(3)</w:t>
      </w:r>
      <w:r>
        <w:tab/>
        <w:t>Section 26 applies as if the reference in subsection (1) of that section to the exercise of the powers conferred by section 22 or 23 included a reference to the exercise of the powers in subsection (1).</w:t>
      </w:r>
    </w:p>
    <w:p>
      <w:pPr>
        <w:pStyle w:val="Subsection"/>
      </w:pPr>
      <w:r>
        <w:tab/>
        <w:t>(4)</w:t>
      </w:r>
      <w:r>
        <w:tab/>
        <w:t xml:space="preserve">Section 29 applies as if — </w:t>
      </w:r>
    </w:p>
    <w:p>
      <w:pPr>
        <w:pStyle w:val="Indenta"/>
      </w:pPr>
      <w:r>
        <w:tab/>
        <w:t>(a)</w:t>
      </w:r>
      <w:r>
        <w:tab/>
        <w:t>references in paragraphs (a) and (b) of that section to a police officer acting in the exercise of the powers conferred on the police officer by or under Part V or a person assisting a police officer so acting included a reference to a police officer acting in the exercise of the powers in subsection (1) or a person assisting a police officer so acting; and</w:t>
      </w:r>
    </w:p>
    <w:p>
      <w:pPr>
        <w:pStyle w:val="Indenta"/>
      </w:pPr>
      <w:r>
        <w:tab/>
        <w:t>(b)</w:t>
      </w:r>
      <w:r>
        <w:tab/>
        <w:t>the reference in paragraph (b) of that section to books, papers, documents or stocks referred to in section 22 included a reference to books, papers, documents, authorisations or stocks referred to in subsection (1).</w:t>
      </w:r>
    </w:p>
    <w:p>
      <w:pPr>
        <w:pStyle w:val="Subsection"/>
        <w:spacing w:before="120"/>
      </w:pPr>
      <w:r>
        <w:tab/>
        <w:t>(5)</w:t>
      </w:r>
      <w:r>
        <w:tab/>
        <w:t>The powers in subsection (1) are in addition to, and not in derogation of, the powers conferred on police officers by Part V.</w:t>
      </w:r>
    </w:p>
    <w:p>
      <w:pPr>
        <w:pStyle w:val="Footnotesection"/>
        <w:spacing w:before="60"/>
        <w:ind w:left="890" w:hanging="890"/>
      </w:pPr>
      <w:r>
        <w:tab/>
        <w:t>[Section 19 inserted by No. 62 of 2004 s. 5.]</w:t>
      </w:r>
    </w:p>
    <w:p>
      <w:pPr>
        <w:pStyle w:val="Heading5"/>
      </w:pPr>
      <w:bookmarkStart w:id="537" w:name="_Toc109615251"/>
      <w:bookmarkStart w:id="538" w:name="_Toc215543737"/>
      <w:bookmarkStart w:id="539" w:name="_Toc336264322"/>
      <w:bookmarkStart w:id="540" w:name="_Toc325554260"/>
      <w:r>
        <w:rPr>
          <w:rStyle w:val="CharSectno"/>
        </w:rPr>
        <w:t>20</w:t>
      </w:r>
      <w:r>
        <w:t>.</w:t>
      </w:r>
      <w:r>
        <w:tab/>
        <w:t>Regulations as to category 1 items and category 2 items</w:t>
      </w:r>
      <w:bookmarkEnd w:id="537"/>
      <w:bookmarkEnd w:id="538"/>
      <w:bookmarkEnd w:id="539"/>
      <w:bookmarkEnd w:id="540"/>
    </w:p>
    <w:p>
      <w:pPr>
        <w:pStyle w:val="Subsection"/>
      </w:pPr>
      <w:r>
        <w:tab/>
        <w:t>(1)</w:t>
      </w:r>
      <w:r>
        <w:tab/>
        <w:t>The regulations may designate a substance or thing specified, or belonging to a class specified, in the regulations as a category 1 item or a category 2 item.</w:t>
      </w:r>
    </w:p>
    <w:p>
      <w:pPr>
        <w:pStyle w:val="Subsection"/>
      </w:pPr>
      <w:r>
        <w:tab/>
        <w:t>(2)</w:t>
      </w:r>
      <w:r>
        <w:tab/>
        <w:t>The designation of a substance or thing as a category 1 item indicates that there is a significant likelihood of its use in, or in connection with, the manufacture of a prohibited drug.</w:t>
      </w:r>
    </w:p>
    <w:p>
      <w:pPr>
        <w:pStyle w:val="Subsection"/>
      </w:pPr>
      <w:r>
        <w:tab/>
        <w:t>(3)</w:t>
      </w:r>
      <w:r>
        <w:tab/>
        <w:t>The designation of a substance or thing as a category 2 item indicates that there is a reasonable likelihood of its use in, or in connection with, the manufacture of a prohibited drug.</w:t>
      </w:r>
    </w:p>
    <w:p>
      <w:pPr>
        <w:pStyle w:val="Footnotesection"/>
      </w:pPr>
      <w:r>
        <w:tab/>
        <w:t>[Section 20 inserted by No. 62 of 2004 s. 5.]</w:t>
      </w:r>
    </w:p>
    <w:p>
      <w:pPr>
        <w:pStyle w:val="Heading2"/>
      </w:pPr>
      <w:bookmarkStart w:id="541" w:name="_Toc72912344"/>
      <w:bookmarkStart w:id="542" w:name="_Toc89162871"/>
      <w:bookmarkStart w:id="543" w:name="_Toc89571158"/>
      <w:bookmarkStart w:id="544" w:name="_Toc90092326"/>
      <w:bookmarkStart w:id="545" w:name="_Toc92603607"/>
      <w:bookmarkStart w:id="546" w:name="_Toc92797791"/>
      <w:bookmarkStart w:id="547" w:name="_Toc97018093"/>
      <w:bookmarkStart w:id="548" w:name="_Toc102387648"/>
      <w:bookmarkStart w:id="549" w:name="_Toc102905279"/>
      <w:bookmarkStart w:id="550" w:name="_Toc105219522"/>
      <w:bookmarkStart w:id="551" w:name="_Toc105220426"/>
      <w:bookmarkStart w:id="552" w:name="_Toc105220494"/>
      <w:bookmarkStart w:id="553" w:name="_Toc105909938"/>
      <w:bookmarkStart w:id="554" w:name="_Toc105910853"/>
      <w:bookmarkStart w:id="555" w:name="_Toc106600697"/>
      <w:bookmarkStart w:id="556" w:name="_Toc106600995"/>
      <w:bookmarkStart w:id="557" w:name="_Toc109615252"/>
      <w:bookmarkStart w:id="558" w:name="_Toc139344546"/>
      <w:bookmarkStart w:id="559" w:name="_Toc139699310"/>
      <w:bookmarkStart w:id="560" w:name="_Toc147051343"/>
      <w:bookmarkStart w:id="561" w:name="_Toc147118798"/>
      <w:bookmarkStart w:id="562" w:name="_Toc148236119"/>
      <w:bookmarkStart w:id="563" w:name="_Toc158704993"/>
      <w:bookmarkStart w:id="564" w:name="_Toc165369953"/>
      <w:bookmarkStart w:id="565" w:name="_Toc177873295"/>
      <w:bookmarkStart w:id="566" w:name="_Toc177873420"/>
      <w:bookmarkStart w:id="567" w:name="_Toc184707377"/>
      <w:bookmarkStart w:id="568" w:name="_Toc189464708"/>
      <w:bookmarkStart w:id="569" w:name="_Toc190249272"/>
      <w:bookmarkStart w:id="570" w:name="_Toc191703166"/>
      <w:bookmarkStart w:id="571" w:name="_Toc193692083"/>
      <w:bookmarkStart w:id="572" w:name="_Toc199817265"/>
      <w:bookmarkStart w:id="573" w:name="_Toc215543738"/>
      <w:bookmarkStart w:id="574" w:name="_Toc215543998"/>
      <w:bookmarkStart w:id="575" w:name="_Toc248029035"/>
      <w:bookmarkStart w:id="576" w:name="_Toc256085084"/>
      <w:bookmarkStart w:id="577" w:name="_Toc256092149"/>
      <w:bookmarkStart w:id="578" w:name="_Toc268600335"/>
      <w:bookmarkStart w:id="579" w:name="_Toc272237464"/>
      <w:bookmarkStart w:id="580" w:name="_Toc275253543"/>
      <w:bookmarkStart w:id="581" w:name="_Toc283287468"/>
      <w:bookmarkStart w:id="582" w:name="_Toc290558454"/>
      <w:bookmarkStart w:id="583" w:name="_Toc290558530"/>
      <w:bookmarkStart w:id="584" w:name="_Toc291764669"/>
      <w:bookmarkStart w:id="585" w:name="_Toc291768241"/>
      <w:bookmarkStart w:id="586" w:name="_Toc297718742"/>
      <w:bookmarkStart w:id="587" w:name="_Toc297904475"/>
      <w:bookmarkStart w:id="588" w:name="_Toc297904549"/>
      <w:bookmarkStart w:id="589" w:name="_Toc299716997"/>
      <w:bookmarkStart w:id="590" w:name="_Toc299717494"/>
      <w:bookmarkStart w:id="591" w:name="_Toc301268121"/>
      <w:bookmarkStart w:id="592" w:name="_Toc301345291"/>
      <w:bookmarkStart w:id="593" w:name="_Toc303929284"/>
      <w:bookmarkStart w:id="594" w:name="_Toc306013900"/>
      <w:bookmarkStart w:id="595" w:name="_Toc306013998"/>
      <w:bookmarkStart w:id="596" w:name="_Toc306018434"/>
      <w:bookmarkStart w:id="597" w:name="_Toc309727408"/>
      <w:bookmarkStart w:id="598" w:name="_Toc309730129"/>
      <w:bookmarkStart w:id="599" w:name="_Toc320107651"/>
      <w:bookmarkStart w:id="600" w:name="_Toc320108281"/>
      <w:bookmarkStart w:id="601" w:name="_Toc320187231"/>
      <w:bookmarkStart w:id="602" w:name="_Toc322004293"/>
      <w:bookmarkStart w:id="603" w:name="_Toc322006229"/>
      <w:bookmarkStart w:id="604" w:name="_Toc325551427"/>
      <w:bookmarkStart w:id="605" w:name="_Toc325553593"/>
      <w:bookmarkStart w:id="606" w:name="_Toc325553692"/>
      <w:bookmarkStart w:id="607" w:name="_Toc325553791"/>
      <w:bookmarkStart w:id="608" w:name="_Toc325554261"/>
      <w:bookmarkStart w:id="609" w:name="_Toc336264323"/>
      <w:r>
        <w:rPr>
          <w:rStyle w:val="CharPartNo"/>
        </w:rPr>
        <w:t>Part V</w:t>
      </w:r>
      <w:r>
        <w:rPr>
          <w:rStyle w:val="CharDivNo"/>
        </w:rPr>
        <w:t> </w:t>
      </w:r>
      <w:r>
        <w:t>—</w:t>
      </w:r>
      <w:r>
        <w:rPr>
          <w:rStyle w:val="CharDivText"/>
        </w:rPr>
        <w:t> </w:t>
      </w:r>
      <w:r>
        <w:rPr>
          <w:rStyle w:val="CharPartText"/>
        </w:rPr>
        <w:t>Location, seizure, detention and disposal of things used in commission of offences</w:t>
      </w:r>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p>
    <w:p>
      <w:pPr>
        <w:pStyle w:val="Heading5"/>
        <w:rPr>
          <w:snapToGrid w:val="0"/>
        </w:rPr>
      </w:pPr>
      <w:bookmarkStart w:id="610" w:name="_Toc503149546"/>
      <w:bookmarkStart w:id="611" w:name="_Toc534613841"/>
      <w:bookmarkStart w:id="612" w:name="_Toc535053880"/>
      <w:bookmarkStart w:id="613" w:name="_Toc109615253"/>
      <w:bookmarkStart w:id="614" w:name="_Toc215543739"/>
      <w:bookmarkStart w:id="615" w:name="_Toc336264324"/>
      <w:bookmarkStart w:id="616" w:name="_Toc325554262"/>
      <w:r>
        <w:rPr>
          <w:rStyle w:val="CharSectno"/>
        </w:rPr>
        <w:t>21</w:t>
      </w:r>
      <w:r>
        <w:rPr>
          <w:snapToGrid w:val="0"/>
        </w:rPr>
        <w:t>.</w:t>
      </w:r>
      <w:r>
        <w:rPr>
          <w:snapToGrid w:val="0"/>
        </w:rPr>
        <w:tab/>
      </w:r>
      <w:bookmarkEnd w:id="610"/>
      <w:bookmarkEnd w:id="611"/>
      <w:bookmarkEnd w:id="612"/>
      <w:bookmarkEnd w:id="613"/>
      <w:r>
        <w:rPr>
          <w:snapToGrid w:val="0"/>
        </w:rPr>
        <w:t>Terms used</w:t>
      </w:r>
      <w:bookmarkEnd w:id="614"/>
      <w:bookmarkEnd w:id="615"/>
      <w:bookmarkEnd w:id="616"/>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approved person</w:t>
      </w:r>
      <w:r>
        <w:t xml:space="preserve"> means person who is approved, or belongs to a class of persons which is approved, by the Minister under section 30 for the purposes of this Part, which approval has not been revoked under that section;</w:t>
      </w:r>
    </w:p>
    <w:p>
      <w:pPr>
        <w:pStyle w:val="Defstart"/>
      </w:pPr>
      <w:r>
        <w:rPr>
          <w:b/>
        </w:rPr>
        <w:tab/>
      </w:r>
      <w:r>
        <w:rPr>
          <w:rStyle w:val="CharDefText"/>
        </w:rPr>
        <w:t>search warrant</w:t>
      </w:r>
      <w:r>
        <w:t xml:space="preserve"> means search warrant granted under section 24;</w:t>
      </w:r>
    </w:p>
    <w:p>
      <w:pPr>
        <w:pStyle w:val="Defstart"/>
      </w:pPr>
      <w:r>
        <w:rPr>
          <w:b/>
        </w:rPr>
        <w:tab/>
      </w:r>
      <w:r>
        <w:rPr>
          <w:rStyle w:val="CharDefText"/>
        </w:rPr>
        <w:t>vehicle</w:t>
      </w:r>
      <w:r>
        <w:t xml:space="preserve"> includes aircraft, hovercraft, vessel and any other means of transportation.</w:t>
      </w:r>
    </w:p>
    <w:p>
      <w:pPr>
        <w:pStyle w:val="Footnotesection"/>
      </w:pPr>
      <w:r>
        <w:tab/>
        <w:t>[Section 21 amended by No. 44 of 2010 s. 5.]</w:t>
      </w:r>
    </w:p>
    <w:p>
      <w:pPr>
        <w:pStyle w:val="Heading5"/>
        <w:rPr>
          <w:snapToGrid w:val="0"/>
        </w:rPr>
      </w:pPr>
      <w:bookmarkStart w:id="617" w:name="_Toc503149547"/>
      <w:bookmarkStart w:id="618" w:name="_Toc534613842"/>
      <w:bookmarkStart w:id="619" w:name="_Toc535053881"/>
      <w:bookmarkStart w:id="620" w:name="_Toc109615254"/>
      <w:bookmarkStart w:id="621" w:name="_Toc215543740"/>
      <w:bookmarkStart w:id="622" w:name="_Toc336264325"/>
      <w:bookmarkStart w:id="623" w:name="_Toc325554263"/>
      <w:r>
        <w:rPr>
          <w:rStyle w:val="CharSectno"/>
        </w:rPr>
        <w:t>22</w:t>
      </w:r>
      <w:r>
        <w:rPr>
          <w:snapToGrid w:val="0"/>
        </w:rPr>
        <w:t>.</w:t>
      </w:r>
      <w:r>
        <w:rPr>
          <w:snapToGrid w:val="0"/>
        </w:rPr>
        <w:tab/>
        <w:t>Powers of police officers and approved persons in relation to manufacturers, sellers and suppliers of prohibited drugs and cultivators, sellers and suppliers of prohibited plants</w:t>
      </w:r>
      <w:bookmarkEnd w:id="617"/>
      <w:bookmarkEnd w:id="618"/>
      <w:bookmarkEnd w:id="619"/>
      <w:bookmarkEnd w:id="620"/>
      <w:bookmarkEnd w:id="621"/>
      <w:bookmarkEnd w:id="622"/>
      <w:bookmarkEnd w:id="623"/>
    </w:p>
    <w:p>
      <w:pPr>
        <w:pStyle w:val="Subsection"/>
        <w:rPr>
          <w:snapToGrid w:val="0"/>
        </w:rPr>
      </w:pPr>
      <w:r>
        <w:rPr>
          <w:snapToGrid w:val="0"/>
        </w:rPr>
        <w:tab/>
      </w:r>
      <w:r>
        <w:rPr>
          <w:snapToGrid w:val="0"/>
        </w:rPr>
        <w:tab/>
        <w:t>A police officer or approved person may, for the purposes of this Act — </w:t>
      </w:r>
    </w:p>
    <w:p>
      <w:pPr>
        <w:pStyle w:val="Indenta"/>
        <w:rPr>
          <w:snapToGrid w:val="0"/>
        </w:rPr>
      </w:pPr>
      <w:r>
        <w:rPr>
          <w:snapToGrid w:val="0"/>
        </w:rPr>
        <w:tab/>
        <w:t>(a)</w:t>
      </w:r>
      <w:r>
        <w:rPr>
          <w:snapToGrid w:val="0"/>
        </w:rPr>
        <w:tab/>
        <w:t>enter the premises of a person carrying on the business of — </w:t>
      </w:r>
    </w:p>
    <w:p>
      <w:pPr>
        <w:pStyle w:val="Indenti"/>
        <w:rPr>
          <w:snapToGrid w:val="0"/>
        </w:rPr>
      </w:pPr>
      <w:r>
        <w:rPr>
          <w:snapToGrid w:val="0"/>
        </w:rPr>
        <w:tab/>
        <w:t>(i)</w:t>
      </w:r>
      <w:r>
        <w:rPr>
          <w:snapToGrid w:val="0"/>
        </w:rPr>
        <w:tab/>
        <w:t>a manufacturer, seller or supplier of prohibited drugs; or</w:t>
      </w:r>
    </w:p>
    <w:p>
      <w:pPr>
        <w:pStyle w:val="Indenti"/>
        <w:rPr>
          <w:snapToGrid w:val="0"/>
        </w:rPr>
      </w:pPr>
      <w:r>
        <w:rPr>
          <w:snapToGrid w:val="0"/>
        </w:rPr>
        <w:tab/>
        <w:t>(ii)</w:t>
      </w:r>
      <w:r>
        <w:rPr>
          <w:snapToGrid w:val="0"/>
        </w:rPr>
        <w:tab/>
        <w:t>a cultivator, seller, or supplier of prohibited plants;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demand the production of, and inspect, any books, papers or documents relating to transactions or dealings in a prohibited drug or prohibited plant; and</w:t>
      </w:r>
    </w:p>
    <w:p>
      <w:pPr>
        <w:pStyle w:val="Indenta"/>
        <w:rPr>
          <w:snapToGrid w:val="0"/>
        </w:rPr>
      </w:pPr>
      <w:r>
        <w:rPr>
          <w:snapToGrid w:val="0"/>
        </w:rPr>
        <w:tab/>
        <w:t>(c)</w:t>
      </w:r>
      <w:r>
        <w:rPr>
          <w:snapToGrid w:val="0"/>
        </w:rPr>
        <w:tab/>
        <w:t>inspect any stocks of a prohibited drug or prohibited plant.</w:t>
      </w:r>
    </w:p>
    <w:p>
      <w:pPr>
        <w:pStyle w:val="Heading5"/>
        <w:rPr>
          <w:snapToGrid w:val="0"/>
        </w:rPr>
      </w:pPr>
      <w:bookmarkStart w:id="624" w:name="_Toc503149548"/>
      <w:bookmarkStart w:id="625" w:name="_Toc534613843"/>
      <w:bookmarkStart w:id="626" w:name="_Toc535053882"/>
      <w:bookmarkStart w:id="627" w:name="_Toc109615255"/>
      <w:bookmarkStart w:id="628" w:name="_Toc215543741"/>
      <w:bookmarkStart w:id="629" w:name="_Toc336264326"/>
      <w:bookmarkStart w:id="630" w:name="_Toc325554264"/>
      <w:r>
        <w:rPr>
          <w:rStyle w:val="CharSectno"/>
        </w:rPr>
        <w:t>23</w:t>
      </w:r>
      <w:r>
        <w:rPr>
          <w:snapToGrid w:val="0"/>
        </w:rPr>
        <w:t>.</w:t>
      </w:r>
      <w:r>
        <w:rPr>
          <w:snapToGrid w:val="0"/>
        </w:rPr>
        <w:tab/>
        <w:t>Powers of police officers when things suspected of being used in commission of offences</w:t>
      </w:r>
      <w:bookmarkEnd w:id="624"/>
      <w:bookmarkEnd w:id="625"/>
      <w:bookmarkEnd w:id="626"/>
      <w:bookmarkEnd w:id="627"/>
      <w:bookmarkEnd w:id="628"/>
      <w:bookmarkEnd w:id="629"/>
      <w:bookmarkEnd w:id="630"/>
    </w:p>
    <w:p>
      <w:pPr>
        <w:pStyle w:val="Subsection"/>
        <w:rPr>
          <w:snapToGrid w:val="0"/>
        </w:rPr>
      </w:pPr>
      <w:r>
        <w:rPr>
          <w:snapToGrid w:val="0"/>
        </w:rPr>
        <w:tab/>
        <w:t>(1)</w:t>
      </w:r>
      <w:r>
        <w:rPr>
          <w:snapToGrid w:val="0"/>
        </w:rPr>
        <w:tab/>
        <w:t>Subject to this section, if there are reasonable grounds to suspect that any thing whatsoever — </w:t>
      </w:r>
    </w:p>
    <w:p>
      <w:pPr>
        <w:pStyle w:val="Indenta"/>
        <w:rPr>
          <w:snapToGrid w:val="0"/>
        </w:rPr>
      </w:pPr>
      <w:r>
        <w:rPr>
          <w:snapToGrid w:val="0"/>
        </w:rPr>
        <w:tab/>
        <w:t>(a)</w:t>
      </w:r>
      <w:r>
        <w:rPr>
          <w:snapToGrid w:val="0"/>
        </w:rPr>
        <w:tab/>
        <w:t>with respect to which an offence has been, or is suspected to have been, or may be committed; or</w:t>
      </w:r>
    </w:p>
    <w:p>
      <w:pPr>
        <w:pStyle w:val="Indenta"/>
        <w:rPr>
          <w:snapToGrid w:val="0"/>
        </w:rPr>
      </w:pPr>
      <w:r>
        <w:rPr>
          <w:snapToGrid w:val="0"/>
        </w:rPr>
        <w:tab/>
        <w:t>(b)</w:t>
      </w:r>
      <w:r>
        <w:rPr>
          <w:snapToGrid w:val="0"/>
        </w:rPr>
        <w:tab/>
        <w:t>which has been, or is suspected to have been, or may be used for the purpose of committing an offence; or</w:t>
      </w:r>
    </w:p>
    <w:p>
      <w:pPr>
        <w:pStyle w:val="Indenta"/>
        <w:rPr>
          <w:snapToGrid w:val="0"/>
        </w:rPr>
      </w:pPr>
      <w:r>
        <w:rPr>
          <w:snapToGrid w:val="0"/>
        </w:rPr>
        <w:tab/>
        <w:t>(c)</w:t>
      </w:r>
      <w:r>
        <w:rPr>
          <w:snapToGrid w:val="0"/>
        </w:rPr>
        <w:tab/>
        <w:t>which may provide evidence in respect of an offence,</w:t>
      </w:r>
    </w:p>
    <w:p>
      <w:pPr>
        <w:pStyle w:val="Subsection"/>
        <w:rPr>
          <w:snapToGrid w:val="0"/>
        </w:rPr>
      </w:pPr>
      <w:r>
        <w:rPr>
          <w:snapToGrid w:val="0"/>
        </w:rPr>
        <w:tab/>
      </w:r>
      <w:r>
        <w:rPr>
          <w:snapToGrid w:val="0"/>
        </w:rPr>
        <w:tab/>
        <w:t>is in the possession of a person, a police officer may, using such force as is reasonably necessary and with such assistance as he considers necessary, stop and detain the person and search him together with any baggage, package, vehicle or other thing of any kind whatsoever found in his possession, and for that purpose may stop and detain any vehicle.</w:t>
      </w:r>
    </w:p>
    <w:p>
      <w:pPr>
        <w:pStyle w:val="Subsection"/>
        <w:rPr>
          <w:snapToGrid w:val="0"/>
        </w:rPr>
      </w:pPr>
      <w:r>
        <w:rPr>
          <w:snapToGrid w:val="0"/>
        </w:rPr>
        <w:tab/>
        <w:t>(2)</w:t>
      </w:r>
      <w:r>
        <w:rPr>
          <w:snapToGrid w:val="0"/>
        </w:rPr>
        <w:tab/>
        <w:t>A person shall not be searched under subsection (1) except by — </w:t>
      </w:r>
    </w:p>
    <w:p>
      <w:pPr>
        <w:pStyle w:val="Indenta"/>
        <w:rPr>
          <w:snapToGrid w:val="0"/>
        </w:rPr>
      </w:pPr>
      <w:r>
        <w:rPr>
          <w:snapToGrid w:val="0"/>
        </w:rPr>
        <w:tab/>
        <w:t>(a)</w:t>
      </w:r>
      <w:r>
        <w:rPr>
          <w:snapToGrid w:val="0"/>
        </w:rPr>
        <w:tab/>
        <w:t>a person of the same sex as the firstmentioned person; or</w:t>
      </w:r>
    </w:p>
    <w:p>
      <w:pPr>
        <w:pStyle w:val="Indenta"/>
        <w:rPr>
          <w:snapToGrid w:val="0"/>
        </w:rPr>
      </w:pPr>
      <w:r>
        <w:rPr>
          <w:snapToGrid w:val="0"/>
        </w:rPr>
        <w:tab/>
        <w:t>(b)</w:t>
      </w:r>
      <w:r>
        <w:rPr>
          <w:snapToGrid w:val="0"/>
        </w:rPr>
        <w:tab/>
        <w:t>a medical practitioner.</w:t>
      </w:r>
    </w:p>
    <w:p>
      <w:pPr>
        <w:pStyle w:val="Subsection"/>
        <w:rPr>
          <w:snapToGrid w:val="0"/>
        </w:rPr>
      </w:pPr>
      <w:r>
        <w:rPr>
          <w:snapToGrid w:val="0"/>
        </w:rPr>
        <w:tab/>
        <w:t>(3)</w:t>
      </w:r>
      <w:r>
        <w:rPr>
          <w:snapToGrid w:val="0"/>
        </w:rPr>
        <w:tab/>
        <w:t>A police officer who wishes to search a person under subsection (1) may, if it is not then and there practicable to comply with subsection (2) in relation to the person — </w:t>
      </w:r>
    </w:p>
    <w:p>
      <w:pPr>
        <w:pStyle w:val="Indenta"/>
        <w:rPr>
          <w:snapToGrid w:val="0"/>
        </w:rPr>
      </w:pPr>
      <w:r>
        <w:rPr>
          <w:snapToGrid w:val="0"/>
        </w:rPr>
        <w:tab/>
        <w:t>(a)</w:t>
      </w:r>
      <w:r>
        <w:rPr>
          <w:snapToGrid w:val="0"/>
        </w:rPr>
        <w:tab/>
        <w:t>detain the person until; or</w:t>
      </w:r>
    </w:p>
    <w:p>
      <w:pPr>
        <w:pStyle w:val="Indenta"/>
        <w:rPr>
          <w:snapToGrid w:val="0"/>
        </w:rPr>
      </w:pPr>
      <w:r>
        <w:rPr>
          <w:snapToGrid w:val="0"/>
        </w:rPr>
        <w:tab/>
        <w:t>(b)</w:t>
      </w:r>
      <w:r>
        <w:rPr>
          <w:snapToGrid w:val="0"/>
        </w:rPr>
        <w:tab/>
        <w:t>detain the person and convey him to a place where,</w:t>
      </w:r>
    </w:p>
    <w:p>
      <w:pPr>
        <w:pStyle w:val="Subsection"/>
        <w:rPr>
          <w:snapToGrid w:val="0"/>
        </w:rPr>
      </w:pPr>
      <w:r>
        <w:rPr>
          <w:snapToGrid w:val="0"/>
        </w:rPr>
        <w:tab/>
      </w:r>
      <w:r>
        <w:rPr>
          <w:snapToGrid w:val="0"/>
        </w:rPr>
        <w:tab/>
        <w:t>it is practicable for subsection (2) to be complied with in relation to the person.</w:t>
      </w:r>
    </w:p>
    <w:p>
      <w:pPr>
        <w:pStyle w:val="Subsection"/>
        <w:rPr>
          <w:snapToGrid w:val="0"/>
        </w:rPr>
      </w:pPr>
      <w:r>
        <w:rPr>
          <w:snapToGrid w:val="0"/>
        </w:rPr>
        <w:tab/>
        <w:t>(4)</w:t>
      </w:r>
      <w:r>
        <w:rPr>
          <w:snapToGrid w:val="0"/>
        </w:rPr>
        <w:tab/>
        <w:t>A person shall not be detained, or detained and conveyed, under subsection (3) for longer than is reasonably necessary under the circumstances for the purpose of complying with subsection (2) in relation to the person.</w:t>
      </w:r>
    </w:p>
    <w:p>
      <w:pPr>
        <w:pStyle w:val="Heading5"/>
        <w:rPr>
          <w:snapToGrid w:val="0"/>
        </w:rPr>
      </w:pPr>
      <w:bookmarkStart w:id="631" w:name="_Toc503149549"/>
      <w:bookmarkStart w:id="632" w:name="_Toc534613844"/>
      <w:bookmarkStart w:id="633" w:name="_Toc535053883"/>
      <w:bookmarkStart w:id="634" w:name="_Toc109615256"/>
      <w:bookmarkStart w:id="635" w:name="_Toc215543742"/>
      <w:bookmarkStart w:id="636" w:name="_Toc336264327"/>
      <w:bookmarkStart w:id="637" w:name="_Toc325554265"/>
      <w:r>
        <w:rPr>
          <w:rStyle w:val="CharSectno"/>
        </w:rPr>
        <w:t>24</w:t>
      </w:r>
      <w:r>
        <w:rPr>
          <w:snapToGrid w:val="0"/>
        </w:rPr>
        <w:t>.</w:t>
      </w:r>
      <w:r>
        <w:rPr>
          <w:snapToGrid w:val="0"/>
        </w:rPr>
        <w:tab/>
        <w:t>Granting of search warrants in connection with prevention or detection of offences</w:t>
      </w:r>
      <w:bookmarkEnd w:id="631"/>
      <w:bookmarkEnd w:id="632"/>
      <w:bookmarkEnd w:id="633"/>
      <w:bookmarkEnd w:id="634"/>
      <w:bookmarkEnd w:id="635"/>
      <w:bookmarkEnd w:id="636"/>
      <w:bookmarkEnd w:id="637"/>
    </w:p>
    <w:p>
      <w:pPr>
        <w:pStyle w:val="Subsection"/>
        <w:rPr>
          <w:snapToGrid w:val="0"/>
        </w:rPr>
      </w:pPr>
      <w:r>
        <w:rPr>
          <w:snapToGrid w:val="0"/>
        </w:rPr>
        <w:tab/>
        <w:t>(1)</w:t>
      </w:r>
      <w:r>
        <w:rPr>
          <w:snapToGrid w:val="0"/>
        </w:rPr>
        <w:tab/>
        <w:t>A justice of the peace who is satisfied by information on oath that there are reasonable grounds to suspect that any thing referred to in section 23(1)(a), (b) or (c) may be in or on any vehicle, or in or on any premises or other place, may grant to a police officer a search warrant authorising a police officer at any time or times within 30 days from the date of that search warrant to enter any vehicle, or any premises or other place, named in that search warrant and, subject to this section, to search that vehicle or those premises or that other place and any person and any baggage, package or other thing of any kind whatsoever found therein or thereon, using such force as is reasonably necessary and with such assistance as the police officer considers necessary.</w:t>
      </w:r>
    </w:p>
    <w:p>
      <w:pPr>
        <w:pStyle w:val="Subsection"/>
        <w:rPr>
          <w:snapToGrid w:val="0"/>
        </w:rPr>
      </w:pPr>
      <w:r>
        <w:rPr>
          <w:snapToGrid w:val="0"/>
        </w:rPr>
        <w:tab/>
        <w:t>(2)</w:t>
      </w:r>
      <w:r>
        <w:rPr>
          <w:snapToGrid w:val="0"/>
        </w:rPr>
        <w:tab/>
        <w:t>A person shall not be searched under a search warrant except by —</w:t>
      </w:r>
    </w:p>
    <w:p>
      <w:pPr>
        <w:pStyle w:val="Indenta"/>
        <w:rPr>
          <w:snapToGrid w:val="0"/>
        </w:rPr>
      </w:pPr>
      <w:r>
        <w:rPr>
          <w:snapToGrid w:val="0"/>
        </w:rPr>
        <w:tab/>
        <w:t>(a)</w:t>
      </w:r>
      <w:r>
        <w:rPr>
          <w:snapToGrid w:val="0"/>
        </w:rPr>
        <w:tab/>
        <w:t>a person of the same sex as the firstmentioned person; or</w:t>
      </w:r>
    </w:p>
    <w:p>
      <w:pPr>
        <w:pStyle w:val="Indenta"/>
        <w:rPr>
          <w:snapToGrid w:val="0"/>
        </w:rPr>
      </w:pPr>
      <w:r>
        <w:rPr>
          <w:snapToGrid w:val="0"/>
        </w:rPr>
        <w:tab/>
        <w:t>(b)</w:t>
      </w:r>
      <w:r>
        <w:rPr>
          <w:snapToGrid w:val="0"/>
        </w:rPr>
        <w:tab/>
        <w:t>a medical practitioner.</w:t>
      </w:r>
    </w:p>
    <w:p>
      <w:pPr>
        <w:pStyle w:val="Subsection"/>
        <w:rPr>
          <w:snapToGrid w:val="0"/>
        </w:rPr>
      </w:pPr>
      <w:r>
        <w:rPr>
          <w:snapToGrid w:val="0"/>
        </w:rPr>
        <w:tab/>
        <w:t>(3)</w:t>
      </w:r>
      <w:r>
        <w:rPr>
          <w:snapToGrid w:val="0"/>
        </w:rPr>
        <w:tab/>
        <w:t>A police officer who wishes to search a person under a search warrant may, if it is not then and there practicable to comply with subsection (2) in relation to the person — </w:t>
      </w:r>
    </w:p>
    <w:p>
      <w:pPr>
        <w:pStyle w:val="Indenta"/>
        <w:rPr>
          <w:snapToGrid w:val="0"/>
        </w:rPr>
      </w:pPr>
      <w:r>
        <w:rPr>
          <w:snapToGrid w:val="0"/>
        </w:rPr>
        <w:tab/>
        <w:t>(a)</w:t>
      </w:r>
      <w:r>
        <w:rPr>
          <w:snapToGrid w:val="0"/>
        </w:rPr>
        <w:tab/>
        <w:t>detain the person until; or</w:t>
      </w:r>
    </w:p>
    <w:p>
      <w:pPr>
        <w:pStyle w:val="Indenta"/>
        <w:rPr>
          <w:snapToGrid w:val="0"/>
        </w:rPr>
      </w:pPr>
      <w:r>
        <w:rPr>
          <w:snapToGrid w:val="0"/>
        </w:rPr>
        <w:tab/>
        <w:t>(b)</w:t>
      </w:r>
      <w:r>
        <w:rPr>
          <w:snapToGrid w:val="0"/>
        </w:rPr>
        <w:tab/>
        <w:t>detain the person and convey him to a place where,</w:t>
      </w:r>
    </w:p>
    <w:p>
      <w:pPr>
        <w:pStyle w:val="Subsection"/>
        <w:rPr>
          <w:snapToGrid w:val="0"/>
        </w:rPr>
      </w:pPr>
      <w:r>
        <w:rPr>
          <w:snapToGrid w:val="0"/>
        </w:rPr>
        <w:tab/>
      </w:r>
      <w:r>
        <w:rPr>
          <w:snapToGrid w:val="0"/>
        </w:rPr>
        <w:tab/>
        <w:t>it is practicable for that subsection to be complied with in relation to the person.</w:t>
      </w:r>
    </w:p>
    <w:p>
      <w:pPr>
        <w:pStyle w:val="Subsection"/>
        <w:rPr>
          <w:snapToGrid w:val="0"/>
        </w:rPr>
      </w:pPr>
      <w:r>
        <w:rPr>
          <w:snapToGrid w:val="0"/>
        </w:rPr>
        <w:tab/>
        <w:t>(4)</w:t>
      </w:r>
      <w:r>
        <w:rPr>
          <w:snapToGrid w:val="0"/>
        </w:rPr>
        <w:tab/>
        <w:t>A person shall not be detained, or detained and conveyed, under subsection (3) for longer than is reasonably necessary under the circumstances for the purpose of complying with subsection (2) in relation to the person.</w:t>
      </w:r>
    </w:p>
    <w:p>
      <w:pPr>
        <w:pStyle w:val="Footnotesection"/>
        <w:keepLines w:val="0"/>
      </w:pPr>
      <w:r>
        <w:tab/>
        <w:t>[Section 24 amended by No. 50 of 1990 s. 7.]</w:t>
      </w:r>
    </w:p>
    <w:p>
      <w:pPr>
        <w:pStyle w:val="Heading5"/>
        <w:spacing w:before="180"/>
        <w:rPr>
          <w:snapToGrid w:val="0"/>
        </w:rPr>
      </w:pPr>
      <w:bookmarkStart w:id="638" w:name="_Toc503149550"/>
      <w:bookmarkStart w:id="639" w:name="_Toc534613845"/>
      <w:bookmarkStart w:id="640" w:name="_Toc535053884"/>
      <w:bookmarkStart w:id="641" w:name="_Toc109615257"/>
      <w:bookmarkStart w:id="642" w:name="_Toc215543743"/>
      <w:bookmarkStart w:id="643" w:name="_Toc336264328"/>
      <w:bookmarkStart w:id="644" w:name="_Toc325554266"/>
      <w:r>
        <w:rPr>
          <w:rStyle w:val="CharSectno"/>
        </w:rPr>
        <w:t>25</w:t>
      </w:r>
      <w:r>
        <w:rPr>
          <w:snapToGrid w:val="0"/>
        </w:rPr>
        <w:t>.</w:t>
      </w:r>
      <w:r>
        <w:rPr>
          <w:snapToGrid w:val="0"/>
        </w:rPr>
        <w:tab/>
        <w:t>Powers ancillary to power of search</w:t>
      </w:r>
      <w:bookmarkEnd w:id="638"/>
      <w:bookmarkEnd w:id="639"/>
      <w:bookmarkEnd w:id="640"/>
      <w:bookmarkEnd w:id="641"/>
      <w:bookmarkEnd w:id="642"/>
      <w:bookmarkEnd w:id="643"/>
      <w:bookmarkEnd w:id="644"/>
    </w:p>
    <w:p>
      <w:pPr>
        <w:pStyle w:val="Subsection"/>
        <w:spacing w:before="120"/>
        <w:rPr>
          <w:snapToGrid w:val="0"/>
        </w:rPr>
      </w:pPr>
      <w:r>
        <w:rPr>
          <w:snapToGrid w:val="0"/>
        </w:rPr>
        <w:tab/>
        <w:t>(1)</w:t>
      </w:r>
      <w:r>
        <w:rPr>
          <w:snapToGrid w:val="0"/>
        </w:rPr>
        <w:tab/>
        <w:t>A police officer or approved person exercising the powers conferred by section 22 or 23 or by a search warrant may for the purposes of this Part — </w:t>
      </w:r>
    </w:p>
    <w:p>
      <w:pPr>
        <w:pStyle w:val="Indenta"/>
        <w:rPr>
          <w:snapToGrid w:val="0"/>
        </w:rPr>
      </w:pPr>
      <w:r>
        <w:rPr>
          <w:snapToGrid w:val="0"/>
        </w:rPr>
        <w:tab/>
        <w:t>(a)</w:t>
      </w:r>
      <w:r>
        <w:rPr>
          <w:snapToGrid w:val="0"/>
        </w:rPr>
        <w:tab/>
        <w:t>seize and detain, or make extracts from or copies of, books, papers and documents found during the course of that exercise;</w:t>
      </w:r>
    </w:p>
    <w:p>
      <w:pPr>
        <w:pStyle w:val="Indenta"/>
        <w:rPr>
          <w:snapToGrid w:val="0"/>
        </w:rPr>
      </w:pPr>
      <w:r>
        <w:rPr>
          <w:snapToGrid w:val="0"/>
        </w:rPr>
        <w:tab/>
        <w:t>(b)</w:t>
      </w:r>
      <w:r>
        <w:rPr>
          <w:snapToGrid w:val="0"/>
        </w:rPr>
        <w:tab/>
        <w:t>require a person to give, or cause to be given, to the police officer or approved person such information as it is in the power of the person to give or cause to be given, as the case requires.</w:t>
      </w:r>
    </w:p>
    <w:p>
      <w:pPr>
        <w:pStyle w:val="Subsection"/>
        <w:rPr>
          <w:snapToGrid w:val="0"/>
        </w:rPr>
      </w:pPr>
      <w:r>
        <w:rPr>
          <w:snapToGrid w:val="0"/>
        </w:rPr>
        <w:tab/>
        <w:t>(2)</w:t>
      </w:r>
      <w:r>
        <w:rPr>
          <w:snapToGrid w:val="0"/>
        </w:rPr>
        <w:tab/>
        <w:t>Subject to subsection (3), a person who — </w:t>
      </w:r>
    </w:p>
    <w:p>
      <w:pPr>
        <w:pStyle w:val="Indenta"/>
        <w:rPr>
          <w:snapToGrid w:val="0"/>
        </w:rPr>
      </w:pPr>
      <w:r>
        <w:rPr>
          <w:snapToGrid w:val="0"/>
        </w:rPr>
        <w:tab/>
        <w:t>(a)</w:t>
      </w:r>
      <w:r>
        <w:rPr>
          <w:snapToGrid w:val="0"/>
        </w:rPr>
        <w:tab/>
        <w:t>without reasonable excuse, does not comply with a requirement made to him under subsection (1); or</w:t>
      </w:r>
    </w:p>
    <w:p>
      <w:pPr>
        <w:pStyle w:val="Indenta"/>
        <w:rPr>
          <w:snapToGrid w:val="0"/>
        </w:rPr>
      </w:pPr>
      <w:r>
        <w:rPr>
          <w:snapToGrid w:val="0"/>
        </w:rPr>
        <w:tab/>
        <w:t>(b)</w:t>
      </w:r>
      <w:r>
        <w:rPr>
          <w:snapToGrid w:val="0"/>
        </w:rPr>
        <w:tab/>
        <w:t>in purporting to comply with a requirement made to him under subsection (1), gives or causes to be given to the police officer or approved person concerned information that to his knowledge is false or misleading in a material particular,</w:t>
      </w:r>
    </w:p>
    <w:p>
      <w:pPr>
        <w:pStyle w:val="Subsection"/>
        <w:spacing w:before="120"/>
        <w:rPr>
          <w:snapToGrid w:val="0"/>
        </w:rPr>
      </w:pPr>
      <w:r>
        <w:rPr>
          <w:snapToGrid w:val="0"/>
        </w:rPr>
        <w:tab/>
      </w:r>
      <w:r>
        <w:rPr>
          <w:snapToGrid w:val="0"/>
        </w:rPr>
        <w:tab/>
        <w:t>commits a simple offence.</w:t>
      </w:r>
    </w:p>
    <w:p>
      <w:pPr>
        <w:pStyle w:val="Subsection"/>
        <w:spacing w:before="120"/>
        <w:rPr>
          <w:snapToGrid w:val="0"/>
        </w:rPr>
      </w:pPr>
      <w:r>
        <w:rPr>
          <w:snapToGrid w:val="0"/>
        </w:rPr>
        <w:tab/>
        <w:t>(3)</w:t>
      </w:r>
      <w:r>
        <w:rPr>
          <w:snapToGrid w:val="0"/>
        </w:rPr>
        <w:tab/>
        <w:t>Notwithstanding anything in subsection (2), a person shall not refuse or fail to comply with a requirement made to him under subsection (1) by reason only that compliance with that requirement would tend to incriminate him or render him liable to any penalty, but the information given or caused to be given by him in compliance with that requirement is not admissible in evidence in any proceedings against him for an offence other than a simple offence under subsection (2)(b).</w:t>
      </w:r>
    </w:p>
    <w:p>
      <w:pPr>
        <w:pStyle w:val="Heading5"/>
        <w:keepLines w:val="0"/>
        <w:spacing w:before="180"/>
        <w:rPr>
          <w:snapToGrid w:val="0"/>
        </w:rPr>
      </w:pPr>
      <w:bookmarkStart w:id="645" w:name="_Toc503149551"/>
      <w:bookmarkStart w:id="646" w:name="_Toc534613846"/>
      <w:bookmarkStart w:id="647" w:name="_Toc535053885"/>
      <w:bookmarkStart w:id="648" w:name="_Toc109615258"/>
      <w:bookmarkStart w:id="649" w:name="_Toc215543744"/>
      <w:bookmarkStart w:id="650" w:name="_Toc336264329"/>
      <w:bookmarkStart w:id="651" w:name="_Toc325554267"/>
      <w:r>
        <w:rPr>
          <w:rStyle w:val="CharSectno"/>
        </w:rPr>
        <w:t>26</w:t>
      </w:r>
      <w:r>
        <w:rPr>
          <w:snapToGrid w:val="0"/>
        </w:rPr>
        <w:t>.</w:t>
      </w:r>
      <w:r>
        <w:rPr>
          <w:snapToGrid w:val="0"/>
        </w:rPr>
        <w:tab/>
        <w:t>Powers of police officers and others when things suspected of being used in commission of offences found, received or acquired</w:t>
      </w:r>
      <w:bookmarkEnd w:id="645"/>
      <w:bookmarkEnd w:id="646"/>
      <w:bookmarkEnd w:id="647"/>
      <w:bookmarkEnd w:id="648"/>
      <w:bookmarkEnd w:id="649"/>
      <w:bookmarkEnd w:id="650"/>
      <w:bookmarkEnd w:id="651"/>
    </w:p>
    <w:p>
      <w:pPr>
        <w:pStyle w:val="Subsection"/>
        <w:spacing w:before="120"/>
        <w:rPr>
          <w:snapToGrid w:val="0"/>
        </w:rPr>
      </w:pPr>
      <w:r>
        <w:rPr>
          <w:snapToGrid w:val="0"/>
        </w:rPr>
        <w:tab/>
        <w:t>(1)</w:t>
      </w:r>
      <w:r>
        <w:rPr>
          <w:snapToGrid w:val="0"/>
        </w:rPr>
        <w:tab/>
        <w:t xml:space="preserve">If there are reasonable grounds to suspect that any thing found or received during the exercise of the powers conferred by section 22 or 23 or by a search warrant or under any other circumstances is a thing referred to in section 23(1)(a), (b) or (c) a police officer or approved person, as the case requires — </w:t>
      </w:r>
    </w:p>
    <w:p>
      <w:pPr>
        <w:pStyle w:val="Indenta"/>
      </w:pPr>
      <w:r>
        <w:tab/>
        <w:t>(a)</w:t>
      </w:r>
      <w:r>
        <w:tab/>
        <w:t xml:space="preserve">in the case of — </w:t>
      </w:r>
    </w:p>
    <w:p>
      <w:pPr>
        <w:pStyle w:val="Indenti"/>
      </w:pPr>
      <w:r>
        <w:tab/>
        <w:t>(i)</w:t>
      </w:r>
      <w:r>
        <w:tab/>
        <w:t>a thing that is a prohibited drug, prohibited plant or dangerous substance; or</w:t>
      </w:r>
    </w:p>
    <w:p>
      <w:pPr>
        <w:pStyle w:val="Indenti"/>
      </w:pPr>
      <w:r>
        <w:tab/>
        <w:t>(ii)</w:t>
      </w:r>
      <w:r>
        <w:tab/>
        <w:t>a thing that is contaminated by a dangerous substance,</w:t>
      </w:r>
    </w:p>
    <w:p>
      <w:pPr>
        <w:pStyle w:val="Indenta"/>
      </w:pPr>
      <w:r>
        <w:tab/>
      </w:r>
      <w:r>
        <w:tab/>
        <w:t>may seize and detain the thing until it is dealt with under section 27; or</w:t>
      </w:r>
    </w:p>
    <w:p>
      <w:pPr>
        <w:pStyle w:val="Indenta"/>
      </w:pPr>
      <w:r>
        <w:tab/>
        <w:t>(b)</w:t>
      </w:r>
      <w:r>
        <w:tab/>
        <w:t>in the case of any other thing, may seize it.</w:t>
      </w:r>
    </w:p>
    <w:p>
      <w:pPr>
        <w:pStyle w:val="Subsection"/>
      </w:pPr>
      <w:r>
        <w:tab/>
        <w:t>(2A)</w:t>
      </w:r>
      <w:r>
        <w:tab/>
        <w:t xml:space="preserve">If under subsection (1)(b) a thing may be seized, the </w:t>
      </w:r>
      <w:r>
        <w:rPr>
          <w:i/>
        </w:rPr>
        <w:t>Criminal Investigation Act 2006</w:t>
      </w:r>
      <w:r>
        <w:t xml:space="preserve"> Part 13, with any necessary changes, applies to and in relation to the exercise of the power to seize the thing.</w:t>
      </w:r>
    </w:p>
    <w:p>
      <w:pPr>
        <w:pStyle w:val="Subsection"/>
      </w:pPr>
      <w:r>
        <w:tab/>
        <w:t>(2B)</w:t>
      </w:r>
      <w:r>
        <w:tab/>
        <w:t xml:space="preserve">If under subsection (1)(b) a thing is seized, the </w:t>
      </w:r>
      <w:r>
        <w:rPr>
          <w:i/>
        </w:rPr>
        <w:t>Criminal Investigation Act 2006</w:t>
      </w:r>
      <w:r>
        <w:t xml:space="preserve"> Part 13 and the </w:t>
      </w:r>
      <w:r>
        <w:rPr>
          <w:i/>
        </w:rPr>
        <w:t>Criminal and Found Property Disposal Act 2006</w:t>
      </w:r>
      <w:r>
        <w:t>, with any necessary changes, apply to and in relation to it.</w:t>
      </w:r>
    </w:p>
    <w:p>
      <w:pPr>
        <w:pStyle w:val="Subsection"/>
        <w:rPr>
          <w:snapToGrid w:val="0"/>
        </w:rPr>
      </w:pPr>
      <w:r>
        <w:rPr>
          <w:snapToGrid w:val="0"/>
        </w:rPr>
        <w:tab/>
        <w:t>(2)</w:t>
      </w:r>
      <w:r>
        <w:rPr>
          <w:snapToGrid w:val="0"/>
        </w:rPr>
        <w:tab/>
        <w:t>A police officer who — </w:t>
      </w:r>
    </w:p>
    <w:p>
      <w:pPr>
        <w:pStyle w:val="Indenta"/>
        <w:rPr>
          <w:snapToGrid w:val="0"/>
        </w:rPr>
      </w:pPr>
      <w:r>
        <w:rPr>
          <w:snapToGrid w:val="0"/>
        </w:rPr>
        <w:tab/>
        <w:t>(a)</w:t>
      </w:r>
      <w:r>
        <w:rPr>
          <w:snapToGrid w:val="0"/>
        </w:rPr>
        <w:tab/>
        <w:t>whilst he is an authorised person and is acting as an undercover officer, acquires a prohibited drug or prohibited plant for the purpose of detecting the commission of an offence; or</w:t>
      </w:r>
    </w:p>
    <w:p>
      <w:pPr>
        <w:pStyle w:val="Indenta"/>
        <w:keepNext/>
        <w:rPr>
          <w:snapToGrid w:val="0"/>
        </w:rPr>
      </w:pPr>
      <w:r>
        <w:rPr>
          <w:snapToGrid w:val="0"/>
        </w:rPr>
        <w:tab/>
        <w:t>(b)</w:t>
      </w:r>
      <w:r>
        <w:rPr>
          <w:snapToGrid w:val="0"/>
        </w:rPr>
        <w:tab/>
        <w:t>acquires a prohibited drug or prohibited plant as a result of its delivery to him by an authorised person who is not a police officer,</w:t>
      </w:r>
    </w:p>
    <w:p>
      <w:pPr>
        <w:pStyle w:val="Subsection"/>
        <w:rPr>
          <w:snapToGrid w:val="0"/>
        </w:rPr>
      </w:pPr>
      <w:r>
        <w:rPr>
          <w:snapToGrid w:val="0"/>
        </w:rPr>
        <w:tab/>
      </w:r>
      <w:r>
        <w:rPr>
          <w:snapToGrid w:val="0"/>
        </w:rPr>
        <w:tab/>
        <w:t>shall detain the prohibited drug or prohibited plant until it is dealt with under section 27.</w:t>
      </w:r>
    </w:p>
    <w:p>
      <w:pPr>
        <w:pStyle w:val="Subsection"/>
        <w:keepNext/>
        <w:keepLines/>
        <w:rPr>
          <w:snapToGrid w:val="0"/>
        </w:rPr>
      </w:pPr>
      <w:r>
        <w:rPr>
          <w:snapToGrid w:val="0"/>
        </w:rPr>
        <w:tab/>
        <w:t>(3)</w:t>
      </w:r>
      <w:r>
        <w:rPr>
          <w:snapToGrid w:val="0"/>
        </w:rPr>
        <w:tab/>
        <w:t>In subsection (2) — </w:t>
      </w:r>
    </w:p>
    <w:p>
      <w:pPr>
        <w:pStyle w:val="Defstart"/>
        <w:keepNext/>
        <w:keepLines/>
      </w:pPr>
      <w:r>
        <w:rPr>
          <w:b/>
        </w:rPr>
        <w:tab/>
      </w:r>
      <w:r>
        <w:rPr>
          <w:rStyle w:val="CharDefText"/>
        </w:rPr>
        <w:t>authorised person</w:t>
      </w:r>
      <w:r>
        <w:t xml:space="preserve"> and </w:t>
      </w:r>
      <w:r>
        <w:rPr>
          <w:rStyle w:val="CharDefText"/>
        </w:rPr>
        <w:t>undercover officer</w:t>
      </w:r>
      <w:r>
        <w:t xml:space="preserve"> have the respective meanings given by section 31.</w:t>
      </w:r>
    </w:p>
    <w:p>
      <w:pPr>
        <w:pStyle w:val="Footnotesection"/>
        <w:ind w:left="890" w:hanging="890"/>
      </w:pPr>
      <w:r>
        <w:tab/>
        <w:t>[Section 26 amended by No. 50 of 1990 s. 7; No. 44 of 1995 s. 6; No. 44 of 2010 s. 6.]</w:t>
      </w:r>
    </w:p>
    <w:p>
      <w:pPr>
        <w:pStyle w:val="Heading5"/>
        <w:rPr>
          <w:snapToGrid w:val="0"/>
        </w:rPr>
      </w:pPr>
      <w:bookmarkStart w:id="652" w:name="_Toc503149552"/>
      <w:bookmarkStart w:id="653" w:name="_Toc534613847"/>
      <w:bookmarkStart w:id="654" w:name="_Toc535053886"/>
      <w:bookmarkStart w:id="655" w:name="_Toc109615259"/>
      <w:bookmarkStart w:id="656" w:name="_Toc215543745"/>
      <w:bookmarkStart w:id="657" w:name="_Toc336264330"/>
      <w:bookmarkStart w:id="658" w:name="_Toc325554268"/>
      <w:r>
        <w:rPr>
          <w:rStyle w:val="CharSectno"/>
        </w:rPr>
        <w:t>26A</w:t>
      </w:r>
      <w:r>
        <w:rPr>
          <w:snapToGrid w:val="0"/>
        </w:rPr>
        <w:t>.</w:t>
      </w:r>
      <w:r>
        <w:rPr>
          <w:snapToGrid w:val="0"/>
        </w:rPr>
        <w:tab/>
        <w:t>Powers of approved analyst or approved botanist</w:t>
      </w:r>
      <w:bookmarkEnd w:id="652"/>
      <w:bookmarkEnd w:id="653"/>
      <w:bookmarkEnd w:id="654"/>
      <w:bookmarkEnd w:id="655"/>
      <w:bookmarkEnd w:id="656"/>
      <w:bookmarkEnd w:id="657"/>
      <w:bookmarkEnd w:id="658"/>
    </w:p>
    <w:p>
      <w:pPr>
        <w:pStyle w:val="Subsection"/>
        <w:keepNext/>
        <w:keepLines/>
        <w:rPr>
          <w:snapToGrid w:val="0"/>
        </w:rPr>
      </w:pPr>
      <w:r>
        <w:rPr>
          <w:snapToGrid w:val="0"/>
        </w:rPr>
        <w:tab/>
      </w:r>
      <w:r>
        <w:rPr>
          <w:snapToGrid w:val="0"/>
        </w:rPr>
        <w:tab/>
        <w:t>An approved analyst or approved botanist may for the purposes of this Act — </w:t>
      </w:r>
    </w:p>
    <w:p>
      <w:pPr>
        <w:pStyle w:val="Indenta"/>
        <w:rPr>
          <w:snapToGrid w:val="0"/>
        </w:rPr>
      </w:pPr>
      <w:r>
        <w:rPr>
          <w:snapToGrid w:val="0"/>
        </w:rPr>
        <w:tab/>
        <w:t>(a)</w:t>
      </w:r>
      <w:r>
        <w:rPr>
          <w:snapToGrid w:val="0"/>
        </w:rPr>
        <w:tab/>
        <w:t>take a sample or samples of any thing seized under this Act;</w:t>
      </w:r>
    </w:p>
    <w:p>
      <w:pPr>
        <w:pStyle w:val="Indenta"/>
        <w:rPr>
          <w:snapToGrid w:val="0"/>
        </w:rPr>
      </w:pPr>
      <w:r>
        <w:rPr>
          <w:snapToGrid w:val="0"/>
        </w:rPr>
        <w:tab/>
        <w:t>(b)</w:t>
      </w:r>
      <w:r>
        <w:rPr>
          <w:snapToGrid w:val="0"/>
        </w:rPr>
        <w:tab/>
        <w:t>analyse or examine any thing seized under this Act or any sample or samples of the thing.</w:t>
      </w:r>
    </w:p>
    <w:p>
      <w:pPr>
        <w:pStyle w:val="Footnotesection"/>
      </w:pPr>
      <w:r>
        <w:tab/>
        <w:t xml:space="preserve">[Section 26A inserted by No. 44 of 1995 s. 7.] </w:t>
      </w:r>
    </w:p>
    <w:p>
      <w:pPr>
        <w:pStyle w:val="Heading5"/>
        <w:rPr>
          <w:snapToGrid w:val="0"/>
        </w:rPr>
      </w:pPr>
      <w:bookmarkStart w:id="659" w:name="_Toc503149553"/>
      <w:bookmarkStart w:id="660" w:name="_Toc534613848"/>
      <w:bookmarkStart w:id="661" w:name="_Toc535053887"/>
      <w:bookmarkStart w:id="662" w:name="_Toc109615260"/>
      <w:bookmarkStart w:id="663" w:name="_Toc215543746"/>
      <w:bookmarkStart w:id="664" w:name="_Toc336264331"/>
      <w:bookmarkStart w:id="665" w:name="_Toc325554269"/>
      <w:r>
        <w:rPr>
          <w:rStyle w:val="CharSectno"/>
        </w:rPr>
        <w:t>27</w:t>
      </w:r>
      <w:r>
        <w:rPr>
          <w:snapToGrid w:val="0"/>
        </w:rPr>
        <w:t>.</w:t>
      </w:r>
      <w:r>
        <w:rPr>
          <w:snapToGrid w:val="0"/>
        </w:rPr>
        <w:tab/>
        <w:t>Disposal of prohibited drugs and prohibited plants</w:t>
      </w:r>
      <w:bookmarkEnd w:id="659"/>
      <w:bookmarkEnd w:id="660"/>
      <w:bookmarkEnd w:id="661"/>
      <w:bookmarkEnd w:id="662"/>
      <w:bookmarkEnd w:id="663"/>
      <w:bookmarkEnd w:id="664"/>
      <w:bookmarkEnd w:id="665"/>
    </w:p>
    <w:p>
      <w:pPr>
        <w:pStyle w:val="Subsection"/>
        <w:rPr>
          <w:snapToGrid w:val="0"/>
        </w:rPr>
      </w:pPr>
      <w:r>
        <w:rPr>
          <w:snapToGrid w:val="0"/>
        </w:rPr>
        <w:tab/>
        <w:t>(1)</w:t>
      </w:r>
      <w:r>
        <w:rPr>
          <w:snapToGrid w:val="0"/>
        </w:rPr>
        <w:tab/>
        <w:t>If, in the case of a relevant thing which is seized or acquired and detained under section 26 — </w:t>
      </w:r>
    </w:p>
    <w:p>
      <w:pPr>
        <w:pStyle w:val="Indenta"/>
        <w:rPr>
          <w:snapToGrid w:val="0"/>
        </w:rPr>
      </w:pPr>
      <w:r>
        <w:rPr>
          <w:snapToGrid w:val="0"/>
        </w:rPr>
        <w:tab/>
        <w:t>(a)</w:t>
      </w:r>
      <w:r>
        <w:rPr>
          <w:snapToGrid w:val="0"/>
        </w:rPr>
        <w:tab/>
        <w:t>a police officer is satisfied that no person will be tried with the commission of an offence in relation thereto, and it has not been destroyed under subsection (4), the police officer shall — </w:t>
      </w:r>
    </w:p>
    <w:p>
      <w:pPr>
        <w:pStyle w:val="Indenti"/>
        <w:rPr>
          <w:snapToGrid w:val="0"/>
        </w:rPr>
      </w:pPr>
      <w:r>
        <w:rPr>
          <w:snapToGrid w:val="0"/>
        </w:rPr>
        <w:tab/>
        <w:t>(i)</w:t>
      </w:r>
      <w:r>
        <w:rPr>
          <w:snapToGrid w:val="0"/>
        </w:rPr>
        <w:tab/>
        <w:t xml:space="preserve">cause that </w:t>
      </w:r>
      <w:r>
        <w:t>relevant thing</w:t>
      </w:r>
      <w:r>
        <w:rPr>
          <w:snapToGrid w:val="0"/>
        </w:rPr>
        <w:t xml:space="preserve"> to be destroyed in accordance with the regulations; or</w:t>
      </w:r>
    </w:p>
    <w:p>
      <w:pPr>
        <w:pStyle w:val="Indenti"/>
        <w:rPr>
          <w:snapToGrid w:val="0"/>
        </w:rPr>
      </w:pPr>
      <w:r>
        <w:rPr>
          <w:snapToGrid w:val="0"/>
        </w:rPr>
        <w:tab/>
        <w:t>(ii)</w:t>
      </w:r>
      <w:r>
        <w:rPr>
          <w:snapToGrid w:val="0"/>
        </w:rPr>
        <w:tab/>
        <w:t xml:space="preserve">if a person who is authorised by or under this Act, by or under the </w:t>
      </w:r>
      <w:r>
        <w:rPr>
          <w:i/>
          <w:snapToGrid w:val="0"/>
        </w:rPr>
        <w:t>Poisons Act 1964</w:t>
      </w:r>
      <w:r>
        <w:rPr>
          <w:snapToGrid w:val="0"/>
        </w:rPr>
        <w:t xml:space="preserve"> or, in the case of a prohibited drug, on and in accordance with an authorised prescription to have possession thereof is entitled to have possession of that </w:t>
      </w:r>
      <w:r>
        <w:t>relevant thing</w:t>
      </w:r>
      <w:r>
        <w:rPr>
          <w:snapToGrid w:val="0"/>
        </w:rPr>
        <w:t xml:space="preserve">, release that </w:t>
      </w:r>
      <w:r>
        <w:t>relevant thing</w:t>
      </w:r>
      <w:r>
        <w:rPr>
          <w:snapToGrid w:val="0"/>
        </w:rPr>
        <w:t xml:space="preserve"> to that person;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is tried with the commission of an offence in relation thereto and it has not been destroyed under subsection (4), the court which so tries the person shall, whether or not the person is convicted of that offence and after having given any other person (in this paragraph called</w:t>
      </w:r>
      <w:r>
        <w:t xml:space="preserve"> the </w:t>
      </w:r>
      <w:r>
        <w:rPr>
          <w:rStyle w:val="CharDefText"/>
        </w:rPr>
        <w:t>claimant</w:t>
      </w:r>
      <w:r>
        <w:rPr>
          <w:snapToGrid w:val="0"/>
        </w:rPr>
        <w:t xml:space="preserve">) claiming to be authorised by or under this Act, by or under the </w:t>
      </w:r>
      <w:r>
        <w:rPr>
          <w:i/>
          <w:snapToGrid w:val="0"/>
        </w:rPr>
        <w:t>Poisons Act 1964</w:t>
      </w:r>
      <w:r>
        <w:rPr>
          <w:snapToGrid w:val="0"/>
        </w:rPr>
        <w:t xml:space="preserve"> or, in the case of a prohibited drug, on and in accordance with an authorised prescription to have possession thereof and to be entitled to have possession of that </w:t>
      </w:r>
      <w:r>
        <w:t>relevant thing</w:t>
      </w:r>
      <w:r>
        <w:rPr>
          <w:snapToGrid w:val="0"/>
        </w:rPr>
        <w:t xml:space="preserve">, an opportunity to show cause why that </w:t>
      </w:r>
      <w:r>
        <w:t>relevant thing</w:t>
      </w:r>
      <w:r>
        <w:rPr>
          <w:snapToGrid w:val="0"/>
        </w:rPr>
        <w:t xml:space="preserve"> should be released to him, order that that </w:t>
      </w:r>
      <w:r>
        <w:t>relevant thing</w:t>
      </w:r>
      <w:r>
        <w:rPr>
          <w:snapToGrid w:val="0"/>
        </w:rPr>
        <w:t> — </w:t>
      </w:r>
    </w:p>
    <w:p>
      <w:pPr>
        <w:pStyle w:val="Indenti"/>
        <w:rPr>
          <w:snapToGrid w:val="0"/>
        </w:rPr>
      </w:pPr>
      <w:r>
        <w:rPr>
          <w:snapToGrid w:val="0"/>
        </w:rPr>
        <w:tab/>
        <w:t>(i)</w:t>
      </w:r>
      <w:r>
        <w:rPr>
          <w:snapToGrid w:val="0"/>
        </w:rPr>
        <w:tab/>
        <w:t>be released to the claimant; or</w:t>
      </w:r>
    </w:p>
    <w:p>
      <w:pPr>
        <w:pStyle w:val="Indenti"/>
        <w:rPr>
          <w:snapToGrid w:val="0"/>
        </w:rPr>
      </w:pPr>
      <w:r>
        <w:rPr>
          <w:snapToGrid w:val="0"/>
        </w:rPr>
        <w:tab/>
        <w:t>(ii)</w:t>
      </w:r>
      <w:r>
        <w:rPr>
          <w:snapToGrid w:val="0"/>
        </w:rPr>
        <w:tab/>
        <w:t>be destroyed; or</w:t>
      </w:r>
    </w:p>
    <w:p>
      <w:pPr>
        <w:pStyle w:val="Indenti"/>
        <w:rPr>
          <w:snapToGrid w:val="0"/>
        </w:rPr>
      </w:pPr>
      <w:r>
        <w:rPr>
          <w:snapToGrid w:val="0"/>
        </w:rPr>
        <w:tab/>
        <w:t>(iii)</w:t>
      </w:r>
      <w:r>
        <w:rPr>
          <w:snapToGrid w:val="0"/>
        </w:rPr>
        <w:tab/>
        <w:t>be forfeited to the Crown.</w:t>
      </w:r>
    </w:p>
    <w:p>
      <w:pPr>
        <w:pStyle w:val="Subsection"/>
        <w:rPr>
          <w:snapToGrid w:val="0"/>
        </w:rPr>
      </w:pPr>
      <w:r>
        <w:rPr>
          <w:snapToGrid w:val="0"/>
        </w:rPr>
        <w:tab/>
        <w:t>(2)</w:t>
      </w:r>
      <w:r>
        <w:rPr>
          <w:snapToGrid w:val="0"/>
        </w:rPr>
        <w:tab/>
        <w:t xml:space="preserve">If, in relation to any </w:t>
      </w:r>
      <w:r>
        <w:t>relevant thing</w:t>
      </w:r>
      <w:r>
        <w:rPr>
          <w:snapToGrid w:val="0"/>
        </w:rPr>
        <w:t xml:space="preserve"> seized under section 26, the Commissioner is satisfied that — </w:t>
      </w:r>
    </w:p>
    <w:p>
      <w:pPr>
        <w:pStyle w:val="Indenta"/>
        <w:rPr>
          <w:snapToGrid w:val="0"/>
        </w:rPr>
      </w:pPr>
      <w:r>
        <w:rPr>
          <w:snapToGrid w:val="0"/>
        </w:rPr>
        <w:tab/>
        <w:t>(a)</w:t>
      </w:r>
      <w:r>
        <w:rPr>
          <w:snapToGrid w:val="0"/>
        </w:rPr>
        <w:tab/>
        <w:t>it is not reasonably practicable (for whatever reason) to detain the thing until it is dealt with under subsection (1); and</w:t>
      </w:r>
    </w:p>
    <w:p>
      <w:pPr>
        <w:pStyle w:val="Indenta"/>
      </w:pPr>
      <w:r>
        <w:tab/>
        <w:t>(b)</w:t>
      </w:r>
      <w:r>
        <w:tab/>
        <w:t>sufficient samples have been taken of or from the thing,</w:t>
      </w:r>
    </w:p>
    <w:p>
      <w:pPr>
        <w:pStyle w:val="Subsection"/>
        <w:rPr>
          <w:snapToGrid w:val="0"/>
        </w:rPr>
      </w:pPr>
      <w:r>
        <w:rPr>
          <w:snapToGrid w:val="0"/>
        </w:rPr>
        <w:tab/>
      </w:r>
      <w:r>
        <w:rPr>
          <w:snapToGrid w:val="0"/>
        </w:rPr>
        <w:tab/>
        <w:t>the Commissioner may direct that the thing (apart from the samples) be destroyed before it is dealt with under that subsection.</w:t>
      </w:r>
    </w:p>
    <w:p>
      <w:pPr>
        <w:pStyle w:val="Subsection"/>
        <w:rPr>
          <w:snapToGrid w:val="0"/>
        </w:rPr>
      </w:pPr>
      <w:r>
        <w:rPr>
          <w:snapToGrid w:val="0"/>
        </w:rPr>
        <w:tab/>
        <w:t>(3)</w:t>
      </w:r>
      <w:r>
        <w:rPr>
          <w:snapToGrid w:val="0"/>
        </w:rPr>
        <w:tab/>
        <w:t>A direction shall be in writing in the prescribed form.</w:t>
      </w:r>
    </w:p>
    <w:p>
      <w:pPr>
        <w:pStyle w:val="Subsection"/>
        <w:rPr>
          <w:snapToGrid w:val="0"/>
        </w:rPr>
      </w:pPr>
      <w:r>
        <w:rPr>
          <w:snapToGrid w:val="0"/>
        </w:rPr>
        <w:tab/>
        <w:t>(4)</w:t>
      </w:r>
      <w:r>
        <w:rPr>
          <w:snapToGrid w:val="0"/>
        </w:rPr>
        <w:tab/>
        <w:t>If the Commissioner directs under subsection (2) that any thing be destroyed, a police officer shall as soon as practicable cause the thing to be destroyed in accordance with the regulations.</w:t>
      </w:r>
    </w:p>
    <w:p>
      <w:pPr>
        <w:pStyle w:val="Subsection"/>
        <w:rPr>
          <w:snapToGrid w:val="0"/>
        </w:rPr>
      </w:pPr>
      <w:r>
        <w:rPr>
          <w:snapToGrid w:val="0"/>
        </w:rPr>
        <w:tab/>
        <w:t>(5)</w:t>
      </w:r>
      <w:r>
        <w:rPr>
          <w:snapToGrid w:val="0"/>
        </w:rPr>
        <w:tab/>
        <w:t>The Commissioner may in writing amend or revoke a direction before effect is given to it.</w:t>
      </w:r>
    </w:p>
    <w:p>
      <w:pPr>
        <w:pStyle w:val="Subsection"/>
        <w:keepNext/>
      </w:pPr>
      <w:r>
        <w:tab/>
        <w:t>(6A)</w:t>
      </w:r>
      <w:r>
        <w:tab/>
      </w:r>
      <w:r>
        <w:rPr>
          <w:snapToGrid w:val="0"/>
        </w:rPr>
        <w:t>If</w:t>
      </w:r>
      <w:r>
        <w:t xml:space="preserve"> — </w:t>
      </w:r>
    </w:p>
    <w:p>
      <w:pPr>
        <w:pStyle w:val="Indenta"/>
      </w:pPr>
      <w:r>
        <w:tab/>
        <w:t>(a)</w:t>
      </w:r>
      <w:r>
        <w:tab/>
        <w:t xml:space="preserve">a </w:t>
      </w:r>
      <w:r>
        <w:rPr>
          <w:snapToGrid w:val="0"/>
        </w:rPr>
        <w:t>court</w:t>
      </w:r>
      <w:r>
        <w:t xml:space="preserve"> convicts a person of an offence under this Act that involved the possession or use of a relevant thing; and</w:t>
      </w:r>
    </w:p>
    <w:p>
      <w:pPr>
        <w:pStyle w:val="Indenta"/>
      </w:pPr>
      <w:r>
        <w:tab/>
        <w:t>(b)</w:t>
      </w:r>
      <w:r>
        <w:tab/>
      </w:r>
      <w:r>
        <w:rPr>
          <w:snapToGrid w:val="0"/>
        </w:rPr>
        <w:t>the</w:t>
      </w:r>
      <w:r>
        <w:t xml:space="preserve"> relevant thing was destroyed under this section,</w:t>
      </w:r>
    </w:p>
    <w:p>
      <w:pPr>
        <w:pStyle w:val="Subsection"/>
        <w:spacing w:before="120"/>
      </w:pPr>
      <w:r>
        <w:tab/>
      </w:r>
      <w:r>
        <w:tab/>
        <w:t xml:space="preserve">the </w:t>
      </w:r>
      <w:r>
        <w:rPr>
          <w:snapToGrid w:val="0"/>
        </w:rPr>
        <w:t>court</w:t>
      </w:r>
      <w:r>
        <w:t xml:space="preserve"> may order the person to pay the costs reasonably incurred by the State in destroying the thing, other than costs relating to the employment of police officers or the use of equipment or facilities under the control or management of the Commissioner.</w:t>
      </w:r>
    </w:p>
    <w:p>
      <w:pPr>
        <w:pStyle w:val="Subsection"/>
        <w:keepNext/>
        <w:spacing w:before="120"/>
        <w:rPr>
          <w:snapToGrid w:val="0"/>
        </w:rPr>
      </w:pPr>
      <w:r>
        <w:rPr>
          <w:snapToGrid w:val="0"/>
        </w:rPr>
        <w:tab/>
        <w:t>(6)</w:t>
      </w:r>
      <w:r>
        <w:rPr>
          <w:snapToGrid w:val="0"/>
        </w:rPr>
        <w:tab/>
        <w:t xml:space="preserve">In this section — </w:t>
      </w:r>
    </w:p>
    <w:p>
      <w:pPr>
        <w:pStyle w:val="Defstart"/>
        <w:keepNext/>
      </w:pPr>
      <w:r>
        <w:rPr>
          <w:b/>
        </w:rPr>
        <w:tab/>
      </w:r>
      <w:r>
        <w:rPr>
          <w:rStyle w:val="CharDefText"/>
        </w:rPr>
        <w:t>relevant thing</w:t>
      </w:r>
      <w:r>
        <w:t xml:space="preserve"> means a prohibited drug, prohibited plant or dangerous substance or a thing contaminated with a dangerous substance;</w:t>
      </w:r>
    </w:p>
    <w:p>
      <w:pPr>
        <w:pStyle w:val="Defstart"/>
        <w:keepNext/>
      </w:pPr>
      <w:r>
        <w:rPr>
          <w:b/>
        </w:rPr>
        <w:tab/>
      </w:r>
      <w:r>
        <w:rPr>
          <w:rStyle w:val="CharDefText"/>
        </w:rPr>
        <w:t>sufficient samples</w:t>
      </w:r>
      <w:r>
        <w:t xml:space="preserve"> means — </w:t>
      </w:r>
    </w:p>
    <w:p>
      <w:pPr>
        <w:pStyle w:val="Defpara"/>
      </w:pPr>
      <w:r>
        <w:tab/>
        <w:t>(a)</w:t>
      </w:r>
      <w:r>
        <w:tab/>
        <w:t>in the case of a thing that has already been analysed or examined by an approved analyst or an approved botanist, sufficient samples to enable any further analysis or examination that might be required under section 27A; or</w:t>
      </w:r>
    </w:p>
    <w:p>
      <w:pPr>
        <w:pStyle w:val="Defpara"/>
      </w:pPr>
      <w:r>
        <w:tab/>
        <w:t>(b)</w:t>
      </w:r>
      <w:r>
        <w:tab/>
        <w:t>in any other case, sufficient samples to enable — </w:t>
      </w:r>
    </w:p>
    <w:p>
      <w:pPr>
        <w:pStyle w:val="Defsubpara"/>
        <w:rPr>
          <w:snapToGrid w:val="0"/>
        </w:rPr>
      </w:pPr>
      <w:r>
        <w:rPr>
          <w:snapToGrid w:val="0"/>
        </w:rPr>
        <w:tab/>
        <w:t>(i)</w:t>
      </w:r>
      <w:r>
        <w:rPr>
          <w:snapToGrid w:val="0"/>
        </w:rPr>
        <w:tab/>
        <w:t>analysis or examination by an approved analyst or an approved botanist; and</w:t>
      </w:r>
    </w:p>
    <w:p>
      <w:pPr>
        <w:pStyle w:val="Defsubpara"/>
        <w:rPr>
          <w:snapToGrid w:val="0"/>
        </w:rPr>
      </w:pPr>
      <w:r>
        <w:rPr>
          <w:snapToGrid w:val="0"/>
        </w:rPr>
        <w:tab/>
        <w:t>(ii)</w:t>
      </w:r>
      <w:r>
        <w:rPr>
          <w:snapToGrid w:val="0"/>
        </w:rPr>
        <w:tab/>
        <w:t>any further analysis or examination that might be required under section 27A.</w:t>
      </w:r>
    </w:p>
    <w:p>
      <w:pPr>
        <w:pStyle w:val="Footnotesection"/>
        <w:spacing w:before="80"/>
        <w:ind w:left="890" w:hanging="890"/>
      </w:pPr>
      <w:r>
        <w:tab/>
        <w:t>[Section 27 amended by No. 44 of 1995 s. 8; No. 44 of 2010 s. 7.]</w:t>
      </w:r>
    </w:p>
    <w:p>
      <w:pPr>
        <w:pStyle w:val="Heading5"/>
        <w:rPr>
          <w:snapToGrid w:val="0"/>
        </w:rPr>
      </w:pPr>
      <w:bookmarkStart w:id="666" w:name="_Toc503149554"/>
      <w:bookmarkStart w:id="667" w:name="_Toc534613849"/>
      <w:bookmarkStart w:id="668" w:name="_Toc535053888"/>
      <w:bookmarkStart w:id="669" w:name="_Toc109615261"/>
      <w:bookmarkStart w:id="670" w:name="_Toc215543747"/>
      <w:bookmarkStart w:id="671" w:name="_Toc336264332"/>
      <w:bookmarkStart w:id="672" w:name="_Toc325554270"/>
      <w:r>
        <w:rPr>
          <w:rStyle w:val="CharSectno"/>
        </w:rPr>
        <w:t>27A</w:t>
      </w:r>
      <w:r>
        <w:rPr>
          <w:snapToGrid w:val="0"/>
        </w:rPr>
        <w:t xml:space="preserve">. </w:t>
      </w:r>
      <w:r>
        <w:rPr>
          <w:snapToGrid w:val="0"/>
        </w:rPr>
        <w:tab/>
        <w:t xml:space="preserve">Analysis at request of </w:t>
      </w:r>
      <w:bookmarkEnd w:id="666"/>
      <w:bookmarkEnd w:id="667"/>
      <w:bookmarkEnd w:id="668"/>
      <w:bookmarkEnd w:id="669"/>
      <w:r>
        <w:rPr>
          <w:snapToGrid w:val="0"/>
        </w:rPr>
        <w:t>accused</w:t>
      </w:r>
      <w:bookmarkEnd w:id="670"/>
      <w:bookmarkEnd w:id="671"/>
      <w:bookmarkEnd w:id="672"/>
    </w:p>
    <w:p>
      <w:pPr>
        <w:pStyle w:val="Subsection"/>
        <w:rPr>
          <w:snapToGrid w:val="0"/>
        </w:rPr>
      </w:pPr>
      <w:r>
        <w:rPr>
          <w:snapToGrid w:val="0"/>
        </w:rPr>
        <w:tab/>
        <w:t>(1)</w:t>
      </w:r>
      <w:r>
        <w:rPr>
          <w:snapToGrid w:val="0"/>
        </w:rPr>
        <w:tab/>
        <w:t>If a direction is given under section 27(2) for the destruction of any thing, any person charged with an offence in relation to the thing may apply to have a sample of the thing analysed or examined by an analyst or botanist chosen by the person.</w:t>
      </w:r>
    </w:p>
    <w:p>
      <w:pPr>
        <w:pStyle w:val="Subsection"/>
        <w:rPr>
          <w:snapToGrid w:val="0"/>
        </w:rPr>
      </w:pPr>
      <w:r>
        <w:rPr>
          <w:snapToGrid w:val="0"/>
        </w:rPr>
        <w:tab/>
        <w:t>(2)</w:t>
      </w:r>
      <w:r>
        <w:rPr>
          <w:snapToGrid w:val="0"/>
        </w:rPr>
        <w:tab/>
        <w:t>An application shall be made to the Commissioner or a prescribed person within the prescribed period.</w:t>
      </w:r>
    </w:p>
    <w:p>
      <w:pPr>
        <w:pStyle w:val="Subsection"/>
        <w:rPr>
          <w:snapToGrid w:val="0"/>
        </w:rPr>
      </w:pPr>
      <w:r>
        <w:rPr>
          <w:snapToGrid w:val="0"/>
        </w:rPr>
        <w:tab/>
        <w:t>(3)</w:t>
      </w:r>
      <w:r>
        <w:rPr>
          <w:snapToGrid w:val="0"/>
        </w:rPr>
        <w:tab/>
        <w:t>The application shall be in writing in the prescribed form and shall specify the analyst or botanist who is to carry out the examination or analysis.</w:t>
      </w:r>
    </w:p>
    <w:p>
      <w:pPr>
        <w:pStyle w:val="Subsection"/>
        <w:rPr>
          <w:snapToGrid w:val="0"/>
        </w:rPr>
      </w:pPr>
      <w:r>
        <w:rPr>
          <w:snapToGrid w:val="0"/>
        </w:rPr>
        <w:tab/>
        <w:t>(4)</w:t>
      </w:r>
      <w:r>
        <w:rPr>
          <w:snapToGrid w:val="0"/>
        </w:rPr>
        <w:tab/>
        <w:t>The analyst or botanist specified shall not be an approved analyst or an approved botanist.</w:t>
      </w:r>
    </w:p>
    <w:p>
      <w:pPr>
        <w:pStyle w:val="Subsection"/>
        <w:rPr>
          <w:snapToGrid w:val="0"/>
        </w:rPr>
      </w:pPr>
      <w:r>
        <w:rPr>
          <w:snapToGrid w:val="0"/>
        </w:rPr>
        <w:tab/>
        <w:t>(5)</w:t>
      </w:r>
      <w:r>
        <w:rPr>
          <w:snapToGrid w:val="0"/>
        </w:rPr>
        <w:tab/>
        <w:t>The specified analyst or botanist may, within 21 days after the application is made, analyse or examine a sample of the thing.</w:t>
      </w:r>
    </w:p>
    <w:p>
      <w:pPr>
        <w:pStyle w:val="Subsection"/>
        <w:rPr>
          <w:snapToGrid w:val="0"/>
        </w:rPr>
      </w:pPr>
      <w:r>
        <w:rPr>
          <w:snapToGrid w:val="0"/>
        </w:rPr>
        <w:tab/>
        <w:t>(6)</w:t>
      </w:r>
      <w:r>
        <w:rPr>
          <w:snapToGrid w:val="0"/>
        </w:rPr>
        <w:tab/>
        <w:t>This section applies whether or not the thing the subject of the direction has been destroyed.</w:t>
      </w:r>
    </w:p>
    <w:p>
      <w:pPr>
        <w:pStyle w:val="Subsection"/>
        <w:keepNext/>
        <w:keepLines/>
        <w:rPr>
          <w:snapToGrid w:val="0"/>
        </w:rPr>
      </w:pPr>
      <w:r>
        <w:rPr>
          <w:snapToGrid w:val="0"/>
        </w:rPr>
        <w:tab/>
        <w:t>(7)</w:t>
      </w:r>
      <w:r>
        <w:rPr>
          <w:snapToGrid w:val="0"/>
        </w:rPr>
        <w:tab/>
        <w:t>In this section — </w:t>
      </w:r>
    </w:p>
    <w:p>
      <w:pPr>
        <w:pStyle w:val="Defstart"/>
        <w:keepNext/>
        <w:keepLines/>
      </w:pPr>
      <w:r>
        <w:rPr>
          <w:b/>
        </w:rPr>
        <w:tab/>
      </w:r>
      <w:r>
        <w:rPr>
          <w:rStyle w:val="CharDefText"/>
        </w:rPr>
        <w:t>specified</w:t>
      </w:r>
      <w:r>
        <w:t xml:space="preserve"> means specified in the application.</w:t>
      </w:r>
    </w:p>
    <w:p>
      <w:pPr>
        <w:pStyle w:val="Footnotesection"/>
      </w:pPr>
      <w:r>
        <w:tab/>
        <w:t>[Section 27A inserted by No. 44 of 1995 s. 9.]</w:t>
      </w:r>
    </w:p>
    <w:p>
      <w:pPr>
        <w:pStyle w:val="Heading5"/>
        <w:rPr>
          <w:snapToGrid w:val="0"/>
        </w:rPr>
      </w:pPr>
      <w:bookmarkStart w:id="673" w:name="_Toc503149555"/>
      <w:bookmarkStart w:id="674" w:name="_Toc534613850"/>
      <w:bookmarkStart w:id="675" w:name="_Toc535053889"/>
      <w:bookmarkStart w:id="676" w:name="_Toc109615262"/>
      <w:bookmarkStart w:id="677" w:name="_Toc215543748"/>
      <w:bookmarkStart w:id="678" w:name="_Toc336264333"/>
      <w:bookmarkStart w:id="679" w:name="_Toc325554271"/>
      <w:r>
        <w:rPr>
          <w:rStyle w:val="CharSectno"/>
        </w:rPr>
        <w:t>27B</w:t>
      </w:r>
      <w:r>
        <w:rPr>
          <w:snapToGrid w:val="0"/>
        </w:rPr>
        <w:t xml:space="preserve">. </w:t>
      </w:r>
      <w:r>
        <w:rPr>
          <w:snapToGrid w:val="0"/>
        </w:rPr>
        <w:tab/>
        <w:t>Confidentiality</w:t>
      </w:r>
      <w:bookmarkEnd w:id="673"/>
      <w:bookmarkEnd w:id="674"/>
      <w:bookmarkEnd w:id="675"/>
      <w:bookmarkEnd w:id="676"/>
      <w:bookmarkEnd w:id="677"/>
      <w:bookmarkEnd w:id="678"/>
      <w:bookmarkEnd w:id="679"/>
    </w:p>
    <w:p>
      <w:pPr>
        <w:pStyle w:val="Subsection"/>
        <w:rPr>
          <w:snapToGrid w:val="0"/>
        </w:rPr>
      </w:pPr>
      <w:r>
        <w:rPr>
          <w:snapToGrid w:val="0"/>
        </w:rPr>
        <w:tab/>
        <w:t>(1)</w:t>
      </w:r>
      <w:r>
        <w:rPr>
          <w:snapToGrid w:val="0"/>
        </w:rPr>
        <w:tab/>
        <w:t>In this section — </w:t>
      </w:r>
    </w:p>
    <w:p>
      <w:pPr>
        <w:pStyle w:val="Defstart"/>
      </w:pPr>
      <w:r>
        <w:rPr>
          <w:b/>
        </w:rPr>
        <w:tab/>
      </w:r>
      <w:r>
        <w:rPr>
          <w:rStyle w:val="CharDefText"/>
        </w:rPr>
        <w:t>confidential information</w:t>
      </w:r>
      <w:r>
        <w:t xml:space="preserve"> means information about — </w:t>
      </w:r>
    </w:p>
    <w:p>
      <w:pPr>
        <w:pStyle w:val="Defpara"/>
      </w:pPr>
      <w:r>
        <w:tab/>
        <w:t>(a)</w:t>
      </w:r>
      <w:r>
        <w:tab/>
        <w:t>the place, date or time at which, an analysis or examination referred to in section 27A is to be carried out; or</w:t>
      </w:r>
    </w:p>
    <w:p>
      <w:pPr>
        <w:pStyle w:val="Defpara"/>
      </w:pPr>
      <w:r>
        <w:tab/>
        <w:t>(b)</w:t>
      </w:r>
      <w:r>
        <w:tab/>
        <w:t>the place at which a sample is or was stored; or</w:t>
      </w:r>
    </w:p>
    <w:p>
      <w:pPr>
        <w:pStyle w:val="Defpara"/>
      </w:pPr>
      <w:r>
        <w:tab/>
        <w:t>(c)</w:t>
      </w:r>
      <w:r>
        <w:tab/>
        <w:t>the security or storage arrangements relating to the keeping of a sample.</w:t>
      </w:r>
    </w:p>
    <w:p>
      <w:pPr>
        <w:pStyle w:val="Subsection"/>
        <w:rPr>
          <w:snapToGrid w:val="0"/>
        </w:rPr>
      </w:pPr>
      <w:r>
        <w:rPr>
          <w:snapToGrid w:val="0"/>
        </w:rPr>
        <w:tab/>
        <w:t>(2)</w:t>
      </w:r>
      <w:r>
        <w:rPr>
          <w:snapToGrid w:val="0"/>
        </w:rPr>
        <w:tab/>
        <w:t>Except as provided in subsection (3), a person shall not divulge any confidential information obtained for the purposes of, or as a result of, the person carrying out an analysis or examination referred to in section 27A.</w:t>
      </w:r>
    </w:p>
    <w:p>
      <w:pPr>
        <w:pStyle w:val="Penstart"/>
        <w:rPr>
          <w:snapToGrid w:val="0"/>
        </w:rPr>
      </w:pPr>
      <w:r>
        <w:rPr>
          <w:snapToGrid w:val="0"/>
        </w:rPr>
        <w:tab/>
        <w:t>Penalty: $20 000 and imprisonment for 7 years.</w:t>
      </w:r>
    </w:p>
    <w:p>
      <w:pPr>
        <w:pStyle w:val="Subsection"/>
        <w:keepNext/>
        <w:rPr>
          <w:snapToGrid w:val="0"/>
        </w:rPr>
      </w:pPr>
      <w:r>
        <w:rPr>
          <w:snapToGrid w:val="0"/>
        </w:rPr>
        <w:tab/>
        <w:t>(3)</w:t>
      </w:r>
      <w:r>
        <w:rPr>
          <w:snapToGrid w:val="0"/>
        </w:rPr>
        <w:tab/>
        <w:t>Subsection (2) does not apply to the divulging of information —</w:t>
      </w:r>
    </w:p>
    <w:p>
      <w:pPr>
        <w:pStyle w:val="Indenta"/>
        <w:rPr>
          <w:snapToGrid w:val="0"/>
        </w:rPr>
      </w:pPr>
      <w:r>
        <w:rPr>
          <w:snapToGrid w:val="0"/>
        </w:rPr>
        <w:tab/>
        <w:t>(a)</w:t>
      </w:r>
      <w:r>
        <w:rPr>
          <w:snapToGrid w:val="0"/>
        </w:rPr>
        <w:tab/>
        <w:t>in the course of the performance of any function under this Act; or</w:t>
      </w:r>
    </w:p>
    <w:p>
      <w:pPr>
        <w:pStyle w:val="Indenta"/>
        <w:rPr>
          <w:snapToGrid w:val="0"/>
        </w:rPr>
      </w:pPr>
      <w:r>
        <w:rPr>
          <w:snapToGrid w:val="0"/>
        </w:rPr>
        <w:tab/>
        <w:t>(b)</w:t>
      </w:r>
      <w:r>
        <w:rPr>
          <w:snapToGrid w:val="0"/>
        </w:rPr>
        <w:tab/>
        <w:t>for the purposes of the investigation of any suspected offence; or</w:t>
      </w:r>
    </w:p>
    <w:p>
      <w:pPr>
        <w:pStyle w:val="Indenta"/>
        <w:keepNext/>
        <w:rPr>
          <w:snapToGrid w:val="0"/>
        </w:rPr>
      </w:pPr>
      <w:r>
        <w:rPr>
          <w:snapToGrid w:val="0"/>
        </w:rPr>
        <w:tab/>
        <w:t>(c)</w:t>
      </w:r>
      <w:r>
        <w:rPr>
          <w:snapToGrid w:val="0"/>
        </w:rPr>
        <w:tab/>
        <w:t>in the course of the conduct of proceedings against any person for an offence.</w:t>
      </w:r>
    </w:p>
    <w:p>
      <w:pPr>
        <w:pStyle w:val="Footnotesection"/>
        <w:ind w:left="890" w:hanging="890"/>
      </w:pPr>
      <w:r>
        <w:tab/>
        <w:t>[Section 27B inserted by No. 44 of 1995 s. 9.]</w:t>
      </w:r>
    </w:p>
    <w:p>
      <w:pPr>
        <w:pStyle w:val="Heading5"/>
      </w:pPr>
      <w:bookmarkStart w:id="680" w:name="_Toc297816145"/>
      <w:bookmarkStart w:id="681" w:name="_Toc336264334"/>
      <w:bookmarkStart w:id="682" w:name="_Toc325554272"/>
      <w:bookmarkStart w:id="683" w:name="_Toc503149556"/>
      <w:bookmarkStart w:id="684" w:name="_Toc534613851"/>
      <w:bookmarkStart w:id="685" w:name="_Toc535053890"/>
      <w:bookmarkStart w:id="686" w:name="_Toc109615263"/>
      <w:bookmarkStart w:id="687" w:name="_Toc215543749"/>
      <w:r>
        <w:rPr>
          <w:rStyle w:val="CharSectno"/>
        </w:rPr>
        <w:t>28</w:t>
      </w:r>
      <w:r>
        <w:t>.</w:t>
      </w:r>
      <w:r>
        <w:tab/>
        <w:t>Compensation for destroyed seized property</w:t>
      </w:r>
      <w:bookmarkEnd w:id="680"/>
      <w:bookmarkEnd w:id="681"/>
      <w:bookmarkEnd w:id="682"/>
    </w:p>
    <w:p>
      <w:pPr>
        <w:pStyle w:val="Subsection"/>
      </w:pPr>
      <w:r>
        <w:tab/>
        <w:t>(1)</w:t>
      </w:r>
      <w:r>
        <w:tab/>
        <w:t xml:space="preserve">In this section — </w:t>
      </w:r>
    </w:p>
    <w:p>
      <w:pPr>
        <w:pStyle w:val="Defstart"/>
      </w:pPr>
      <w:r>
        <w:rPr>
          <w:b/>
        </w:rPr>
        <w:tab/>
      </w:r>
      <w:r>
        <w:rPr>
          <w:rStyle w:val="CharDefText"/>
        </w:rPr>
        <w:t>seized property</w:t>
      </w:r>
      <w:r>
        <w:t xml:space="preserve"> means a dangerous substance, or a thing contaminated with a dangerous substance, seized under section 26.</w:t>
      </w:r>
    </w:p>
    <w:p>
      <w:pPr>
        <w:pStyle w:val="Subsection"/>
        <w:spacing w:before="120"/>
      </w:pPr>
      <w:r>
        <w:tab/>
        <w:t>(2)</w:t>
      </w:r>
      <w:r>
        <w:tab/>
        <w:t>This section does not apply to or in respect of any seized property that has been forfeited to the Crown.</w:t>
      </w:r>
    </w:p>
    <w:p>
      <w:pPr>
        <w:pStyle w:val="Subsection"/>
        <w:spacing w:before="120"/>
      </w:pPr>
      <w:r>
        <w:tab/>
        <w:t>(3)</w:t>
      </w:r>
      <w:r>
        <w:tab/>
        <w:t xml:space="preserve">If any seized property is destroyed — </w:t>
      </w:r>
    </w:p>
    <w:p>
      <w:pPr>
        <w:pStyle w:val="Indenta"/>
      </w:pPr>
      <w:r>
        <w:tab/>
        <w:t>(a)</w:t>
      </w:r>
      <w:r>
        <w:tab/>
        <w:t>under section 27(1)(a)(i); or</w:t>
      </w:r>
    </w:p>
    <w:p>
      <w:pPr>
        <w:pStyle w:val="Indenta"/>
      </w:pPr>
      <w:r>
        <w:tab/>
        <w:t>(b)</w:t>
      </w:r>
      <w:r>
        <w:tab/>
        <w:t>under an order made under section 27(1)(b),</w:t>
      </w:r>
    </w:p>
    <w:p>
      <w:pPr>
        <w:pStyle w:val="Subsection"/>
        <w:spacing w:before="120"/>
      </w:pPr>
      <w:r>
        <w:tab/>
      </w:r>
      <w:r>
        <w:tab/>
        <w:t>a person who was entitled to possession of it when it was seized is entitled to recover from the State (if necessary, by action in a court of competent jurisdiction) compensation equal to its market value at the time it was seized.</w:t>
      </w:r>
    </w:p>
    <w:p>
      <w:pPr>
        <w:pStyle w:val="Subsection"/>
        <w:keepNext/>
        <w:spacing w:before="120"/>
      </w:pPr>
      <w:r>
        <w:tab/>
        <w:t>(4)</w:t>
      </w:r>
      <w:r>
        <w:tab/>
        <w:t>If under section 27(4) any seized property is destroyed and —</w:t>
      </w:r>
    </w:p>
    <w:p>
      <w:pPr>
        <w:pStyle w:val="Indenta"/>
      </w:pPr>
      <w:r>
        <w:tab/>
        <w:t>(a)</w:t>
      </w:r>
      <w:r>
        <w:tab/>
        <w:t>in the 12 months after the date on which the property was seized no person is charged with an offence that involved the possession, use, sale or supply of it; or</w:t>
      </w:r>
    </w:p>
    <w:p>
      <w:pPr>
        <w:pStyle w:val="Indenta"/>
      </w:pPr>
      <w:r>
        <w:tab/>
        <w:t>(b)</w:t>
      </w:r>
      <w:r>
        <w:tab/>
        <w:t>a person is charged with such an offence but is acquitted, whether at trial or on appeal, and any appeal against the acquittal is concluded,</w:t>
      </w:r>
    </w:p>
    <w:p>
      <w:pPr>
        <w:pStyle w:val="Subsection"/>
        <w:spacing w:before="120"/>
      </w:pPr>
      <w:r>
        <w:tab/>
      </w:r>
      <w:r>
        <w:tab/>
        <w:t>any person who was entitled to possession of the property when it was seized is entitled to recover from the State (if necessary, by action in a court of competent jurisdiction) compensation equal to its market value at the time it was seized.</w:t>
      </w:r>
    </w:p>
    <w:p>
      <w:pPr>
        <w:pStyle w:val="Footnotesection"/>
        <w:spacing w:before="100"/>
        <w:ind w:left="890" w:hanging="890"/>
      </w:pPr>
      <w:r>
        <w:tab/>
        <w:t>[Section 28 inserted by No. 44 of 2010 s. 8.]</w:t>
      </w:r>
    </w:p>
    <w:p>
      <w:pPr>
        <w:pStyle w:val="Heading5"/>
        <w:rPr>
          <w:snapToGrid w:val="0"/>
        </w:rPr>
      </w:pPr>
      <w:bookmarkStart w:id="688" w:name="_Toc503149557"/>
      <w:bookmarkStart w:id="689" w:name="_Toc534613852"/>
      <w:bookmarkStart w:id="690" w:name="_Toc535053891"/>
      <w:bookmarkStart w:id="691" w:name="_Toc109615264"/>
      <w:bookmarkStart w:id="692" w:name="_Toc215543750"/>
      <w:bookmarkStart w:id="693" w:name="_Toc336264335"/>
      <w:bookmarkStart w:id="694" w:name="_Toc325554273"/>
      <w:bookmarkEnd w:id="683"/>
      <w:bookmarkEnd w:id="684"/>
      <w:bookmarkEnd w:id="685"/>
      <w:bookmarkEnd w:id="686"/>
      <w:bookmarkEnd w:id="687"/>
      <w:r>
        <w:rPr>
          <w:rStyle w:val="CharSectno"/>
        </w:rPr>
        <w:t>29</w:t>
      </w:r>
      <w:r>
        <w:rPr>
          <w:snapToGrid w:val="0"/>
        </w:rPr>
        <w:t>.</w:t>
      </w:r>
      <w:r>
        <w:rPr>
          <w:snapToGrid w:val="0"/>
        </w:rPr>
        <w:tab/>
        <w:t>Hindering police officers and approved persons in exercise of powers conferred by or under this Part</w:t>
      </w:r>
      <w:bookmarkEnd w:id="688"/>
      <w:bookmarkEnd w:id="689"/>
      <w:bookmarkEnd w:id="690"/>
      <w:bookmarkEnd w:id="691"/>
      <w:bookmarkEnd w:id="692"/>
      <w:bookmarkEnd w:id="693"/>
      <w:bookmarkEnd w:id="694"/>
    </w:p>
    <w:p>
      <w:pPr>
        <w:pStyle w:val="Subsection"/>
        <w:spacing w:before="120"/>
        <w:rPr>
          <w:snapToGrid w:val="0"/>
        </w:rPr>
      </w:pPr>
      <w:r>
        <w:rPr>
          <w:snapToGrid w:val="0"/>
        </w:rPr>
        <w:tab/>
      </w:r>
      <w:r>
        <w:rPr>
          <w:snapToGrid w:val="0"/>
        </w:rPr>
        <w:tab/>
        <w:t>A person who wilfully — </w:t>
      </w:r>
    </w:p>
    <w:p>
      <w:pPr>
        <w:pStyle w:val="Indenta"/>
        <w:rPr>
          <w:snapToGrid w:val="0"/>
        </w:rPr>
      </w:pPr>
      <w:r>
        <w:rPr>
          <w:snapToGrid w:val="0"/>
        </w:rPr>
        <w:tab/>
        <w:t>(a)</w:t>
      </w:r>
      <w:r>
        <w:rPr>
          <w:snapToGrid w:val="0"/>
        </w:rPr>
        <w:tab/>
        <w:t>delays or obstructs a police officer or approved person acting in the exercise of the powers conferred on him by or under this Part or a person assisting a police officer or approved person so acting; or</w:t>
      </w:r>
    </w:p>
    <w:p>
      <w:pPr>
        <w:pStyle w:val="Indenta"/>
        <w:rPr>
          <w:snapToGrid w:val="0"/>
        </w:rPr>
      </w:pPr>
      <w:r>
        <w:rPr>
          <w:snapToGrid w:val="0"/>
        </w:rPr>
        <w:tab/>
        <w:t>(b)</w:t>
      </w:r>
      <w:r>
        <w:rPr>
          <w:snapToGrid w:val="0"/>
        </w:rPr>
        <w:tab/>
        <w:t>does not produce to, or conceals or attempts to conceal from, a police officer or approved person acting in the exercise of the powers conferred on him by or under this Part or a person assisting a police officer or approved person so acting any books, papers, documents or stocks referred to in section 22 or any thing referred to in section 23(1)(a), (b) or (c),</w:t>
      </w:r>
    </w:p>
    <w:p>
      <w:pPr>
        <w:pStyle w:val="Subsection"/>
        <w:spacing w:before="120"/>
        <w:rPr>
          <w:snapToGrid w:val="0"/>
        </w:rPr>
      </w:pPr>
      <w:r>
        <w:rPr>
          <w:snapToGrid w:val="0"/>
        </w:rPr>
        <w:tab/>
      </w:r>
      <w:r>
        <w:rPr>
          <w:snapToGrid w:val="0"/>
        </w:rPr>
        <w:tab/>
        <w:t>commits a simple offence.</w:t>
      </w:r>
    </w:p>
    <w:p>
      <w:pPr>
        <w:pStyle w:val="Footnotesection"/>
        <w:spacing w:before="100"/>
        <w:ind w:left="890" w:hanging="890"/>
      </w:pPr>
      <w:r>
        <w:tab/>
        <w:t>[Section 29 amended by No. 50 of 1990 s. 7.]</w:t>
      </w:r>
    </w:p>
    <w:p>
      <w:pPr>
        <w:pStyle w:val="Heading5"/>
        <w:keepNext w:val="0"/>
        <w:keepLines w:val="0"/>
        <w:rPr>
          <w:snapToGrid w:val="0"/>
        </w:rPr>
      </w:pPr>
      <w:bookmarkStart w:id="695" w:name="_Toc503149558"/>
      <w:bookmarkStart w:id="696" w:name="_Toc534613853"/>
      <w:bookmarkStart w:id="697" w:name="_Toc535053892"/>
      <w:bookmarkStart w:id="698" w:name="_Toc109615265"/>
      <w:bookmarkStart w:id="699" w:name="_Toc215543751"/>
      <w:bookmarkStart w:id="700" w:name="_Toc336264336"/>
      <w:bookmarkStart w:id="701" w:name="_Toc325554274"/>
      <w:r>
        <w:rPr>
          <w:rStyle w:val="CharSectno"/>
        </w:rPr>
        <w:t>30</w:t>
      </w:r>
      <w:r>
        <w:rPr>
          <w:snapToGrid w:val="0"/>
        </w:rPr>
        <w:t>.</w:t>
      </w:r>
      <w:r>
        <w:rPr>
          <w:snapToGrid w:val="0"/>
        </w:rPr>
        <w:tab/>
        <w:t>Approved persons</w:t>
      </w:r>
      <w:bookmarkEnd w:id="695"/>
      <w:bookmarkEnd w:id="696"/>
      <w:bookmarkEnd w:id="697"/>
      <w:bookmarkEnd w:id="698"/>
      <w:bookmarkEnd w:id="699"/>
      <w:bookmarkEnd w:id="700"/>
      <w:bookmarkEnd w:id="701"/>
    </w:p>
    <w:p>
      <w:pPr>
        <w:pStyle w:val="Subsection"/>
        <w:spacing w:before="100"/>
        <w:rPr>
          <w:snapToGrid w:val="0"/>
        </w:rPr>
      </w:pPr>
      <w:r>
        <w:rPr>
          <w:snapToGrid w:val="0"/>
        </w:rPr>
        <w:tab/>
      </w:r>
      <w:r>
        <w:rPr>
          <w:snapToGrid w:val="0"/>
        </w:rPr>
        <w:tab/>
        <w:t xml:space="preserve">The Minister may for the purposes of this Part approve a person, or class of persons, by notice published in the </w:t>
      </w:r>
      <w:r>
        <w:rPr>
          <w:i/>
          <w:snapToGrid w:val="0"/>
        </w:rPr>
        <w:t>Gazette</w:t>
      </w:r>
      <w:r>
        <w:rPr>
          <w:snapToGrid w:val="0"/>
        </w:rPr>
        <w:t xml:space="preserve"> and may by notice published in the </w:t>
      </w:r>
      <w:r>
        <w:rPr>
          <w:i/>
          <w:snapToGrid w:val="0"/>
        </w:rPr>
        <w:t>Gazette</w:t>
      </w:r>
      <w:r>
        <w:rPr>
          <w:snapToGrid w:val="0"/>
        </w:rPr>
        <w:t xml:space="preserve"> revoke that approval.</w:t>
      </w:r>
    </w:p>
    <w:p>
      <w:pPr>
        <w:pStyle w:val="Heading2"/>
      </w:pPr>
      <w:bookmarkStart w:id="702" w:name="_Toc72912358"/>
      <w:bookmarkStart w:id="703" w:name="_Toc89162885"/>
      <w:bookmarkStart w:id="704" w:name="_Toc89571172"/>
      <w:bookmarkStart w:id="705" w:name="_Toc90092340"/>
      <w:bookmarkStart w:id="706" w:name="_Toc92603621"/>
      <w:bookmarkStart w:id="707" w:name="_Toc92797805"/>
      <w:bookmarkStart w:id="708" w:name="_Toc97018107"/>
      <w:bookmarkStart w:id="709" w:name="_Toc102387662"/>
      <w:bookmarkStart w:id="710" w:name="_Toc102905293"/>
      <w:bookmarkStart w:id="711" w:name="_Toc105219536"/>
      <w:bookmarkStart w:id="712" w:name="_Toc105220440"/>
      <w:bookmarkStart w:id="713" w:name="_Toc105220508"/>
      <w:bookmarkStart w:id="714" w:name="_Toc105909952"/>
      <w:bookmarkStart w:id="715" w:name="_Toc105910867"/>
      <w:bookmarkStart w:id="716" w:name="_Toc106600711"/>
      <w:bookmarkStart w:id="717" w:name="_Toc106601009"/>
      <w:bookmarkStart w:id="718" w:name="_Toc109615266"/>
      <w:bookmarkStart w:id="719" w:name="_Toc139344560"/>
      <w:bookmarkStart w:id="720" w:name="_Toc139699324"/>
      <w:bookmarkStart w:id="721" w:name="_Toc147051357"/>
      <w:bookmarkStart w:id="722" w:name="_Toc147118812"/>
      <w:bookmarkStart w:id="723" w:name="_Toc148236133"/>
      <w:bookmarkStart w:id="724" w:name="_Toc158705007"/>
      <w:bookmarkStart w:id="725" w:name="_Toc165369967"/>
      <w:bookmarkStart w:id="726" w:name="_Toc177873309"/>
      <w:bookmarkStart w:id="727" w:name="_Toc177873434"/>
      <w:bookmarkStart w:id="728" w:name="_Toc184707391"/>
      <w:bookmarkStart w:id="729" w:name="_Toc189464722"/>
      <w:bookmarkStart w:id="730" w:name="_Toc190249286"/>
      <w:bookmarkStart w:id="731" w:name="_Toc191703180"/>
      <w:bookmarkStart w:id="732" w:name="_Toc193692097"/>
      <w:bookmarkStart w:id="733" w:name="_Toc199817279"/>
      <w:bookmarkStart w:id="734" w:name="_Toc215543752"/>
      <w:bookmarkStart w:id="735" w:name="_Toc215544012"/>
      <w:bookmarkStart w:id="736" w:name="_Toc248029049"/>
      <w:bookmarkStart w:id="737" w:name="_Toc256085098"/>
      <w:bookmarkStart w:id="738" w:name="_Toc256092163"/>
      <w:bookmarkStart w:id="739" w:name="_Toc268600349"/>
      <w:bookmarkStart w:id="740" w:name="_Toc272237478"/>
      <w:bookmarkStart w:id="741" w:name="_Toc275253557"/>
      <w:bookmarkStart w:id="742" w:name="_Toc283287482"/>
      <w:bookmarkStart w:id="743" w:name="_Toc290558468"/>
      <w:bookmarkStart w:id="744" w:name="_Toc290558544"/>
      <w:bookmarkStart w:id="745" w:name="_Toc291764683"/>
      <w:bookmarkStart w:id="746" w:name="_Toc291768255"/>
      <w:bookmarkStart w:id="747" w:name="_Toc297718756"/>
      <w:bookmarkStart w:id="748" w:name="_Toc297904489"/>
      <w:bookmarkStart w:id="749" w:name="_Toc297904563"/>
      <w:bookmarkStart w:id="750" w:name="_Toc299717011"/>
      <w:bookmarkStart w:id="751" w:name="_Toc299717508"/>
      <w:bookmarkStart w:id="752" w:name="_Toc301268135"/>
      <w:bookmarkStart w:id="753" w:name="_Toc301345305"/>
      <w:bookmarkStart w:id="754" w:name="_Toc303929298"/>
      <w:bookmarkStart w:id="755" w:name="_Toc306013914"/>
      <w:bookmarkStart w:id="756" w:name="_Toc306014012"/>
      <w:bookmarkStart w:id="757" w:name="_Toc306018448"/>
      <w:bookmarkStart w:id="758" w:name="_Toc309727422"/>
      <w:bookmarkStart w:id="759" w:name="_Toc309730143"/>
      <w:bookmarkStart w:id="760" w:name="_Toc320107665"/>
      <w:bookmarkStart w:id="761" w:name="_Toc320108295"/>
      <w:bookmarkStart w:id="762" w:name="_Toc320187245"/>
      <w:bookmarkStart w:id="763" w:name="_Toc322004307"/>
      <w:bookmarkStart w:id="764" w:name="_Toc322006243"/>
      <w:bookmarkStart w:id="765" w:name="_Toc325551441"/>
      <w:bookmarkStart w:id="766" w:name="_Toc325553607"/>
      <w:bookmarkStart w:id="767" w:name="_Toc325553706"/>
      <w:bookmarkStart w:id="768" w:name="_Toc325553805"/>
      <w:bookmarkStart w:id="769" w:name="_Toc325554275"/>
      <w:bookmarkStart w:id="770" w:name="_Toc336264337"/>
      <w:r>
        <w:rPr>
          <w:rStyle w:val="CharPartNo"/>
        </w:rPr>
        <w:t>Part VI</w:t>
      </w:r>
      <w:r>
        <w:rPr>
          <w:rStyle w:val="CharDivNo"/>
        </w:rPr>
        <w:t> </w:t>
      </w:r>
      <w:r>
        <w:t>—</w:t>
      </w:r>
      <w:r>
        <w:rPr>
          <w:rStyle w:val="CharDivText"/>
        </w:rPr>
        <w:t> </w:t>
      </w:r>
      <w:r>
        <w:rPr>
          <w:rStyle w:val="CharPartText"/>
        </w:rPr>
        <w:t>General</w:t>
      </w:r>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p>
    <w:p>
      <w:pPr>
        <w:pStyle w:val="Heading5"/>
        <w:rPr>
          <w:snapToGrid w:val="0"/>
        </w:rPr>
      </w:pPr>
      <w:bookmarkStart w:id="771" w:name="_Toc503149559"/>
      <w:bookmarkStart w:id="772" w:name="_Toc534613854"/>
      <w:bookmarkStart w:id="773" w:name="_Toc535053893"/>
      <w:bookmarkStart w:id="774" w:name="_Toc109615267"/>
      <w:bookmarkStart w:id="775" w:name="_Toc215543753"/>
      <w:bookmarkStart w:id="776" w:name="_Toc336264338"/>
      <w:bookmarkStart w:id="777" w:name="_Toc325554276"/>
      <w:r>
        <w:rPr>
          <w:rStyle w:val="CharSectno"/>
        </w:rPr>
        <w:t>31</w:t>
      </w:r>
      <w:r>
        <w:rPr>
          <w:snapToGrid w:val="0"/>
        </w:rPr>
        <w:t>.</w:t>
      </w:r>
      <w:r>
        <w:rPr>
          <w:snapToGrid w:val="0"/>
        </w:rPr>
        <w:tab/>
        <w:t>Undercover officers</w:t>
      </w:r>
      <w:bookmarkEnd w:id="771"/>
      <w:bookmarkEnd w:id="772"/>
      <w:bookmarkEnd w:id="773"/>
      <w:bookmarkEnd w:id="774"/>
      <w:bookmarkEnd w:id="775"/>
      <w:bookmarkEnd w:id="776"/>
      <w:bookmarkEnd w:id="777"/>
    </w:p>
    <w:p>
      <w:pPr>
        <w:pStyle w:val="Subsection"/>
        <w:rPr>
          <w:snapToGrid w:val="0"/>
        </w:rPr>
      </w:pPr>
      <w:r>
        <w:rPr>
          <w:snapToGrid w:val="0"/>
        </w:rPr>
        <w:tab/>
        <w:t>(1)</w:t>
      </w:r>
      <w:r>
        <w:rPr>
          <w:snapToGrid w:val="0"/>
        </w:rPr>
        <w:tab/>
        <w:t>The Commissioner may authorise in writing a person to act as an undercover officer and may in writing revoke that authority.</w:t>
      </w:r>
    </w:p>
    <w:p>
      <w:pPr>
        <w:pStyle w:val="Subsection"/>
        <w:rPr>
          <w:snapToGrid w:val="0"/>
        </w:rPr>
      </w:pPr>
      <w:r>
        <w:rPr>
          <w:snapToGrid w:val="0"/>
        </w:rPr>
        <w:tab/>
        <w:t>(2)</w:t>
      </w:r>
      <w:r>
        <w:rPr>
          <w:snapToGrid w:val="0"/>
        </w:rPr>
        <w:tab/>
        <w:t>An authorised person may, whilst acting as an undercover officer and subject to section 26(2) or to subsection (4), as the case requires, acquire and have in his possession a prohibited drug or prohibited plant for the purpose of detecting the commission of an offence.</w:t>
      </w:r>
    </w:p>
    <w:p>
      <w:pPr>
        <w:pStyle w:val="Subsection"/>
        <w:rPr>
          <w:snapToGrid w:val="0"/>
        </w:rPr>
      </w:pPr>
      <w:r>
        <w:rPr>
          <w:snapToGrid w:val="0"/>
        </w:rPr>
        <w:tab/>
        <w:t>(3)</w:t>
      </w:r>
      <w:r>
        <w:rPr>
          <w:snapToGrid w:val="0"/>
        </w:rPr>
        <w:tab/>
        <w:t>An authorised person who exercises the power conferred on him by subsection (2) is not an accomplice in respect of, and does not commit, any offence detected by that exercise and his evidence in any proceedings against another person for that offence is not the evidence of an accomplice.</w:t>
      </w:r>
    </w:p>
    <w:p>
      <w:pPr>
        <w:pStyle w:val="Subsection"/>
        <w:rPr>
          <w:snapToGrid w:val="0"/>
        </w:rPr>
      </w:pPr>
      <w:r>
        <w:rPr>
          <w:snapToGrid w:val="0"/>
        </w:rPr>
        <w:tab/>
        <w:t>(4)</w:t>
      </w:r>
      <w:r>
        <w:rPr>
          <w:snapToGrid w:val="0"/>
        </w:rPr>
        <w:tab/>
        <w:t>An authorised person who — </w:t>
      </w:r>
    </w:p>
    <w:p>
      <w:pPr>
        <w:pStyle w:val="Indenta"/>
        <w:rPr>
          <w:snapToGrid w:val="0"/>
        </w:rPr>
      </w:pPr>
      <w:r>
        <w:rPr>
          <w:snapToGrid w:val="0"/>
        </w:rPr>
        <w:tab/>
        <w:t>(a)</w:t>
      </w:r>
      <w:r>
        <w:rPr>
          <w:snapToGrid w:val="0"/>
        </w:rPr>
        <w:tab/>
        <w:t>is not a police officer; and</w:t>
      </w:r>
    </w:p>
    <w:p>
      <w:pPr>
        <w:pStyle w:val="Indenta"/>
        <w:rPr>
          <w:snapToGrid w:val="0"/>
        </w:rPr>
      </w:pPr>
      <w:r>
        <w:rPr>
          <w:snapToGrid w:val="0"/>
        </w:rPr>
        <w:tab/>
        <w:t>(b)</w:t>
      </w:r>
      <w:r>
        <w:rPr>
          <w:snapToGrid w:val="0"/>
        </w:rPr>
        <w:tab/>
        <w:t>after having been warned under subsection (5), acquires a prohibited drug or prohibited plant whilst acting as an undercover officer for the purpose of detecting the commission of an offence and does not deliver the prohibited drug or prohibited plant to a police officer as soon as is reasonably practicable after that acquisition,</w:t>
      </w:r>
    </w:p>
    <w:p>
      <w:pPr>
        <w:pStyle w:val="Subsection"/>
        <w:rPr>
          <w:snapToGrid w:val="0"/>
        </w:rPr>
      </w:pPr>
      <w:r>
        <w:rPr>
          <w:snapToGrid w:val="0"/>
        </w:rPr>
        <w:tab/>
      </w:r>
      <w:r>
        <w:rPr>
          <w:snapToGrid w:val="0"/>
        </w:rPr>
        <w:tab/>
        <w:t>commits a simple offence.</w:t>
      </w:r>
    </w:p>
    <w:p>
      <w:pPr>
        <w:pStyle w:val="Subsection"/>
        <w:rPr>
          <w:snapToGrid w:val="0"/>
        </w:rPr>
      </w:pPr>
      <w:r>
        <w:rPr>
          <w:snapToGrid w:val="0"/>
        </w:rPr>
        <w:tab/>
        <w:t>(5)</w:t>
      </w:r>
      <w:r>
        <w:rPr>
          <w:snapToGrid w:val="0"/>
        </w:rPr>
        <w:tab/>
        <w:t>The Commissioner shall warn in writing an authorised person who is not a police officer that if, having acquired a prohibited drug or prohibited plant whilst acting as an undercover officer for the purpose of detecting the commission of an offence, that authorised person does not deliver the prohibited drug or prohibited plant to a police officer as soon as is reasonably practicable after that acquisition, that authorised person commits a simple offence under subsection (4).</w:t>
      </w:r>
    </w:p>
    <w:p>
      <w:pPr>
        <w:pStyle w:val="Subsection"/>
        <w:rPr>
          <w:snapToGrid w:val="0"/>
        </w:rPr>
      </w:pPr>
      <w:r>
        <w:rPr>
          <w:snapToGrid w:val="0"/>
        </w:rPr>
        <w:tab/>
        <w:t>(6)</w:t>
      </w:r>
      <w:r>
        <w:rPr>
          <w:snapToGrid w:val="0"/>
        </w:rPr>
        <w:tab/>
        <w:t>A certificate signed by the Commissioner and stating that the person named in that certificate was, at the time or during the period specified in that certificate, an authorised person acting as an undercover officer shall, for the purposes of this section, be sufficient evidence of that fact unless the contrary is proved.</w:t>
      </w:r>
    </w:p>
    <w:p>
      <w:pPr>
        <w:pStyle w:val="Subsection"/>
        <w:rPr>
          <w:snapToGrid w:val="0"/>
        </w:rPr>
      </w:pPr>
      <w:r>
        <w:rPr>
          <w:snapToGrid w:val="0"/>
        </w:rPr>
        <w:tab/>
        <w:t>(7)</w:t>
      </w:r>
      <w:r>
        <w:rPr>
          <w:snapToGrid w:val="0"/>
        </w:rPr>
        <w:tab/>
        <w:t>The Commissioner shall, whenever requested to do so by the Minister, furnish the Minister with a report in writing containing such particulars of the activities of authorised persons as the Minister requires.</w:t>
      </w:r>
    </w:p>
    <w:p>
      <w:pPr>
        <w:pStyle w:val="Subsection"/>
        <w:rPr>
          <w:snapToGrid w:val="0"/>
        </w:rPr>
      </w:pPr>
      <w:r>
        <w:rPr>
          <w:snapToGrid w:val="0"/>
        </w:rPr>
        <w:tab/>
        <w:t>(8)</w:t>
      </w:r>
      <w:r>
        <w:rPr>
          <w:snapToGrid w:val="0"/>
        </w:rPr>
        <w:tab/>
        <w:t>In this section — </w:t>
      </w:r>
    </w:p>
    <w:p>
      <w:pPr>
        <w:pStyle w:val="Defstart"/>
      </w:pPr>
      <w:r>
        <w:rPr>
          <w:b/>
        </w:rPr>
        <w:tab/>
      </w:r>
      <w:r>
        <w:rPr>
          <w:rStyle w:val="CharDefText"/>
        </w:rPr>
        <w:t>authorised person</w:t>
      </w:r>
      <w:r>
        <w:t xml:space="preserve"> means person authorised under subsection (1) to act as an undercover officer, which authority has not been revoked under that subsection;</w:t>
      </w:r>
    </w:p>
    <w:p>
      <w:pPr>
        <w:pStyle w:val="Defstart"/>
      </w:pPr>
      <w:r>
        <w:rPr>
          <w:b/>
        </w:rPr>
        <w:tab/>
      </w:r>
      <w:r>
        <w:rPr>
          <w:rStyle w:val="CharDefText"/>
        </w:rPr>
        <w:t>undercover officer</w:t>
      </w:r>
      <w:r>
        <w:t xml:space="preserve"> means person whose identity or purpose is for the time being concealed for the purpose of detecting the commission of an offence.</w:t>
      </w:r>
    </w:p>
    <w:p>
      <w:pPr>
        <w:pStyle w:val="Footnotesection"/>
        <w:ind w:left="890" w:hanging="890"/>
      </w:pPr>
      <w:r>
        <w:tab/>
        <w:t xml:space="preserve">[Section 31 amended by No. 44 of 1995 s. 11.] </w:t>
      </w:r>
    </w:p>
    <w:p>
      <w:pPr>
        <w:pStyle w:val="Heading5"/>
        <w:rPr>
          <w:snapToGrid w:val="0"/>
        </w:rPr>
      </w:pPr>
      <w:bookmarkStart w:id="778" w:name="_Toc503149560"/>
      <w:bookmarkStart w:id="779" w:name="_Toc534613855"/>
      <w:bookmarkStart w:id="780" w:name="_Toc535053894"/>
      <w:bookmarkStart w:id="781" w:name="_Toc109615268"/>
      <w:bookmarkStart w:id="782" w:name="_Toc215543754"/>
      <w:bookmarkStart w:id="783" w:name="_Toc336264339"/>
      <w:bookmarkStart w:id="784" w:name="_Toc325554277"/>
      <w:r>
        <w:rPr>
          <w:rStyle w:val="CharSectno"/>
        </w:rPr>
        <w:t>32</w:t>
      </w:r>
      <w:r>
        <w:rPr>
          <w:snapToGrid w:val="0"/>
        </w:rPr>
        <w:t>.</w:t>
      </w:r>
      <w:r>
        <w:rPr>
          <w:snapToGrid w:val="0"/>
        </w:rPr>
        <w:tab/>
        <w:t>No limitation</w:t>
      </w:r>
      <w:bookmarkEnd w:id="778"/>
      <w:bookmarkEnd w:id="779"/>
      <w:bookmarkEnd w:id="780"/>
      <w:bookmarkEnd w:id="781"/>
      <w:bookmarkEnd w:id="782"/>
      <w:bookmarkEnd w:id="783"/>
      <w:bookmarkEnd w:id="784"/>
    </w:p>
    <w:p>
      <w:pPr>
        <w:pStyle w:val="Subsection"/>
        <w:rPr>
          <w:snapToGrid w:val="0"/>
        </w:rPr>
      </w:pPr>
      <w:r>
        <w:rPr>
          <w:snapToGrid w:val="0"/>
        </w:rPr>
        <w:tab/>
      </w:r>
      <w:r>
        <w:rPr>
          <w:snapToGrid w:val="0"/>
        </w:rPr>
        <w:tab/>
        <w:t>A prosecution for an offence may be brought at any time.</w:t>
      </w:r>
    </w:p>
    <w:p>
      <w:pPr>
        <w:pStyle w:val="Heading5"/>
        <w:rPr>
          <w:snapToGrid w:val="0"/>
        </w:rPr>
      </w:pPr>
      <w:bookmarkStart w:id="785" w:name="_Toc503149561"/>
      <w:bookmarkStart w:id="786" w:name="_Toc534613856"/>
      <w:bookmarkStart w:id="787" w:name="_Toc535053895"/>
      <w:bookmarkStart w:id="788" w:name="_Toc109615269"/>
      <w:bookmarkStart w:id="789" w:name="_Toc215543755"/>
      <w:bookmarkStart w:id="790" w:name="_Toc336264340"/>
      <w:bookmarkStart w:id="791" w:name="_Toc325554278"/>
      <w:r>
        <w:rPr>
          <w:rStyle w:val="CharSectno"/>
        </w:rPr>
        <w:t>32A</w:t>
      </w:r>
      <w:r>
        <w:rPr>
          <w:snapToGrid w:val="0"/>
        </w:rPr>
        <w:t xml:space="preserve">. </w:t>
      </w:r>
      <w:r>
        <w:rPr>
          <w:snapToGrid w:val="0"/>
        </w:rPr>
        <w:tab/>
        <w:t>Drug trafficking</w:t>
      </w:r>
      <w:bookmarkEnd w:id="785"/>
      <w:bookmarkEnd w:id="786"/>
      <w:bookmarkEnd w:id="787"/>
      <w:bookmarkEnd w:id="788"/>
      <w:bookmarkEnd w:id="789"/>
      <w:bookmarkEnd w:id="790"/>
      <w:bookmarkEnd w:id="791"/>
    </w:p>
    <w:p>
      <w:pPr>
        <w:pStyle w:val="Subsection"/>
        <w:rPr>
          <w:snapToGrid w:val="0"/>
        </w:rPr>
      </w:pPr>
      <w:r>
        <w:rPr>
          <w:snapToGrid w:val="0"/>
        </w:rPr>
        <w:tab/>
        <w:t>(1)</w:t>
      </w:r>
      <w:r>
        <w:rPr>
          <w:snapToGrid w:val="0"/>
        </w:rPr>
        <w:tab/>
        <w:t>If a person is convicted of — </w:t>
      </w:r>
    </w:p>
    <w:p>
      <w:pPr>
        <w:pStyle w:val="Indenta"/>
        <w:rPr>
          <w:snapToGrid w:val="0"/>
        </w:rPr>
      </w:pPr>
      <w:r>
        <w:rPr>
          <w:snapToGrid w:val="0"/>
        </w:rPr>
        <w:tab/>
        <w:t>(a)</w:t>
      </w:r>
      <w:r>
        <w:rPr>
          <w:snapToGrid w:val="0"/>
        </w:rPr>
        <w:tab/>
        <w:t>a serious drug offence and has, during the period of 10 years ending on the day, or the first of the days, as the case requires, on which the serious drug offence was committed, been convicted of 2 or more — </w:t>
      </w:r>
    </w:p>
    <w:p>
      <w:pPr>
        <w:pStyle w:val="Indenti"/>
        <w:rPr>
          <w:snapToGrid w:val="0"/>
        </w:rPr>
      </w:pPr>
      <w:r>
        <w:rPr>
          <w:snapToGrid w:val="0"/>
        </w:rPr>
        <w:tab/>
        <w:t>(i)</w:t>
      </w:r>
      <w:r>
        <w:rPr>
          <w:snapToGrid w:val="0"/>
        </w:rPr>
        <w:tab/>
        <w:t>serious drug offences; or</w:t>
      </w:r>
    </w:p>
    <w:p>
      <w:pPr>
        <w:pStyle w:val="Indenti"/>
        <w:rPr>
          <w:snapToGrid w:val="0"/>
        </w:rPr>
      </w:pPr>
      <w:r>
        <w:rPr>
          <w:snapToGrid w:val="0"/>
        </w:rPr>
        <w:tab/>
        <w:t>(ii)</w:t>
      </w:r>
      <w:r>
        <w:rPr>
          <w:snapToGrid w:val="0"/>
        </w:rPr>
        <w:tab/>
        <w:t>external serious drug offences; or</w:t>
      </w:r>
    </w:p>
    <w:p>
      <w:pPr>
        <w:pStyle w:val="Indenti"/>
        <w:keepNext/>
        <w:keepLines/>
        <w:rPr>
          <w:snapToGrid w:val="0"/>
        </w:rPr>
      </w:pPr>
      <w:r>
        <w:rPr>
          <w:snapToGrid w:val="0"/>
        </w:rPr>
        <w:tab/>
        <w:t>(iii)</w:t>
      </w:r>
      <w:r>
        <w:rPr>
          <w:snapToGrid w:val="0"/>
        </w:rPr>
        <w:tab/>
        <w:t>offences, one or more of which are serious drug offences and one or more of which are external serious drug offences;</w:t>
      </w:r>
    </w:p>
    <w:p>
      <w:pPr>
        <w:pStyle w:val="Indenta"/>
        <w:keepNext/>
        <w:keepLines/>
        <w:rPr>
          <w:snapToGrid w:val="0"/>
        </w:rPr>
      </w:pPr>
      <w:r>
        <w:rPr>
          <w:snapToGrid w:val="0"/>
        </w:rPr>
        <w:tab/>
      </w:r>
      <w:r>
        <w:rPr>
          <w:snapToGrid w:val="0"/>
        </w:rPr>
        <w:tab/>
        <w:t>or</w:t>
      </w:r>
    </w:p>
    <w:p>
      <w:pPr>
        <w:pStyle w:val="Indenta"/>
        <w:rPr>
          <w:snapToGrid w:val="0"/>
        </w:rPr>
      </w:pPr>
      <w:r>
        <w:rPr>
          <w:snapToGrid w:val="0"/>
        </w:rPr>
        <w:tab/>
        <w:t>(b)</w:t>
      </w:r>
      <w:r>
        <w:rPr>
          <w:snapToGrid w:val="0"/>
        </w:rPr>
        <w:tab/>
        <w:t>a serious drug offence in respect of — </w:t>
      </w:r>
    </w:p>
    <w:p>
      <w:pPr>
        <w:pStyle w:val="Indenti"/>
        <w:rPr>
          <w:snapToGrid w:val="0"/>
        </w:rPr>
      </w:pPr>
      <w:r>
        <w:rPr>
          <w:snapToGrid w:val="0"/>
        </w:rPr>
        <w:tab/>
        <w:t>(i)</w:t>
      </w:r>
      <w:r>
        <w:rPr>
          <w:snapToGrid w:val="0"/>
        </w:rPr>
        <w:tab/>
        <w:t>a prohibited drug in a quantity which is not less than the quantity specified in Schedule VII in relation to the prohibited drug; or</w:t>
      </w:r>
    </w:p>
    <w:p>
      <w:pPr>
        <w:pStyle w:val="Indenti"/>
        <w:rPr>
          <w:snapToGrid w:val="0"/>
        </w:rPr>
      </w:pPr>
      <w:r>
        <w:rPr>
          <w:snapToGrid w:val="0"/>
        </w:rPr>
        <w:tab/>
        <w:t>(ii)</w:t>
      </w:r>
      <w:r>
        <w:rPr>
          <w:snapToGrid w:val="0"/>
        </w:rPr>
        <w:tab/>
        <w:t>prohibited plants in a number which is not less than the number specified in Schedule VIII in relation to the particular species or genus to which those prohibited plants belong,</w:t>
      </w:r>
    </w:p>
    <w:p>
      <w:pPr>
        <w:pStyle w:val="Subsection"/>
        <w:rPr>
          <w:snapToGrid w:val="0"/>
        </w:rPr>
      </w:pPr>
      <w:r>
        <w:rPr>
          <w:snapToGrid w:val="0"/>
        </w:rPr>
        <w:tab/>
      </w:r>
      <w:r>
        <w:rPr>
          <w:snapToGrid w:val="0"/>
        </w:rPr>
        <w:tab/>
        <w:t xml:space="preserve">the court convicting the person of the serious drug offence first referred to in paragraph (a), or the serious drug offence referred to in paragraph (b), as the case requires, shall on the application of </w:t>
      </w:r>
      <w:r>
        <w:t>the Director of Public Prosecutions or a police prosecutor</w:t>
      </w:r>
      <w:r>
        <w:rPr>
          <w:snapToGrid w:val="0"/>
        </w:rPr>
        <w:t xml:space="preserve"> declare the person to be a drug trafficker.</w:t>
      </w:r>
    </w:p>
    <w:p>
      <w:pPr>
        <w:pStyle w:val="Subsection"/>
        <w:rPr>
          <w:snapToGrid w:val="0"/>
        </w:rPr>
      </w:pPr>
      <w:r>
        <w:rPr>
          <w:snapToGrid w:val="0"/>
        </w:rPr>
        <w:tab/>
        <w:t>(2)</w:t>
      </w:r>
      <w:r>
        <w:rPr>
          <w:snapToGrid w:val="0"/>
        </w:rPr>
        <w:tab/>
        <w:t>An application for a declaration under subsection (1) may be made at the time of the conviction giving rise to that application or at any time within 6 months from the day of that conviction, and more than one such application may be made in respect of that conviction.</w:t>
      </w:r>
    </w:p>
    <w:p>
      <w:pPr>
        <w:pStyle w:val="Subsection"/>
        <w:rPr>
          <w:snapToGrid w:val="0"/>
        </w:rPr>
      </w:pPr>
      <w:r>
        <w:rPr>
          <w:snapToGrid w:val="0"/>
        </w:rPr>
        <w:tab/>
        <w:t>(3)</w:t>
      </w:r>
      <w:r>
        <w:rPr>
          <w:snapToGrid w:val="0"/>
        </w:rPr>
        <w:tab/>
        <w:t>In this section — </w:t>
      </w:r>
    </w:p>
    <w:p>
      <w:pPr>
        <w:pStyle w:val="Defstart"/>
      </w:pPr>
      <w:r>
        <w:rPr>
          <w:b/>
        </w:rPr>
        <w:tab/>
      </w:r>
      <w:r>
        <w:rPr>
          <w:rStyle w:val="CharDefText"/>
        </w:rPr>
        <w:t>external serious drug offence</w:t>
      </w:r>
      <w:r>
        <w:t xml:space="preserve"> means — </w:t>
      </w:r>
    </w:p>
    <w:p>
      <w:pPr>
        <w:pStyle w:val="Defpara"/>
      </w:pPr>
      <w:r>
        <w:tab/>
        <w:t>(a)</w:t>
      </w:r>
      <w:r>
        <w:tab/>
        <w:t>offence against a law of the Commonwealth, of another State, or of a Territory, which offence is prescribed to correspond to a crime under section 6(1), 7(1), 33(1)(a) or 33(2)(a); or</w:t>
      </w:r>
    </w:p>
    <w:p>
      <w:pPr>
        <w:pStyle w:val="Defpara"/>
      </w:pPr>
      <w:r>
        <w:tab/>
        <w:t>(b)</w:t>
      </w:r>
      <w:r>
        <w:tab/>
        <w:t>offence against —</w:t>
      </w:r>
    </w:p>
    <w:p>
      <w:pPr>
        <w:pStyle w:val="Defsubpara"/>
      </w:pPr>
      <w:r>
        <w:tab/>
        <w:t>(i)</w:t>
      </w:r>
      <w:r>
        <w:tab/>
        <w:t xml:space="preserve">the repealed section 233B of the </w:t>
      </w:r>
      <w:r>
        <w:rPr>
          <w:i/>
        </w:rPr>
        <w:t>Customs Act 1901</w:t>
      </w:r>
      <w:r>
        <w:t xml:space="preserve"> of the Commonwealth; or</w:t>
      </w:r>
    </w:p>
    <w:p>
      <w:pPr>
        <w:pStyle w:val="Defsubpara"/>
        <w:rPr>
          <w:b/>
        </w:rPr>
      </w:pPr>
      <w:r>
        <w:tab/>
        <w:t>(ii)</w:t>
      </w:r>
      <w:r>
        <w:tab/>
        <w:t>a law of the Commonwealth, which offence is prescribed to correspond to an offence against that repealed section;</w:t>
      </w:r>
    </w:p>
    <w:p>
      <w:pPr>
        <w:pStyle w:val="Defstart"/>
        <w:keepNext/>
      </w:pPr>
      <w:r>
        <w:rPr>
          <w:b/>
        </w:rPr>
        <w:tab/>
      </w:r>
      <w:r>
        <w:rPr>
          <w:rStyle w:val="CharDefText"/>
        </w:rPr>
        <w:t>serious drug offence</w:t>
      </w:r>
      <w:r>
        <w:t xml:space="preserve"> means a crime under section 6(1), 7(1), 33(1)(a) or 33(2)(a).</w:t>
      </w:r>
    </w:p>
    <w:p>
      <w:pPr>
        <w:pStyle w:val="Footnotesection"/>
      </w:pPr>
      <w:r>
        <w:tab/>
        <w:t>[Section 32A inserted by No. 50 of 1990 s. 4; amended by No. 69 of 2000 s. 5(2) and (3); No. 4 of 2004 s. 58; No. 62 of 2004 s. 7; No. 40 of 2006 s. 4.]</w:t>
      </w:r>
    </w:p>
    <w:p>
      <w:pPr>
        <w:pStyle w:val="Heading5"/>
        <w:rPr>
          <w:snapToGrid w:val="0"/>
        </w:rPr>
      </w:pPr>
      <w:bookmarkStart w:id="792" w:name="_Toc503149562"/>
      <w:bookmarkStart w:id="793" w:name="_Toc534613857"/>
      <w:bookmarkStart w:id="794" w:name="_Toc535053896"/>
      <w:bookmarkStart w:id="795" w:name="_Toc109615270"/>
      <w:bookmarkStart w:id="796" w:name="_Toc215543756"/>
      <w:bookmarkStart w:id="797" w:name="_Toc336264341"/>
      <w:bookmarkStart w:id="798" w:name="_Toc325554279"/>
      <w:r>
        <w:rPr>
          <w:rStyle w:val="CharSectno"/>
        </w:rPr>
        <w:t>33</w:t>
      </w:r>
      <w:r>
        <w:rPr>
          <w:snapToGrid w:val="0"/>
        </w:rPr>
        <w:t>.</w:t>
      </w:r>
      <w:r>
        <w:rPr>
          <w:snapToGrid w:val="0"/>
        </w:rPr>
        <w:tab/>
        <w:t>Attempts, conspiracies, incitements and accessories after the fact</w:t>
      </w:r>
      <w:bookmarkEnd w:id="792"/>
      <w:bookmarkEnd w:id="793"/>
      <w:bookmarkEnd w:id="794"/>
      <w:bookmarkEnd w:id="795"/>
      <w:bookmarkEnd w:id="796"/>
      <w:bookmarkEnd w:id="797"/>
      <w:bookmarkEnd w:id="798"/>
    </w:p>
    <w:p>
      <w:pPr>
        <w:pStyle w:val="Subsection"/>
      </w:pPr>
      <w:r>
        <w:tab/>
        <w:t>(1)</w:t>
      </w:r>
      <w:r>
        <w:tab/>
        <w:t xml:space="preserve">A person who attempts to commit an offence (the </w:t>
      </w:r>
      <w:r>
        <w:rPr>
          <w:rStyle w:val="CharDefText"/>
        </w:rPr>
        <w:t>principal offence</w:t>
      </w:r>
      <w:r>
        <w:t xml:space="preserve">) commits — </w:t>
      </w:r>
    </w:p>
    <w:p>
      <w:pPr>
        <w:pStyle w:val="Indenta"/>
      </w:pPr>
      <w:r>
        <w:tab/>
        <w:t>(a)</w:t>
      </w:r>
      <w:r>
        <w:tab/>
        <w:t>if the principal offence is a crime, the crime; or</w:t>
      </w:r>
    </w:p>
    <w:p>
      <w:pPr>
        <w:pStyle w:val="Indenta"/>
      </w:pPr>
      <w:r>
        <w:tab/>
        <w:t>(b)</w:t>
      </w:r>
      <w:r>
        <w:tab/>
        <w:t>if the principal offence is a simple offence, the simple offence,</w:t>
      </w:r>
    </w:p>
    <w:p>
      <w:pPr>
        <w:pStyle w:val="Subsection"/>
      </w:pPr>
      <w:r>
        <w:tab/>
      </w:r>
      <w:r>
        <w:tab/>
        <w:t>and is liable on conviction to the same penalty to which a person who commits the principal offence is liable.</w:t>
      </w:r>
    </w:p>
    <w:p>
      <w:pPr>
        <w:pStyle w:val="Subsection"/>
        <w:rPr>
          <w:snapToGrid w:val="0"/>
        </w:rPr>
      </w:pPr>
      <w:r>
        <w:rPr>
          <w:snapToGrid w:val="0"/>
        </w:rPr>
        <w:tab/>
        <w:t>(2)</w:t>
      </w:r>
      <w:r>
        <w:rPr>
          <w:snapToGrid w:val="0"/>
        </w:rPr>
        <w:tab/>
        <w:t xml:space="preserve">A person </w:t>
      </w:r>
      <w:r>
        <w:t>who</w:t>
      </w:r>
      <w:r>
        <w:rPr>
          <w:snapToGrid w:val="0"/>
        </w:rPr>
        <w:t xml:space="preserve"> conspires with another to commit an offence (in this subsection called</w:t>
      </w:r>
      <w:r>
        <w:t xml:space="preserve"> the</w:t>
      </w:r>
      <w:r>
        <w:rPr>
          <w:rStyle w:val="CharDefText"/>
        </w:rPr>
        <w:t xml:space="preserve"> principal offence</w:t>
      </w:r>
      <w:r>
        <w:rPr>
          <w:snapToGrid w:val="0"/>
        </w:rPr>
        <w:t>) commits — </w:t>
      </w:r>
    </w:p>
    <w:p>
      <w:pPr>
        <w:pStyle w:val="Indenta"/>
        <w:rPr>
          <w:snapToGrid w:val="0"/>
        </w:rPr>
      </w:pPr>
      <w:r>
        <w:rPr>
          <w:snapToGrid w:val="0"/>
        </w:rPr>
        <w:tab/>
        <w:t>(a)</w:t>
      </w:r>
      <w:r>
        <w:rPr>
          <w:snapToGrid w:val="0"/>
        </w:rPr>
        <w:tab/>
        <w:t>if the principal offence is a crime under section 6(1) or 7(1) the crime, but is liable on conviction to the penalty referred to in section 34(1)(b); or</w:t>
      </w:r>
    </w:p>
    <w:p>
      <w:pPr>
        <w:pStyle w:val="Indenta"/>
        <w:rPr>
          <w:snapToGrid w:val="0"/>
        </w:rPr>
      </w:pPr>
      <w:r>
        <w:rPr>
          <w:snapToGrid w:val="0"/>
        </w:rPr>
        <w:tab/>
        <w:t>(b)</w:t>
      </w:r>
      <w:r>
        <w:rPr>
          <w:snapToGrid w:val="0"/>
        </w:rPr>
        <w:tab/>
        <w:t>if the principal offence is a simple offence or a crime, other than a crime referred to in paragraph (a), the simple offence or that crime, as the case requires, and is liable on conviction to the same penalty to which a person who commits the principal offence is liable.</w:t>
      </w:r>
    </w:p>
    <w:p>
      <w:pPr>
        <w:pStyle w:val="Subsection"/>
      </w:pPr>
      <w:r>
        <w:tab/>
        <w:t>(3)</w:t>
      </w:r>
      <w:r>
        <w:tab/>
        <w:t xml:space="preserve">A person who incites another person to commit, or becomes an accessory after the fact to, an offence (the </w:t>
      </w:r>
      <w:r>
        <w:rPr>
          <w:rStyle w:val="CharDefText"/>
        </w:rPr>
        <w:t>principal offence</w:t>
      </w:r>
      <w:r>
        <w:t xml:space="preserve">) commits — </w:t>
      </w:r>
    </w:p>
    <w:p>
      <w:pPr>
        <w:pStyle w:val="Indenta"/>
      </w:pPr>
      <w:r>
        <w:tab/>
        <w:t>(a)</w:t>
      </w:r>
      <w:r>
        <w:tab/>
        <w:t>if the principal offence is a crime, the crime; or</w:t>
      </w:r>
    </w:p>
    <w:p>
      <w:pPr>
        <w:pStyle w:val="Indenta"/>
        <w:keepLines/>
      </w:pPr>
      <w:r>
        <w:tab/>
        <w:t>(b)</w:t>
      </w:r>
      <w:r>
        <w:tab/>
        <w:t>if the principal offence is a simple offence, the simple offence,</w:t>
      </w:r>
    </w:p>
    <w:p>
      <w:pPr>
        <w:pStyle w:val="Subsection"/>
        <w:keepLines/>
      </w:pPr>
      <w:r>
        <w:tab/>
      </w:r>
      <w:r>
        <w:tab/>
        <w:t xml:space="preserve">but is liable on conviction — </w:t>
      </w:r>
    </w:p>
    <w:p>
      <w:pPr>
        <w:pStyle w:val="Indenta"/>
      </w:pPr>
      <w:r>
        <w:tab/>
        <w:t>(c)</w:t>
      </w:r>
      <w:r>
        <w:tab/>
        <w:t>to a fine not exceeding half of the fine; and</w:t>
      </w:r>
    </w:p>
    <w:p>
      <w:pPr>
        <w:pStyle w:val="Indenta"/>
      </w:pPr>
      <w:r>
        <w:tab/>
        <w:t>(d)</w:t>
      </w:r>
      <w:r>
        <w:tab/>
        <w:t>to imprisonment for a term not exceeding half of the term,</w:t>
      </w:r>
    </w:p>
    <w:p>
      <w:pPr>
        <w:pStyle w:val="Subsection"/>
        <w:rPr>
          <w:snapToGrid w:val="0"/>
        </w:rPr>
      </w:pPr>
      <w:r>
        <w:tab/>
      </w:r>
      <w:r>
        <w:tab/>
        <w:t>to which a person who commits the principal offence is liable.</w:t>
      </w:r>
    </w:p>
    <w:p>
      <w:pPr>
        <w:pStyle w:val="Footnotesection"/>
        <w:ind w:left="890" w:hanging="890"/>
      </w:pPr>
      <w:r>
        <w:tab/>
        <w:t>[Section 33 amended by No. 4 of 2004 s. 58; No. 62 of 2004 s. 8.]</w:t>
      </w:r>
    </w:p>
    <w:p>
      <w:pPr>
        <w:pStyle w:val="Heading5"/>
        <w:keepNext w:val="0"/>
        <w:keepLines w:val="0"/>
        <w:rPr>
          <w:snapToGrid w:val="0"/>
        </w:rPr>
      </w:pPr>
      <w:bookmarkStart w:id="799" w:name="_Toc503149563"/>
      <w:bookmarkStart w:id="800" w:name="_Toc534613858"/>
      <w:bookmarkStart w:id="801" w:name="_Toc535053897"/>
      <w:bookmarkStart w:id="802" w:name="_Toc109615271"/>
      <w:bookmarkStart w:id="803" w:name="_Toc215543757"/>
      <w:bookmarkStart w:id="804" w:name="_Toc336264342"/>
      <w:bookmarkStart w:id="805" w:name="_Toc325554280"/>
      <w:r>
        <w:rPr>
          <w:rStyle w:val="CharSectno"/>
        </w:rPr>
        <w:t>34</w:t>
      </w:r>
      <w:r>
        <w:rPr>
          <w:snapToGrid w:val="0"/>
        </w:rPr>
        <w:t>.</w:t>
      </w:r>
      <w:r>
        <w:rPr>
          <w:snapToGrid w:val="0"/>
        </w:rPr>
        <w:tab/>
        <w:t>Penalties</w:t>
      </w:r>
      <w:bookmarkEnd w:id="799"/>
      <w:bookmarkEnd w:id="800"/>
      <w:bookmarkEnd w:id="801"/>
      <w:bookmarkEnd w:id="802"/>
      <w:bookmarkEnd w:id="803"/>
      <w:bookmarkEnd w:id="804"/>
      <w:bookmarkEnd w:id="805"/>
    </w:p>
    <w:p>
      <w:pPr>
        <w:pStyle w:val="Subsection"/>
        <w:rPr>
          <w:snapToGrid w:val="0"/>
        </w:rPr>
      </w:pPr>
      <w:r>
        <w:rPr>
          <w:snapToGrid w:val="0"/>
        </w:rPr>
        <w:tab/>
        <w:t>(1)</w:t>
      </w:r>
      <w:r>
        <w:rPr>
          <w:snapToGrid w:val="0"/>
        </w:rPr>
        <w:tab/>
        <w:t xml:space="preserve">Subject to </w:t>
      </w:r>
      <w:r>
        <w:t xml:space="preserve">subsections (2) and (3), </w:t>
      </w:r>
      <w:r>
        <w:rPr>
          <w:snapToGrid w:val="0"/>
        </w:rPr>
        <w:t>a person who is convicted of — </w:t>
      </w:r>
    </w:p>
    <w:p>
      <w:pPr>
        <w:pStyle w:val="Indenta"/>
        <w:rPr>
          <w:snapToGrid w:val="0"/>
        </w:rPr>
      </w:pPr>
      <w:r>
        <w:rPr>
          <w:snapToGrid w:val="0"/>
        </w:rPr>
        <w:tab/>
        <w:t>(a)</w:t>
      </w:r>
      <w:r>
        <w:rPr>
          <w:snapToGrid w:val="0"/>
        </w:rPr>
        <w:tab/>
        <w:t>a crime under section 6(1) or 7(1) is liable to a fine not exceeding $100 000 or to imprisonment for a term not exceeding 25 years or both; or</w:t>
      </w:r>
    </w:p>
    <w:p>
      <w:pPr>
        <w:pStyle w:val="Indenta"/>
        <w:rPr>
          <w:snapToGrid w:val="0"/>
        </w:rPr>
      </w:pPr>
      <w:r>
        <w:rPr>
          <w:snapToGrid w:val="0"/>
        </w:rPr>
        <w:tab/>
        <w:t>(b)</w:t>
      </w:r>
      <w:r>
        <w:rPr>
          <w:snapToGrid w:val="0"/>
        </w:rPr>
        <w:tab/>
        <w:t>conspiring with another to commit a crime under section 6(1) or 7(1) is liable to a fine not exceeding $75 000 or to imprisonment for a term not exceeding 20 years or both; or</w:t>
      </w:r>
    </w:p>
    <w:p>
      <w:pPr>
        <w:pStyle w:val="Indenta"/>
      </w:pPr>
      <w:r>
        <w:tab/>
        <w:t>(c)</w:t>
      </w:r>
      <w:r>
        <w:tab/>
        <w:t xml:space="preserve">an offence under section 7A(1) is liable — </w:t>
      </w:r>
    </w:p>
    <w:p>
      <w:pPr>
        <w:pStyle w:val="Indenti"/>
      </w:pPr>
      <w:r>
        <w:tab/>
        <w:t>(i)</w:t>
      </w:r>
      <w:r>
        <w:tab/>
        <w:t>if convicted on indictment, to a fine not exceeding $20 000 or to imprisonment for a term not exceeding 5 years or both;</w:t>
      </w:r>
    </w:p>
    <w:p>
      <w:pPr>
        <w:pStyle w:val="Indenti"/>
      </w:pPr>
      <w:r>
        <w:tab/>
        <w:t>(ii)</w:t>
      </w:r>
      <w:r>
        <w:tab/>
        <w:t>if convicted by a summary court, to a fine not exceeding $2 000 or to imprisonment for a term not exceeding 2 years or both;</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 simple offence under section 5(1) (other than a simple offence under section 5(1)(e)), 8, 25(2) or 29 is liable to a fine not exceeding $3 000 or to imprisonment for a term not exceeding 3 years or both; or</w:t>
      </w:r>
    </w:p>
    <w:p>
      <w:pPr>
        <w:pStyle w:val="Indenta"/>
      </w:pPr>
      <w:r>
        <w:rPr>
          <w:snapToGrid w:val="0"/>
        </w:rPr>
        <w:tab/>
        <w:t>(e)</w:t>
      </w:r>
      <w:r>
        <w:rPr>
          <w:snapToGrid w:val="0"/>
        </w:rPr>
        <w:tab/>
        <w:t>a simple offence under section 5(1)(e), 6(2), 7(2), 7A(3) or 31(4) is liable to a fine not exceeding $2 000 or to imprisonment for a term not exceeding 2 years or both</w:t>
      </w:r>
      <w:r>
        <w:t>; or</w:t>
      </w:r>
    </w:p>
    <w:p>
      <w:pPr>
        <w:pStyle w:val="Indenta"/>
        <w:rPr>
          <w:snapToGrid w:val="0"/>
        </w:rPr>
      </w:pPr>
      <w:r>
        <w:tab/>
        <w:t>(f)</w:t>
      </w:r>
      <w:r>
        <w:tab/>
        <w:t>a simple offence under section 15(1), (2) or (3), 16(1) or (2), 17(1) or (2), or 18(1) or (2) is liable to a fine not exceeding $5 000 for a first offence and to a fine not exceeding $15 000 for any subsequent offence under the same provision.</w:t>
      </w:r>
    </w:p>
    <w:p>
      <w:pPr>
        <w:pStyle w:val="Subsection"/>
        <w:rPr>
          <w:snapToGrid w:val="0"/>
        </w:rPr>
      </w:pPr>
      <w:r>
        <w:rPr>
          <w:snapToGrid w:val="0"/>
        </w:rPr>
        <w:tab/>
        <w:t>(2)</w:t>
      </w:r>
      <w:r>
        <w:rPr>
          <w:snapToGrid w:val="0"/>
        </w:rPr>
        <w:tab/>
        <w:t>A person who is convicted of a crime referred to in subsection (1)(a) — </w:t>
      </w:r>
    </w:p>
    <w:p>
      <w:pPr>
        <w:pStyle w:val="Indenta"/>
        <w:rPr>
          <w:snapToGrid w:val="0"/>
        </w:rPr>
      </w:pPr>
      <w:r>
        <w:rPr>
          <w:snapToGrid w:val="0"/>
        </w:rPr>
        <w:tab/>
        <w:t>(a)</w:t>
      </w:r>
      <w:r>
        <w:rPr>
          <w:snapToGrid w:val="0"/>
        </w:rPr>
        <w:tab/>
        <w:t>being a crime — </w:t>
      </w:r>
    </w:p>
    <w:p>
      <w:pPr>
        <w:pStyle w:val="Indenti"/>
        <w:rPr>
          <w:snapToGrid w:val="0"/>
        </w:rPr>
      </w:pPr>
      <w:r>
        <w:rPr>
          <w:snapToGrid w:val="0"/>
        </w:rPr>
        <w:tab/>
        <w:t>(i)</w:t>
      </w:r>
      <w:r>
        <w:rPr>
          <w:snapToGrid w:val="0"/>
        </w:rPr>
        <w:tab/>
        <w:t>relating only to cannabis; and</w:t>
      </w:r>
    </w:p>
    <w:p>
      <w:pPr>
        <w:pStyle w:val="Indenti"/>
        <w:rPr>
          <w:snapToGrid w:val="0"/>
        </w:rPr>
      </w:pPr>
      <w:r>
        <w:rPr>
          <w:snapToGrid w:val="0"/>
        </w:rPr>
        <w:tab/>
        <w:t>(ii)</w:t>
      </w:r>
      <w:r>
        <w:rPr>
          <w:snapToGrid w:val="0"/>
        </w:rPr>
        <w:tab/>
        <w:t>not relating to cannabis resin or any other cannabis derivative or to any prohibited drug or a prohibited plant other than cannabis,</w:t>
      </w:r>
    </w:p>
    <w:p>
      <w:pPr>
        <w:pStyle w:val="Indenta"/>
        <w:rPr>
          <w:snapToGrid w:val="0"/>
        </w:rPr>
      </w:pPr>
      <w:r>
        <w:rPr>
          <w:snapToGrid w:val="0"/>
        </w:rPr>
        <w:tab/>
      </w:r>
      <w:r>
        <w:rPr>
          <w:snapToGrid w:val="0"/>
        </w:rPr>
        <w:tab/>
        <w:t>is liable, if sentenced by the District Court or the Supreme Court, to a fine not exceeding $20 000 or to imprisonment for a term not exceeding 10 years or both; or</w:t>
      </w:r>
    </w:p>
    <w:p>
      <w:pPr>
        <w:pStyle w:val="Indenta"/>
        <w:rPr>
          <w:snapToGrid w:val="0"/>
        </w:rPr>
      </w:pPr>
      <w:r>
        <w:rPr>
          <w:snapToGrid w:val="0"/>
        </w:rPr>
        <w:tab/>
        <w:t>(b)</w:t>
      </w:r>
      <w:r>
        <w:rPr>
          <w:snapToGrid w:val="0"/>
        </w:rPr>
        <w:tab/>
        <w:t>is liable, if sentenced by a summary court, to a fine not exceeding $5 000 or to imprisonment for a term not exceeding 4 years or both.</w:t>
      </w:r>
    </w:p>
    <w:p>
      <w:pPr>
        <w:pStyle w:val="Subsection"/>
      </w:pPr>
      <w:r>
        <w:tab/>
        <w:t>(3)</w:t>
      </w:r>
      <w:r>
        <w:tab/>
        <w:t xml:space="preserve">If a court is sentencing a person for an offence referred to in subsection (1)(a) that involved selling or supplying, or offering to sell or supply, a prohibited drug or a prohibited plant to a child, and the person was an adult when the offence was committed, then, despite the </w:t>
      </w:r>
      <w:r>
        <w:rPr>
          <w:i/>
        </w:rPr>
        <w:t>Sentencing Act 1995</w:t>
      </w:r>
      <w:r>
        <w:t xml:space="preserve"> Part 5 — </w:t>
      </w:r>
    </w:p>
    <w:p>
      <w:pPr>
        <w:pStyle w:val="Indenta"/>
      </w:pPr>
      <w:r>
        <w:tab/>
        <w:t>(a)</w:t>
      </w:r>
      <w:r>
        <w:tab/>
        <w:t>for a first offence the court must use one of only these sentencing options —</w:t>
      </w:r>
    </w:p>
    <w:p>
      <w:pPr>
        <w:pStyle w:val="Indenti"/>
      </w:pPr>
      <w:r>
        <w:tab/>
        <w:t>(i)</w:t>
      </w:r>
      <w:r>
        <w:tab/>
        <w:t xml:space="preserve">suspended imprisonment imposed under the </w:t>
      </w:r>
      <w:r>
        <w:rPr>
          <w:i/>
        </w:rPr>
        <w:t>Sentencing Act 1995</w:t>
      </w:r>
      <w:r>
        <w:t xml:space="preserve"> section 39 and Part 11;</w:t>
      </w:r>
    </w:p>
    <w:p>
      <w:pPr>
        <w:pStyle w:val="Indenti"/>
      </w:pPr>
      <w:r>
        <w:tab/>
        <w:t>(ii)</w:t>
      </w:r>
      <w:r>
        <w:tab/>
        <w:t>conditional suspended imprisonment imposed under section 39 and Part 12 of that Act;</w:t>
      </w:r>
    </w:p>
    <w:p>
      <w:pPr>
        <w:pStyle w:val="Indenti"/>
      </w:pPr>
      <w:r>
        <w:tab/>
        <w:t>(iii)</w:t>
      </w:r>
      <w:r>
        <w:tab/>
        <w:t>a term of imprisonment imposed under section 39 and Part 13 of that Act;</w:t>
      </w:r>
    </w:p>
    <w:p>
      <w:pPr>
        <w:pStyle w:val="Indenta"/>
      </w:pPr>
      <w:r>
        <w:tab/>
      </w:r>
      <w:r>
        <w:tab/>
        <w:t>and</w:t>
      </w:r>
    </w:p>
    <w:p>
      <w:pPr>
        <w:pStyle w:val="Indenta"/>
      </w:pPr>
      <w:r>
        <w:tab/>
        <w:t>(b)</w:t>
      </w:r>
      <w:r>
        <w:tab/>
        <w:t xml:space="preserve">for any subsequent offence (whether or not under the same provision) the court — </w:t>
      </w:r>
    </w:p>
    <w:p>
      <w:pPr>
        <w:pStyle w:val="Indenti"/>
      </w:pPr>
      <w:r>
        <w:tab/>
        <w:t>(i)</w:t>
      </w:r>
      <w:r>
        <w:tab/>
        <w:t>must impose a term of imprisonment of at least 6 months; and</w:t>
      </w:r>
    </w:p>
    <w:p>
      <w:pPr>
        <w:pStyle w:val="Indenti"/>
      </w:pPr>
      <w:r>
        <w:tab/>
        <w:t>(ii)</w:t>
      </w:r>
      <w:r>
        <w:tab/>
        <w:t>must not suspend the term of imprisonment.</w:t>
      </w:r>
    </w:p>
    <w:p>
      <w:pPr>
        <w:pStyle w:val="Subsection"/>
      </w:pPr>
      <w:r>
        <w:tab/>
        <w:t>(4)</w:t>
      </w:r>
      <w:r>
        <w:tab/>
        <w:t>If a court is sentencing a person for —</w:t>
      </w:r>
    </w:p>
    <w:p>
      <w:pPr>
        <w:pStyle w:val="Indenta"/>
      </w:pPr>
      <w:r>
        <w:tab/>
        <w:t>(a)</w:t>
      </w:r>
      <w:r>
        <w:tab/>
        <w:t>an offence under section 6(1)(b); or</w:t>
      </w:r>
    </w:p>
    <w:p>
      <w:pPr>
        <w:pStyle w:val="Indenta"/>
      </w:pPr>
      <w:r>
        <w:tab/>
        <w:t>(b)</w:t>
      </w:r>
      <w:r>
        <w:tab/>
        <w:t>an offence under section 7(1)(a) that involved cultivating a prohibited plant; or</w:t>
      </w:r>
    </w:p>
    <w:p>
      <w:pPr>
        <w:pStyle w:val="Indenta"/>
      </w:pPr>
      <w:r>
        <w:tab/>
        <w:t>(c)</w:t>
      </w:r>
      <w:r>
        <w:tab/>
        <w:t>an offence under section 14(1),</w:t>
      </w:r>
    </w:p>
    <w:p>
      <w:pPr>
        <w:pStyle w:val="Subsection"/>
      </w:pPr>
      <w:r>
        <w:tab/>
      </w:r>
      <w:r>
        <w:tab/>
        <w:t xml:space="preserve">committed in circumstances where the acts constituting the offence endangered the life, health or safety of a child under 16 years of age, and the person was an adult when the offence was committed, then, despite the </w:t>
      </w:r>
      <w:r>
        <w:rPr>
          <w:i/>
        </w:rPr>
        <w:t>Sentencing Act 1995</w:t>
      </w:r>
      <w:r>
        <w:t xml:space="preserve"> Part 5 —</w:t>
      </w:r>
    </w:p>
    <w:p>
      <w:pPr>
        <w:pStyle w:val="Indenta"/>
      </w:pPr>
      <w:r>
        <w:tab/>
        <w:t>(d)</w:t>
      </w:r>
      <w:r>
        <w:tab/>
        <w:t>for a first offence the court must use one of only these sentencing options —</w:t>
      </w:r>
    </w:p>
    <w:p>
      <w:pPr>
        <w:pStyle w:val="Indenti"/>
      </w:pPr>
      <w:r>
        <w:tab/>
        <w:t>(i)</w:t>
      </w:r>
      <w:r>
        <w:tab/>
        <w:t xml:space="preserve">suspended imprisonment imposed under the </w:t>
      </w:r>
      <w:r>
        <w:rPr>
          <w:i/>
        </w:rPr>
        <w:t>Sentencing Act 1995</w:t>
      </w:r>
      <w:r>
        <w:t xml:space="preserve"> section 39 and Part 11;</w:t>
      </w:r>
    </w:p>
    <w:p>
      <w:pPr>
        <w:pStyle w:val="Indenti"/>
      </w:pPr>
      <w:r>
        <w:tab/>
        <w:t>(ii)</w:t>
      </w:r>
      <w:r>
        <w:tab/>
        <w:t>conditional suspended imprisonment imposed under section 39 and Part 12 of that Act;</w:t>
      </w:r>
    </w:p>
    <w:p>
      <w:pPr>
        <w:pStyle w:val="Indenti"/>
      </w:pPr>
      <w:r>
        <w:tab/>
        <w:t>(iii)</w:t>
      </w:r>
      <w:r>
        <w:tab/>
        <w:t>a term of imprisonment imposed under section 39 and Part 13 of that Act;</w:t>
      </w:r>
    </w:p>
    <w:p>
      <w:pPr>
        <w:pStyle w:val="Indenta"/>
      </w:pPr>
      <w:r>
        <w:tab/>
      </w:r>
      <w:r>
        <w:tab/>
        <w:t>and</w:t>
      </w:r>
    </w:p>
    <w:p>
      <w:pPr>
        <w:pStyle w:val="Indenta"/>
      </w:pPr>
      <w:r>
        <w:tab/>
        <w:t>(e)</w:t>
      </w:r>
      <w:r>
        <w:tab/>
        <w:t xml:space="preserve">for any subsequent offence (whether or not under the same provision) the court — </w:t>
      </w:r>
    </w:p>
    <w:p>
      <w:pPr>
        <w:pStyle w:val="Indenti"/>
      </w:pPr>
      <w:r>
        <w:tab/>
        <w:t>(i)</w:t>
      </w:r>
      <w:r>
        <w:tab/>
        <w:t>must impose a term of imprisonment of at least 6 months; and</w:t>
      </w:r>
    </w:p>
    <w:p>
      <w:pPr>
        <w:pStyle w:val="Indenti"/>
      </w:pPr>
      <w:r>
        <w:tab/>
        <w:t>(ii)</w:t>
      </w:r>
      <w:r>
        <w:tab/>
        <w:t>must not suspend the term of imprisonment.</w:t>
      </w:r>
    </w:p>
    <w:p>
      <w:pPr>
        <w:pStyle w:val="Subsection"/>
      </w:pPr>
      <w:r>
        <w:tab/>
        <w:t>(5)</w:t>
      </w:r>
      <w:r>
        <w:tab/>
        <w:t xml:space="preserve">If a court is sentencing a person for — </w:t>
      </w:r>
    </w:p>
    <w:p>
      <w:pPr>
        <w:pStyle w:val="Indenta"/>
      </w:pPr>
      <w:r>
        <w:tab/>
        <w:t>(a)</w:t>
      </w:r>
      <w:r>
        <w:tab/>
        <w:t>an offence under section 6(1)(b); or</w:t>
      </w:r>
    </w:p>
    <w:p>
      <w:pPr>
        <w:pStyle w:val="Indenta"/>
      </w:pPr>
      <w:r>
        <w:tab/>
        <w:t>(b)</w:t>
      </w:r>
      <w:r>
        <w:tab/>
        <w:t>an offence under section 7(1)(a) that involved cultivating a prohibited plant; or</w:t>
      </w:r>
    </w:p>
    <w:p>
      <w:pPr>
        <w:pStyle w:val="Indenta"/>
      </w:pPr>
      <w:r>
        <w:tab/>
        <w:t>(c)</w:t>
      </w:r>
      <w:r>
        <w:tab/>
        <w:t>an offence under section 14(1),</w:t>
      </w:r>
    </w:p>
    <w:p>
      <w:pPr>
        <w:pStyle w:val="Subsection"/>
      </w:pPr>
      <w:r>
        <w:tab/>
      </w:r>
      <w:r>
        <w:tab/>
        <w:t xml:space="preserve">committed in circumstances where the acts constituting the offence caused bodily harm (as defined in </w:t>
      </w:r>
      <w:r>
        <w:rPr>
          <w:i/>
        </w:rPr>
        <w:t>The Criminal Code</w:t>
      </w:r>
      <w:r>
        <w:t xml:space="preserve"> section 1(1) and (4)) to a child under 16 years of age, and the person was an adult when the offence was committed, then, despite the </w:t>
      </w:r>
      <w:r>
        <w:rPr>
          <w:i/>
        </w:rPr>
        <w:t>Sentencing Act 1995</w:t>
      </w:r>
      <w:r>
        <w:t xml:space="preserve"> Part 5, the court —</w:t>
      </w:r>
    </w:p>
    <w:p>
      <w:pPr>
        <w:pStyle w:val="Indenta"/>
      </w:pPr>
      <w:r>
        <w:tab/>
        <w:t>(d)</w:t>
      </w:r>
      <w:r>
        <w:tab/>
        <w:t>must impose a term of imprisonment of at least 12 months; and</w:t>
      </w:r>
    </w:p>
    <w:p>
      <w:pPr>
        <w:pStyle w:val="Indenta"/>
      </w:pPr>
      <w:r>
        <w:tab/>
        <w:t>(e)</w:t>
      </w:r>
      <w:r>
        <w:tab/>
        <w:t>must not suspend the term of imprisonment.</w:t>
      </w:r>
    </w:p>
    <w:p>
      <w:pPr>
        <w:pStyle w:val="Subsection"/>
      </w:pPr>
      <w:r>
        <w:tab/>
        <w:t>(6)</w:t>
      </w:r>
      <w:r>
        <w:tab/>
        <w:t xml:space="preserve">The Minister must carry out a review of the operation and effectiveness of the amendments made to this section by the </w:t>
      </w:r>
      <w:r>
        <w:rPr>
          <w:i/>
        </w:rPr>
        <w:t>Misuse of Drugs Amendment Act 2011</w:t>
      </w:r>
      <w:r>
        <w:t xml:space="preserve"> section 9 as soon as practicable after the expiry of 3 years from the commencement of that section.</w:t>
      </w:r>
    </w:p>
    <w:p>
      <w:pPr>
        <w:pStyle w:val="Subsection"/>
      </w:pPr>
      <w:r>
        <w:tab/>
        <w:t>(7)</w:t>
      </w:r>
      <w:r>
        <w:tab/>
        <w:t>The Minister is to lay (or cause to be laid) a report of the review under this section before both Houses of Parliament as soon as practicable after the review is completed.</w:t>
      </w:r>
    </w:p>
    <w:p>
      <w:pPr>
        <w:pStyle w:val="Footnotesection"/>
      </w:pPr>
      <w:r>
        <w:tab/>
        <w:t>[Section 34 amended by No. 44 of 1995 s. 12; No. 52 of 2003 s. 31; No. 4 of 2004 s. 58; No. 62 of 2004 s. 6; No. 56 of 2011 s. 9.]</w:t>
      </w:r>
    </w:p>
    <w:p>
      <w:pPr>
        <w:pStyle w:val="Heading5"/>
        <w:rPr>
          <w:snapToGrid w:val="0"/>
        </w:rPr>
      </w:pPr>
      <w:bookmarkStart w:id="806" w:name="_Toc503149564"/>
      <w:bookmarkStart w:id="807" w:name="_Toc534613859"/>
      <w:bookmarkStart w:id="808" w:name="_Toc535053898"/>
      <w:bookmarkStart w:id="809" w:name="_Toc109615272"/>
      <w:bookmarkStart w:id="810" w:name="_Toc215543758"/>
      <w:bookmarkStart w:id="811" w:name="_Toc336264343"/>
      <w:bookmarkStart w:id="812" w:name="_Toc325554281"/>
      <w:r>
        <w:rPr>
          <w:rStyle w:val="CharSectno"/>
        </w:rPr>
        <w:t>35</w:t>
      </w:r>
      <w:r>
        <w:rPr>
          <w:snapToGrid w:val="0"/>
        </w:rPr>
        <w:t>.</w:t>
      </w:r>
      <w:r>
        <w:rPr>
          <w:snapToGrid w:val="0"/>
        </w:rPr>
        <w:tab/>
        <w:t>Criminal liability of company officers</w:t>
      </w:r>
      <w:bookmarkEnd w:id="806"/>
      <w:bookmarkEnd w:id="807"/>
      <w:bookmarkEnd w:id="808"/>
      <w:bookmarkEnd w:id="809"/>
      <w:bookmarkEnd w:id="810"/>
      <w:bookmarkEnd w:id="811"/>
      <w:bookmarkEnd w:id="812"/>
    </w:p>
    <w:p>
      <w:pPr>
        <w:pStyle w:val="Subsection"/>
        <w:rPr>
          <w:snapToGrid w:val="0"/>
        </w:rPr>
      </w:pPr>
      <w:r>
        <w:rPr>
          <w:snapToGrid w:val="0"/>
        </w:rPr>
        <w:tab/>
      </w:r>
      <w:r>
        <w:rPr>
          <w:snapToGrid w:val="0"/>
        </w:rPr>
        <w:tab/>
        <w:t>When a person convicted of an offence is a corporation, every director of the corporation and every officer concerned in the management thereof is guilty of the like offence unless he proves that the act or omission constituting the offence took place without his knowledge or consent.</w:t>
      </w:r>
    </w:p>
    <w:p>
      <w:pPr>
        <w:pStyle w:val="Ednotesection"/>
      </w:pPr>
      <w:r>
        <w:t>[</w:t>
      </w:r>
      <w:r>
        <w:rPr>
          <w:b/>
        </w:rPr>
        <w:t>36.</w:t>
      </w:r>
      <w:r>
        <w:tab/>
        <w:t xml:space="preserve">Deleted by No. 92 of 1994 s. 26.] </w:t>
      </w:r>
    </w:p>
    <w:p>
      <w:pPr>
        <w:pStyle w:val="Heading5"/>
        <w:rPr>
          <w:snapToGrid w:val="0"/>
        </w:rPr>
      </w:pPr>
      <w:bookmarkStart w:id="813" w:name="_Toc503149565"/>
      <w:bookmarkStart w:id="814" w:name="_Toc534613860"/>
      <w:bookmarkStart w:id="815" w:name="_Toc535053899"/>
      <w:bookmarkStart w:id="816" w:name="_Toc109615273"/>
      <w:bookmarkStart w:id="817" w:name="_Toc215543759"/>
      <w:bookmarkStart w:id="818" w:name="_Toc336264344"/>
      <w:bookmarkStart w:id="819" w:name="_Toc325554282"/>
      <w:r>
        <w:rPr>
          <w:rStyle w:val="CharSectno"/>
        </w:rPr>
        <w:t>37</w:t>
      </w:r>
      <w:r>
        <w:rPr>
          <w:snapToGrid w:val="0"/>
        </w:rPr>
        <w:t>.</w:t>
      </w:r>
      <w:r>
        <w:rPr>
          <w:snapToGrid w:val="0"/>
        </w:rPr>
        <w:tab/>
        <w:t>Proof of exceptions</w:t>
      </w:r>
      <w:bookmarkEnd w:id="813"/>
      <w:bookmarkEnd w:id="814"/>
      <w:bookmarkEnd w:id="815"/>
      <w:bookmarkEnd w:id="816"/>
      <w:bookmarkEnd w:id="817"/>
      <w:bookmarkEnd w:id="818"/>
      <w:bookmarkEnd w:id="819"/>
    </w:p>
    <w:p>
      <w:pPr>
        <w:pStyle w:val="Subsection"/>
        <w:rPr>
          <w:snapToGrid w:val="0"/>
        </w:rPr>
      </w:pPr>
      <w:r>
        <w:rPr>
          <w:snapToGrid w:val="0"/>
        </w:rPr>
        <w:tab/>
      </w:r>
      <w:r>
        <w:rPr>
          <w:snapToGrid w:val="0"/>
        </w:rPr>
        <w:tab/>
        <w:t>In any proceedings against a person for an offence, it is not necessary to negative by evidence any authority, licence or other matter of condition, exception, excuse, exemption, proviso or qualification and the burden of proving any such matter lies on the person seeking to avail himself thereof.</w:t>
      </w:r>
    </w:p>
    <w:p>
      <w:pPr>
        <w:pStyle w:val="Heading5"/>
        <w:rPr>
          <w:snapToGrid w:val="0"/>
        </w:rPr>
      </w:pPr>
      <w:bookmarkStart w:id="820" w:name="_Toc503149566"/>
      <w:bookmarkStart w:id="821" w:name="_Toc534613861"/>
      <w:bookmarkStart w:id="822" w:name="_Toc535053900"/>
      <w:bookmarkStart w:id="823" w:name="_Toc109615274"/>
      <w:bookmarkStart w:id="824" w:name="_Toc215543760"/>
      <w:bookmarkStart w:id="825" w:name="_Toc336264345"/>
      <w:bookmarkStart w:id="826" w:name="_Toc325554283"/>
      <w:r>
        <w:rPr>
          <w:rStyle w:val="CharSectno"/>
        </w:rPr>
        <w:t>38</w:t>
      </w:r>
      <w:r>
        <w:rPr>
          <w:snapToGrid w:val="0"/>
        </w:rPr>
        <w:t>.</w:t>
      </w:r>
      <w:r>
        <w:rPr>
          <w:snapToGrid w:val="0"/>
        </w:rPr>
        <w:tab/>
        <w:t>Certificate of approved analyst or approved botanist</w:t>
      </w:r>
      <w:bookmarkEnd w:id="820"/>
      <w:bookmarkEnd w:id="821"/>
      <w:bookmarkEnd w:id="822"/>
      <w:bookmarkEnd w:id="823"/>
      <w:bookmarkEnd w:id="824"/>
      <w:bookmarkEnd w:id="825"/>
      <w:bookmarkEnd w:id="826"/>
      <w:r>
        <w:rPr>
          <w:snapToGrid w:val="0"/>
        </w:rPr>
        <w:t xml:space="preserve"> </w:t>
      </w:r>
    </w:p>
    <w:p>
      <w:pPr>
        <w:pStyle w:val="Subsection"/>
        <w:rPr>
          <w:snapToGrid w:val="0"/>
        </w:rPr>
      </w:pPr>
      <w:r>
        <w:rPr>
          <w:snapToGrid w:val="0"/>
        </w:rPr>
        <w:tab/>
        <w:t>(1)</w:t>
      </w:r>
      <w:r>
        <w:rPr>
          <w:snapToGrid w:val="0"/>
        </w:rPr>
        <w:tab/>
        <w:t>An approved analyst or an approved botanist may give a certificate in the prescribed form relating to any analysis or examination carried out by the approved analyst or approved botanist.</w:t>
      </w:r>
    </w:p>
    <w:p>
      <w:pPr>
        <w:pStyle w:val="Subsection"/>
        <w:rPr>
          <w:snapToGrid w:val="0"/>
        </w:rPr>
      </w:pPr>
      <w:r>
        <w:rPr>
          <w:snapToGrid w:val="0"/>
        </w:rPr>
        <w:tab/>
        <w:t>(2)</w:t>
      </w:r>
      <w:r>
        <w:rPr>
          <w:snapToGrid w:val="0"/>
        </w:rPr>
        <w:tab/>
        <w:t>In any proceedings against a person for an offence, production of a certificate purporting to be signed by an approved analyst or an approved botanist stating in relation to any thing — </w:t>
      </w:r>
    </w:p>
    <w:p>
      <w:pPr>
        <w:pStyle w:val="Indenta"/>
        <w:rPr>
          <w:snapToGrid w:val="0"/>
        </w:rPr>
      </w:pPr>
      <w:r>
        <w:rPr>
          <w:snapToGrid w:val="0"/>
        </w:rPr>
        <w:tab/>
        <w:t>(a)</w:t>
      </w:r>
      <w:r>
        <w:rPr>
          <w:snapToGrid w:val="0"/>
        </w:rPr>
        <w:tab/>
        <w:t>that the thing was obtained or received by the analyst or botanist for analysis or examination; and</w:t>
      </w:r>
    </w:p>
    <w:p>
      <w:pPr>
        <w:pStyle w:val="Indenta"/>
        <w:rPr>
          <w:snapToGrid w:val="0"/>
        </w:rPr>
      </w:pPr>
      <w:r>
        <w:rPr>
          <w:snapToGrid w:val="0"/>
        </w:rPr>
        <w:tab/>
        <w:t>(b)</w:t>
      </w:r>
      <w:r>
        <w:rPr>
          <w:snapToGrid w:val="0"/>
        </w:rPr>
        <w:tab/>
        <w:t>how the thing was obtained, or when and from whom the thing was received; and</w:t>
      </w:r>
    </w:p>
    <w:p>
      <w:pPr>
        <w:pStyle w:val="Indenta"/>
        <w:rPr>
          <w:snapToGrid w:val="0"/>
        </w:rPr>
      </w:pPr>
      <w:r>
        <w:rPr>
          <w:snapToGrid w:val="0"/>
        </w:rPr>
        <w:tab/>
        <w:t>(c)</w:t>
      </w:r>
      <w:r>
        <w:rPr>
          <w:snapToGrid w:val="0"/>
        </w:rPr>
        <w:tab/>
        <w:t>a description, and the quantity or mass, of the thing obtained or received; and</w:t>
      </w:r>
    </w:p>
    <w:p>
      <w:pPr>
        <w:pStyle w:val="Indenta"/>
        <w:rPr>
          <w:snapToGrid w:val="0"/>
        </w:rPr>
      </w:pPr>
      <w:r>
        <w:rPr>
          <w:snapToGrid w:val="0"/>
        </w:rPr>
        <w:tab/>
        <w:t>(d)</w:t>
      </w:r>
      <w:r>
        <w:rPr>
          <w:snapToGrid w:val="0"/>
        </w:rPr>
        <w:tab/>
        <w:t>that the thing was analysed or examined by the analyst or botanist; and</w:t>
      </w:r>
    </w:p>
    <w:p>
      <w:pPr>
        <w:pStyle w:val="Indenta"/>
        <w:rPr>
          <w:snapToGrid w:val="0"/>
        </w:rPr>
      </w:pPr>
      <w:r>
        <w:rPr>
          <w:snapToGrid w:val="0"/>
        </w:rPr>
        <w:tab/>
        <w:t>(e)</w:t>
      </w:r>
      <w:r>
        <w:rPr>
          <w:snapToGrid w:val="0"/>
        </w:rPr>
        <w:tab/>
        <w:t>the method of analysis or examination; and</w:t>
      </w:r>
    </w:p>
    <w:p>
      <w:pPr>
        <w:pStyle w:val="Indenta"/>
        <w:rPr>
          <w:snapToGrid w:val="0"/>
        </w:rPr>
      </w:pPr>
      <w:r>
        <w:rPr>
          <w:snapToGrid w:val="0"/>
        </w:rPr>
        <w:tab/>
        <w:t>(f)</w:t>
      </w:r>
      <w:r>
        <w:rPr>
          <w:snapToGrid w:val="0"/>
        </w:rPr>
        <w:tab/>
        <w:t>the results of the analysis or examination; and</w:t>
      </w:r>
    </w:p>
    <w:p>
      <w:pPr>
        <w:pStyle w:val="Indenta"/>
        <w:rPr>
          <w:snapToGrid w:val="0"/>
        </w:rPr>
      </w:pPr>
      <w:r>
        <w:rPr>
          <w:snapToGrid w:val="0"/>
        </w:rPr>
        <w:tab/>
        <w:t>(g)</w:t>
      </w:r>
      <w:r>
        <w:rPr>
          <w:snapToGrid w:val="0"/>
        </w:rPr>
        <w:tab/>
        <w:t>any other matters relating to the analysis or examination,</w:t>
      </w:r>
    </w:p>
    <w:p>
      <w:pPr>
        <w:pStyle w:val="Subsection"/>
        <w:rPr>
          <w:snapToGrid w:val="0"/>
        </w:rPr>
      </w:pPr>
      <w:r>
        <w:rPr>
          <w:snapToGrid w:val="0"/>
        </w:rPr>
        <w:tab/>
      </w:r>
      <w:r>
        <w:rPr>
          <w:snapToGrid w:val="0"/>
        </w:rPr>
        <w:tab/>
        <w:t>is sufficient evidence of the facts stated in the certificate.</w:t>
      </w:r>
    </w:p>
    <w:p>
      <w:pPr>
        <w:pStyle w:val="Subsection"/>
        <w:rPr>
          <w:snapToGrid w:val="0"/>
        </w:rPr>
      </w:pPr>
      <w:r>
        <w:rPr>
          <w:snapToGrid w:val="0"/>
        </w:rPr>
        <w:tab/>
        <w:t>(3)</w:t>
      </w:r>
      <w:r>
        <w:rPr>
          <w:snapToGrid w:val="0"/>
        </w:rPr>
        <w:tab/>
        <w:t>For the purposes of subsection (2), proof is not required — </w:t>
      </w:r>
    </w:p>
    <w:p>
      <w:pPr>
        <w:pStyle w:val="Indenta"/>
        <w:rPr>
          <w:snapToGrid w:val="0"/>
        </w:rPr>
      </w:pPr>
      <w:r>
        <w:rPr>
          <w:snapToGrid w:val="0"/>
        </w:rPr>
        <w:tab/>
        <w:t>(a)</w:t>
      </w:r>
      <w:r>
        <w:rPr>
          <w:snapToGrid w:val="0"/>
        </w:rPr>
        <w:tab/>
        <w:t>of the signature of the person purporting to have signed the certificate; or</w:t>
      </w:r>
    </w:p>
    <w:p>
      <w:pPr>
        <w:pStyle w:val="Indenta"/>
        <w:keepNext/>
        <w:rPr>
          <w:snapToGrid w:val="0"/>
        </w:rPr>
      </w:pPr>
      <w:r>
        <w:rPr>
          <w:snapToGrid w:val="0"/>
        </w:rPr>
        <w:tab/>
        <w:t>(b)</w:t>
      </w:r>
      <w:r>
        <w:rPr>
          <w:snapToGrid w:val="0"/>
        </w:rPr>
        <w:tab/>
        <w:t>that the person is an approved analyst or an approved botanist.</w:t>
      </w:r>
    </w:p>
    <w:p>
      <w:pPr>
        <w:pStyle w:val="Footnotesection"/>
      </w:pPr>
      <w:r>
        <w:tab/>
        <w:t>[Section 38 amended by No. 44 of 1995 s. 13.]</w:t>
      </w:r>
    </w:p>
    <w:p>
      <w:pPr>
        <w:pStyle w:val="Heading5"/>
        <w:rPr>
          <w:snapToGrid w:val="0"/>
        </w:rPr>
      </w:pPr>
      <w:bookmarkStart w:id="827" w:name="_Toc503149567"/>
      <w:bookmarkStart w:id="828" w:name="_Toc534613862"/>
      <w:bookmarkStart w:id="829" w:name="_Toc535053901"/>
      <w:bookmarkStart w:id="830" w:name="_Toc109615275"/>
      <w:bookmarkStart w:id="831" w:name="_Toc215543761"/>
      <w:bookmarkStart w:id="832" w:name="_Toc336264346"/>
      <w:bookmarkStart w:id="833" w:name="_Toc325554284"/>
      <w:r>
        <w:rPr>
          <w:rStyle w:val="CharSectno"/>
        </w:rPr>
        <w:t>38A</w:t>
      </w:r>
      <w:r>
        <w:rPr>
          <w:snapToGrid w:val="0"/>
        </w:rPr>
        <w:t xml:space="preserve">. </w:t>
      </w:r>
      <w:r>
        <w:rPr>
          <w:snapToGrid w:val="0"/>
        </w:rPr>
        <w:tab/>
        <w:t>Accused may obtain copy of certificate</w:t>
      </w:r>
      <w:bookmarkEnd w:id="827"/>
      <w:bookmarkEnd w:id="828"/>
      <w:bookmarkEnd w:id="829"/>
      <w:bookmarkEnd w:id="830"/>
      <w:bookmarkEnd w:id="831"/>
      <w:bookmarkEnd w:id="832"/>
      <w:bookmarkEnd w:id="833"/>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certificate has been given under section 38(1) in relation to an analysis or examination; and</w:t>
      </w:r>
    </w:p>
    <w:p>
      <w:pPr>
        <w:pStyle w:val="Indenta"/>
        <w:rPr>
          <w:snapToGrid w:val="0"/>
        </w:rPr>
      </w:pPr>
      <w:r>
        <w:rPr>
          <w:snapToGrid w:val="0"/>
        </w:rPr>
        <w:tab/>
        <w:t>(b)</w:t>
      </w:r>
      <w:r>
        <w:rPr>
          <w:snapToGrid w:val="0"/>
        </w:rPr>
        <w:tab/>
        <w:t>an accused applies to the Commissioner for a copy of the certificate,</w:t>
      </w:r>
    </w:p>
    <w:p>
      <w:pPr>
        <w:pStyle w:val="Subsection"/>
        <w:rPr>
          <w:snapToGrid w:val="0"/>
        </w:rPr>
      </w:pPr>
      <w:r>
        <w:rPr>
          <w:snapToGrid w:val="0"/>
        </w:rPr>
        <w:tab/>
      </w:r>
      <w:r>
        <w:rPr>
          <w:snapToGrid w:val="0"/>
        </w:rPr>
        <w:tab/>
        <w:t>the Commissioner shall as soon as practicable cause a copy of the certificate to be provided to the accused.</w:t>
      </w:r>
    </w:p>
    <w:p>
      <w:pPr>
        <w:pStyle w:val="Subsection"/>
        <w:rPr>
          <w:snapToGrid w:val="0"/>
        </w:rPr>
      </w:pPr>
      <w:r>
        <w:rPr>
          <w:snapToGrid w:val="0"/>
        </w:rPr>
        <w:tab/>
        <w:t>(2)</w:t>
      </w:r>
      <w:r>
        <w:rPr>
          <w:snapToGrid w:val="0"/>
        </w:rPr>
        <w:tab/>
        <w:t>An application shall be in writing in the prescribed form and shall specify the address at which a copy of the certificate can be provided to the accused.</w:t>
      </w:r>
    </w:p>
    <w:p>
      <w:pPr>
        <w:pStyle w:val="Footnotesection"/>
      </w:pPr>
      <w:r>
        <w:tab/>
        <w:t>[Section 38A inserted by No. 44 of 1995 s. 13; amended by No. 84 of 2004 s. 82.]</w:t>
      </w:r>
    </w:p>
    <w:p>
      <w:pPr>
        <w:pStyle w:val="Heading5"/>
        <w:rPr>
          <w:snapToGrid w:val="0"/>
        </w:rPr>
      </w:pPr>
      <w:bookmarkStart w:id="834" w:name="_Toc503149568"/>
      <w:bookmarkStart w:id="835" w:name="_Toc534613863"/>
      <w:bookmarkStart w:id="836" w:name="_Toc535053902"/>
      <w:bookmarkStart w:id="837" w:name="_Toc109615276"/>
      <w:bookmarkStart w:id="838" w:name="_Toc215543762"/>
      <w:bookmarkStart w:id="839" w:name="_Toc336264347"/>
      <w:bookmarkStart w:id="840" w:name="_Toc325554285"/>
      <w:r>
        <w:rPr>
          <w:rStyle w:val="CharSectno"/>
        </w:rPr>
        <w:t>38B</w:t>
      </w:r>
      <w:r>
        <w:rPr>
          <w:snapToGrid w:val="0"/>
        </w:rPr>
        <w:t xml:space="preserve">. </w:t>
      </w:r>
      <w:r>
        <w:rPr>
          <w:snapToGrid w:val="0"/>
        </w:rPr>
        <w:tab/>
        <w:t>Accused may object to use of certificate</w:t>
      </w:r>
      <w:bookmarkEnd w:id="834"/>
      <w:bookmarkEnd w:id="835"/>
      <w:bookmarkEnd w:id="836"/>
      <w:bookmarkEnd w:id="837"/>
      <w:bookmarkEnd w:id="838"/>
      <w:bookmarkEnd w:id="839"/>
      <w:bookmarkEnd w:id="840"/>
    </w:p>
    <w:p>
      <w:pPr>
        <w:pStyle w:val="Subsection"/>
        <w:rPr>
          <w:snapToGrid w:val="0"/>
        </w:rPr>
      </w:pPr>
      <w:r>
        <w:rPr>
          <w:snapToGrid w:val="0"/>
        </w:rPr>
        <w:tab/>
        <w:t>(1)</w:t>
      </w:r>
      <w:r>
        <w:rPr>
          <w:snapToGrid w:val="0"/>
        </w:rPr>
        <w:tab/>
        <w:t>Section 38(2) does not apply if, not less than 21 days before the proceedings, the accused delivers notice in writing to the Commissioner requiring the approved analyst or approved botanist to attend as a witness in those proceedings.</w:t>
      </w:r>
    </w:p>
    <w:p>
      <w:pPr>
        <w:pStyle w:val="Subsection"/>
        <w:rPr>
          <w:snapToGrid w:val="0"/>
        </w:rPr>
      </w:pPr>
      <w:r>
        <w:rPr>
          <w:snapToGrid w:val="0"/>
        </w:rPr>
        <w:tab/>
        <w:t>(2)</w:t>
      </w:r>
      <w:r>
        <w:rPr>
          <w:snapToGrid w:val="0"/>
        </w:rPr>
        <w:tab/>
        <w:t>An accused shall be afforded a reasonable opportunity to deliver a notice referred to in subsection (1).</w:t>
      </w:r>
    </w:p>
    <w:p>
      <w:pPr>
        <w:pStyle w:val="Subsection"/>
        <w:rPr>
          <w:snapToGrid w:val="0"/>
        </w:rPr>
      </w:pPr>
      <w:r>
        <w:rPr>
          <w:snapToGrid w:val="0"/>
        </w:rPr>
        <w:tab/>
        <w:t>(3)</w:t>
      </w:r>
      <w:r>
        <w:rPr>
          <w:snapToGrid w:val="0"/>
        </w:rPr>
        <w:tab/>
        <w:t>An accused shall not in any proceedings adduce evidence in rebuttal of any facts stated in a certificate unless the accused has delivered notice in accordance with subsection (1) requiring the approved analyst or approved botanist to attend as a witness in the proceedings.</w:t>
      </w:r>
    </w:p>
    <w:p>
      <w:pPr>
        <w:pStyle w:val="Footnotesection"/>
      </w:pPr>
      <w:r>
        <w:tab/>
        <w:t>[Section 38B inserted by No. 44 of 1995 s. 13; amended by No. 84 of 2004 s. 82.]</w:t>
      </w:r>
    </w:p>
    <w:p>
      <w:pPr>
        <w:pStyle w:val="Heading5"/>
        <w:rPr>
          <w:snapToGrid w:val="0"/>
        </w:rPr>
      </w:pPr>
      <w:bookmarkStart w:id="841" w:name="_Toc503149569"/>
      <w:bookmarkStart w:id="842" w:name="_Toc534613864"/>
      <w:bookmarkStart w:id="843" w:name="_Toc535053903"/>
      <w:bookmarkStart w:id="844" w:name="_Toc109615277"/>
      <w:bookmarkStart w:id="845" w:name="_Toc215543763"/>
      <w:bookmarkStart w:id="846" w:name="_Toc336264348"/>
      <w:bookmarkStart w:id="847" w:name="_Toc325554286"/>
      <w:r>
        <w:rPr>
          <w:rStyle w:val="CharSectno"/>
        </w:rPr>
        <w:t>38C</w:t>
      </w:r>
      <w:r>
        <w:rPr>
          <w:snapToGrid w:val="0"/>
        </w:rPr>
        <w:t xml:space="preserve">. </w:t>
      </w:r>
      <w:r>
        <w:rPr>
          <w:snapToGrid w:val="0"/>
        </w:rPr>
        <w:tab/>
        <w:t>Order for costs of approved analyst or approved botanist</w:t>
      </w:r>
      <w:bookmarkEnd w:id="841"/>
      <w:bookmarkEnd w:id="842"/>
      <w:bookmarkEnd w:id="843"/>
      <w:bookmarkEnd w:id="844"/>
      <w:bookmarkEnd w:id="845"/>
      <w:bookmarkEnd w:id="846"/>
      <w:bookmarkEnd w:id="847"/>
    </w:p>
    <w:p>
      <w:pPr>
        <w:pStyle w:val="Subsection"/>
        <w:rPr>
          <w:snapToGrid w:val="0"/>
        </w:rPr>
      </w:pPr>
      <w:r>
        <w:rPr>
          <w:snapToGrid w:val="0"/>
        </w:rPr>
        <w:tab/>
      </w:r>
      <w:r>
        <w:rPr>
          <w:snapToGrid w:val="0"/>
        </w:rPr>
        <w:tab/>
        <w:t>A court before which proceedings against a person for an offence are held may, in addition to making any other order as to costs, make such order as it thinks just as to — </w:t>
      </w:r>
    </w:p>
    <w:p>
      <w:pPr>
        <w:pStyle w:val="Indenta"/>
        <w:rPr>
          <w:snapToGrid w:val="0"/>
        </w:rPr>
      </w:pPr>
      <w:r>
        <w:rPr>
          <w:snapToGrid w:val="0"/>
        </w:rPr>
        <w:tab/>
        <w:t>(a)</w:t>
      </w:r>
      <w:r>
        <w:rPr>
          <w:snapToGrid w:val="0"/>
        </w:rPr>
        <w:tab/>
        <w:t>the conduct money of an approved analyst or an approved botanist required to attend as a witness in the proceedings; and</w:t>
      </w:r>
    </w:p>
    <w:p>
      <w:pPr>
        <w:pStyle w:val="Indenta"/>
        <w:rPr>
          <w:snapToGrid w:val="0"/>
        </w:rPr>
      </w:pPr>
      <w:r>
        <w:rPr>
          <w:snapToGrid w:val="0"/>
        </w:rPr>
        <w:tab/>
        <w:t>(b)</w:t>
      </w:r>
      <w:r>
        <w:rPr>
          <w:snapToGrid w:val="0"/>
        </w:rPr>
        <w:tab/>
        <w:t>the expenses and remuneration to be paid for any analysis or examination carried out by an approved analyst or an approved botanist.</w:t>
      </w:r>
    </w:p>
    <w:p>
      <w:pPr>
        <w:pStyle w:val="Footnotesection"/>
      </w:pPr>
      <w:r>
        <w:tab/>
        <w:t>[Section 38C inserted by No. 44 of 1995 s. 13.]</w:t>
      </w:r>
    </w:p>
    <w:p>
      <w:pPr>
        <w:pStyle w:val="Heading5"/>
        <w:spacing w:before="180"/>
        <w:rPr>
          <w:snapToGrid w:val="0"/>
        </w:rPr>
      </w:pPr>
      <w:bookmarkStart w:id="848" w:name="_Toc503149570"/>
      <w:bookmarkStart w:id="849" w:name="_Toc534613865"/>
      <w:bookmarkStart w:id="850" w:name="_Toc535053904"/>
      <w:bookmarkStart w:id="851" w:name="_Toc109615278"/>
      <w:bookmarkStart w:id="852" w:name="_Toc215543764"/>
      <w:bookmarkStart w:id="853" w:name="_Toc336264349"/>
      <w:bookmarkStart w:id="854" w:name="_Toc325554287"/>
      <w:r>
        <w:rPr>
          <w:rStyle w:val="CharSectno"/>
        </w:rPr>
        <w:t>38D</w:t>
      </w:r>
      <w:r>
        <w:rPr>
          <w:snapToGrid w:val="0"/>
        </w:rPr>
        <w:t xml:space="preserve">. </w:t>
      </w:r>
      <w:r>
        <w:rPr>
          <w:snapToGrid w:val="0"/>
        </w:rPr>
        <w:tab/>
        <w:t>Evidence of contents of standard</w:t>
      </w:r>
      <w:bookmarkEnd w:id="848"/>
      <w:bookmarkEnd w:id="849"/>
      <w:bookmarkEnd w:id="850"/>
      <w:bookmarkEnd w:id="851"/>
      <w:bookmarkEnd w:id="852"/>
      <w:bookmarkEnd w:id="853"/>
      <w:bookmarkEnd w:id="854"/>
    </w:p>
    <w:p>
      <w:pPr>
        <w:pStyle w:val="Subsection"/>
      </w:pPr>
      <w:r>
        <w:tab/>
        <w:t>(1)</w:t>
      </w:r>
      <w:r>
        <w:tab/>
        <w:t xml:space="preserve">In this section — </w:t>
      </w:r>
    </w:p>
    <w:p>
      <w:pPr>
        <w:pStyle w:val="Defstart"/>
      </w:pPr>
      <w:r>
        <w:rPr>
          <w:b/>
        </w:rPr>
        <w:tab/>
      </w:r>
      <w:r>
        <w:rPr>
          <w:rStyle w:val="CharDefText"/>
        </w:rPr>
        <w:t>CEO (Health)</w:t>
      </w:r>
      <w:r>
        <w:t xml:space="preserve"> has the meaning given to CEO by section 3 of the </w:t>
      </w:r>
      <w:r>
        <w:rPr>
          <w:i/>
        </w:rPr>
        <w:t>Health Legislation Administration Act 1984</w:t>
      </w:r>
      <w:r>
        <w:t>.</w:t>
      </w:r>
    </w:p>
    <w:p>
      <w:pPr>
        <w:pStyle w:val="Subsection"/>
        <w:spacing w:before="120"/>
        <w:rPr>
          <w:snapToGrid w:val="0"/>
        </w:rPr>
      </w:pPr>
      <w:r>
        <w:rPr>
          <w:snapToGrid w:val="0"/>
        </w:rPr>
        <w:tab/>
        <w:t>(2)</w:t>
      </w:r>
      <w:r>
        <w:rPr>
          <w:snapToGrid w:val="0"/>
        </w:rPr>
        <w:tab/>
        <w:t xml:space="preserve">In any proceedings under this Act, production of a copy of any standard referred to in the </w:t>
      </w:r>
      <w:r>
        <w:rPr>
          <w:i/>
          <w:snapToGrid w:val="0"/>
        </w:rPr>
        <w:t>Poisons Act 1964</w:t>
      </w:r>
      <w:r>
        <w:rPr>
          <w:snapToGrid w:val="0"/>
        </w:rPr>
        <w:t xml:space="preserve"> purporting to be certified by the </w:t>
      </w:r>
      <w:r>
        <w:t xml:space="preserve">CEO (Health) </w:t>
      </w:r>
      <w:r>
        <w:rPr>
          <w:snapToGrid w:val="0"/>
        </w:rPr>
        <w:t>to be a true copy of the standard as at any date or during any period is, without proof of the signature of the</w:t>
      </w:r>
      <w:r>
        <w:t xml:space="preserve"> CEO (Health)</w:t>
      </w:r>
      <w:r>
        <w:rPr>
          <w:snapToGrid w:val="0"/>
        </w:rPr>
        <w:t>, sufficient evidence of the contents of the standard as at that date or during that period.</w:t>
      </w:r>
    </w:p>
    <w:p>
      <w:pPr>
        <w:pStyle w:val="Footnotesection"/>
      </w:pPr>
      <w:r>
        <w:tab/>
        <w:t>[Section 38D inserted by No. 48 of 1995 s. 43; amended by No. 28 of 2006 s. 394.]</w:t>
      </w:r>
    </w:p>
    <w:p>
      <w:pPr>
        <w:pStyle w:val="Heading5"/>
        <w:spacing w:before="180"/>
        <w:rPr>
          <w:snapToGrid w:val="0"/>
        </w:rPr>
      </w:pPr>
      <w:bookmarkStart w:id="855" w:name="_Toc503149571"/>
      <w:bookmarkStart w:id="856" w:name="_Toc534613866"/>
      <w:bookmarkStart w:id="857" w:name="_Toc535053905"/>
      <w:bookmarkStart w:id="858" w:name="_Toc109615279"/>
      <w:bookmarkStart w:id="859" w:name="_Toc215543765"/>
      <w:bookmarkStart w:id="860" w:name="_Toc336264350"/>
      <w:bookmarkStart w:id="861" w:name="_Toc325554288"/>
      <w:r>
        <w:rPr>
          <w:rStyle w:val="CharSectno"/>
        </w:rPr>
        <w:t>39</w:t>
      </w:r>
      <w:r>
        <w:rPr>
          <w:snapToGrid w:val="0"/>
        </w:rPr>
        <w:t>.</w:t>
      </w:r>
      <w:r>
        <w:rPr>
          <w:snapToGrid w:val="0"/>
        </w:rPr>
        <w:tab/>
        <w:t>Delegation by Commissioner</w:t>
      </w:r>
      <w:bookmarkEnd w:id="855"/>
      <w:bookmarkEnd w:id="856"/>
      <w:bookmarkEnd w:id="857"/>
      <w:bookmarkEnd w:id="858"/>
      <w:bookmarkEnd w:id="859"/>
      <w:bookmarkEnd w:id="860"/>
      <w:bookmarkEnd w:id="861"/>
    </w:p>
    <w:p>
      <w:pPr>
        <w:pStyle w:val="Subsection"/>
        <w:spacing w:before="120"/>
        <w:rPr>
          <w:snapToGrid w:val="0"/>
        </w:rPr>
      </w:pPr>
      <w:r>
        <w:rPr>
          <w:snapToGrid w:val="0"/>
        </w:rPr>
        <w:tab/>
        <w:t>(1)</w:t>
      </w:r>
      <w:r>
        <w:rPr>
          <w:snapToGrid w:val="0"/>
        </w:rPr>
        <w:tab/>
        <w:t>The Commissioner may, either generally or as otherwise provided by the instrument of delegation, by writing signed by him delegate to a police officer of or above the rank of inspector any of his powers under this Act, other than this power of delegation.</w:t>
      </w:r>
    </w:p>
    <w:p>
      <w:pPr>
        <w:pStyle w:val="Subsection"/>
        <w:spacing w:before="120"/>
        <w:rPr>
          <w:snapToGrid w:val="0"/>
        </w:rPr>
      </w:pPr>
      <w:r>
        <w:rPr>
          <w:snapToGrid w:val="0"/>
        </w:rPr>
        <w:tab/>
        <w:t>(2)</w:t>
      </w:r>
      <w:r>
        <w:rPr>
          <w:snapToGrid w:val="0"/>
        </w:rPr>
        <w:tab/>
        <w:t>For the purposes of this Act, the exercise of a power by a delegate under this section shall be deemed to be the exercise of the power by the Commissioner.</w:t>
      </w:r>
    </w:p>
    <w:p>
      <w:pPr>
        <w:pStyle w:val="Subsection"/>
        <w:rPr>
          <w:snapToGrid w:val="0"/>
        </w:rPr>
      </w:pPr>
      <w:r>
        <w:rPr>
          <w:snapToGrid w:val="0"/>
        </w:rPr>
        <w:tab/>
        <w:t>(3)</w:t>
      </w:r>
      <w:r>
        <w:rPr>
          <w:snapToGrid w:val="0"/>
        </w:rPr>
        <w:tab/>
        <w:t>A delegation under this section may be — </w:t>
      </w:r>
    </w:p>
    <w:p>
      <w:pPr>
        <w:pStyle w:val="Indenta"/>
        <w:rPr>
          <w:snapToGrid w:val="0"/>
        </w:rPr>
      </w:pPr>
      <w:r>
        <w:rPr>
          <w:snapToGrid w:val="0"/>
        </w:rPr>
        <w:tab/>
        <w:t>(a)</w:t>
      </w:r>
      <w:r>
        <w:rPr>
          <w:snapToGrid w:val="0"/>
        </w:rPr>
        <w:tab/>
        <w:t>made subject to such conditions, qualifications and exceptions as are set out in the instrument of delegation;</w:t>
      </w:r>
    </w:p>
    <w:p>
      <w:pPr>
        <w:pStyle w:val="Indenta"/>
        <w:rPr>
          <w:snapToGrid w:val="0"/>
        </w:rPr>
      </w:pPr>
      <w:r>
        <w:rPr>
          <w:snapToGrid w:val="0"/>
        </w:rPr>
        <w:tab/>
        <w:t>(b)</w:t>
      </w:r>
      <w:r>
        <w:rPr>
          <w:snapToGrid w:val="0"/>
        </w:rPr>
        <w:tab/>
        <w:t>revoked or varied by instrument in writing signed by the Commissioner.</w:t>
      </w:r>
    </w:p>
    <w:p>
      <w:pPr>
        <w:pStyle w:val="Subsection"/>
        <w:rPr>
          <w:snapToGrid w:val="0"/>
        </w:rPr>
      </w:pPr>
      <w:r>
        <w:rPr>
          <w:snapToGrid w:val="0"/>
        </w:rPr>
        <w:tab/>
        <w:t>(4)</w:t>
      </w:r>
      <w:r>
        <w:rPr>
          <w:snapToGrid w:val="0"/>
        </w:rPr>
        <w:tab/>
        <w:t>The Commissioner may exercise a power notwithstanding that he has delegated its exercise under this section.</w:t>
      </w:r>
    </w:p>
    <w:p>
      <w:pPr>
        <w:pStyle w:val="Subsection"/>
        <w:rPr>
          <w:snapToGrid w:val="0"/>
        </w:rPr>
      </w:pPr>
      <w:r>
        <w:rPr>
          <w:snapToGrid w:val="0"/>
        </w:rPr>
        <w:tab/>
        <w:t>(5)</w:t>
      </w:r>
      <w:r>
        <w:rPr>
          <w:snapToGrid w:val="0"/>
        </w:rPr>
        <w:tab/>
        <w:t>If, under this Act, the exercise of a power by the Commissioner is dependent on his opinion, belief or state of mind in relation to a matter and the power has been delegated under this section, the power may be exercised by the delegate on the opinion, belief or state of mind of the delegate in relation to the matter.</w:t>
      </w:r>
    </w:p>
    <w:p>
      <w:pPr>
        <w:pStyle w:val="Footnotesection"/>
      </w:pPr>
      <w:r>
        <w:tab/>
        <w:t>[Section 39 amended by No. 44 of 1995 s. 14.]</w:t>
      </w:r>
    </w:p>
    <w:p>
      <w:pPr>
        <w:pStyle w:val="Heading5"/>
        <w:rPr>
          <w:snapToGrid w:val="0"/>
        </w:rPr>
      </w:pPr>
      <w:bookmarkStart w:id="862" w:name="_Toc503149572"/>
      <w:bookmarkStart w:id="863" w:name="_Toc534613867"/>
      <w:bookmarkStart w:id="864" w:name="_Toc535053906"/>
      <w:bookmarkStart w:id="865" w:name="_Toc109615280"/>
      <w:bookmarkStart w:id="866" w:name="_Toc215543766"/>
      <w:bookmarkStart w:id="867" w:name="_Toc336264351"/>
      <w:bookmarkStart w:id="868" w:name="_Toc325554289"/>
      <w:r>
        <w:rPr>
          <w:rStyle w:val="CharSectno"/>
        </w:rPr>
        <w:t>40</w:t>
      </w:r>
      <w:r>
        <w:rPr>
          <w:snapToGrid w:val="0"/>
        </w:rPr>
        <w:t>.</w:t>
      </w:r>
      <w:r>
        <w:rPr>
          <w:snapToGrid w:val="0"/>
        </w:rPr>
        <w:tab/>
        <w:t>Civil liability of persons acting under this Act</w:t>
      </w:r>
      <w:bookmarkEnd w:id="862"/>
      <w:bookmarkEnd w:id="863"/>
      <w:bookmarkEnd w:id="864"/>
      <w:bookmarkEnd w:id="865"/>
      <w:bookmarkEnd w:id="866"/>
      <w:bookmarkEnd w:id="867"/>
      <w:bookmarkEnd w:id="868"/>
    </w:p>
    <w:p>
      <w:pPr>
        <w:pStyle w:val="Subsection"/>
        <w:rPr>
          <w:snapToGrid w:val="0"/>
        </w:rPr>
      </w:pPr>
      <w:r>
        <w:rPr>
          <w:snapToGrid w:val="0"/>
        </w:rPr>
        <w:tab/>
      </w:r>
      <w:r>
        <w:rPr>
          <w:snapToGrid w:val="0"/>
        </w:rPr>
        <w:tab/>
        <w:t>A person on whom a power is conferred or duty imposed by or under this Act is not personally liable in civil proceedings, and the Crown is not liable, for any act done or default made by him in good faith for the purpose of carrying this Act into effect.</w:t>
      </w:r>
    </w:p>
    <w:p>
      <w:pPr>
        <w:pStyle w:val="Heading5"/>
        <w:rPr>
          <w:snapToGrid w:val="0"/>
        </w:rPr>
      </w:pPr>
      <w:bookmarkStart w:id="869" w:name="_Toc503149573"/>
      <w:bookmarkStart w:id="870" w:name="_Toc534613868"/>
      <w:bookmarkStart w:id="871" w:name="_Toc535053907"/>
      <w:bookmarkStart w:id="872" w:name="_Toc109615281"/>
      <w:bookmarkStart w:id="873" w:name="_Toc215543767"/>
      <w:bookmarkStart w:id="874" w:name="_Toc336264352"/>
      <w:bookmarkStart w:id="875" w:name="_Toc325554290"/>
      <w:r>
        <w:rPr>
          <w:rStyle w:val="CharSectno"/>
        </w:rPr>
        <w:t>41</w:t>
      </w:r>
      <w:r>
        <w:rPr>
          <w:snapToGrid w:val="0"/>
        </w:rPr>
        <w:t>.</w:t>
      </w:r>
      <w:r>
        <w:rPr>
          <w:snapToGrid w:val="0"/>
        </w:rPr>
        <w:tab/>
        <w:t>Regulations</w:t>
      </w:r>
      <w:bookmarkEnd w:id="869"/>
      <w:bookmarkEnd w:id="870"/>
      <w:bookmarkEnd w:id="871"/>
      <w:bookmarkEnd w:id="872"/>
      <w:bookmarkEnd w:id="873"/>
      <w:bookmarkEnd w:id="874"/>
      <w:bookmarkEnd w:id="875"/>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prescribing and providing for the recovery of fees to be paid in respect of matters or things to be done under or for the purposes of this Act;</w:t>
      </w:r>
    </w:p>
    <w:p>
      <w:pPr>
        <w:pStyle w:val="Indenta"/>
        <w:keepNext/>
        <w:rPr>
          <w:snapToGrid w:val="0"/>
        </w:rPr>
      </w:pPr>
      <w:r>
        <w:rPr>
          <w:snapToGrid w:val="0"/>
        </w:rPr>
        <w:tab/>
        <w:t>(b)</w:t>
      </w:r>
      <w:r>
        <w:rPr>
          <w:snapToGrid w:val="0"/>
        </w:rPr>
        <w:tab/>
        <w:t>providing for the manner in which any thing, which is ordered or required under this Act — </w:t>
      </w:r>
    </w:p>
    <w:p>
      <w:pPr>
        <w:pStyle w:val="Indenti"/>
        <w:rPr>
          <w:snapToGrid w:val="0"/>
        </w:rPr>
      </w:pPr>
      <w:r>
        <w:rPr>
          <w:snapToGrid w:val="0"/>
        </w:rPr>
        <w:tab/>
        <w:t>(i)</w:t>
      </w:r>
      <w:r>
        <w:rPr>
          <w:snapToGrid w:val="0"/>
        </w:rPr>
        <w:tab/>
        <w:t>to be destroyed, is to be destroyed; and</w:t>
      </w:r>
    </w:p>
    <w:p>
      <w:pPr>
        <w:pStyle w:val="Indenti"/>
        <w:rPr>
          <w:snapToGrid w:val="0"/>
        </w:rPr>
      </w:pPr>
      <w:r>
        <w:rPr>
          <w:snapToGrid w:val="0"/>
        </w:rPr>
        <w:tab/>
        <w:t>(ii)</w:t>
      </w:r>
      <w:r>
        <w:rPr>
          <w:snapToGrid w:val="0"/>
        </w:rPr>
        <w:tab/>
        <w:t>to be released to a person, is to be released; and</w:t>
      </w:r>
    </w:p>
    <w:p>
      <w:pPr>
        <w:pStyle w:val="Indenti"/>
        <w:rPr>
          <w:snapToGrid w:val="0"/>
        </w:rPr>
      </w:pPr>
      <w:r>
        <w:rPr>
          <w:snapToGrid w:val="0"/>
        </w:rPr>
        <w:tab/>
        <w:t>(iii)</w:t>
      </w:r>
      <w:r>
        <w:rPr>
          <w:snapToGrid w:val="0"/>
        </w:rPr>
        <w:tab/>
        <w:t>to be forfeited to the Crown, is to be dealt with;</w:t>
      </w:r>
    </w:p>
    <w:p>
      <w:pPr>
        <w:pStyle w:val="Indenta"/>
        <w:rPr>
          <w:snapToGrid w:val="0"/>
        </w:rPr>
      </w:pPr>
      <w:r>
        <w:rPr>
          <w:snapToGrid w:val="0"/>
        </w:rPr>
        <w:tab/>
        <w:t>(ba)</w:t>
      </w:r>
      <w:r>
        <w:rPr>
          <w:snapToGrid w:val="0"/>
        </w:rPr>
        <w:tab/>
        <w:t>providing for the procedure to be followed in and in relation to the taking, packaging and labelling of samples;</w:t>
      </w:r>
    </w:p>
    <w:p>
      <w:pPr>
        <w:pStyle w:val="Indenta"/>
        <w:rPr>
          <w:snapToGrid w:val="0"/>
        </w:rPr>
      </w:pPr>
      <w:r>
        <w:rPr>
          <w:snapToGrid w:val="0"/>
        </w:rPr>
        <w:tab/>
        <w:t>(c)</w:t>
      </w:r>
      <w:r>
        <w:rPr>
          <w:snapToGrid w:val="0"/>
        </w:rPr>
        <w:tab/>
        <w:t>providing for the procedure to be followed in and in relation to — </w:t>
      </w:r>
    </w:p>
    <w:p>
      <w:pPr>
        <w:pStyle w:val="Indenti"/>
        <w:rPr>
          <w:snapToGrid w:val="0"/>
        </w:rPr>
      </w:pPr>
      <w:r>
        <w:rPr>
          <w:snapToGrid w:val="0"/>
        </w:rPr>
        <w:tab/>
        <w:t>(i)</w:t>
      </w:r>
      <w:r>
        <w:rPr>
          <w:snapToGrid w:val="0"/>
        </w:rPr>
        <w:tab/>
        <w:t>any analysis or examination under this Act; and</w:t>
      </w:r>
    </w:p>
    <w:p>
      <w:pPr>
        <w:pStyle w:val="Indenti"/>
        <w:rPr>
          <w:snapToGrid w:val="0"/>
        </w:rPr>
      </w:pPr>
      <w:r>
        <w:rPr>
          <w:snapToGrid w:val="0"/>
        </w:rPr>
        <w:tab/>
        <w:t>(ii)</w:t>
      </w:r>
      <w:r>
        <w:rPr>
          <w:snapToGrid w:val="0"/>
        </w:rPr>
        <w:tab/>
        <w:t>the admissibility and receipt of evidence relating to any thing obtained or received for an analysis or examination referred to in subparagraph (i);</w:t>
      </w:r>
    </w:p>
    <w:p>
      <w:pPr>
        <w:pStyle w:val="Indenta"/>
        <w:rPr>
          <w:snapToGrid w:val="0"/>
        </w:rPr>
      </w:pPr>
      <w:r>
        <w:rPr>
          <w:snapToGrid w:val="0"/>
        </w:rPr>
        <w:tab/>
        <w:t>(d)</w:t>
      </w:r>
      <w:r>
        <w:rPr>
          <w:snapToGrid w:val="0"/>
        </w:rPr>
        <w:tab/>
        <w:t>providing for the manner in which any thing is to be conveyed to and analysed or examined by an analyst, botanist or other expert.</w:t>
      </w:r>
    </w:p>
    <w:p>
      <w:pPr>
        <w:pStyle w:val="Subsection"/>
        <w:rPr>
          <w:snapToGrid w:val="0"/>
        </w:rPr>
      </w:pPr>
      <w:r>
        <w:rPr>
          <w:snapToGrid w:val="0"/>
        </w:rPr>
        <w:tab/>
        <w:t>(2)</w:t>
      </w:r>
      <w:r>
        <w:rPr>
          <w:snapToGrid w:val="0"/>
        </w:rPr>
        <w:tab/>
        <w:t xml:space="preserve">Regulations made under this Act are in addition to and not in derogation of any regulations made under the </w:t>
      </w:r>
      <w:r>
        <w:rPr>
          <w:i/>
          <w:snapToGrid w:val="0"/>
        </w:rPr>
        <w:t>Poisons Act 1964</w:t>
      </w:r>
      <w:r>
        <w:rPr>
          <w:snapToGrid w:val="0"/>
        </w:rPr>
        <w:t xml:space="preserve">, but if and to the extent that inconsistency exists between regulations made under this Act and regulations made under the </w:t>
      </w:r>
      <w:r>
        <w:rPr>
          <w:i/>
          <w:snapToGrid w:val="0"/>
        </w:rPr>
        <w:t>Poisons Act 1964</w:t>
      </w:r>
      <w:r>
        <w:rPr>
          <w:snapToGrid w:val="0"/>
        </w:rPr>
        <w:t xml:space="preserve"> the latter regulations shall prevail.</w:t>
      </w:r>
    </w:p>
    <w:p>
      <w:pPr>
        <w:pStyle w:val="Subsection"/>
        <w:rPr>
          <w:snapToGrid w:val="0"/>
        </w:rPr>
      </w:pPr>
      <w:r>
        <w:rPr>
          <w:snapToGrid w:val="0"/>
        </w:rPr>
        <w:tab/>
        <w:t>(3)</w:t>
      </w:r>
      <w:r>
        <w:rPr>
          <w:snapToGrid w:val="0"/>
        </w:rPr>
        <w:tab/>
        <w:t>The regulations may create offences and may provide for a penalty not exceeding $1 000.</w:t>
      </w:r>
    </w:p>
    <w:p>
      <w:pPr>
        <w:pStyle w:val="Footnotesection"/>
      </w:pPr>
      <w:r>
        <w:tab/>
        <w:t>[Section 41 amended by No. 44 of 1995 s. 15.]</w:t>
      </w:r>
    </w:p>
    <w:p>
      <w:pPr>
        <w:pStyle w:val="Heading5"/>
        <w:rPr>
          <w:snapToGrid w:val="0"/>
        </w:rPr>
      </w:pPr>
      <w:bookmarkStart w:id="876" w:name="_Toc503149574"/>
      <w:bookmarkStart w:id="877" w:name="_Toc534613869"/>
      <w:bookmarkStart w:id="878" w:name="_Toc535053908"/>
      <w:bookmarkStart w:id="879" w:name="_Toc109615282"/>
      <w:bookmarkStart w:id="880" w:name="_Toc215543768"/>
      <w:bookmarkStart w:id="881" w:name="_Toc336264353"/>
      <w:bookmarkStart w:id="882" w:name="_Toc325554291"/>
      <w:r>
        <w:rPr>
          <w:rStyle w:val="CharSectno"/>
        </w:rPr>
        <w:t>42</w:t>
      </w:r>
      <w:r>
        <w:rPr>
          <w:snapToGrid w:val="0"/>
        </w:rPr>
        <w:t>.</w:t>
      </w:r>
      <w:r>
        <w:rPr>
          <w:snapToGrid w:val="0"/>
        </w:rPr>
        <w:tab/>
        <w:t>Amendment of certain schedules</w:t>
      </w:r>
      <w:bookmarkEnd w:id="876"/>
      <w:bookmarkEnd w:id="877"/>
      <w:bookmarkEnd w:id="878"/>
      <w:bookmarkEnd w:id="879"/>
      <w:bookmarkEnd w:id="880"/>
      <w:bookmarkEnd w:id="881"/>
      <w:bookmarkEnd w:id="882"/>
    </w:p>
    <w:p>
      <w:pPr>
        <w:pStyle w:val="Subsection"/>
        <w:rPr>
          <w:snapToGrid w:val="0"/>
        </w:rPr>
      </w:pPr>
      <w:r>
        <w:rPr>
          <w:snapToGrid w:val="0"/>
        </w:rPr>
        <w:tab/>
        <w:t>(1)</w:t>
      </w:r>
      <w:r>
        <w:rPr>
          <w:snapToGrid w:val="0"/>
        </w:rPr>
        <w:tab/>
        <w:t xml:space="preserve">The Governor may from time to time by Order in Council published in the </w:t>
      </w:r>
      <w:r>
        <w:rPr>
          <w:i/>
          <w:snapToGrid w:val="0"/>
        </w:rPr>
        <w:t>Gazette</w:t>
      </w:r>
      <w:r>
        <w:rPr>
          <w:snapToGrid w:val="0"/>
        </w:rPr>
        <w:t xml:space="preserve"> amend Schedule III, IV, V, VI, VII or VIII by — </w:t>
      </w:r>
    </w:p>
    <w:p>
      <w:pPr>
        <w:pStyle w:val="Indenta"/>
        <w:rPr>
          <w:snapToGrid w:val="0"/>
        </w:rPr>
      </w:pPr>
      <w:r>
        <w:rPr>
          <w:snapToGrid w:val="0"/>
        </w:rPr>
        <w:tab/>
        <w:t>(a)</w:t>
      </w:r>
      <w:r>
        <w:rPr>
          <w:snapToGrid w:val="0"/>
        </w:rPr>
        <w:tab/>
        <w:t>adding thereto or deleting therefrom — </w:t>
      </w:r>
    </w:p>
    <w:p>
      <w:pPr>
        <w:pStyle w:val="Indenti"/>
        <w:rPr>
          <w:snapToGrid w:val="0"/>
        </w:rPr>
      </w:pPr>
      <w:r>
        <w:rPr>
          <w:snapToGrid w:val="0"/>
        </w:rPr>
        <w:tab/>
        <w:t>(i)</w:t>
      </w:r>
      <w:r>
        <w:rPr>
          <w:snapToGrid w:val="0"/>
        </w:rPr>
        <w:tab/>
        <w:t xml:space="preserve">any prohibited drug or any quantity specified in relation thereto; or </w:t>
      </w:r>
    </w:p>
    <w:p>
      <w:pPr>
        <w:pStyle w:val="Indenti"/>
        <w:rPr>
          <w:snapToGrid w:val="0"/>
        </w:rPr>
      </w:pPr>
      <w:r>
        <w:rPr>
          <w:snapToGrid w:val="0"/>
        </w:rPr>
        <w:tab/>
        <w:t>(ii)</w:t>
      </w:r>
      <w:r>
        <w:rPr>
          <w:snapToGrid w:val="0"/>
        </w:rPr>
        <w:tab/>
        <w:t>any prohibited plant of a particular species or genus or any number specified in relation thereto,</w:t>
      </w:r>
    </w:p>
    <w:p>
      <w:pPr>
        <w:pStyle w:val="Indenta"/>
        <w:rPr>
          <w:snapToGrid w:val="0"/>
        </w:rPr>
      </w:pPr>
      <w:r>
        <w:rPr>
          <w:snapToGrid w:val="0"/>
        </w:rPr>
        <w:tab/>
      </w:r>
      <w:r>
        <w:rPr>
          <w:snapToGrid w:val="0"/>
        </w:rPr>
        <w:tab/>
        <w:t>as the case requires; or</w:t>
      </w:r>
    </w:p>
    <w:p>
      <w:pPr>
        <w:pStyle w:val="Indenta"/>
        <w:rPr>
          <w:snapToGrid w:val="0"/>
        </w:rPr>
      </w:pPr>
      <w:r>
        <w:rPr>
          <w:snapToGrid w:val="0"/>
        </w:rPr>
        <w:tab/>
        <w:t>(b)</w:t>
      </w:r>
      <w:r>
        <w:rPr>
          <w:snapToGrid w:val="0"/>
        </w:rPr>
        <w:tab/>
        <w:t>deleting and substituting all or any of the items therein; or</w:t>
      </w:r>
    </w:p>
    <w:p>
      <w:pPr>
        <w:pStyle w:val="Indenta"/>
        <w:rPr>
          <w:snapToGrid w:val="0"/>
        </w:rPr>
      </w:pPr>
      <w:r>
        <w:rPr>
          <w:snapToGrid w:val="0"/>
        </w:rPr>
        <w:tab/>
        <w:t>(c)</w:t>
      </w:r>
      <w:r>
        <w:rPr>
          <w:snapToGrid w:val="0"/>
        </w:rPr>
        <w:tab/>
        <w:t>altering any item therein.</w:t>
      </w:r>
    </w:p>
    <w:p>
      <w:pPr>
        <w:pStyle w:val="Subsection"/>
        <w:rPr>
          <w:snapToGrid w:val="0"/>
        </w:rPr>
      </w:pPr>
      <w:r>
        <w:rPr>
          <w:snapToGrid w:val="0"/>
        </w:rPr>
        <w:tab/>
        <w:t>(2)</w:t>
      </w:r>
      <w:r>
        <w:rPr>
          <w:snapToGrid w:val="0"/>
        </w:rPr>
        <w:tab/>
        <w:t xml:space="preserve">Subject to this section, on the publication in the </w:t>
      </w:r>
      <w:r>
        <w:rPr>
          <w:i/>
          <w:snapToGrid w:val="0"/>
        </w:rPr>
        <w:t>Gazette</w:t>
      </w:r>
      <w:r>
        <w:rPr>
          <w:snapToGrid w:val="0"/>
        </w:rPr>
        <w:t xml:space="preserve"> of an Order in Council made under subsection (1), the Schedule to which that Order in Council relates is amended accordingly and, as so amended, has the same force and effect as if the amendment effected by that Order in Council had been effected by an Act amending this Act.</w:t>
      </w:r>
    </w:p>
    <w:p>
      <w:pPr>
        <w:pStyle w:val="Subsection"/>
        <w:rPr>
          <w:snapToGrid w:val="0"/>
        </w:rPr>
      </w:pPr>
      <w:r>
        <w:rPr>
          <w:snapToGrid w:val="0"/>
        </w:rPr>
        <w:tab/>
        <w:t>(3)</w:t>
      </w:r>
      <w:r>
        <w:rPr>
          <w:snapToGrid w:val="0"/>
        </w:rPr>
        <w:tab/>
        <w:t xml:space="preserve">The Minister shall cause a copy of every Order in Council made under subsection (1) to be laid on the Table of each House of Parliament within the first 14 sitting days of that House after the publication of that Order in Council in the </w:t>
      </w:r>
      <w:r>
        <w:rPr>
          <w:i/>
          <w:snapToGrid w:val="0"/>
        </w:rPr>
        <w:t>Gazette</w:t>
      </w:r>
      <w:r>
        <w:rPr>
          <w:snapToGrid w:val="0"/>
        </w:rPr>
        <w:t>.</w:t>
      </w:r>
    </w:p>
    <w:p>
      <w:pPr>
        <w:pStyle w:val="Subsection"/>
        <w:rPr>
          <w:snapToGrid w:val="0"/>
        </w:rPr>
      </w:pPr>
      <w:r>
        <w:rPr>
          <w:snapToGrid w:val="0"/>
        </w:rPr>
        <w:tab/>
        <w:t>(4)</w:t>
      </w:r>
      <w:r>
        <w:rPr>
          <w:snapToGrid w:val="0"/>
        </w:rPr>
        <w:tab/>
        <w:t>If a copy of an Order in Council made under subsection (1) is not laid on the Table of a House of Parliament in accordance with subsection (3), that Order in Council ceases to have effect when that copy is not so laid but without affecting the validity or curing the invalidity of anything done or omitted to be done in good faith before that Order in Council so ceases to have effect.</w:t>
      </w:r>
    </w:p>
    <w:p>
      <w:pPr>
        <w:pStyle w:val="Subsection"/>
        <w:rPr>
          <w:snapToGrid w:val="0"/>
        </w:rPr>
      </w:pPr>
      <w:r>
        <w:rPr>
          <w:snapToGrid w:val="0"/>
        </w:rPr>
        <w:tab/>
        <w:t>(5)</w:t>
      </w:r>
      <w:r>
        <w:rPr>
          <w:snapToGrid w:val="0"/>
        </w:rPr>
        <w:tab/>
        <w:t>If either House of Parliament passes a resolution, of which notice has been given within the first 14 sitting days of that House after a copy of the relevant Order in Council made under subsection (1) has been laid on the Table of that House under subsection (3), that that Order in Council be disallowed, that Order in Council thereupon ceases to have effect, but the disallowance of that Order in Council does not affect the validity or cure the invalidity of anything done or omitted to be done in good faith before the passing of that resolution.</w:t>
      </w:r>
    </w:p>
    <w:p>
      <w:pPr>
        <w:pStyle w:val="Footnotesection"/>
      </w:pPr>
      <w:r>
        <w:tab/>
        <w:t>[Section 42 amended by No. 50 of 1990 s. 5.]</w:t>
      </w:r>
    </w:p>
    <w:p>
      <w:pPr>
        <w:pStyle w:val="Heading2"/>
      </w:pPr>
      <w:bookmarkStart w:id="883" w:name="_Toc299701972"/>
      <w:bookmarkStart w:id="884" w:name="_Toc299717029"/>
      <w:bookmarkStart w:id="885" w:name="_Toc299717525"/>
      <w:bookmarkStart w:id="886" w:name="_Toc301268152"/>
      <w:bookmarkStart w:id="887" w:name="_Toc301345322"/>
      <w:bookmarkStart w:id="888" w:name="_Toc303929315"/>
      <w:bookmarkStart w:id="889" w:name="_Toc306013931"/>
      <w:bookmarkStart w:id="890" w:name="_Toc306014029"/>
      <w:bookmarkStart w:id="891" w:name="_Toc306018465"/>
      <w:bookmarkStart w:id="892" w:name="_Toc309727439"/>
      <w:bookmarkStart w:id="893" w:name="_Toc309730160"/>
      <w:bookmarkStart w:id="894" w:name="_Toc320107682"/>
      <w:bookmarkStart w:id="895" w:name="_Toc320108312"/>
      <w:bookmarkStart w:id="896" w:name="_Toc320187262"/>
      <w:bookmarkStart w:id="897" w:name="_Toc322004324"/>
      <w:bookmarkStart w:id="898" w:name="_Toc322006260"/>
      <w:bookmarkStart w:id="899" w:name="_Toc325551458"/>
      <w:bookmarkStart w:id="900" w:name="_Toc325553624"/>
      <w:bookmarkStart w:id="901" w:name="_Toc325553723"/>
      <w:bookmarkStart w:id="902" w:name="_Toc325553822"/>
      <w:bookmarkStart w:id="903" w:name="_Toc325554292"/>
      <w:bookmarkStart w:id="904" w:name="_Toc336264354"/>
      <w:bookmarkStart w:id="905" w:name="_Toc297816147"/>
      <w:r>
        <w:rPr>
          <w:rStyle w:val="CharPartNo"/>
        </w:rPr>
        <w:t>Part VII</w:t>
      </w:r>
      <w:r>
        <w:rPr>
          <w:b w:val="0"/>
        </w:rPr>
        <w:t> </w:t>
      </w:r>
      <w:r>
        <w:t>—</w:t>
      </w:r>
      <w:r>
        <w:rPr>
          <w:b w:val="0"/>
        </w:rPr>
        <w:t> </w:t>
      </w:r>
      <w:r>
        <w:rPr>
          <w:rStyle w:val="CharPartText"/>
        </w:rPr>
        <w:t>Transitional provisions</w:t>
      </w:r>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p>
    <w:p>
      <w:pPr>
        <w:pStyle w:val="Footnoteheading"/>
      </w:pPr>
      <w:bookmarkStart w:id="906" w:name="_Toc299701973"/>
      <w:r>
        <w:tab/>
        <w:t>[Heading inserted by No. 45 of 2010 s. 8.]</w:t>
      </w:r>
    </w:p>
    <w:p>
      <w:pPr>
        <w:pStyle w:val="Heading3"/>
      </w:pPr>
      <w:bookmarkStart w:id="907" w:name="_Toc299717030"/>
      <w:bookmarkStart w:id="908" w:name="_Toc299717526"/>
      <w:bookmarkStart w:id="909" w:name="_Toc301268153"/>
      <w:bookmarkStart w:id="910" w:name="_Toc301345323"/>
      <w:bookmarkStart w:id="911" w:name="_Toc303929316"/>
      <w:bookmarkStart w:id="912" w:name="_Toc306013932"/>
      <w:bookmarkStart w:id="913" w:name="_Toc306014030"/>
      <w:bookmarkStart w:id="914" w:name="_Toc306018466"/>
      <w:bookmarkStart w:id="915" w:name="_Toc309727440"/>
      <w:bookmarkStart w:id="916" w:name="_Toc309730161"/>
      <w:bookmarkStart w:id="917" w:name="_Toc320107683"/>
      <w:bookmarkStart w:id="918" w:name="_Toc320108313"/>
      <w:bookmarkStart w:id="919" w:name="_Toc320187263"/>
      <w:bookmarkStart w:id="920" w:name="_Toc322004325"/>
      <w:bookmarkStart w:id="921" w:name="_Toc322006261"/>
      <w:bookmarkStart w:id="922" w:name="_Toc325551459"/>
      <w:bookmarkStart w:id="923" w:name="_Toc325553625"/>
      <w:bookmarkStart w:id="924" w:name="_Toc325553724"/>
      <w:bookmarkStart w:id="925" w:name="_Toc325553823"/>
      <w:bookmarkStart w:id="926" w:name="_Toc325554293"/>
      <w:bookmarkStart w:id="927" w:name="_Toc336264355"/>
      <w:r>
        <w:rPr>
          <w:rStyle w:val="CharDivNo"/>
        </w:rPr>
        <w:t>Division 1</w:t>
      </w:r>
      <w:r>
        <w:t> — </w:t>
      </w:r>
      <w:r>
        <w:rPr>
          <w:rStyle w:val="CharDivText"/>
        </w:rPr>
        <w:t>Preliminary</w:t>
      </w:r>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p>
    <w:p>
      <w:pPr>
        <w:pStyle w:val="Footnoteheading"/>
      </w:pPr>
      <w:bookmarkStart w:id="928" w:name="_Toc299701974"/>
      <w:r>
        <w:tab/>
        <w:t>[Heading inserted by No. 45 of 2010 s. 8.]</w:t>
      </w:r>
    </w:p>
    <w:p>
      <w:pPr>
        <w:pStyle w:val="Heading5"/>
      </w:pPr>
      <w:bookmarkStart w:id="929" w:name="_Toc336264356"/>
      <w:bookmarkStart w:id="930" w:name="_Toc325554294"/>
      <w:r>
        <w:rPr>
          <w:rStyle w:val="CharSectno"/>
        </w:rPr>
        <w:t>43</w:t>
      </w:r>
      <w:r>
        <w:t>.</w:t>
      </w:r>
      <w:r>
        <w:tab/>
      </w:r>
      <w:r>
        <w:rPr>
          <w:i/>
          <w:iCs/>
        </w:rPr>
        <w:t>Interpretation Act 1984</w:t>
      </w:r>
      <w:r>
        <w:t xml:space="preserve"> not limited</w:t>
      </w:r>
      <w:bookmarkEnd w:id="928"/>
      <w:bookmarkEnd w:id="929"/>
      <w:bookmarkEnd w:id="930"/>
    </w:p>
    <w:p>
      <w:pPr>
        <w:pStyle w:val="Subsection"/>
      </w:pPr>
      <w:r>
        <w:tab/>
      </w:r>
      <w:r>
        <w:tab/>
        <w:t xml:space="preserve">This Part does not limit the operation of the </w:t>
      </w:r>
      <w:r>
        <w:rPr>
          <w:i/>
          <w:iCs/>
        </w:rPr>
        <w:t>Interpretation Act 1984</w:t>
      </w:r>
      <w:r>
        <w:t xml:space="preserve"> Part V.</w:t>
      </w:r>
    </w:p>
    <w:p>
      <w:pPr>
        <w:pStyle w:val="Footnotesection"/>
      </w:pPr>
      <w:bookmarkStart w:id="931" w:name="_Toc299701975"/>
      <w:r>
        <w:tab/>
        <w:t>[Section 43 inserted by No. 45 of 2010 s. 8.]</w:t>
      </w:r>
    </w:p>
    <w:p>
      <w:pPr>
        <w:pStyle w:val="Heading5"/>
      </w:pPr>
      <w:bookmarkStart w:id="932" w:name="_Toc336264357"/>
      <w:bookmarkStart w:id="933" w:name="_Toc325554295"/>
      <w:r>
        <w:rPr>
          <w:rStyle w:val="CharSectno"/>
        </w:rPr>
        <w:t>44</w:t>
      </w:r>
      <w:r>
        <w:t>.</w:t>
      </w:r>
      <w:r>
        <w:tab/>
        <w:t>Transitional regulations</w:t>
      </w:r>
      <w:bookmarkEnd w:id="931"/>
      <w:bookmarkEnd w:id="932"/>
      <w:bookmarkEnd w:id="933"/>
    </w:p>
    <w:p>
      <w:pPr>
        <w:pStyle w:val="Subsection"/>
      </w:pPr>
      <w:r>
        <w:tab/>
        <w:t>(1)</w:t>
      </w:r>
      <w:r>
        <w:tab/>
        <w:t xml:space="preserve">Regulations may prescribe all matters that are required or necessary or convenient to be prescribed for dealing with any issue or matter of a savings or transitional nature — </w:t>
      </w:r>
    </w:p>
    <w:p>
      <w:pPr>
        <w:pStyle w:val="Indenta"/>
      </w:pPr>
      <w:r>
        <w:tab/>
        <w:t>(a)</w:t>
      </w:r>
      <w:r>
        <w:tab/>
        <w:t>that arises as a result of the amendment of this Act by another Act (</w:t>
      </w:r>
      <w:r>
        <w:rPr>
          <w:rStyle w:val="CharDefText"/>
        </w:rPr>
        <w:t>an amending Act</w:t>
      </w:r>
      <w:r>
        <w:t>); and</w:t>
      </w:r>
    </w:p>
    <w:p>
      <w:pPr>
        <w:pStyle w:val="Indenta"/>
      </w:pPr>
      <w:r>
        <w:tab/>
        <w:t>(b)</w:t>
      </w:r>
      <w:r>
        <w:tab/>
        <w:t>for which there is no sufficient provision in this Act or the amending Act.</w:t>
      </w:r>
    </w:p>
    <w:p>
      <w:pPr>
        <w:pStyle w:val="Subsection"/>
      </w:pPr>
      <w:r>
        <w:tab/>
        <w:t>(2)</w:t>
      </w:r>
      <w:r>
        <w:tab/>
        <w:t>Regulations made under this section may provide that specified provisions of this Act do not apply, or apply with modifications specified in the regulations, to or in relation to any matter.</w:t>
      </w:r>
    </w:p>
    <w:p>
      <w:pPr>
        <w:pStyle w:val="Subsection"/>
      </w:pPr>
      <w:r>
        <w:tab/>
        <w:t>(3)</w:t>
      </w:r>
      <w:r>
        <w:tab/>
        <w:t>Regulations made under this section may provide that a state of affairs specified in the regulations is to be taken to have existed, or not to have existed, on and from a day that is earlier than the day on which the regulations come into operation but not earlier than the day on which the relevant amending Act, or the relevant provision or provisions of that Act, came into operation.</w:t>
      </w:r>
    </w:p>
    <w:p>
      <w:pPr>
        <w:pStyle w:val="Subsection"/>
        <w:keepNext/>
      </w:pPr>
      <w:r>
        <w:tab/>
        <w:t>(4)</w:t>
      </w:r>
      <w:r>
        <w:tab/>
        <w:t xml:space="preserve">If the regulations contain a provision referred to in subsection (3), the provision does not operate so as — </w:t>
      </w:r>
    </w:p>
    <w:p>
      <w:pPr>
        <w:pStyle w:val="Indenta"/>
      </w:pPr>
      <w:r>
        <w:tab/>
        <w:t>(a)</w:t>
      </w:r>
      <w:r>
        <w:tab/>
        <w:t>to affect in a manner prejudicial to any person (other than the State), the rights of that person existing before the regulations commenced; or</w:t>
      </w:r>
    </w:p>
    <w:p>
      <w:pPr>
        <w:pStyle w:val="Indenta"/>
      </w:pPr>
      <w:r>
        <w:tab/>
        <w:t>(b)</w:t>
      </w:r>
      <w:r>
        <w:tab/>
        <w:t>to impose liabilities on any person (other than the State) in respect of anything done or omitted to be done before the regulations commenced.</w:t>
      </w:r>
    </w:p>
    <w:p>
      <w:pPr>
        <w:pStyle w:val="Footnotesection"/>
      </w:pPr>
      <w:bookmarkStart w:id="934" w:name="_Toc299701976"/>
      <w:r>
        <w:tab/>
        <w:t>[Section 44 inserted by No. 45 of 2010 s. 8.]</w:t>
      </w:r>
    </w:p>
    <w:p>
      <w:pPr>
        <w:pStyle w:val="yHeading3"/>
      </w:pPr>
      <w:bookmarkStart w:id="935" w:name="_Toc299717033"/>
      <w:bookmarkStart w:id="936" w:name="_Toc299717529"/>
      <w:bookmarkStart w:id="937" w:name="_Toc301268156"/>
      <w:bookmarkStart w:id="938" w:name="_Toc301345326"/>
      <w:bookmarkStart w:id="939" w:name="_Toc303929319"/>
      <w:bookmarkStart w:id="940" w:name="_Toc306013935"/>
      <w:bookmarkStart w:id="941" w:name="_Toc306014033"/>
      <w:bookmarkStart w:id="942" w:name="_Toc306018469"/>
      <w:bookmarkStart w:id="943" w:name="_Toc309727443"/>
      <w:bookmarkStart w:id="944" w:name="_Toc309730164"/>
      <w:bookmarkStart w:id="945" w:name="_Toc320107686"/>
      <w:bookmarkStart w:id="946" w:name="_Toc320108316"/>
      <w:bookmarkStart w:id="947" w:name="_Toc320187266"/>
      <w:bookmarkStart w:id="948" w:name="_Toc322004328"/>
      <w:bookmarkStart w:id="949" w:name="_Toc322006264"/>
      <w:bookmarkStart w:id="950" w:name="_Toc325551462"/>
      <w:bookmarkStart w:id="951" w:name="_Toc325553628"/>
      <w:bookmarkStart w:id="952" w:name="_Toc325553727"/>
      <w:bookmarkStart w:id="953" w:name="_Toc325553826"/>
      <w:bookmarkStart w:id="954" w:name="_Toc325554296"/>
      <w:bookmarkStart w:id="955" w:name="_Toc336264358"/>
      <w:r>
        <w:rPr>
          <w:rStyle w:val="CharDivNo"/>
          <w:sz w:val="26"/>
        </w:rPr>
        <w:t>Division 2</w:t>
      </w:r>
      <w:r>
        <w:rPr>
          <w:b w:val="0"/>
        </w:rPr>
        <w:t> — </w:t>
      </w:r>
      <w:r>
        <w:rPr>
          <w:rStyle w:val="CharDivText"/>
          <w:sz w:val="26"/>
        </w:rPr>
        <w:t xml:space="preserve">Provisions for </w:t>
      </w:r>
      <w:r>
        <w:rPr>
          <w:rStyle w:val="CharDivText"/>
          <w:i/>
          <w:sz w:val="26"/>
        </w:rPr>
        <w:t>Cannabis Law Reform Act 2010</w:t>
      </w:r>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p>
    <w:p>
      <w:pPr>
        <w:pStyle w:val="Footnoteheading"/>
      </w:pPr>
      <w:bookmarkStart w:id="956" w:name="_Toc299701977"/>
      <w:r>
        <w:tab/>
        <w:t>[Heading inserted by No. 45 of 2010 s. 8.]</w:t>
      </w:r>
    </w:p>
    <w:p>
      <w:pPr>
        <w:pStyle w:val="Heading5"/>
      </w:pPr>
      <w:bookmarkStart w:id="957" w:name="_Toc336264359"/>
      <w:bookmarkStart w:id="958" w:name="_Toc325554297"/>
      <w:r>
        <w:rPr>
          <w:rStyle w:val="CharSectno"/>
        </w:rPr>
        <w:t>45</w:t>
      </w:r>
      <w:r>
        <w:t>.</w:t>
      </w:r>
      <w:r>
        <w:tab/>
        <w:t>Terms used</w:t>
      </w:r>
      <w:bookmarkEnd w:id="956"/>
      <w:bookmarkEnd w:id="957"/>
      <w:bookmarkEnd w:id="958"/>
    </w:p>
    <w:p>
      <w:pPr>
        <w:pStyle w:val="Subsection"/>
      </w:pPr>
      <w:r>
        <w:tab/>
      </w:r>
      <w:r>
        <w:tab/>
        <w:t xml:space="preserve">In this Division — </w:t>
      </w:r>
    </w:p>
    <w:p>
      <w:pPr>
        <w:pStyle w:val="Defstart"/>
      </w:pPr>
      <w:r>
        <w:tab/>
      </w:r>
      <w:r>
        <w:rPr>
          <w:rStyle w:val="CharDefText"/>
        </w:rPr>
        <w:t>CIN</w:t>
      </w:r>
      <w:r>
        <w:t xml:space="preserve"> means a cannabis infringement notice given under the </w:t>
      </w:r>
      <w:r>
        <w:rPr>
          <w:i/>
          <w:iCs/>
        </w:rPr>
        <w:t>Cannabis Control Act </w:t>
      </w:r>
      <w:r>
        <w:rPr>
          <w:i/>
        </w:rPr>
        <w:t>2003</w:t>
      </w:r>
      <w:r>
        <w:rPr>
          <w:iCs/>
        </w:rPr>
        <w:t xml:space="preserve"> </w:t>
      </w:r>
      <w:r>
        <w:t>and in force immediately before the repeal of that Act;</w:t>
      </w:r>
    </w:p>
    <w:p>
      <w:pPr>
        <w:pStyle w:val="Defstart"/>
      </w:pPr>
      <w:r>
        <w:tab/>
      </w:r>
      <w:r>
        <w:rPr>
          <w:rStyle w:val="CharDefText"/>
        </w:rPr>
        <w:t>commencement day</w:t>
      </w:r>
      <w:r>
        <w:t xml:space="preserve"> means the day on which the </w:t>
      </w:r>
      <w:r>
        <w:rPr>
          <w:i/>
          <w:iCs/>
        </w:rPr>
        <w:t>Cannabis Law Reform Act 2010</w:t>
      </w:r>
      <w:r>
        <w:rPr>
          <w:iCs/>
          <w:vertAlign w:val="superscript"/>
        </w:rPr>
        <w:t> 1</w:t>
      </w:r>
      <w:r>
        <w:t xml:space="preserve"> Part 2 comes into operation.</w:t>
      </w:r>
    </w:p>
    <w:p>
      <w:pPr>
        <w:pStyle w:val="Footnotesection"/>
      </w:pPr>
      <w:bookmarkStart w:id="959" w:name="_Toc299701978"/>
      <w:r>
        <w:tab/>
        <w:t>[Section 45 inserted by No. 45 of 2010 s. 8.]</w:t>
      </w:r>
    </w:p>
    <w:p>
      <w:pPr>
        <w:pStyle w:val="Heading5"/>
      </w:pPr>
      <w:bookmarkStart w:id="960" w:name="_Toc336264360"/>
      <w:bookmarkStart w:id="961" w:name="_Toc325554298"/>
      <w:r>
        <w:rPr>
          <w:rStyle w:val="CharSectno"/>
        </w:rPr>
        <w:t>46</w:t>
      </w:r>
      <w:r>
        <w:t>.</w:t>
      </w:r>
      <w:r>
        <w:tab/>
        <w:t>CINs continue in force</w:t>
      </w:r>
      <w:bookmarkEnd w:id="959"/>
      <w:bookmarkEnd w:id="960"/>
      <w:bookmarkEnd w:id="961"/>
    </w:p>
    <w:p>
      <w:pPr>
        <w:pStyle w:val="Subsection"/>
      </w:pPr>
      <w:r>
        <w:tab/>
      </w:r>
      <w:r>
        <w:tab/>
        <w:t xml:space="preserve">Despite the repeal of the </w:t>
      </w:r>
      <w:r>
        <w:rPr>
          <w:i/>
          <w:iCs/>
        </w:rPr>
        <w:t>Cannabis Control Act 2003</w:t>
      </w:r>
      <w:r>
        <w:t xml:space="preserve">, that Act and the </w:t>
      </w:r>
      <w:r>
        <w:rPr>
          <w:i/>
          <w:iCs/>
        </w:rPr>
        <w:t>Fines, Penalties and Infringement Notices Enforcement Act 1994</w:t>
      </w:r>
      <w:r>
        <w:t>, continue to apply in respect of a CIN, except in so far as the contrary intention is provided under this Division.</w:t>
      </w:r>
    </w:p>
    <w:p>
      <w:pPr>
        <w:pStyle w:val="Footnotesection"/>
      </w:pPr>
      <w:bookmarkStart w:id="962" w:name="_Toc299701979"/>
      <w:r>
        <w:tab/>
        <w:t>[Section 46 inserted by No. 45 of 2010 s. 8.]</w:t>
      </w:r>
    </w:p>
    <w:p>
      <w:pPr>
        <w:pStyle w:val="Heading5"/>
      </w:pPr>
      <w:bookmarkStart w:id="963" w:name="_Toc336264361"/>
      <w:bookmarkStart w:id="964" w:name="_Toc325554299"/>
      <w:r>
        <w:rPr>
          <w:rStyle w:val="CharSectno"/>
        </w:rPr>
        <w:t>47</w:t>
      </w:r>
      <w:r>
        <w:t>.</w:t>
      </w:r>
      <w:r>
        <w:tab/>
        <w:t>Amounts outstanding in 12 months time under a CIN are to be taken to be paid</w:t>
      </w:r>
      <w:bookmarkEnd w:id="962"/>
      <w:bookmarkEnd w:id="963"/>
      <w:bookmarkEnd w:id="964"/>
    </w:p>
    <w:p>
      <w:pPr>
        <w:pStyle w:val="Subsection"/>
      </w:pPr>
      <w:r>
        <w:tab/>
        <w:t>(1)</w:t>
      </w:r>
      <w:r>
        <w:tab/>
        <w:t xml:space="preserve">Subsection (2) applies in respect of a CIN if a licence suspension order was made under the </w:t>
      </w:r>
      <w:r>
        <w:rPr>
          <w:i/>
          <w:iCs/>
        </w:rPr>
        <w:t xml:space="preserve">Fines, Penalties and Infringement Notices Enforcement Act 1994 </w:t>
      </w:r>
      <w:r>
        <w:t>section 19</w:t>
      </w:r>
      <w:r>
        <w:rPr>
          <w:i/>
          <w:iCs/>
        </w:rPr>
        <w:t xml:space="preserve"> </w:t>
      </w:r>
      <w:r>
        <w:t>in respect of the CIN.</w:t>
      </w:r>
    </w:p>
    <w:p>
      <w:pPr>
        <w:pStyle w:val="Subsection"/>
      </w:pPr>
      <w:r>
        <w:tab/>
        <w:t>(2)</w:t>
      </w:r>
      <w:r>
        <w:tab/>
        <w:t xml:space="preserve">If, immediately before — </w:t>
      </w:r>
    </w:p>
    <w:p>
      <w:pPr>
        <w:pStyle w:val="Indenta"/>
      </w:pPr>
      <w:r>
        <w:tab/>
        <w:t>(a)</w:t>
      </w:r>
      <w:r>
        <w:tab/>
        <w:t>the day that is 12 months after the day on which the licence suspension order is made in respect of the CIN; or</w:t>
      </w:r>
    </w:p>
    <w:p>
      <w:pPr>
        <w:pStyle w:val="Indenta"/>
      </w:pPr>
      <w:r>
        <w:tab/>
        <w:t>(b)</w:t>
      </w:r>
      <w:r>
        <w:tab/>
        <w:t>the commencement day,</w:t>
      </w:r>
    </w:p>
    <w:p>
      <w:pPr>
        <w:pStyle w:val="Subsection"/>
      </w:pPr>
      <w:r>
        <w:tab/>
      </w:r>
      <w:r>
        <w:tab/>
        <w:t xml:space="preserve">whichever is the later in time — </w:t>
      </w:r>
    </w:p>
    <w:p>
      <w:pPr>
        <w:pStyle w:val="Indenta"/>
      </w:pPr>
      <w:r>
        <w:tab/>
        <w:t>(c)</w:t>
      </w:r>
      <w:r>
        <w:tab/>
        <w:t xml:space="preserve">the modified penalty, and enforcement fees, payable under the </w:t>
      </w:r>
      <w:r>
        <w:rPr>
          <w:i/>
          <w:iCs/>
        </w:rPr>
        <w:t xml:space="preserve">Fines, Penalties and Infringement Notices Enforcement Act 1994 </w:t>
      </w:r>
      <w:r>
        <w:t>in respect of the CIN have not been paid; and</w:t>
      </w:r>
    </w:p>
    <w:p>
      <w:pPr>
        <w:pStyle w:val="Indenta"/>
      </w:pPr>
      <w:r>
        <w:tab/>
        <w:t>(d)</w:t>
      </w:r>
      <w:r>
        <w:tab/>
        <w:t>an election has not been made under section 21 of that Act,</w:t>
      </w:r>
    </w:p>
    <w:p>
      <w:pPr>
        <w:pStyle w:val="Subsection"/>
      </w:pPr>
      <w:r>
        <w:tab/>
      </w:r>
      <w:r>
        <w:tab/>
        <w:t>then, for the purposes of that Act, the amounts referred to in paragraph (c) are to be taken to be paid on that day.</w:t>
      </w:r>
    </w:p>
    <w:p>
      <w:pPr>
        <w:pStyle w:val="Subsection"/>
        <w:rPr>
          <w:szCs w:val="24"/>
        </w:rPr>
      </w:pPr>
      <w:r>
        <w:tab/>
        <w:t>(3)</w:t>
      </w:r>
      <w:r>
        <w:tab/>
        <w:t xml:space="preserve">If, due to the operation of subsection (2), a licence suspension order is to be taken as having been cancelled under the </w:t>
      </w:r>
      <w:r>
        <w:rPr>
          <w:i/>
          <w:iCs/>
        </w:rPr>
        <w:t>Fines, Penalties</w:t>
      </w:r>
      <w:r>
        <w:rPr>
          <w:i/>
        </w:rPr>
        <w:t xml:space="preserve"> and Infringement Notices Enforcement Act 1994</w:t>
      </w:r>
      <w:r>
        <w:t> section 20(1)(a), then subsections (3) and (4) of that section apply as if the licence suspension order was cancelled under subsection (2) of that section.</w:t>
      </w:r>
    </w:p>
    <w:p>
      <w:pPr>
        <w:pStyle w:val="Footnotesection"/>
      </w:pPr>
      <w:r>
        <w:tab/>
        <w:t>[Section 47 inserted by No. 45 of 2010 s. 8.]</w:t>
      </w:r>
    </w:p>
    <w:p>
      <w:pPr>
        <w:pStyle w:val="Heading5"/>
      </w:pPr>
      <w:bookmarkStart w:id="965" w:name="_Toc336264362"/>
      <w:bookmarkStart w:id="966" w:name="_Toc325554300"/>
      <w:bookmarkEnd w:id="905"/>
      <w:r>
        <w:rPr>
          <w:rStyle w:val="CharSectno"/>
        </w:rPr>
        <w:t>48</w:t>
      </w:r>
      <w:r>
        <w:t>.</w:t>
      </w:r>
      <w:r>
        <w:tab/>
        <w:t>Transitional provisions (Sch. IX)</w:t>
      </w:r>
      <w:bookmarkEnd w:id="965"/>
      <w:bookmarkEnd w:id="966"/>
    </w:p>
    <w:p>
      <w:pPr>
        <w:pStyle w:val="Subsection"/>
      </w:pPr>
      <w:r>
        <w:tab/>
      </w:r>
      <w:r>
        <w:tab/>
        <w:t>Schedule IX sets out transitional provisions.</w:t>
      </w:r>
    </w:p>
    <w:p>
      <w:pPr>
        <w:pStyle w:val="Footnotesection"/>
      </w:pPr>
      <w:r>
        <w:tab/>
        <w:t>[Section 48</w:t>
      </w:r>
      <w:r>
        <w:rPr>
          <w:i w:val="0"/>
          <w:vertAlign w:val="superscript"/>
        </w:rPr>
        <w:t> </w:t>
      </w:r>
      <w:r>
        <w:rPr>
          <w:vertAlign w:val="superscript"/>
        </w:rPr>
        <w:t>2</w:t>
      </w:r>
      <w:r>
        <w:t xml:space="preserve"> inserted as section 43 by No. 44 of 2010 s. 9.]</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967" w:name="_Toc535053909"/>
      <w:bookmarkStart w:id="968" w:name="_Toc109615283"/>
      <w:bookmarkStart w:id="969" w:name="_Toc139344577"/>
      <w:bookmarkStart w:id="970" w:name="_Toc139699341"/>
      <w:bookmarkStart w:id="971" w:name="_Toc147051374"/>
      <w:bookmarkStart w:id="972" w:name="_Toc147118829"/>
      <w:bookmarkStart w:id="973" w:name="_Toc148236150"/>
      <w:bookmarkStart w:id="974" w:name="_Toc158705024"/>
      <w:bookmarkStart w:id="975" w:name="_Toc165369984"/>
      <w:bookmarkStart w:id="976" w:name="_Toc177873326"/>
      <w:bookmarkStart w:id="977" w:name="_Toc177873451"/>
      <w:bookmarkStart w:id="978" w:name="_Toc184707408"/>
      <w:bookmarkStart w:id="979" w:name="_Toc189464739"/>
      <w:bookmarkStart w:id="980" w:name="_Toc190249303"/>
      <w:bookmarkStart w:id="981" w:name="_Toc191703197"/>
      <w:bookmarkStart w:id="982" w:name="_Toc193692114"/>
      <w:bookmarkStart w:id="983" w:name="_Toc199817296"/>
      <w:bookmarkStart w:id="984" w:name="_Toc215543769"/>
      <w:bookmarkStart w:id="985" w:name="_Toc215544029"/>
      <w:bookmarkStart w:id="986" w:name="_Toc248029066"/>
      <w:bookmarkStart w:id="987" w:name="_Toc256085115"/>
      <w:bookmarkStart w:id="988" w:name="_Toc256092180"/>
      <w:bookmarkStart w:id="989" w:name="_Toc268600366"/>
      <w:bookmarkStart w:id="990" w:name="_Toc272237495"/>
      <w:bookmarkStart w:id="991" w:name="_Toc275253574"/>
      <w:bookmarkStart w:id="992" w:name="_Toc283287499"/>
      <w:bookmarkStart w:id="993" w:name="_Toc290558485"/>
      <w:bookmarkStart w:id="994" w:name="_Toc290558561"/>
      <w:bookmarkStart w:id="995" w:name="_Toc291764700"/>
      <w:bookmarkStart w:id="996" w:name="_Toc291768272"/>
      <w:bookmarkStart w:id="997" w:name="_Toc297718773"/>
      <w:bookmarkStart w:id="998" w:name="_Toc297904507"/>
      <w:bookmarkStart w:id="999" w:name="_Toc297904581"/>
      <w:bookmarkStart w:id="1000" w:name="_Toc299717037"/>
      <w:bookmarkStart w:id="1001" w:name="_Toc299717534"/>
      <w:bookmarkStart w:id="1002" w:name="_Toc301268161"/>
      <w:bookmarkStart w:id="1003" w:name="_Toc301345331"/>
      <w:bookmarkStart w:id="1004" w:name="_Toc303929324"/>
      <w:bookmarkStart w:id="1005" w:name="_Toc306013940"/>
      <w:bookmarkStart w:id="1006" w:name="_Toc306014038"/>
      <w:bookmarkStart w:id="1007" w:name="_Toc306018474"/>
      <w:bookmarkStart w:id="1008" w:name="_Toc309727448"/>
      <w:bookmarkStart w:id="1009" w:name="_Toc309730169"/>
      <w:bookmarkStart w:id="1010" w:name="_Toc320107691"/>
      <w:bookmarkStart w:id="1011" w:name="_Toc320108321"/>
      <w:bookmarkStart w:id="1012" w:name="_Toc320187271"/>
      <w:bookmarkStart w:id="1013" w:name="_Toc322004333"/>
      <w:bookmarkStart w:id="1014" w:name="_Toc322006269"/>
      <w:bookmarkStart w:id="1015" w:name="_Toc325551467"/>
      <w:bookmarkStart w:id="1016" w:name="_Toc325553633"/>
      <w:bookmarkStart w:id="1017" w:name="_Toc325553732"/>
      <w:bookmarkStart w:id="1018" w:name="_Toc325553831"/>
      <w:bookmarkStart w:id="1019" w:name="_Toc325554301"/>
      <w:bookmarkStart w:id="1020" w:name="_Toc336264363"/>
      <w:r>
        <w:rPr>
          <w:rStyle w:val="CharSchNo"/>
        </w:rPr>
        <w:t>Schedule I</w:t>
      </w:r>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r>
        <w:rPr>
          <w:rStyle w:val="CharSDivNo"/>
        </w:rPr>
        <w:t> </w:t>
      </w:r>
      <w:r>
        <w:t>—</w:t>
      </w:r>
      <w:r>
        <w:rPr>
          <w:rStyle w:val="CharSDivText"/>
        </w:rPr>
        <w:t> </w:t>
      </w:r>
      <w:r>
        <w:rPr>
          <w:rStyle w:val="CharSchText"/>
        </w:rPr>
        <w:t xml:space="preserve">Drugs to which Act applies, notwithstanding anything in </w:t>
      </w:r>
      <w:r>
        <w:rPr>
          <w:rStyle w:val="CharSchText"/>
          <w:i/>
          <w:iCs/>
        </w:rPr>
        <w:t>Poisons Act 1964</w:t>
      </w:r>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p>
    <w:p>
      <w:pPr>
        <w:pStyle w:val="yShoulderClause"/>
        <w:rPr>
          <w:snapToGrid w:val="0"/>
        </w:rPr>
      </w:pPr>
      <w:r>
        <w:rPr>
          <w:snapToGrid w:val="0"/>
        </w:rPr>
        <w:t>[s. 4(1)(c)]</w:t>
      </w:r>
    </w:p>
    <w:p>
      <w:pPr>
        <w:pStyle w:val="yFootnoteheading"/>
        <w:spacing w:after="80"/>
      </w:pPr>
      <w:r>
        <w:tab/>
        <w:t>[Heading amended by No. 19 of 2010 s. 4.]</w:t>
      </w:r>
    </w:p>
    <w:tbl>
      <w:tblPr>
        <w:tblW w:w="7334" w:type="dxa"/>
        <w:tblLayout w:type="fixed"/>
        <w:tblLook w:val="0000" w:firstRow="0" w:lastRow="0" w:firstColumn="0" w:lastColumn="0" w:noHBand="0" w:noVBand="0"/>
      </w:tblPr>
      <w:tblGrid>
        <w:gridCol w:w="1077"/>
        <w:gridCol w:w="6257"/>
      </w:tblGrid>
      <w:tr>
        <w:trPr>
          <w:cantSplit/>
        </w:trPr>
        <w:tc>
          <w:tcPr>
            <w:tcW w:w="1077" w:type="dxa"/>
          </w:tcPr>
          <w:p>
            <w:pPr>
              <w:pStyle w:val="yTableNAm"/>
              <w:jc w:val="center"/>
              <w:rPr>
                <w:i/>
                <w:iCs/>
                <w:snapToGrid w:val="0"/>
              </w:rPr>
            </w:pPr>
            <w:r>
              <w:rPr>
                <w:i/>
                <w:iCs/>
                <w:snapToGrid w:val="0"/>
              </w:rPr>
              <w:t>Item</w:t>
            </w:r>
          </w:p>
        </w:tc>
        <w:tc>
          <w:tcPr>
            <w:tcW w:w="6257" w:type="dxa"/>
          </w:tcPr>
          <w:p>
            <w:pPr>
              <w:pStyle w:val="yTableNAm"/>
              <w:jc w:val="center"/>
              <w:rPr>
                <w:i/>
                <w:iCs/>
                <w:snapToGrid w:val="0"/>
              </w:rPr>
            </w:pPr>
            <w:r>
              <w:rPr>
                <w:i/>
                <w:iCs/>
                <w:snapToGrid w:val="0"/>
              </w:rPr>
              <w:t>Prohibited drugs</w:t>
            </w:r>
          </w:p>
        </w:tc>
      </w:tr>
      <w:tr>
        <w:trPr>
          <w:cantSplit/>
        </w:trPr>
        <w:tc>
          <w:tcPr>
            <w:tcW w:w="1077" w:type="dxa"/>
          </w:tcPr>
          <w:p>
            <w:pPr>
              <w:pStyle w:val="yTableNAm"/>
              <w:jc w:val="center"/>
              <w:rPr>
                <w:snapToGrid w:val="0"/>
              </w:rPr>
            </w:pPr>
            <w:r>
              <w:rPr>
                <w:snapToGrid w:val="0"/>
              </w:rPr>
              <w:t>1.</w:t>
            </w:r>
          </w:p>
        </w:tc>
        <w:tc>
          <w:tcPr>
            <w:tcW w:w="6257" w:type="dxa"/>
          </w:tcPr>
          <w:p>
            <w:pPr>
              <w:pStyle w:val="yTableNAm"/>
              <w:rPr>
                <w:snapToGrid w:val="0"/>
              </w:rPr>
            </w:pPr>
            <w:r>
              <w:rPr>
                <w:snapToGrid w:val="0"/>
              </w:rPr>
              <w:t>Cocaine, ecgonine, heroin, morphine and their respective salts.</w:t>
            </w:r>
          </w:p>
        </w:tc>
      </w:tr>
      <w:tr>
        <w:trPr>
          <w:cantSplit/>
        </w:trPr>
        <w:tc>
          <w:tcPr>
            <w:tcW w:w="1077" w:type="dxa"/>
          </w:tcPr>
          <w:p>
            <w:pPr>
              <w:pStyle w:val="yTableNAm"/>
              <w:jc w:val="center"/>
              <w:rPr>
                <w:snapToGrid w:val="0"/>
              </w:rPr>
            </w:pPr>
            <w:r>
              <w:rPr>
                <w:snapToGrid w:val="0"/>
              </w:rPr>
              <w:t>2.</w:t>
            </w:r>
          </w:p>
        </w:tc>
        <w:tc>
          <w:tcPr>
            <w:tcW w:w="6257" w:type="dxa"/>
          </w:tcPr>
          <w:p>
            <w:pPr>
              <w:pStyle w:val="yTableNAm"/>
              <w:rPr>
                <w:snapToGrid w:val="0"/>
              </w:rPr>
            </w:pPr>
            <w:r>
              <w:rPr>
                <w:snapToGrid w:val="0"/>
              </w:rPr>
              <w:t>Opium.</w:t>
            </w:r>
          </w:p>
        </w:tc>
      </w:tr>
      <w:tr>
        <w:trPr>
          <w:cantSplit/>
        </w:trPr>
        <w:tc>
          <w:tcPr>
            <w:tcW w:w="1077" w:type="dxa"/>
          </w:tcPr>
          <w:p>
            <w:pPr>
              <w:pStyle w:val="yTableNAm"/>
              <w:jc w:val="center"/>
              <w:rPr>
                <w:snapToGrid w:val="0"/>
              </w:rPr>
            </w:pPr>
            <w:r>
              <w:rPr>
                <w:snapToGrid w:val="0"/>
              </w:rPr>
              <w:t>3.</w:t>
            </w:r>
          </w:p>
        </w:tc>
        <w:tc>
          <w:tcPr>
            <w:tcW w:w="6257" w:type="dxa"/>
          </w:tcPr>
          <w:p>
            <w:pPr>
              <w:pStyle w:val="yTableNAm"/>
              <w:rPr>
                <w:snapToGrid w:val="0"/>
              </w:rPr>
            </w:pPr>
            <w:r>
              <w:rPr>
                <w:snapToGrid w:val="0"/>
              </w:rPr>
              <w:t>Any preparation, admixture, extract, or other substance containing not less than — </w:t>
            </w:r>
          </w:p>
        </w:tc>
      </w:tr>
      <w:tr>
        <w:trPr>
          <w:cantSplit/>
        </w:trPr>
        <w:tc>
          <w:tcPr>
            <w:tcW w:w="1077" w:type="dxa"/>
          </w:tcPr>
          <w:p>
            <w:pPr>
              <w:pStyle w:val="yTableNAm"/>
              <w:jc w:val="center"/>
              <w:rPr>
                <w:snapToGrid w:val="0"/>
              </w:rPr>
            </w:pPr>
          </w:p>
        </w:tc>
        <w:tc>
          <w:tcPr>
            <w:tcW w:w="6257" w:type="dxa"/>
          </w:tcPr>
          <w:p>
            <w:pPr>
              <w:pStyle w:val="yTableNAm"/>
              <w:tabs>
                <w:tab w:val="clear" w:pos="567"/>
                <w:tab w:val="left" w:pos="438"/>
              </w:tabs>
              <w:ind w:left="438" w:hanging="438"/>
              <w:rPr>
                <w:snapToGrid w:val="0"/>
              </w:rPr>
            </w:pPr>
            <w:r>
              <w:rPr>
                <w:snapToGrid w:val="0"/>
              </w:rPr>
              <w:t>(a)</w:t>
            </w:r>
            <w:r>
              <w:rPr>
                <w:snapToGrid w:val="0"/>
              </w:rPr>
              <w:tab/>
              <w:t>0.2% of morphine, the percentage of morphine being for the purpose of this item calculated as in respect of anhydrous morphine; or</w:t>
            </w:r>
          </w:p>
        </w:tc>
      </w:tr>
      <w:tr>
        <w:trPr>
          <w:cantSplit/>
        </w:trPr>
        <w:tc>
          <w:tcPr>
            <w:tcW w:w="1077" w:type="dxa"/>
          </w:tcPr>
          <w:p>
            <w:pPr>
              <w:pStyle w:val="yTableNAm"/>
              <w:jc w:val="center"/>
              <w:rPr>
                <w:snapToGrid w:val="0"/>
              </w:rPr>
            </w:pPr>
          </w:p>
        </w:tc>
        <w:tc>
          <w:tcPr>
            <w:tcW w:w="6257" w:type="dxa"/>
          </w:tcPr>
          <w:p>
            <w:pPr>
              <w:pStyle w:val="yTableNAm"/>
              <w:tabs>
                <w:tab w:val="clear" w:pos="567"/>
                <w:tab w:val="left" w:pos="438"/>
              </w:tabs>
              <w:ind w:left="438" w:hanging="438"/>
              <w:rPr>
                <w:snapToGrid w:val="0"/>
              </w:rPr>
            </w:pPr>
            <w:r>
              <w:rPr>
                <w:snapToGrid w:val="0"/>
              </w:rPr>
              <w:t>(b)</w:t>
            </w:r>
            <w:r>
              <w:rPr>
                <w:snapToGrid w:val="0"/>
              </w:rPr>
              <w:tab/>
              <w:t>0.1% of cocaine or ecgonine.</w:t>
            </w:r>
          </w:p>
        </w:tc>
      </w:tr>
      <w:tr>
        <w:trPr>
          <w:cantSplit/>
        </w:trPr>
        <w:tc>
          <w:tcPr>
            <w:tcW w:w="1077" w:type="dxa"/>
          </w:tcPr>
          <w:p>
            <w:pPr>
              <w:pStyle w:val="yTableNAm"/>
              <w:jc w:val="center"/>
              <w:rPr>
                <w:snapToGrid w:val="0"/>
              </w:rPr>
            </w:pPr>
            <w:r>
              <w:rPr>
                <w:snapToGrid w:val="0"/>
              </w:rPr>
              <w:t>4.</w:t>
            </w:r>
          </w:p>
        </w:tc>
        <w:tc>
          <w:tcPr>
            <w:tcW w:w="6257" w:type="dxa"/>
          </w:tcPr>
          <w:p>
            <w:pPr>
              <w:pStyle w:val="yTableNAm"/>
              <w:rPr>
                <w:snapToGrid w:val="0"/>
              </w:rPr>
            </w:pPr>
            <w:r>
              <w:rPr>
                <w:snapToGrid w:val="0"/>
              </w:rPr>
              <w:t>Any derivative of cocaine.</w:t>
            </w:r>
          </w:p>
        </w:tc>
      </w:tr>
      <w:tr>
        <w:trPr>
          <w:cantSplit/>
        </w:trPr>
        <w:tc>
          <w:tcPr>
            <w:tcW w:w="1077" w:type="dxa"/>
          </w:tcPr>
          <w:p>
            <w:pPr>
              <w:pStyle w:val="yTableNAm"/>
              <w:jc w:val="center"/>
              <w:rPr>
                <w:snapToGrid w:val="0"/>
              </w:rPr>
            </w:pPr>
            <w:r>
              <w:rPr>
                <w:snapToGrid w:val="0"/>
              </w:rPr>
              <w:t>5.</w:t>
            </w:r>
          </w:p>
        </w:tc>
        <w:tc>
          <w:tcPr>
            <w:tcW w:w="6257" w:type="dxa"/>
          </w:tcPr>
          <w:p>
            <w:pPr>
              <w:pStyle w:val="yTableNAm"/>
              <w:rPr>
                <w:snapToGrid w:val="0"/>
              </w:rPr>
            </w:pPr>
            <w:r>
              <w:rPr>
                <w:snapToGrid w:val="0"/>
              </w:rPr>
              <w:t>Cannabis or cannabis resin or any other cannabis derivative.</w:t>
            </w:r>
          </w:p>
        </w:tc>
      </w:tr>
    </w:tbl>
    <w:p>
      <w:pPr>
        <w:pStyle w:val="yScheduleHeading"/>
      </w:pPr>
      <w:bookmarkStart w:id="1021" w:name="_Toc535053910"/>
      <w:bookmarkStart w:id="1022" w:name="_Toc109615284"/>
      <w:bookmarkStart w:id="1023" w:name="_Toc139344578"/>
      <w:bookmarkStart w:id="1024" w:name="_Toc139699342"/>
      <w:bookmarkStart w:id="1025" w:name="_Toc147051375"/>
      <w:bookmarkStart w:id="1026" w:name="_Toc147118830"/>
      <w:bookmarkStart w:id="1027" w:name="_Toc148236151"/>
      <w:bookmarkStart w:id="1028" w:name="_Toc158705025"/>
      <w:bookmarkStart w:id="1029" w:name="_Toc165369986"/>
      <w:bookmarkStart w:id="1030" w:name="_Toc177873328"/>
      <w:bookmarkStart w:id="1031" w:name="_Toc177873453"/>
      <w:bookmarkStart w:id="1032" w:name="_Toc184707410"/>
      <w:bookmarkStart w:id="1033" w:name="_Toc189464741"/>
      <w:bookmarkStart w:id="1034" w:name="_Toc190249305"/>
      <w:bookmarkStart w:id="1035" w:name="_Toc191703199"/>
      <w:bookmarkStart w:id="1036" w:name="_Toc193692116"/>
      <w:bookmarkStart w:id="1037" w:name="_Toc199817298"/>
      <w:bookmarkStart w:id="1038" w:name="_Toc215543771"/>
      <w:bookmarkStart w:id="1039" w:name="_Toc215544031"/>
      <w:bookmarkStart w:id="1040" w:name="_Toc248029068"/>
      <w:bookmarkStart w:id="1041" w:name="_Toc256085117"/>
      <w:bookmarkStart w:id="1042" w:name="_Toc256092182"/>
      <w:bookmarkStart w:id="1043" w:name="_Toc268600367"/>
      <w:bookmarkStart w:id="1044" w:name="_Toc272237496"/>
      <w:bookmarkStart w:id="1045" w:name="_Toc275253575"/>
      <w:bookmarkStart w:id="1046" w:name="_Toc283287500"/>
      <w:bookmarkStart w:id="1047" w:name="_Toc290558486"/>
      <w:bookmarkStart w:id="1048" w:name="_Toc290558562"/>
      <w:bookmarkStart w:id="1049" w:name="_Toc291764701"/>
      <w:bookmarkStart w:id="1050" w:name="_Toc291768273"/>
      <w:bookmarkStart w:id="1051" w:name="_Toc297718774"/>
      <w:bookmarkStart w:id="1052" w:name="_Toc297904508"/>
      <w:bookmarkStart w:id="1053" w:name="_Toc297904582"/>
      <w:bookmarkStart w:id="1054" w:name="_Toc299717038"/>
      <w:bookmarkStart w:id="1055" w:name="_Toc299717535"/>
      <w:bookmarkStart w:id="1056" w:name="_Toc301268162"/>
      <w:bookmarkStart w:id="1057" w:name="_Toc301345332"/>
      <w:bookmarkStart w:id="1058" w:name="_Toc303929325"/>
      <w:bookmarkStart w:id="1059" w:name="_Toc306013941"/>
      <w:bookmarkStart w:id="1060" w:name="_Toc306014039"/>
      <w:bookmarkStart w:id="1061" w:name="_Toc306018475"/>
      <w:bookmarkStart w:id="1062" w:name="_Toc309727449"/>
      <w:bookmarkStart w:id="1063" w:name="_Toc309730170"/>
      <w:bookmarkStart w:id="1064" w:name="_Toc320107692"/>
      <w:bookmarkStart w:id="1065" w:name="_Toc320108322"/>
      <w:bookmarkStart w:id="1066" w:name="_Toc320187272"/>
      <w:bookmarkStart w:id="1067" w:name="_Toc322004334"/>
      <w:bookmarkStart w:id="1068" w:name="_Toc322006270"/>
      <w:bookmarkStart w:id="1069" w:name="_Toc325551468"/>
      <w:bookmarkStart w:id="1070" w:name="_Toc325553634"/>
      <w:bookmarkStart w:id="1071" w:name="_Toc325553733"/>
      <w:bookmarkStart w:id="1072" w:name="_Toc325553832"/>
      <w:bookmarkStart w:id="1073" w:name="_Toc325554302"/>
      <w:bookmarkStart w:id="1074" w:name="_Toc336264364"/>
      <w:r>
        <w:rPr>
          <w:rStyle w:val="CharSchNo"/>
        </w:rPr>
        <w:t>Schedule II</w:t>
      </w:r>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r>
        <w:rPr>
          <w:rStyle w:val="CharSDivNo"/>
        </w:rPr>
        <w:t> </w:t>
      </w:r>
      <w:r>
        <w:t>—</w:t>
      </w:r>
      <w:r>
        <w:rPr>
          <w:rStyle w:val="CharSDivText"/>
        </w:rPr>
        <w:t> </w:t>
      </w:r>
      <w:r>
        <w:rPr>
          <w:rStyle w:val="CharSchText"/>
        </w:rPr>
        <w:t xml:space="preserve">Plants to which Act applies, notwithstanding anything in </w:t>
      </w:r>
      <w:r>
        <w:rPr>
          <w:rStyle w:val="CharSchText"/>
          <w:i/>
          <w:iCs/>
        </w:rPr>
        <w:t>Poisons Act 1964</w:t>
      </w:r>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p>
    <w:p>
      <w:pPr>
        <w:pStyle w:val="yShoulderClause"/>
        <w:rPr>
          <w:snapToGrid w:val="0"/>
        </w:rPr>
      </w:pPr>
      <w:r>
        <w:rPr>
          <w:snapToGrid w:val="0"/>
        </w:rPr>
        <w:t>[s. 4(2)(b)]</w:t>
      </w:r>
    </w:p>
    <w:p>
      <w:pPr>
        <w:pStyle w:val="yFootnoteheading"/>
        <w:rPr>
          <w:bCs/>
        </w:rPr>
      </w:pPr>
      <w:r>
        <w:tab/>
        <w:t>[Heading amended by No. 19 of 2010 s. 4.]</w:t>
      </w:r>
    </w:p>
    <w:tbl>
      <w:tblPr>
        <w:tblW w:w="0" w:type="auto"/>
        <w:tblLayout w:type="fixed"/>
        <w:tblLook w:val="0000" w:firstRow="0" w:lastRow="0" w:firstColumn="0" w:lastColumn="0" w:noHBand="0" w:noVBand="0"/>
      </w:tblPr>
      <w:tblGrid>
        <w:gridCol w:w="1242"/>
        <w:gridCol w:w="6092"/>
      </w:tblGrid>
      <w:tr>
        <w:trPr>
          <w:cantSplit/>
        </w:trPr>
        <w:tc>
          <w:tcPr>
            <w:tcW w:w="1242" w:type="dxa"/>
          </w:tcPr>
          <w:p>
            <w:pPr>
              <w:pStyle w:val="yTableNAm"/>
              <w:jc w:val="center"/>
              <w:rPr>
                <w:i/>
                <w:iCs/>
                <w:snapToGrid w:val="0"/>
              </w:rPr>
            </w:pPr>
            <w:r>
              <w:rPr>
                <w:i/>
                <w:iCs/>
                <w:snapToGrid w:val="0"/>
              </w:rPr>
              <w:t>Item</w:t>
            </w:r>
          </w:p>
        </w:tc>
        <w:tc>
          <w:tcPr>
            <w:tcW w:w="6092" w:type="dxa"/>
          </w:tcPr>
          <w:p>
            <w:pPr>
              <w:pStyle w:val="yTableNAm"/>
              <w:jc w:val="center"/>
              <w:rPr>
                <w:i/>
                <w:iCs/>
                <w:snapToGrid w:val="0"/>
              </w:rPr>
            </w:pPr>
            <w:r>
              <w:rPr>
                <w:i/>
                <w:iCs/>
                <w:snapToGrid w:val="0"/>
              </w:rPr>
              <w:t>Prohibited plant</w:t>
            </w:r>
          </w:p>
        </w:tc>
      </w:tr>
      <w:tr>
        <w:trPr>
          <w:cantSplit/>
        </w:trPr>
        <w:tc>
          <w:tcPr>
            <w:tcW w:w="1242" w:type="dxa"/>
          </w:tcPr>
          <w:p>
            <w:pPr>
              <w:pStyle w:val="yTableNAm"/>
              <w:jc w:val="center"/>
              <w:rPr>
                <w:snapToGrid w:val="0"/>
              </w:rPr>
            </w:pPr>
            <w:r>
              <w:rPr>
                <w:snapToGrid w:val="0"/>
              </w:rPr>
              <w:t>1.</w:t>
            </w:r>
          </w:p>
        </w:tc>
        <w:tc>
          <w:tcPr>
            <w:tcW w:w="6092" w:type="dxa"/>
          </w:tcPr>
          <w:p>
            <w:pPr>
              <w:pStyle w:val="yTableNAm"/>
              <w:rPr>
                <w:snapToGrid w:val="0"/>
              </w:rPr>
            </w:pPr>
            <w:r>
              <w:rPr>
                <w:snapToGrid w:val="0"/>
              </w:rPr>
              <w:t>Papaver somniferum</w:t>
            </w:r>
          </w:p>
        </w:tc>
      </w:tr>
      <w:tr>
        <w:trPr>
          <w:cantSplit/>
        </w:trPr>
        <w:tc>
          <w:tcPr>
            <w:tcW w:w="1242" w:type="dxa"/>
          </w:tcPr>
          <w:p>
            <w:pPr>
              <w:pStyle w:val="yTableNAm"/>
              <w:jc w:val="center"/>
              <w:rPr>
                <w:snapToGrid w:val="0"/>
              </w:rPr>
            </w:pPr>
            <w:r>
              <w:rPr>
                <w:snapToGrid w:val="0"/>
              </w:rPr>
              <w:t>2.</w:t>
            </w:r>
          </w:p>
        </w:tc>
        <w:tc>
          <w:tcPr>
            <w:tcW w:w="6092" w:type="dxa"/>
          </w:tcPr>
          <w:p>
            <w:pPr>
              <w:pStyle w:val="yTableNAm"/>
              <w:rPr>
                <w:snapToGrid w:val="0"/>
              </w:rPr>
            </w:pPr>
            <w:r>
              <w:rPr>
                <w:snapToGrid w:val="0"/>
              </w:rPr>
              <w:t>Papaver bracteatum</w:t>
            </w:r>
          </w:p>
        </w:tc>
      </w:tr>
      <w:tr>
        <w:trPr>
          <w:cantSplit/>
        </w:trPr>
        <w:tc>
          <w:tcPr>
            <w:tcW w:w="1242" w:type="dxa"/>
          </w:tcPr>
          <w:p>
            <w:pPr>
              <w:pStyle w:val="yTableNAm"/>
              <w:jc w:val="center"/>
              <w:rPr>
                <w:snapToGrid w:val="0"/>
              </w:rPr>
            </w:pPr>
            <w:r>
              <w:rPr>
                <w:snapToGrid w:val="0"/>
              </w:rPr>
              <w:t>3.</w:t>
            </w:r>
          </w:p>
        </w:tc>
        <w:tc>
          <w:tcPr>
            <w:tcW w:w="6092" w:type="dxa"/>
          </w:tcPr>
          <w:p>
            <w:pPr>
              <w:pStyle w:val="yTableNAm"/>
              <w:rPr>
                <w:snapToGrid w:val="0"/>
              </w:rPr>
            </w:pPr>
            <w:r>
              <w:rPr>
                <w:snapToGrid w:val="0"/>
              </w:rPr>
              <w:t>Cannabis</w:t>
            </w:r>
          </w:p>
        </w:tc>
      </w:tr>
    </w:tbl>
    <w:p>
      <w:pPr>
        <w:pStyle w:val="yScheduleHeading"/>
      </w:pPr>
      <w:bookmarkStart w:id="1075" w:name="_Toc535053911"/>
      <w:bookmarkStart w:id="1076" w:name="_Toc109615285"/>
      <w:bookmarkStart w:id="1077" w:name="_Toc139344579"/>
      <w:bookmarkStart w:id="1078" w:name="_Toc139699343"/>
      <w:bookmarkStart w:id="1079" w:name="_Toc147051376"/>
      <w:bookmarkStart w:id="1080" w:name="_Toc147118831"/>
      <w:bookmarkStart w:id="1081" w:name="_Toc148236152"/>
      <w:bookmarkStart w:id="1082" w:name="_Toc158705026"/>
      <w:bookmarkStart w:id="1083" w:name="_Toc165369988"/>
      <w:bookmarkStart w:id="1084" w:name="_Toc177873330"/>
      <w:bookmarkStart w:id="1085" w:name="_Toc177873455"/>
      <w:bookmarkStart w:id="1086" w:name="_Toc184707412"/>
      <w:bookmarkStart w:id="1087" w:name="_Toc189464743"/>
      <w:bookmarkStart w:id="1088" w:name="_Toc190249307"/>
      <w:bookmarkStart w:id="1089" w:name="_Toc191703201"/>
      <w:bookmarkStart w:id="1090" w:name="_Toc193692118"/>
      <w:bookmarkStart w:id="1091" w:name="_Toc199817300"/>
      <w:bookmarkStart w:id="1092" w:name="_Toc215543773"/>
      <w:bookmarkStart w:id="1093" w:name="_Toc215544033"/>
      <w:bookmarkStart w:id="1094" w:name="_Toc248029070"/>
      <w:bookmarkStart w:id="1095" w:name="_Toc256085119"/>
      <w:bookmarkStart w:id="1096" w:name="_Toc256092184"/>
      <w:bookmarkStart w:id="1097" w:name="_Toc268600368"/>
      <w:bookmarkStart w:id="1098" w:name="_Toc272237497"/>
      <w:bookmarkStart w:id="1099" w:name="_Toc275253576"/>
      <w:bookmarkStart w:id="1100" w:name="_Toc283287501"/>
      <w:bookmarkStart w:id="1101" w:name="_Toc290558487"/>
      <w:bookmarkStart w:id="1102" w:name="_Toc290558563"/>
      <w:bookmarkStart w:id="1103" w:name="_Toc291764702"/>
      <w:bookmarkStart w:id="1104" w:name="_Toc291768274"/>
      <w:bookmarkStart w:id="1105" w:name="_Toc297718775"/>
      <w:bookmarkStart w:id="1106" w:name="_Toc297904509"/>
      <w:bookmarkStart w:id="1107" w:name="_Toc297904583"/>
      <w:bookmarkStart w:id="1108" w:name="_Toc299717039"/>
      <w:bookmarkStart w:id="1109" w:name="_Toc299717536"/>
      <w:bookmarkStart w:id="1110" w:name="_Toc301268163"/>
      <w:bookmarkStart w:id="1111" w:name="_Toc301345333"/>
      <w:bookmarkStart w:id="1112" w:name="_Toc303929326"/>
      <w:bookmarkStart w:id="1113" w:name="_Toc306013942"/>
      <w:bookmarkStart w:id="1114" w:name="_Toc306014040"/>
      <w:bookmarkStart w:id="1115" w:name="_Toc306018476"/>
      <w:bookmarkStart w:id="1116" w:name="_Toc309727450"/>
      <w:bookmarkStart w:id="1117" w:name="_Toc309730171"/>
      <w:bookmarkStart w:id="1118" w:name="_Toc320107693"/>
      <w:bookmarkStart w:id="1119" w:name="_Toc320108323"/>
      <w:bookmarkStart w:id="1120" w:name="_Toc320187273"/>
      <w:bookmarkStart w:id="1121" w:name="_Toc322004335"/>
      <w:bookmarkStart w:id="1122" w:name="_Toc322006271"/>
      <w:bookmarkStart w:id="1123" w:name="_Toc325551469"/>
      <w:bookmarkStart w:id="1124" w:name="_Toc325553635"/>
      <w:bookmarkStart w:id="1125" w:name="_Toc325553734"/>
      <w:bookmarkStart w:id="1126" w:name="_Toc325553833"/>
      <w:bookmarkStart w:id="1127" w:name="_Toc325554303"/>
      <w:bookmarkStart w:id="1128" w:name="_Toc336264365"/>
      <w:r>
        <w:rPr>
          <w:rStyle w:val="CharSchNo"/>
        </w:rPr>
        <w:t>Schedule III</w:t>
      </w:r>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r>
        <w:rPr>
          <w:rStyle w:val="CharSDivNo"/>
        </w:rPr>
        <w:t> </w:t>
      </w:r>
      <w:r>
        <w:t>—</w:t>
      </w:r>
      <w:r>
        <w:rPr>
          <w:rStyle w:val="CharSDivText"/>
        </w:rPr>
        <w:t> </w:t>
      </w:r>
      <w:r>
        <w:rPr>
          <w:rStyle w:val="CharSchText"/>
        </w:rPr>
        <w:t>Amounts of prohibited drugs determining court of trial</w:t>
      </w:r>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p>
    <w:p>
      <w:pPr>
        <w:pStyle w:val="yShoulderClause"/>
        <w:rPr>
          <w:snapToGrid w:val="0"/>
        </w:rPr>
      </w:pPr>
      <w:r>
        <w:rPr>
          <w:snapToGrid w:val="0"/>
        </w:rPr>
        <w:t>[s. 9]</w:t>
      </w:r>
    </w:p>
    <w:p>
      <w:pPr>
        <w:pStyle w:val="yFootnoteheading"/>
      </w:pPr>
      <w:r>
        <w:tab/>
        <w:t>[Heading amended by No. 19 of 2010 s. 4.]</w:t>
      </w:r>
    </w:p>
    <w:tbl>
      <w:tblPr>
        <w:tblW w:w="0" w:type="auto"/>
        <w:tblInd w:w="170" w:type="dxa"/>
        <w:tblLayout w:type="fixed"/>
        <w:tblCellMar>
          <w:left w:w="142" w:type="dxa"/>
          <w:right w:w="142" w:type="dxa"/>
        </w:tblCellMar>
        <w:tblLook w:val="0000" w:firstRow="0" w:lastRow="0" w:firstColumn="0" w:lastColumn="0" w:noHBand="0" w:noVBand="0"/>
      </w:tblPr>
      <w:tblGrid>
        <w:gridCol w:w="994"/>
        <w:gridCol w:w="4792"/>
        <w:gridCol w:w="1229"/>
        <w:gridCol w:w="11"/>
      </w:tblGrid>
      <w:tr>
        <w:trPr>
          <w:tblHeader/>
        </w:trPr>
        <w:tc>
          <w:tcPr>
            <w:tcW w:w="994" w:type="dxa"/>
          </w:tcPr>
          <w:p>
            <w:pPr>
              <w:pStyle w:val="yTable"/>
              <w:spacing w:before="40" w:after="40"/>
              <w:rPr>
                <w:i/>
              </w:rPr>
            </w:pPr>
            <w:r>
              <w:rPr>
                <w:i/>
              </w:rPr>
              <w:t>Item</w:t>
            </w:r>
          </w:p>
        </w:tc>
        <w:tc>
          <w:tcPr>
            <w:tcW w:w="4792" w:type="dxa"/>
          </w:tcPr>
          <w:p>
            <w:pPr>
              <w:pStyle w:val="yTable"/>
              <w:jc w:val="center"/>
              <w:rPr>
                <w:i/>
              </w:rPr>
            </w:pPr>
            <w:r>
              <w:rPr>
                <w:i/>
              </w:rPr>
              <w:t>Prohibited drug</w:t>
            </w:r>
          </w:p>
        </w:tc>
        <w:tc>
          <w:tcPr>
            <w:tcW w:w="1240" w:type="dxa"/>
            <w:gridSpan w:val="2"/>
          </w:tcPr>
          <w:p>
            <w:pPr>
              <w:pStyle w:val="yTable"/>
              <w:spacing w:before="40" w:after="40"/>
              <w:jc w:val="center"/>
            </w:pPr>
            <w:r>
              <w:rPr>
                <w:i/>
              </w:rPr>
              <w:t>Amount</w:t>
            </w:r>
            <w:r>
              <w:rPr>
                <w:i/>
              </w:rPr>
              <w:br/>
            </w:r>
            <w:r>
              <w:t>(in grams</w:t>
            </w:r>
            <w:r>
              <w:br/>
              <w:t>unless</w:t>
            </w:r>
            <w:r>
              <w:br/>
              <w:t>otherwise</w:t>
            </w:r>
            <w:r>
              <w:br/>
              <w:t>stated)</w:t>
            </w:r>
          </w:p>
        </w:tc>
      </w:tr>
      <w:tr>
        <w:tc>
          <w:tcPr>
            <w:tcW w:w="994" w:type="dxa"/>
          </w:tcPr>
          <w:p>
            <w:pPr>
              <w:pStyle w:val="yTable"/>
              <w:spacing w:before="40" w:after="40"/>
            </w:pPr>
            <w:r>
              <w:t>1.</w:t>
            </w:r>
          </w:p>
        </w:tc>
        <w:tc>
          <w:tcPr>
            <w:tcW w:w="4792" w:type="dxa"/>
          </w:tcPr>
          <w:p>
            <w:pPr>
              <w:pStyle w:val="yTable"/>
            </w:pPr>
            <w:r>
              <w:t>ACETORPHINE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2.</w:t>
            </w:r>
          </w:p>
        </w:tc>
        <w:tc>
          <w:tcPr>
            <w:tcW w:w="4792" w:type="dxa"/>
          </w:tcPr>
          <w:p>
            <w:pPr>
              <w:pStyle w:val="yTable"/>
              <w:ind w:left="397" w:hanging="397"/>
            </w:pPr>
            <w:r>
              <w:t>ACETYLDIHYDROCODEINE (except when included in Schedule 2 or 4 in Appendix A to the </w:t>
            </w:r>
            <w:r>
              <w:rPr>
                <w:i/>
                <w:iCs/>
              </w:rPr>
              <w:t>Poisons Act 1964</w:t>
            </w:r>
            <w:r>
              <w:t>)</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3.</w:t>
            </w:r>
          </w:p>
        </w:tc>
        <w:tc>
          <w:tcPr>
            <w:tcW w:w="4792" w:type="dxa"/>
          </w:tcPr>
          <w:p>
            <w:pPr>
              <w:pStyle w:val="yTable"/>
            </w:pPr>
            <w:r>
              <w:t>ACETYLMETHADOL</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4.</w:t>
            </w:r>
          </w:p>
        </w:tc>
        <w:tc>
          <w:tcPr>
            <w:tcW w:w="4792" w:type="dxa"/>
          </w:tcPr>
          <w:p>
            <w:pPr>
              <w:pStyle w:val="yTable"/>
            </w:pPr>
            <w:r>
              <w:t>ALLOBARBITONE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5.</w:t>
            </w:r>
          </w:p>
        </w:tc>
        <w:tc>
          <w:tcPr>
            <w:tcW w:w="4792" w:type="dxa"/>
          </w:tcPr>
          <w:p>
            <w:pPr>
              <w:pStyle w:val="yTable"/>
            </w:pPr>
            <w:r>
              <w:t>ALLYLBARBITURIC ACID</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6.</w:t>
            </w:r>
          </w:p>
        </w:tc>
        <w:tc>
          <w:tcPr>
            <w:tcW w:w="4792" w:type="dxa"/>
          </w:tcPr>
          <w:p>
            <w:pPr>
              <w:pStyle w:val="yTable"/>
            </w:pPr>
            <w:r>
              <w:t>ALLYLPRODINE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7.</w:t>
            </w:r>
          </w:p>
        </w:tc>
        <w:tc>
          <w:tcPr>
            <w:tcW w:w="4792" w:type="dxa"/>
          </w:tcPr>
          <w:p>
            <w:pPr>
              <w:pStyle w:val="yTable"/>
            </w:pPr>
            <w:r>
              <w:t>ALPHACETYLMETHADOL</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8.</w:t>
            </w:r>
          </w:p>
        </w:tc>
        <w:tc>
          <w:tcPr>
            <w:tcW w:w="4792" w:type="dxa"/>
          </w:tcPr>
          <w:p>
            <w:pPr>
              <w:pStyle w:val="yTable"/>
            </w:pPr>
            <w:r>
              <w:t>ALPHAMEPRODINE</w:t>
            </w:r>
          </w:p>
        </w:tc>
        <w:tc>
          <w:tcPr>
            <w:tcW w:w="1240" w:type="dxa"/>
            <w:gridSpan w:val="2"/>
          </w:tcPr>
          <w:p>
            <w:pPr>
              <w:pStyle w:val="yTable"/>
              <w:tabs>
                <w:tab w:val="decimal" w:pos="439"/>
              </w:tabs>
              <w:spacing w:before="40" w:after="40"/>
            </w:pPr>
            <w:r>
              <w:t>0.6</w:t>
            </w:r>
          </w:p>
        </w:tc>
      </w:tr>
      <w:tr>
        <w:tc>
          <w:tcPr>
            <w:tcW w:w="994" w:type="dxa"/>
          </w:tcPr>
          <w:p>
            <w:pPr>
              <w:pStyle w:val="yTable"/>
              <w:spacing w:before="40" w:after="40"/>
            </w:pPr>
            <w:r>
              <w:t>9.</w:t>
            </w:r>
          </w:p>
        </w:tc>
        <w:tc>
          <w:tcPr>
            <w:tcW w:w="4792" w:type="dxa"/>
          </w:tcPr>
          <w:p>
            <w:pPr>
              <w:pStyle w:val="yTable"/>
            </w:pPr>
            <w:r>
              <w:t>ALPHAMETHADOL</w:t>
            </w:r>
          </w:p>
        </w:tc>
        <w:tc>
          <w:tcPr>
            <w:tcW w:w="1240" w:type="dxa"/>
            <w:gridSpan w:val="2"/>
          </w:tcPr>
          <w:p>
            <w:pPr>
              <w:pStyle w:val="yTable"/>
              <w:tabs>
                <w:tab w:val="decimal" w:pos="439"/>
              </w:tabs>
              <w:spacing w:before="40" w:after="40"/>
            </w:pPr>
            <w:r>
              <w:t>0.6</w:t>
            </w:r>
          </w:p>
        </w:tc>
      </w:tr>
      <w:tr>
        <w:tc>
          <w:tcPr>
            <w:tcW w:w="994" w:type="dxa"/>
          </w:tcPr>
          <w:p>
            <w:pPr>
              <w:pStyle w:val="yTable"/>
              <w:spacing w:before="40" w:after="40"/>
            </w:pPr>
            <w:r>
              <w:t>10.</w:t>
            </w:r>
          </w:p>
        </w:tc>
        <w:tc>
          <w:tcPr>
            <w:tcW w:w="4792" w:type="dxa"/>
          </w:tcPr>
          <w:p>
            <w:pPr>
              <w:pStyle w:val="yTable"/>
            </w:pPr>
            <w:r>
              <w:t>ALPHAPRODINE</w:t>
            </w:r>
          </w:p>
        </w:tc>
        <w:tc>
          <w:tcPr>
            <w:tcW w:w="1240" w:type="dxa"/>
            <w:gridSpan w:val="2"/>
          </w:tcPr>
          <w:p>
            <w:pPr>
              <w:pStyle w:val="yTable"/>
              <w:tabs>
                <w:tab w:val="decimal" w:pos="439"/>
              </w:tabs>
              <w:spacing w:before="40" w:after="40"/>
            </w:pPr>
            <w:r>
              <w:t>75.0</w:t>
            </w:r>
          </w:p>
        </w:tc>
      </w:tr>
      <w:tr>
        <w:tc>
          <w:tcPr>
            <w:tcW w:w="994" w:type="dxa"/>
          </w:tcPr>
          <w:p>
            <w:pPr>
              <w:pStyle w:val="yTable"/>
              <w:spacing w:before="40" w:after="40"/>
            </w:pPr>
            <w:r>
              <w:t>11.</w:t>
            </w:r>
          </w:p>
        </w:tc>
        <w:tc>
          <w:tcPr>
            <w:tcW w:w="4792" w:type="dxa"/>
          </w:tcPr>
          <w:p>
            <w:pPr>
              <w:pStyle w:val="yTable"/>
            </w:pPr>
            <w:r>
              <w:t>AMPHETAMINE</w:t>
            </w:r>
          </w:p>
        </w:tc>
        <w:tc>
          <w:tcPr>
            <w:tcW w:w="1240" w:type="dxa"/>
            <w:gridSpan w:val="2"/>
          </w:tcPr>
          <w:p>
            <w:pPr>
              <w:pStyle w:val="yTable"/>
              <w:tabs>
                <w:tab w:val="decimal" w:pos="439"/>
              </w:tabs>
              <w:spacing w:before="40" w:after="40"/>
            </w:pPr>
            <w:r>
              <w:t>4.0</w:t>
            </w:r>
          </w:p>
        </w:tc>
      </w:tr>
      <w:tr>
        <w:tc>
          <w:tcPr>
            <w:tcW w:w="994" w:type="dxa"/>
          </w:tcPr>
          <w:p>
            <w:pPr>
              <w:pStyle w:val="yTable"/>
              <w:spacing w:before="40" w:after="40"/>
            </w:pPr>
            <w:r>
              <w:t>12.</w:t>
            </w:r>
          </w:p>
        </w:tc>
        <w:tc>
          <w:tcPr>
            <w:tcW w:w="4792" w:type="dxa"/>
          </w:tcPr>
          <w:p>
            <w:pPr>
              <w:pStyle w:val="yTable"/>
            </w:pPr>
            <w:r>
              <w:t>AMYLOBARBITONE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13.</w:t>
            </w:r>
          </w:p>
        </w:tc>
        <w:tc>
          <w:tcPr>
            <w:tcW w:w="4792" w:type="dxa"/>
          </w:tcPr>
          <w:p>
            <w:pPr>
              <w:pStyle w:val="yTable"/>
            </w:pPr>
            <w:r>
              <w:t>ANILERIDINE</w:t>
            </w:r>
          </w:p>
        </w:tc>
        <w:tc>
          <w:tcPr>
            <w:tcW w:w="1240" w:type="dxa"/>
            <w:gridSpan w:val="2"/>
          </w:tcPr>
          <w:p>
            <w:pPr>
              <w:pStyle w:val="yTable"/>
              <w:tabs>
                <w:tab w:val="decimal" w:pos="439"/>
              </w:tabs>
              <w:spacing w:before="40" w:after="40"/>
            </w:pPr>
            <w:r>
              <w:t>75.0</w:t>
            </w:r>
          </w:p>
        </w:tc>
      </w:tr>
      <w:tr>
        <w:tc>
          <w:tcPr>
            <w:tcW w:w="994" w:type="dxa"/>
          </w:tcPr>
          <w:p>
            <w:pPr>
              <w:pStyle w:val="yTable"/>
              <w:spacing w:before="40" w:after="40"/>
            </w:pPr>
            <w:r>
              <w:t>14.</w:t>
            </w:r>
          </w:p>
        </w:tc>
        <w:tc>
          <w:tcPr>
            <w:tcW w:w="4792" w:type="dxa"/>
          </w:tcPr>
          <w:p>
            <w:pPr>
              <w:pStyle w:val="yTable"/>
            </w:pPr>
            <w:r>
              <w:t>APROBARBITONE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15.</w:t>
            </w:r>
          </w:p>
        </w:tc>
        <w:tc>
          <w:tcPr>
            <w:tcW w:w="4792" w:type="dxa"/>
          </w:tcPr>
          <w:p>
            <w:pPr>
              <w:pStyle w:val="yTable"/>
            </w:pPr>
            <w:r>
              <w:t>BARBITONE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16.</w:t>
            </w:r>
          </w:p>
        </w:tc>
        <w:tc>
          <w:tcPr>
            <w:tcW w:w="4792" w:type="dxa"/>
          </w:tcPr>
          <w:p>
            <w:pPr>
              <w:pStyle w:val="yTable"/>
            </w:pPr>
            <w:r>
              <w:t>BENZETHIDINE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17.</w:t>
            </w:r>
          </w:p>
        </w:tc>
        <w:tc>
          <w:tcPr>
            <w:tcW w:w="4792" w:type="dxa"/>
          </w:tcPr>
          <w:p>
            <w:pPr>
              <w:pStyle w:val="yTable"/>
            </w:pPr>
            <w:r>
              <w:t>BENZYLMORPHINE</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ind w:right="-154"/>
            </w:pPr>
            <w:r>
              <w:t>18A.</w:t>
            </w:r>
          </w:p>
        </w:tc>
        <w:tc>
          <w:tcPr>
            <w:tcW w:w="4792" w:type="dxa"/>
          </w:tcPr>
          <w:p>
            <w:pPr>
              <w:pStyle w:val="yTable"/>
            </w:pPr>
            <w:r>
              <w:t>BENZYLPIPERAZINE (BZP)</w:t>
            </w:r>
          </w:p>
        </w:tc>
        <w:tc>
          <w:tcPr>
            <w:tcW w:w="1240" w:type="dxa"/>
            <w:gridSpan w:val="2"/>
          </w:tcPr>
          <w:p>
            <w:pPr>
              <w:pStyle w:val="yTable"/>
              <w:tabs>
                <w:tab w:val="decimal" w:pos="439"/>
              </w:tabs>
              <w:spacing w:before="40" w:after="40"/>
            </w:pPr>
            <w:r>
              <w:t>4.0</w:t>
            </w:r>
          </w:p>
        </w:tc>
      </w:tr>
      <w:tr>
        <w:tc>
          <w:tcPr>
            <w:tcW w:w="994" w:type="dxa"/>
          </w:tcPr>
          <w:p>
            <w:pPr>
              <w:pStyle w:val="yTable"/>
              <w:spacing w:before="40" w:after="40"/>
            </w:pPr>
            <w:r>
              <w:t>18.</w:t>
            </w:r>
          </w:p>
        </w:tc>
        <w:tc>
          <w:tcPr>
            <w:tcW w:w="4792" w:type="dxa"/>
          </w:tcPr>
          <w:p>
            <w:pPr>
              <w:pStyle w:val="yTable"/>
            </w:pPr>
            <w:r>
              <w:t>BETACETYLMETHADOL</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19.</w:t>
            </w:r>
          </w:p>
        </w:tc>
        <w:tc>
          <w:tcPr>
            <w:tcW w:w="4792" w:type="dxa"/>
          </w:tcPr>
          <w:p>
            <w:pPr>
              <w:pStyle w:val="yTable"/>
            </w:pPr>
            <w:r>
              <w:t>BETAMEPRODINE</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20.</w:t>
            </w:r>
          </w:p>
        </w:tc>
        <w:tc>
          <w:tcPr>
            <w:tcW w:w="4792" w:type="dxa"/>
          </w:tcPr>
          <w:p>
            <w:pPr>
              <w:pStyle w:val="yTable"/>
            </w:pPr>
            <w:r>
              <w:t>BETAMETHADOL</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21.</w:t>
            </w:r>
          </w:p>
        </w:tc>
        <w:tc>
          <w:tcPr>
            <w:tcW w:w="4792" w:type="dxa"/>
          </w:tcPr>
          <w:p>
            <w:pPr>
              <w:pStyle w:val="yTable"/>
            </w:pPr>
            <w:r>
              <w:t>BETAPRODINE</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22.</w:t>
            </w:r>
          </w:p>
        </w:tc>
        <w:tc>
          <w:tcPr>
            <w:tcW w:w="4792" w:type="dxa"/>
          </w:tcPr>
          <w:p>
            <w:pPr>
              <w:pStyle w:val="yTable"/>
            </w:pPr>
            <w:r>
              <w:t>BEZITRAMIDE</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23.</w:t>
            </w:r>
          </w:p>
        </w:tc>
        <w:tc>
          <w:tcPr>
            <w:tcW w:w="4792" w:type="dxa"/>
          </w:tcPr>
          <w:p>
            <w:pPr>
              <w:pStyle w:val="yTable"/>
            </w:pPr>
            <w:r>
              <w:t>BUFOTENINE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24.</w:t>
            </w:r>
          </w:p>
        </w:tc>
        <w:tc>
          <w:tcPr>
            <w:tcW w:w="4792" w:type="dxa"/>
          </w:tcPr>
          <w:p>
            <w:pPr>
              <w:pStyle w:val="yTable"/>
            </w:pPr>
            <w:r>
              <w:t>BUTOBARBITONE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25A.</w:t>
            </w:r>
          </w:p>
        </w:tc>
        <w:tc>
          <w:tcPr>
            <w:tcW w:w="4792" w:type="dxa"/>
          </w:tcPr>
          <w:p>
            <w:pPr>
              <w:pStyle w:val="yTable"/>
              <w:ind w:left="397" w:hanging="397"/>
            </w:pPr>
            <w:r>
              <w:t>1</w:t>
            </w:r>
            <w:r>
              <w:noBreakHyphen/>
              <w:t>BUTYL</w:t>
            </w:r>
            <w:r>
              <w:noBreakHyphen/>
              <w:t>3</w:t>
            </w:r>
            <w:r>
              <w:noBreakHyphen/>
              <w:t>(1</w:t>
            </w:r>
            <w:r>
              <w:noBreakHyphen/>
              <w:t xml:space="preserve">NAPHTHOYL)INDOLE </w:t>
            </w:r>
            <w:r>
              <w:br/>
              <w:t>(JWH – 073)</w:t>
            </w:r>
          </w:p>
        </w:tc>
        <w:tc>
          <w:tcPr>
            <w:tcW w:w="1240" w:type="dxa"/>
            <w:gridSpan w:val="2"/>
          </w:tcPr>
          <w:p>
            <w:pPr>
              <w:pStyle w:val="yTable"/>
              <w:tabs>
                <w:tab w:val="decimal" w:pos="439"/>
              </w:tabs>
              <w:spacing w:before="40" w:after="40"/>
            </w:pPr>
            <w:r>
              <w:t>500.0</w:t>
            </w:r>
          </w:p>
        </w:tc>
      </w:tr>
      <w:tr>
        <w:tc>
          <w:tcPr>
            <w:tcW w:w="994" w:type="dxa"/>
          </w:tcPr>
          <w:p>
            <w:pPr>
              <w:pStyle w:val="yTable"/>
              <w:spacing w:before="40" w:after="40"/>
            </w:pPr>
            <w:r>
              <w:t>25.</w:t>
            </w:r>
          </w:p>
        </w:tc>
        <w:tc>
          <w:tcPr>
            <w:tcW w:w="4792" w:type="dxa"/>
          </w:tcPr>
          <w:p>
            <w:pPr>
              <w:pStyle w:val="yTable"/>
            </w:pPr>
            <w:r>
              <w:t>CANNABIS</w:t>
            </w:r>
          </w:p>
        </w:tc>
        <w:tc>
          <w:tcPr>
            <w:tcW w:w="1240" w:type="dxa"/>
            <w:gridSpan w:val="2"/>
          </w:tcPr>
          <w:p>
            <w:pPr>
              <w:pStyle w:val="yTable"/>
              <w:tabs>
                <w:tab w:val="decimal" w:pos="439"/>
              </w:tabs>
              <w:spacing w:before="40" w:after="40"/>
            </w:pPr>
            <w:r>
              <w:t>500.0</w:t>
            </w:r>
          </w:p>
        </w:tc>
      </w:tr>
      <w:tr>
        <w:tc>
          <w:tcPr>
            <w:tcW w:w="994" w:type="dxa"/>
          </w:tcPr>
          <w:p>
            <w:pPr>
              <w:pStyle w:val="yTable"/>
              <w:spacing w:before="40" w:after="40"/>
            </w:pPr>
            <w:r>
              <w:t>26.</w:t>
            </w:r>
          </w:p>
        </w:tc>
        <w:tc>
          <w:tcPr>
            <w:tcW w:w="4792" w:type="dxa"/>
          </w:tcPr>
          <w:p>
            <w:pPr>
              <w:pStyle w:val="yTable"/>
            </w:pPr>
            <w:r>
              <w:t>CANNABIS RESIN</w:t>
            </w:r>
          </w:p>
        </w:tc>
        <w:tc>
          <w:tcPr>
            <w:tcW w:w="1240" w:type="dxa"/>
            <w:gridSpan w:val="2"/>
          </w:tcPr>
          <w:p>
            <w:pPr>
              <w:pStyle w:val="yTable"/>
              <w:tabs>
                <w:tab w:val="decimal" w:pos="439"/>
              </w:tabs>
              <w:spacing w:before="40" w:after="40"/>
            </w:pPr>
            <w:r>
              <w:t>40.0</w:t>
            </w:r>
          </w:p>
        </w:tc>
      </w:tr>
      <w:tr>
        <w:tc>
          <w:tcPr>
            <w:tcW w:w="994" w:type="dxa"/>
          </w:tcPr>
          <w:p>
            <w:pPr>
              <w:pStyle w:val="yTable"/>
              <w:spacing w:before="40" w:after="40"/>
            </w:pPr>
            <w:r>
              <w:t>27.</w:t>
            </w:r>
          </w:p>
        </w:tc>
        <w:tc>
          <w:tcPr>
            <w:tcW w:w="4792" w:type="dxa"/>
          </w:tcPr>
          <w:p>
            <w:pPr>
              <w:pStyle w:val="yTable"/>
            </w:pPr>
            <w:r>
              <w:t>CANNABIS (in cigarette form)</w:t>
            </w:r>
          </w:p>
        </w:tc>
        <w:tc>
          <w:tcPr>
            <w:tcW w:w="1240" w:type="dxa"/>
            <w:gridSpan w:val="2"/>
          </w:tcPr>
          <w:p>
            <w:pPr>
              <w:pStyle w:val="yTable"/>
              <w:keepNext/>
              <w:spacing w:before="40" w:after="40"/>
              <w:jc w:val="center"/>
            </w:pPr>
            <w:r>
              <w:t>400 cigarettes</w:t>
            </w:r>
            <w:r>
              <w:br/>
            </w:r>
            <w:r>
              <w:rPr>
                <w:rFonts w:ascii="Times" w:hAnsi="Times"/>
                <w:spacing w:val="-4"/>
              </w:rPr>
              <w:t>each containing</w:t>
            </w:r>
            <w:r>
              <w:rPr>
                <w:rFonts w:ascii="Times" w:hAnsi="Times"/>
                <w:spacing w:val="-4"/>
              </w:rPr>
              <w:br/>
              <w:t>any</w:t>
            </w:r>
            <w:r>
              <w:t xml:space="preserve"> portion of</w:t>
            </w:r>
            <w:r>
              <w:br/>
              <w:t>cannabis</w:t>
            </w:r>
          </w:p>
        </w:tc>
      </w:tr>
      <w:tr>
        <w:tc>
          <w:tcPr>
            <w:tcW w:w="994" w:type="dxa"/>
          </w:tcPr>
          <w:p>
            <w:pPr>
              <w:pStyle w:val="yTable"/>
              <w:spacing w:before="40" w:after="40"/>
            </w:pPr>
            <w:r>
              <w:t>28.</w:t>
            </w:r>
          </w:p>
        </w:tc>
        <w:tc>
          <w:tcPr>
            <w:tcW w:w="4792" w:type="dxa"/>
          </w:tcPr>
          <w:p>
            <w:pPr>
              <w:pStyle w:val="yTable"/>
            </w:pPr>
            <w:r>
              <w:t>CLONITAZENE</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29.</w:t>
            </w:r>
          </w:p>
        </w:tc>
        <w:tc>
          <w:tcPr>
            <w:tcW w:w="4792" w:type="dxa"/>
          </w:tcPr>
          <w:p>
            <w:pPr>
              <w:pStyle w:val="yTable"/>
            </w:pPr>
            <w:r>
              <w:t>COCAINE</w:t>
            </w:r>
          </w:p>
        </w:tc>
        <w:tc>
          <w:tcPr>
            <w:tcW w:w="1240" w:type="dxa"/>
            <w:gridSpan w:val="2"/>
          </w:tcPr>
          <w:p>
            <w:pPr>
              <w:pStyle w:val="yTable"/>
              <w:tabs>
                <w:tab w:val="decimal" w:pos="439"/>
              </w:tabs>
              <w:spacing w:before="40" w:after="40"/>
            </w:pPr>
            <w:r>
              <w:t>4.0</w:t>
            </w:r>
          </w:p>
        </w:tc>
      </w:tr>
      <w:tr>
        <w:tc>
          <w:tcPr>
            <w:tcW w:w="994" w:type="dxa"/>
          </w:tcPr>
          <w:p>
            <w:pPr>
              <w:pStyle w:val="yTable"/>
              <w:spacing w:before="40" w:after="40"/>
            </w:pPr>
            <w:r>
              <w:t>30.</w:t>
            </w:r>
          </w:p>
        </w:tc>
        <w:tc>
          <w:tcPr>
            <w:tcW w:w="4792" w:type="dxa"/>
          </w:tcPr>
          <w:p>
            <w:pPr>
              <w:pStyle w:val="yTable"/>
              <w:ind w:left="397" w:hanging="397"/>
            </w:pPr>
            <w:r>
              <w:t xml:space="preserve">CODEINE (except when included in Schedule 2, 3 or 4 in Appendix A to the </w:t>
            </w:r>
            <w:r>
              <w:rPr>
                <w:i/>
                <w:iCs/>
              </w:rPr>
              <w:t>Poisons Act 1964</w:t>
            </w:r>
            <w:r>
              <w:t>)</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31.</w:t>
            </w:r>
          </w:p>
        </w:tc>
        <w:tc>
          <w:tcPr>
            <w:tcW w:w="4792" w:type="dxa"/>
          </w:tcPr>
          <w:p>
            <w:pPr>
              <w:pStyle w:val="yTable"/>
            </w:pPr>
            <w:r>
              <w:t>CODEINE</w:t>
            </w:r>
            <w:r>
              <w:noBreakHyphen/>
              <w:t>N</w:t>
            </w:r>
            <w:r>
              <w:noBreakHyphen/>
              <w:t>OXIDE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32.</w:t>
            </w:r>
          </w:p>
        </w:tc>
        <w:tc>
          <w:tcPr>
            <w:tcW w:w="4792" w:type="dxa"/>
          </w:tcPr>
          <w:p>
            <w:pPr>
              <w:pStyle w:val="yTable"/>
            </w:pPr>
            <w:r>
              <w:t>CODOXIME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33.</w:t>
            </w:r>
          </w:p>
        </w:tc>
        <w:tc>
          <w:tcPr>
            <w:tcW w:w="4792" w:type="dxa"/>
          </w:tcPr>
          <w:p>
            <w:pPr>
              <w:pStyle w:val="yTable"/>
            </w:pPr>
            <w:r>
              <w:t>CYCLOBARBITONE</w:t>
            </w:r>
          </w:p>
        </w:tc>
        <w:tc>
          <w:tcPr>
            <w:tcW w:w="1240" w:type="dxa"/>
            <w:gridSpan w:val="2"/>
          </w:tcPr>
          <w:p>
            <w:pPr>
              <w:pStyle w:val="yTable"/>
              <w:tabs>
                <w:tab w:val="decimal" w:pos="439"/>
              </w:tabs>
              <w:spacing w:before="40" w:after="40"/>
            </w:pPr>
            <w:r>
              <w:t>30.0</w:t>
            </w:r>
          </w:p>
        </w:tc>
      </w:tr>
      <w:tr>
        <w:tc>
          <w:tcPr>
            <w:tcW w:w="994" w:type="dxa"/>
          </w:tcPr>
          <w:p>
            <w:pPr>
              <w:pStyle w:val="zyTableNAm"/>
              <w:tabs>
                <w:tab w:val="clear" w:pos="567"/>
              </w:tabs>
              <w:spacing w:before="80"/>
              <w:ind w:left="-24"/>
            </w:pPr>
            <w:r>
              <w:t>34A.</w:t>
            </w:r>
          </w:p>
        </w:tc>
        <w:tc>
          <w:tcPr>
            <w:tcW w:w="4792" w:type="dxa"/>
          </w:tcPr>
          <w:p>
            <w:pPr>
              <w:pStyle w:val="zyTableNAm"/>
              <w:tabs>
                <w:tab w:val="clear" w:pos="567"/>
              </w:tabs>
              <w:spacing w:before="80"/>
            </w:pPr>
            <w:r>
              <w:t>1</w:t>
            </w:r>
            <w:r>
              <w:noBreakHyphen/>
              <w:t>CYCLOHEXYLETHYL</w:t>
            </w:r>
            <w:r>
              <w:noBreakHyphen/>
              <w:t>3</w:t>
            </w:r>
            <w:r>
              <w:noBreakHyphen/>
              <w:t>(2</w:t>
            </w:r>
            <w:r>
              <w:noBreakHyphen/>
            </w:r>
            <w:r>
              <w:br/>
              <w:t>METHOXYPHENYLACETYL)INDOLE (RCS</w:t>
            </w:r>
            <w:r>
              <w:noBreakHyphen/>
              <w:t>8)</w:t>
            </w:r>
          </w:p>
        </w:tc>
        <w:tc>
          <w:tcPr>
            <w:tcW w:w="1240" w:type="dxa"/>
            <w:gridSpan w:val="2"/>
          </w:tcPr>
          <w:p>
            <w:pPr>
              <w:pStyle w:val="yTable"/>
              <w:tabs>
                <w:tab w:val="decimal" w:pos="439"/>
              </w:tabs>
              <w:spacing w:before="80" w:after="40"/>
            </w:pPr>
            <w:r>
              <w:br/>
              <w:t>500.0</w:t>
            </w:r>
          </w:p>
        </w:tc>
      </w:tr>
      <w:tr>
        <w:tc>
          <w:tcPr>
            <w:tcW w:w="994" w:type="dxa"/>
          </w:tcPr>
          <w:p>
            <w:pPr>
              <w:pStyle w:val="yTable"/>
              <w:spacing w:before="40" w:after="40"/>
            </w:pPr>
            <w:r>
              <w:t>34.</w:t>
            </w:r>
          </w:p>
        </w:tc>
        <w:tc>
          <w:tcPr>
            <w:tcW w:w="4792" w:type="dxa"/>
          </w:tcPr>
          <w:p>
            <w:pPr>
              <w:pStyle w:val="yTable"/>
            </w:pPr>
            <w:r>
              <w:t>DESOMORPHINE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35.</w:t>
            </w:r>
          </w:p>
        </w:tc>
        <w:tc>
          <w:tcPr>
            <w:tcW w:w="4792" w:type="dxa"/>
          </w:tcPr>
          <w:p>
            <w:pPr>
              <w:pStyle w:val="yTable"/>
            </w:pPr>
            <w:r>
              <w:t>DEXAMPHETAMINE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36.</w:t>
            </w:r>
          </w:p>
        </w:tc>
        <w:tc>
          <w:tcPr>
            <w:tcW w:w="4792" w:type="dxa"/>
          </w:tcPr>
          <w:p>
            <w:pPr>
              <w:pStyle w:val="yTable"/>
            </w:pPr>
            <w:r>
              <w:t>DEXTROMORAMIDE</w:t>
            </w:r>
          </w:p>
        </w:tc>
        <w:tc>
          <w:tcPr>
            <w:tcW w:w="1240" w:type="dxa"/>
            <w:gridSpan w:val="2"/>
          </w:tcPr>
          <w:p>
            <w:pPr>
              <w:pStyle w:val="yTable"/>
              <w:tabs>
                <w:tab w:val="decimal" w:pos="439"/>
              </w:tabs>
              <w:spacing w:before="40" w:after="40"/>
            </w:pPr>
            <w:r>
              <w:t>3.0</w:t>
            </w:r>
          </w:p>
        </w:tc>
      </w:tr>
      <w:tr>
        <w:tc>
          <w:tcPr>
            <w:tcW w:w="994" w:type="dxa"/>
          </w:tcPr>
          <w:p>
            <w:pPr>
              <w:pStyle w:val="yTable"/>
              <w:spacing w:before="40" w:after="40"/>
            </w:pPr>
            <w:r>
              <w:t>37.</w:t>
            </w:r>
          </w:p>
        </w:tc>
        <w:tc>
          <w:tcPr>
            <w:tcW w:w="4792" w:type="dxa"/>
          </w:tcPr>
          <w:p>
            <w:pPr>
              <w:pStyle w:val="yTable"/>
            </w:pPr>
            <w:r>
              <w:t>DIAMPROMIDE</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38.</w:t>
            </w:r>
          </w:p>
        </w:tc>
        <w:tc>
          <w:tcPr>
            <w:tcW w:w="4792" w:type="dxa"/>
          </w:tcPr>
          <w:p>
            <w:pPr>
              <w:pStyle w:val="yTable"/>
            </w:pPr>
            <w:r>
              <w:t>DIETHYLTHIAMBUTENE</w:t>
            </w:r>
          </w:p>
        </w:tc>
        <w:tc>
          <w:tcPr>
            <w:tcW w:w="1240" w:type="dxa"/>
            <w:gridSpan w:val="2"/>
          </w:tcPr>
          <w:p>
            <w:pPr>
              <w:pStyle w:val="yTable"/>
              <w:tabs>
                <w:tab w:val="decimal" w:pos="439"/>
              </w:tabs>
              <w:spacing w:before="40" w:after="40"/>
            </w:pPr>
            <w:r>
              <w:t>15.0</w:t>
            </w:r>
          </w:p>
        </w:tc>
      </w:tr>
      <w:tr>
        <w:trPr>
          <w:cantSplit/>
        </w:trPr>
        <w:tc>
          <w:tcPr>
            <w:tcW w:w="994" w:type="dxa"/>
          </w:tcPr>
          <w:p>
            <w:pPr>
              <w:pStyle w:val="yTable"/>
              <w:spacing w:before="40" w:after="40"/>
            </w:pPr>
            <w:r>
              <w:t>39.</w:t>
            </w:r>
          </w:p>
        </w:tc>
        <w:tc>
          <w:tcPr>
            <w:tcW w:w="4792" w:type="dxa"/>
          </w:tcPr>
          <w:p>
            <w:pPr>
              <w:pStyle w:val="yTable"/>
              <w:ind w:left="397" w:hanging="397"/>
            </w:pPr>
            <w:r>
              <w:t>DIFENOXIN (excluding preparations containing, per dosage unit, not more than 0.5 mg of difenoxin and a quantity of atropine sulphate equivalent to at least 5% of the dose of difenoxin)</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40.</w:t>
            </w:r>
          </w:p>
        </w:tc>
        <w:tc>
          <w:tcPr>
            <w:tcW w:w="4792" w:type="dxa"/>
          </w:tcPr>
          <w:p>
            <w:pPr>
              <w:pStyle w:val="yTable"/>
              <w:ind w:left="397" w:hanging="397"/>
            </w:pPr>
            <w:r>
              <w:t xml:space="preserve">DIHYDROCODEINE (except when included in Schedule 2 or 4 in Appendix A to the </w:t>
            </w:r>
            <w:r>
              <w:rPr>
                <w:i/>
                <w:iCs/>
              </w:rPr>
              <w:t>Poisons Act 1964</w:t>
            </w:r>
            <w:r>
              <w:t>)</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41.</w:t>
            </w:r>
          </w:p>
        </w:tc>
        <w:tc>
          <w:tcPr>
            <w:tcW w:w="4792" w:type="dxa"/>
          </w:tcPr>
          <w:p>
            <w:pPr>
              <w:pStyle w:val="yTable"/>
            </w:pPr>
            <w:r>
              <w:t>DIHYDROMORPHINE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42.</w:t>
            </w:r>
          </w:p>
        </w:tc>
        <w:tc>
          <w:tcPr>
            <w:tcW w:w="4792" w:type="dxa"/>
          </w:tcPr>
          <w:p>
            <w:pPr>
              <w:pStyle w:val="yTable"/>
            </w:pPr>
            <w:r>
              <w:t>DIMENOXADOL</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43.</w:t>
            </w:r>
          </w:p>
        </w:tc>
        <w:tc>
          <w:tcPr>
            <w:tcW w:w="4792" w:type="dxa"/>
          </w:tcPr>
          <w:p>
            <w:pPr>
              <w:pStyle w:val="yTable"/>
            </w:pPr>
            <w:r>
              <w:t>DIMEPHEPTANOL</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44.</w:t>
            </w:r>
          </w:p>
        </w:tc>
        <w:tc>
          <w:tcPr>
            <w:tcW w:w="4792" w:type="dxa"/>
          </w:tcPr>
          <w:p>
            <w:pPr>
              <w:pStyle w:val="yTable"/>
            </w:pPr>
            <w:r>
              <w:t>2,5</w:t>
            </w:r>
            <w:r>
              <w:noBreakHyphen/>
              <w:t>DIMETHOXY</w:t>
            </w:r>
            <w:r>
              <w:noBreakHyphen/>
              <w:t>4</w:t>
            </w:r>
            <w:r>
              <w:noBreakHyphen/>
              <w:t>BROMOAMPHETAMINE</w:t>
            </w:r>
          </w:p>
        </w:tc>
        <w:tc>
          <w:tcPr>
            <w:tcW w:w="1240" w:type="dxa"/>
            <w:gridSpan w:val="2"/>
          </w:tcPr>
          <w:p>
            <w:pPr>
              <w:pStyle w:val="yTable"/>
              <w:tabs>
                <w:tab w:val="decimal" w:pos="439"/>
              </w:tabs>
              <w:spacing w:before="40" w:after="40"/>
            </w:pPr>
            <w:r>
              <w:t>0.25</w:t>
            </w:r>
          </w:p>
        </w:tc>
      </w:tr>
      <w:tr>
        <w:tc>
          <w:tcPr>
            <w:tcW w:w="994" w:type="dxa"/>
          </w:tcPr>
          <w:p>
            <w:pPr>
              <w:pStyle w:val="yTable"/>
              <w:spacing w:before="40" w:after="40"/>
            </w:pPr>
            <w:r>
              <w:t>45.</w:t>
            </w:r>
          </w:p>
        </w:tc>
        <w:tc>
          <w:tcPr>
            <w:tcW w:w="4792" w:type="dxa"/>
          </w:tcPr>
          <w:p>
            <w:pPr>
              <w:pStyle w:val="yTable"/>
            </w:pPr>
            <w:r>
              <w:t>2,5</w:t>
            </w:r>
            <w:r>
              <w:noBreakHyphen/>
              <w:t>DIMETHOXY</w:t>
            </w:r>
            <w:r>
              <w:noBreakHyphen/>
              <w:t>4</w:t>
            </w:r>
            <w:r>
              <w:noBreakHyphen/>
              <w:t>METHYLAMPHETAMINE</w:t>
            </w:r>
          </w:p>
        </w:tc>
        <w:tc>
          <w:tcPr>
            <w:tcW w:w="1240" w:type="dxa"/>
            <w:gridSpan w:val="2"/>
          </w:tcPr>
          <w:p>
            <w:pPr>
              <w:pStyle w:val="yTable"/>
              <w:tabs>
                <w:tab w:val="decimal" w:pos="439"/>
              </w:tabs>
              <w:spacing w:before="40" w:after="40"/>
            </w:pPr>
            <w:r>
              <w:t>0.25</w:t>
            </w:r>
          </w:p>
        </w:tc>
      </w:tr>
      <w:tr>
        <w:tc>
          <w:tcPr>
            <w:tcW w:w="994" w:type="dxa"/>
          </w:tcPr>
          <w:p>
            <w:pPr>
              <w:pStyle w:val="yTable"/>
              <w:spacing w:before="40" w:after="40"/>
              <w:ind w:right="-154"/>
            </w:pPr>
            <w:r>
              <w:t>46A.</w:t>
            </w:r>
          </w:p>
        </w:tc>
        <w:tc>
          <w:tcPr>
            <w:tcW w:w="4792" w:type="dxa"/>
          </w:tcPr>
          <w:p>
            <w:pPr>
              <w:pStyle w:val="yTable"/>
            </w:pPr>
            <w:r>
              <w:t>DIMETHYLAMPHETAMINE</w:t>
            </w:r>
          </w:p>
        </w:tc>
        <w:tc>
          <w:tcPr>
            <w:tcW w:w="1240" w:type="dxa"/>
            <w:gridSpan w:val="2"/>
          </w:tcPr>
          <w:p>
            <w:pPr>
              <w:pStyle w:val="yTable"/>
              <w:tabs>
                <w:tab w:val="decimal" w:pos="439"/>
              </w:tabs>
              <w:spacing w:before="40" w:after="40"/>
            </w:pPr>
            <w:r>
              <w:t>4.0</w:t>
            </w:r>
          </w:p>
        </w:tc>
      </w:tr>
      <w:tr>
        <w:tc>
          <w:tcPr>
            <w:tcW w:w="994" w:type="dxa"/>
          </w:tcPr>
          <w:p>
            <w:pPr>
              <w:pStyle w:val="yTable"/>
              <w:spacing w:before="40" w:after="40"/>
              <w:ind w:right="-154"/>
            </w:pPr>
            <w:r>
              <w:t>46B.</w:t>
            </w:r>
          </w:p>
        </w:tc>
        <w:tc>
          <w:tcPr>
            <w:tcW w:w="4792" w:type="dxa"/>
          </w:tcPr>
          <w:p>
            <w:pPr>
              <w:pStyle w:val="yTable"/>
              <w:ind w:left="397" w:hanging="397"/>
            </w:pPr>
            <w:r>
              <w:t>5</w:t>
            </w:r>
            <w:r>
              <w:noBreakHyphen/>
              <w:t>(1,1</w:t>
            </w:r>
            <w:r>
              <w:noBreakHyphen/>
              <w:t>DIMETHYLHEPTYL)</w:t>
            </w:r>
            <w:r>
              <w:noBreakHyphen/>
              <w:t>2</w:t>
            </w:r>
            <w:r>
              <w:noBreakHyphen/>
              <w:t>[(1</w:t>
            </w:r>
            <w:r>
              <w:rPr>
                <w:i/>
              </w:rPr>
              <w:t>R,3S</w:t>
            </w:r>
            <w:r>
              <w:t>)</w:t>
            </w:r>
            <w:r>
              <w:br/>
            </w:r>
            <w:r>
              <w:noBreakHyphen/>
              <w:t>3</w:t>
            </w:r>
            <w:r>
              <w:noBreakHyphen/>
              <w:t>HYDROXYCYCLOHEXYL]</w:t>
            </w:r>
            <w:r>
              <w:noBreakHyphen/>
              <w:t xml:space="preserve">PHENOL </w:t>
            </w:r>
            <w:r>
              <w:br/>
              <w:t>(CP 47,497)</w:t>
            </w:r>
          </w:p>
        </w:tc>
        <w:tc>
          <w:tcPr>
            <w:tcW w:w="1240" w:type="dxa"/>
            <w:gridSpan w:val="2"/>
          </w:tcPr>
          <w:p>
            <w:pPr>
              <w:pStyle w:val="yTable"/>
              <w:tabs>
                <w:tab w:val="decimal" w:pos="439"/>
              </w:tabs>
              <w:spacing w:before="40" w:after="40"/>
            </w:pPr>
            <w:r>
              <w:t>500.0</w:t>
            </w:r>
          </w:p>
        </w:tc>
      </w:tr>
      <w:tr>
        <w:tc>
          <w:tcPr>
            <w:tcW w:w="994" w:type="dxa"/>
          </w:tcPr>
          <w:p>
            <w:pPr>
              <w:pStyle w:val="yTable"/>
              <w:spacing w:before="40" w:after="40"/>
              <w:ind w:right="-154"/>
            </w:pPr>
            <w:r>
              <w:t>46C.</w:t>
            </w:r>
          </w:p>
        </w:tc>
        <w:tc>
          <w:tcPr>
            <w:tcW w:w="4792" w:type="dxa"/>
          </w:tcPr>
          <w:p>
            <w:pPr>
              <w:pStyle w:val="yTable"/>
              <w:ind w:left="397" w:hanging="397"/>
            </w:pPr>
            <w:r>
              <w:t>5</w:t>
            </w:r>
            <w:r>
              <w:noBreakHyphen/>
              <w:t>(1,1</w:t>
            </w:r>
            <w:r>
              <w:noBreakHyphen/>
              <w:t>DIMETHYLOCTYL)</w:t>
            </w:r>
            <w:r>
              <w:noBreakHyphen/>
              <w:t>2</w:t>
            </w:r>
            <w:r>
              <w:noBreakHyphen/>
              <w:t>[(1</w:t>
            </w:r>
            <w:r>
              <w:rPr>
                <w:i/>
              </w:rPr>
              <w:t>R,3S</w:t>
            </w:r>
            <w:r>
              <w:t>)</w:t>
            </w:r>
            <w:r>
              <w:br/>
            </w:r>
            <w:r>
              <w:noBreakHyphen/>
              <w:t>3</w:t>
            </w:r>
            <w:r>
              <w:noBreakHyphen/>
              <w:t>HYDROXYCYCLOHEXYL]</w:t>
            </w:r>
            <w:r>
              <w:noBreakHyphen/>
              <w:t>PHENOL (CANNABICYCLOHEXANOL or CP 47,497 C8 HOMOLOGUE)</w:t>
            </w:r>
          </w:p>
        </w:tc>
        <w:tc>
          <w:tcPr>
            <w:tcW w:w="1240" w:type="dxa"/>
            <w:gridSpan w:val="2"/>
          </w:tcPr>
          <w:p>
            <w:pPr>
              <w:pStyle w:val="yTable"/>
              <w:tabs>
                <w:tab w:val="decimal" w:pos="439"/>
              </w:tabs>
              <w:spacing w:before="40" w:after="40"/>
            </w:pPr>
            <w:r>
              <w:t>500.0</w:t>
            </w:r>
          </w:p>
        </w:tc>
      </w:tr>
      <w:tr>
        <w:tc>
          <w:tcPr>
            <w:tcW w:w="994" w:type="dxa"/>
          </w:tcPr>
          <w:p>
            <w:pPr>
              <w:pStyle w:val="yTable"/>
              <w:spacing w:before="40" w:after="40"/>
            </w:pPr>
            <w:r>
              <w:t>46.</w:t>
            </w:r>
          </w:p>
        </w:tc>
        <w:tc>
          <w:tcPr>
            <w:tcW w:w="4792" w:type="dxa"/>
          </w:tcPr>
          <w:p>
            <w:pPr>
              <w:pStyle w:val="yTable"/>
            </w:pPr>
            <w:r>
              <w:t>DIMETHYLTHIAMBUTENE</w:t>
            </w:r>
          </w:p>
        </w:tc>
        <w:tc>
          <w:tcPr>
            <w:tcW w:w="1240" w:type="dxa"/>
            <w:gridSpan w:val="2"/>
          </w:tcPr>
          <w:p>
            <w:pPr>
              <w:pStyle w:val="yTable"/>
              <w:tabs>
                <w:tab w:val="decimal" w:pos="439"/>
              </w:tabs>
              <w:spacing w:before="40" w:after="40"/>
            </w:pPr>
            <w:r>
              <w:t>60.0</w:t>
            </w:r>
          </w:p>
        </w:tc>
      </w:tr>
      <w:tr>
        <w:tc>
          <w:tcPr>
            <w:tcW w:w="994" w:type="dxa"/>
          </w:tcPr>
          <w:p>
            <w:pPr>
              <w:pStyle w:val="yTable"/>
              <w:spacing w:before="40" w:after="40"/>
            </w:pPr>
            <w:r>
              <w:t>47.</w:t>
            </w:r>
          </w:p>
        </w:tc>
        <w:tc>
          <w:tcPr>
            <w:tcW w:w="4792" w:type="dxa"/>
          </w:tcPr>
          <w:p>
            <w:pPr>
              <w:pStyle w:val="yTable"/>
            </w:pPr>
            <w:r>
              <w:t>DIMETHYLTRYPTAMINE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48.</w:t>
            </w:r>
          </w:p>
        </w:tc>
        <w:tc>
          <w:tcPr>
            <w:tcW w:w="4792" w:type="dxa"/>
          </w:tcPr>
          <w:p>
            <w:pPr>
              <w:pStyle w:val="yTable"/>
            </w:pPr>
            <w:r>
              <w:t>DIOXAPHETYL BUTYRATE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49.</w:t>
            </w:r>
          </w:p>
        </w:tc>
        <w:tc>
          <w:tcPr>
            <w:tcW w:w="4792" w:type="dxa"/>
          </w:tcPr>
          <w:p>
            <w:pPr>
              <w:pStyle w:val="yTable"/>
              <w:ind w:left="397" w:hanging="397"/>
            </w:pPr>
            <w:r>
              <w:t>DIPHENOXYLATE (excluding preparations containing, per dosage unit, not more than 2.5 mg of diphenoxylate calculated as base, and a quantity of atropine sulphate equivalent to at least 1% of the dose of diphenoxylate)</w:t>
            </w:r>
          </w:p>
        </w:tc>
        <w:tc>
          <w:tcPr>
            <w:tcW w:w="1240" w:type="dxa"/>
            <w:gridSpan w:val="2"/>
          </w:tcPr>
          <w:p>
            <w:pPr>
              <w:pStyle w:val="yTable"/>
              <w:keepNext/>
              <w:tabs>
                <w:tab w:val="decimal" w:pos="439"/>
              </w:tabs>
              <w:spacing w:before="40" w:after="40"/>
            </w:pPr>
            <w:r>
              <w:t>6.0</w:t>
            </w:r>
          </w:p>
        </w:tc>
      </w:tr>
      <w:tr>
        <w:tc>
          <w:tcPr>
            <w:tcW w:w="994" w:type="dxa"/>
          </w:tcPr>
          <w:p>
            <w:pPr>
              <w:pStyle w:val="yTable"/>
              <w:spacing w:before="40" w:after="40"/>
            </w:pPr>
            <w:r>
              <w:t>50.</w:t>
            </w:r>
          </w:p>
        </w:tc>
        <w:tc>
          <w:tcPr>
            <w:tcW w:w="4792" w:type="dxa"/>
          </w:tcPr>
          <w:p>
            <w:pPr>
              <w:pStyle w:val="yTable"/>
            </w:pPr>
            <w:r>
              <w:t>DIPIPANONE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51.</w:t>
            </w:r>
          </w:p>
        </w:tc>
        <w:tc>
          <w:tcPr>
            <w:tcW w:w="4792" w:type="dxa"/>
          </w:tcPr>
          <w:p>
            <w:pPr>
              <w:pStyle w:val="yTable"/>
            </w:pPr>
            <w:r>
              <w:t>DROTEBANOL</w:t>
            </w:r>
          </w:p>
        </w:tc>
        <w:tc>
          <w:tcPr>
            <w:tcW w:w="1240" w:type="dxa"/>
            <w:gridSpan w:val="2"/>
          </w:tcPr>
          <w:p>
            <w:pPr>
              <w:pStyle w:val="yTable"/>
              <w:tabs>
                <w:tab w:val="decimal" w:pos="439"/>
              </w:tabs>
              <w:spacing w:before="40" w:after="40"/>
            </w:pPr>
            <w:r>
              <w:t>0.3</w:t>
            </w:r>
          </w:p>
        </w:tc>
      </w:tr>
      <w:tr>
        <w:tc>
          <w:tcPr>
            <w:tcW w:w="994" w:type="dxa"/>
          </w:tcPr>
          <w:p>
            <w:pPr>
              <w:pStyle w:val="yTable"/>
              <w:spacing w:before="40" w:after="40"/>
            </w:pPr>
            <w:r>
              <w:t>52.</w:t>
            </w:r>
          </w:p>
        </w:tc>
        <w:tc>
          <w:tcPr>
            <w:tcW w:w="4792" w:type="dxa"/>
          </w:tcPr>
          <w:p>
            <w:pPr>
              <w:pStyle w:val="yTable"/>
              <w:ind w:left="397" w:hanging="397"/>
            </w:pPr>
            <w:r>
              <w:t>ECGONINE, ITS ESTERS AND DERIVATIVES which are convertible to ECGONINE AND COCAINE</w:t>
            </w:r>
          </w:p>
        </w:tc>
        <w:tc>
          <w:tcPr>
            <w:tcW w:w="1240" w:type="dxa"/>
            <w:gridSpan w:val="2"/>
          </w:tcPr>
          <w:p>
            <w:pPr>
              <w:pStyle w:val="yTable"/>
              <w:tabs>
                <w:tab w:val="decimal" w:pos="439"/>
              </w:tabs>
              <w:spacing w:before="40" w:after="40"/>
            </w:pPr>
            <w:r>
              <w:t>30.0</w:t>
            </w:r>
          </w:p>
        </w:tc>
      </w:tr>
      <w:tr>
        <w:trPr>
          <w:cantSplit/>
        </w:trPr>
        <w:tc>
          <w:tcPr>
            <w:tcW w:w="994" w:type="dxa"/>
          </w:tcPr>
          <w:p>
            <w:pPr>
              <w:pStyle w:val="yTable"/>
            </w:pPr>
            <w:r>
              <w:rPr>
                <w:spacing w:val="-8"/>
              </w:rPr>
              <w:t>52A</w:t>
            </w:r>
            <w:r>
              <w:rPr>
                <w:spacing w:val="-12"/>
              </w:rPr>
              <w:t>.</w:t>
            </w:r>
          </w:p>
        </w:tc>
        <w:tc>
          <w:tcPr>
            <w:tcW w:w="4792" w:type="dxa"/>
          </w:tcPr>
          <w:p>
            <w:pPr>
              <w:pStyle w:val="yTable"/>
            </w:pPr>
            <w:r>
              <w:t>EPHEDRINE</w:t>
            </w:r>
          </w:p>
        </w:tc>
        <w:tc>
          <w:tcPr>
            <w:tcW w:w="1240" w:type="dxa"/>
            <w:gridSpan w:val="2"/>
          </w:tcPr>
          <w:p>
            <w:pPr>
              <w:pStyle w:val="yTable"/>
              <w:tabs>
                <w:tab w:val="decimal" w:pos="439"/>
              </w:tabs>
              <w:spacing w:before="40" w:after="40"/>
            </w:pPr>
            <w:r>
              <w:t>4.0</w:t>
            </w:r>
          </w:p>
        </w:tc>
      </w:tr>
      <w:tr>
        <w:tc>
          <w:tcPr>
            <w:tcW w:w="994" w:type="dxa"/>
          </w:tcPr>
          <w:p>
            <w:pPr>
              <w:pStyle w:val="yTable"/>
              <w:spacing w:before="40" w:after="40"/>
            </w:pPr>
            <w:r>
              <w:t>53.</w:t>
            </w:r>
          </w:p>
        </w:tc>
        <w:tc>
          <w:tcPr>
            <w:tcW w:w="4792" w:type="dxa"/>
          </w:tcPr>
          <w:p>
            <w:pPr>
              <w:pStyle w:val="yTable"/>
            </w:pPr>
            <w:r>
              <w:t>ETHYLMETHYLTHIAMBUTENE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54.</w:t>
            </w:r>
          </w:p>
        </w:tc>
        <w:tc>
          <w:tcPr>
            <w:tcW w:w="4792" w:type="dxa"/>
          </w:tcPr>
          <w:p>
            <w:pPr>
              <w:pStyle w:val="yTable"/>
              <w:ind w:left="397" w:hanging="397"/>
            </w:pPr>
            <w:r>
              <w:t>ETHYLMORPHINE (and substances containing more than 2.5% of ethylmorphine)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55.</w:t>
            </w:r>
          </w:p>
        </w:tc>
        <w:tc>
          <w:tcPr>
            <w:tcW w:w="4792" w:type="dxa"/>
          </w:tcPr>
          <w:p>
            <w:pPr>
              <w:pStyle w:val="yTable"/>
            </w:pPr>
            <w:r>
              <w:t>ETONITAZENE</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56.</w:t>
            </w:r>
          </w:p>
        </w:tc>
        <w:tc>
          <w:tcPr>
            <w:tcW w:w="4792" w:type="dxa"/>
          </w:tcPr>
          <w:p>
            <w:pPr>
              <w:pStyle w:val="yTable"/>
            </w:pPr>
            <w:r>
              <w:t>ETORPHINE</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57.</w:t>
            </w:r>
          </w:p>
        </w:tc>
        <w:tc>
          <w:tcPr>
            <w:tcW w:w="4792" w:type="dxa"/>
          </w:tcPr>
          <w:p>
            <w:pPr>
              <w:pStyle w:val="yTable"/>
            </w:pPr>
            <w:r>
              <w:t>ETOXERIDINE</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58.</w:t>
            </w:r>
          </w:p>
        </w:tc>
        <w:tc>
          <w:tcPr>
            <w:tcW w:w="4792" w:type="dxa"/>
          </w:tcPr>
          <w:p>
            <w:pPr>
              <w:pStyle w:val="yTable"/>
            </w:pPr>
            <w:r>
              <w:t>FENTANYL</w:t>
            </w:r>
          </w:p>
        </w:tc>
        <w:tc>
          <w:tcPr>
            <w:tcW w:w="1240" w:type="dxa"/>
            <w:gridSpan w:val="2"/>
          </w:tcPr>
          <w:p>
            <w:pPr>
              <w:pStyle w:val="yTable"/>
              <w:tabs>
                <w:tab w:val="decimal" w:pos="439"/>
              </w:tabs>
              <w:spacing w:before="40" w:after="40"/>
            </w:pPr>
            <w:r>
              <w:t>0.015</w:t>
            </w:r>
          </w:p>
        </w:tc>
      </w:tr>
      <w:tr>
        <w:tc>
          <w:tcPr>
            <w:tcW w:w="994" w:type="dxa"/>
          </w:tcPr>
          <w:p>
            <w:pPr>
              <w:pStyle w:val="yTable"/>
            </w:pPr>
            <w:r>
              <w:t>59A.</w:t>
            </w:r>
          </w:p>
        </w:tc>
        <w:tc>
          <w:tcPr>
            <w:tcW w:w="4792" w:type="dxa"/>
          </w:tcPr>
          <w:p>
            <w:pPr>
              <w:pStyle w:val="yTable"/>
            </w:pPr>
            <w:r>
              <w:t>1</w:t>
            </w:r>
            <w:r>
              <w:noBreakHyphen/>
              <w:t>(5</w:t>
            </w:r>
            <w:r>
              <w:noBreakHyphen/>
              <w:t>FLUOROPENTYL)</w:t>
            </w:r>
            <w:r>
              <w:noBreakHyphen/>
              <w:t>3</w:t>
            </w:r>
            <w:r>
              <w:noBreakHyphen/>
              <w:t>(2</w:t>
            </w:r>
            <w:r>
              <w:noBreakHyphen/>
            </w:r>
            <w:r>
              <w:br/>
              <w:t>IODOBENZOYL) INDOLE) (AM</w:t>
            </w:r>
            <w:r>
              <w:noBreakHyphen/>
              <w:t>694)</w:t>
            </w:r>
          </w:p>
        </w:tc>
        <w:tc>
          <w:tcPr>
            <w:tcW w:w="1240" w:type="dxa"/>
            <w:gridSpan w:val="2"/>
          </w:tcPr>
          <w:p>
            <w:pPr>
              <w:pStyle w:val="yTable"/>
              <w:tabs>
                <w:tab w:val="decimal" w:pos="439"/>
              </w:tabs>
              <w:spacing w:before="40" w:after="40"/>
            </w:pPr>
            <w:r>
              <w:br/>
              <w:t>500.0</w:t>
            </w:r>
          </w:p>
        </w:tc>
      </w:tr>
      <w:tr>
        <w:tc>
          <w:tcPr>
            <w:tcW w:w="994" w:type="dxa"/>
          </w:tcPr>
          <w:p>
            <w:pPr>
              <w:pStyle w:val="yTable"/>
            </w:pPr>
            <w:r>
              <w:t>59B.</w:t>
            </w:r>
          </w:p>
        </w:tc>
        <w:tc>
          <w:tcPr>
            <w:tcW w:w="4792" w:type="dxa"/>
          </w:tcPr>
          <w:p>
            <w:pPr>
              <w:pStyle w:val="yTable"/>
            </w:pPr>
            <w:r>
              <w:t>1</w:t>
            </w:r>
            <w:r>
              <w:noBreakHyphen/>
              <w:t>(5</w:t>
            </w:r>
            <w:r>
              <w:noBreakHyphen/>
              <w:t>FLUOROPENTYL)</w:t>
            </w:r>
            <w:r>
              <w:noBreakHyphen/>
              <w:t>3</w:t>
            </w:r>
            <w:r>
              <w:noBreakHyphen/>
              <w:t>(1</w:t>
            </w:r>
            <w:r>
              <w:noBreakHyphen/>
            </w:r>
            <w:r>
              <w:br/>
              <w:t>NAPHTHOYL) INDOLE (AM</w:t>
            </w:r>
            <w:r>
              <w:noBreakHyphen/>
              <w:t>2201)</w:t>
            </w:r>
          </w:p>
        </w:tc>
        <w:tc>
          <w:tcPr>
            <w:tcW w:w="1240" w:type="dxa"/>
            <w:gridSpan w:val="2"/>
          </w:tcPr>
          <w:p>
            <w:pPr>
              <w:pStyle w:val="yTable"/>
              <w:tabs>
                <w:tab w:val="decimal" w:pos="439"/>
              </w:tabs>
              <w:spacing w:before="40" w:after="40"/>
            </w:pPr>
            <w:r>
              <w:br/>
              <w:t>500.0</w:t>
            </w:r>
          </w:p>
        </w:tc>
      </w:tr>
      <w:tr>
        <w:tc>
          <w:tcPr>
            <w:tcW w:w="994" w:type="dxa"/>
          </w:tcPr>
          <w:p>
            <w:pPr>
              <w:pStyle w:val="yTable"/>
              <w:spacing w:before="40" w:after="40"/>
            </w:pPr>
            <w:r>
              <w:t>59.</w:t>
            </w:r>
          </w:p>
        </w:tc>
        <w:tc>
          <w:tcPr>
            <w:tcW w:w="4792" w:type="dxa"/>
          </w:tcPr>
          <w:p>
            <w:pPr>
              <w:pStyle w:val="yTable"/>
            </w:pPr>
            <w:r>
              <w:t>FURETHIDINE</w:t>
            </w:r>
          </w:p>
        </w:tc>
        <w:tc>
          <w:tcPr>
            <w:tcW w:w="1240" w:type="dxa"/>
            <w:gridSpan w:val="2"/>
          </w:tcPr>
          <w:p>
            <w:pPr>
              <w:pStyle w:val="yTable"/>
              <w:tabs>
                <w:tab w:val="decimal" w:pos="439"/>
              </w:tabs>
              <w:spacing w:before="40" w:after="40"/>
            </w:pPr>
            <w:r>
              <w:t>3.0</w:t>
            </w:r>
          </w:p>
        </w:tc>
      </w:tr>
      <w:tr>
        <w:tc>
          <w:tcPr>
            <w:tcW w:w="994" w:type="dxa"/>
          </w:tcPr>
          <w:p>
            <w:pPr>
              <w:pStyle w:val="yTable"/>
              <w:spacing w:before="40" w:after="40"/>
            </w:pPr>
            <w:r>
              <w:t>60.</w:t>
            </w:r>
          </w:p>
        </w:tc>
        <w:tc>
          <w:tcPr>
            <w:tcW w:w="4792" w:type="dxa"/>
          </w:tcPr>
          <w:p>
            <w:pPr>
              <w:pStyle w:val="yTable"/>
              <w:ind w:left="397" w:hanging="397"/>
            </w:pPr>
            <w:r>
              <w:t>HALLUCINOGENIC SUBSTANCES (structurally derived from methoxyphenethylamine)</w:t>
            </w:r>
          </w:p>
        </w:tc>
        <w:tc>
          <w:tcPr>
            <w:tcW w:w="1240" w:type="dxa"/>
            <w:gridSpan w:val="2"/>
          </w:tcPr>
          <w:p>
            <w:pPr>
              <w:pStyle w:val="yTable"/>
              <w:tabs>
                <w:tab w:val="decimal" w:pos="439"/>
              </w:tabs>
              <w:spacing w:before="40" w:after="40"/>
            </w:pPr>
            <w:r>
              <w:t>0.25</w:t>
            </w:r>
          </w:p>
        </w:tc>
      </w:tr>
      <w:tr>
        <w:tc>
          <w:tcPr>
            <w:tcW w:w="994" w:type="dxa"/>
          </w:tcPr>
          <w:p>
            <w:pPr>
              <w:pStyle w:val="yTable"/>
              <w:spacing w:before="40" w:after="40"/>
            </w:pPr>
            <w:r>
              <w:t>61.</w:t>
            </w:r>
          </w:p>
        </w:tc>
        <w:tc>
          <w:tcPr>
            <w:tcW w:w="4792" w:type="dxa"/>
          </w:tcPr>
          <w:p>
            <w:pPr>
              <w:pStyle w:val="yTable"/>
            </w:pPr>
            <w:r>
              <w:t>HEPTABARBITONE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62.</w:t>
            </w:r>
          </w:p>
        </w:tc>
        <w:tc>
          <w:tcPr>
            <w:tcW w:w="4792" w:type="dxa"/>
          </w:tcPr>
          <w:p>
            <w:pPr>
              <w:pStyle w:val="yTable"/>
            </w:pPr>
            <w:r>
              <w:t>HEXOBARBITONE</w:t>
            </w:r>
          </w:p>
        </w:tc>
        <w:tc>
          <w:tcPr>
            <w:tcW w:w="1240" w:type="dxa"/>
            <w:gridSpan w:val="2"/>
          </w:tcPr>
          <w:p>
            <w:pPr>
              <w:pStyle w:val="yTable"/>
              <w:tabs>
                <w:tab w:val="decimal" w:pos="439"/>
              </w:tabs>
              <w:spacing w:before="40" w:after="40"/>
            </w:pPr>
            <w:r>
              <w:t>30.0</w:t>
            </w:r>
          </w:p>
        </w:tc>
      </w:tr>
      <w:tr>
        <w:tc>
          <w:tcPr>
            <w:tcW w:w="994" w:type="dxa"/>
          </w:tcPr>
          <w:p>
            <w:pPr>
              <w:pStyle w:val="yTable"/>
            </w:pPr>
            <w:r>
              <w:t>63A.</w:t>
            </w:r>
          </w:p>
        </w:tc>
        <w:tc>
          <w:tcPr>
            <w:tcW w:w="4792" w:type="dxa"/>
          </w:tcPr>
          <w:p>
            <w:pPr>
              <w:pStyle w:val="yTable"/>
            </w:pPr>
            <w:r>
              <w:t>1</w:t>
            </w:r>
            <w:r>
              <w:noBreakHyphen/>
              <w:t>HEXYL</w:t>
            </w:r>
            <w:r>
              <w:noBreakHyphen/>
              <w:t>3</w:t>
            </w:r>
            <w:r>
              <w:noBreakHyphen/>
              <w:t>(1</w:t>
            </w:r>
            <w:r>
              <w:noBreakHyphen/>
              <w:t>NAPHTHOYL)INDOLE (JWH</w:t>
            </w:r>
            <w:r>
              <w:noBreakHyphen/>
              <w:t>019)</w:t>
            </w:r>
          </w:p>
        </w:tc>
        <w:tc>
          <w:tcPr>
            <w:tcW w:w="1240" w:type="dxa"/>
            <w:gridSpan w:val="2"/>
          </w:tcPr>
          <w:p>
            <w:pPr>
              <w:pStyle w:val="yTable"/>
              <w:tabs>
                <w:tab w:val="decimal" w:pos="439"/>
              </w:tabs>
              <w:spacing w:before="40" w:after="40"/>
            </w:pPr>
            <w:r>
              <w:br/>
              <w:t>500.0</w:t>
            </w:r>
          </w:p>
        </w:tc>
      </w:tr>
      <w:tr>
        <w:tc>
          <w:tcPr>
            <w:tcW w:w="994" w:type="dxa"/>
          </w:tcPr>
          <w:p>
            <w:pPr>
              <w:pStyle w:val="yTable"/>
              <w:spacing w:before="40" w:after="40"/>
            </w:pPr>
            <w:r>
              <w:t>63.</w:t>
            </w:r>
          </w:p>
        </w:tc>
        <w:tc>
          <w:tcPr>
            <w:tcW w:w="4792" w:type="dxa"/>
          </w:tcPr>
          <w:p>
            <w:pPr>
              <w:pStyle w:val="yTable"/>
            </w:pPr>
            <w:r>
              <w:t>HYDROCODONE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64.</w:t>
            </w:r>
          </w:p>
        </w:tc>
        <w:tc>
          <w:tcPr>
            <w:tcW w:w="4792" w:type="dxa"/>
          </w:tcPr>
          <w:p>
            <w:pPr>
              <w:pStyle w:val="yTable"/>
            </w:pPr>
            <w:r>
              <w:t>HYDROMORPHINOL</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65.</w:t>
            </w:r>
          </w:p>
        </w:tc>
        <w:tc>
          <w:tcPr>
            <w:tcW w:w="4792" w:type="dxa"/>
          </w:tcPr>
          <w:p>
            <w:pPr>
              <w:pStyle w:val="yTable"/>
            </w:pPr>
            <w:r>
              <w:t>HYDROMORPHONE</w:t>
            </w:r>
          </w:p>
        </w:tc>
        <w:tc>
          <w:tcPr>
            <w:tcW w:w="1240" w:type="dxa"/>
            <w:gridSpan w:val="2"/>
          </w:tcPr>
          <w:p>
            <w:pPr>
              <w:pStyle w:val="yTable"/>
              <w:tabs>
                <w:tab w:val="decimal" w:pos="439"/>
              </w:tabs>
              <w:spacing w:before="40" w:after="40"/>
            </w:pPr>
            <w:r>
              <w:t>6.0</w:t>
            </w:r>
          </w:p>
        </w:tc>
      </w:tr>
      <w:tr>
        <w:tc>
          <w:tcPr>
            <w:tcW w:w="994" w:type="dxa"/>
          </w:tcPr>
          <w:p>
            <w:pPr>
              <w:pStyle w:val="yTable"/>
            </w:pPr>
            <w:r>
              <w:t>66A.</w:t>
            </w:r>
          </w:p>
        </w:tc>
        <w:tc>
          <w:tcPr>
            <w:tcW w:w="4792" w:type="dxa"/>
          </w:tcPr>
          <w:p>
            <w:pPr>
              <w:pStyle w:val="yTable"/>
            </w:pPr>
            <w:r>
              <w:t>9</w:t>
            </w:r>
            <w:r>
              <w:noBreakHyphen/>
              <w:t>(HYDROXYMETHYL)</w:t>
            </w:r>
            <w:r>
              <w:noBreakHyphen/>
              <w:t>6,6</w:t>
            </w:r>
            <w:r>
              <w:noBreakHyphen/>
              <w:t>DIMETHYL</w:t>
            </w:r>
            <w:r>
              <w:noBreakHyphen/>
              <w:t>3</w:t>
            </w:r>
            <w:r>
              <w:noBreakHyphen/>
            </w:r>
            <w:r>
              <w:br/>
              <w:t>(2</w:t>
            </w:r>
            <w:r>
              <w:noBreakHyphen/>
              <w:t>METHYLOCTAN</w:t>
            </w:r>
            <w:r>
              <w:noBreakHyphen/>
              <w:t>2</w:t>
            </w:r>
            <w:r>
              <w:noBreakHyphen/>
              <w:t>YL)</w:t>
            </w:r>
            <w:r>
              <w:noBreakHyphen/>
            </w:r>
            <w:r>
              <w:br/>
              <w:t>6A,7,10,10A</w:t>
            </w:r>
            <w:r>
              <w:noBreakHyphen/>
              <w:t>TETRAHYDROBENZO[C]CHROMEN</w:t>
            </w:r>
            <w:r>
              <w:noBreakHyphen/>
              <w:t>1</w:t>
            </w:r>
            <w:r>
              <w:noBreakHyphen/>
              <w:t>OL (HU</w:t>
            </w:r>
            <w:r>
              <w:noBreakHyphen/>
              <w:t>210)</w:t>
            </w:r>
          </w:p>
        </w:tc>
        <w:tc>
          <w:tcPr>
            <w:tcW w:w="1240" w:type="dxa"/>
            <w:gridSpan w:val="2"/>
          </w:tcPr>
          <w:p>
            <w:pPr>
              <w:pStyle w:val="yTable"/>
              <w:tabs>
                <w:tab w:val="decimal" w:pos="439"/>
              </w:tabs>
              <w:spacing w:before="40" w:after="40"/>
            </w:pPr>
            <w:r>
              <w:br/>
            </w:r>
            <w:r>
              <w:br/>
            </w:r>
            <w:r>
              <w:br/>
              <w:t>500.0</w:t>
            </w:r>
          </w:p>
        </w:tc>
      </w:tr>
      <w:tr>
        <w:tc>
          <w:tcPr>
            <w:tcW w:w="994" w:type="dxa"/>
          </w:tcPr>
          <w:p>
            <w:pPr>
              <w:pStyle w:val="yTable"/>
              <w:spacing w:before="40" w:after="40"/>
            </w:pPr>
            <w:r>
              <w:t>66.</w:t>
            </w:r>
          </w:p>
        </w:tc>
        <w:tc>
          <w:tcPr>
            <w:tcW w:w="4792" w:type="dxa"/>
          </w:tcPr>
          <w:p>
            <w:pPr>
              <w:pStyle w:val="yTable"/>
            </w:pPr>
            <w:r>
              <w:t>HYDROXYPETHIDINE</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67.</w:t>
            </w:r>
          </w:p>
        </w:tc>
        <w:tc>
          <w:tcPr>
            <w:tcW w:w="4792" w:type="dxa"/>
          </w:tcPr>
          <w:p>
            <w:pPr>
              <w:pStyle w:val="yTable"/>
            </w:pPr>
            <w:r>
              <w:t>ISOMETHADONE</w:t>
            </w:r>
          </w:p>
        </w:tc>
        <w:tc>
          <w:tcPr>
            <w:tcW w:w="1240" w:type="dxa"/>
            <w:gridSpan w:val="2"/>
          </w:tcPr>
          <w:p>
            <w:pPr>
              <w:pStyle w:val="yTable"/>
              <w:tabs>
                <w:tab w:val="decimal" w:pos="439"/>
              </w:tabs>
              <w:spacing w:before="40" w:after="40"/>
            </w:pPr>
            <w:r>
              <w:t>0.6</w:t>
            </w:r>
          </w:p>
        </w:tc>
      </w:tr>
      <w:tr>
        <w:tc>
          <w:tcPr>
            <w:tcW w:w="994" w:type="dxa"/>
          </w:tcPr>
          <w:p>
            <w:pPr>
              <w:pStyle w:val="yTable"/>
              <w:spacing w:before="40" w:after="40"/>
            </w:pPr>
            <w:r>
              <w:t>68.</w:t>
            </w:r>
          </w:p>
        </w:tc>
        <w:tc>
          <w:tcPr>
            <w:tcW w:w="4792" w:type="dxa"/>
          </w:tcPr>
          <w:p>
            <w:pPr>
              <w:pStyle w:val="yTable"/>
            </w:pPr>
            <w:r>
              <w:t>KETOBEMIDONE</w:t>
            </w:r>
          </w:p>
        </w:tc>
        <w:tc>
          <w:tcPr>
            <w:tcW w:w="1240" w:type="dxa"/>
            <w:gridSpan w:val="2"/>
          </w:tcPr>
          <w:p>
            <w:pPr>
              <w:pStyle w:val="yTable"/>
              <w:tabs>
                <w:tab w:val="decimal" w:pos="439"/>
              </w:tabs>
              <w:spacing w:before="40" w:after="40"/>
            </w:pPr>
            <w:r>
              <w:t>0.6</w:t>
            </w:r>
          </w:p>
        </w:tc>
      </w:tr>
      <w:tr>
        <w:tc>
          <w:tcPr>
            <w:tcW w:w="994" w:type="dxa"/>
          </w:tcPr>
          <w:p>
            <w:pPr>
              <w:pStyle w:val="yTable"/>
              <w:spacing w:before="40" w:after="40"/>
            </w:pPr>
            <w:r>
              <w:t>69.</w:t>
            </w:r>
          </w:p>
        </w:tc>
        <w:tc>
          <w:tcPr>
            <w:tcW w:w="4792" w:type="dxa"/>
          </w:tcPr>
          <w:p>
            <w:pPr>
              <w:pStyle w:val="yTable"/>
            </w:pPr>
            <w:r>
              <w:t>LEVOMETHORPHAN</w:t>
            </w:r>
          </w:p>
        </w:tc>
        <w:tc>
          <w:tcPr>
            <w:tcW w:w="1240" w:type="dxa"/>
            <w:gridSpan w:val="2"/>
          </w:tcPr>
          <w:p>
            <w:pPr>
              <w:pStyle w:val="yTable"/>
              <w:tabs>
                <w:tab w:val="decimal" w:pos="439"/>
              </w:tabs>
              <w:spacing w:before="40" w:after="40"/>
            </w:pPr>
            <w:r>
              <w:t>3.0</w:t>
            </w:r>
          </w:p>
        </w:tc>
      </w:tr>
      <w:tr>
        <w:tc>
          <w:tcPr>
            <w:tcW w:w="994" w:type="dxa"/>
          </w:tcPr>
          <w:p>
            <w:pPr>
              <w:pStyle w:val="yTable"/>
              <w:spacing w:before="40" w:after="40"/>
            </w:pPr>
            <w:r>
              <w:t>70.</w:t>
            </w:r>
          </w:p>
        </w:tc>
        <w:tc>
          <w:tcPr>
            <w:tcW w:w="4792" w:type="dxa"/>
          </w:tcPr>
          <w:p>
            <w:pPr>
              <w:pStyle w:val="yTable"/>
            </w:pPr>
            <w:r>
              <w:t>LEVOMORAMIDE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71.</w:t>
            </w:r>
          </w:p>
        </w:tc>
        <w:tc>
          <w:tcPr>
            <w:tcW w:w="4792" w:type="dxa"/>
          </w:tcPr>
          <w:p>
            <w:pPr>
              <w:pStyle w:val="yTable"/>
            </w:pPr>
            <w:r>
              <w:t>LEVOPHENACYLMORPHAN</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72.</w:t>
            </w:r>
          </w:p>
        </w:tc>
        <w:tc>
          <w:tcPr>
            <w:tcW w:w="4792" w:type="dxa"/>
          </w:tcPr>
          <w:p>
            <w:pPr>
              <w:pStyle w:val="yTable"/>
            </w:pPr>
            <w:r>
              <w:t>LEVORPHANOL</w:t>
            </w:r>
          </w:p>
        </w:tc>
        <w:tc>
          <w:tcPr>
            <w:tcW w:w="1240" w:type="dxa"/>
            <w:gridSpan w:val="2"/>
          </w:tcPr>
          <w:p>
            <w:pPr>
              <w:pStyle w:val="yTable"/>
              <w:tabs>
                <w:tab w:val="decimal" w:pos="439"/>
              </w:tabs>
              <w:spacing w:before="40" w:after="40"/>
            </w:pPr>
            <w:r>
              <w:t>3.0</w:t>
            </w:r>
          </w:p>
        </w:tc>
      </w:tr>
      <w:tr>
        <w:tc>
          <w:tcPr>
            <w:tcW w:w="994" w:type="dxa"/>
          </w:tcPr>
          <w:p>
            <w:pPr>
              <w:pStyle w:val="yTable"/>
              <w:spacing w:before="40" w:after="40"/>
            </w:pPr>
            <w:r>
              <w:t>73.</w:t>
            </w:r>
          </w:p>
        </w:tc>
        <w:tc>
          <w:tcPr>
            <w:tcW w:w="4792" w:type="dxa"/>
          </w:tcPr>
          <w:p>
            <w:pPr>
              <w:pStyle w:val="yTable"/>
            </w:pPr>
            <w:r>
              <w:t>LYSERGIC ACID DIETHYLAMIDE (LSD)</w:t>
            </w:r>
          </w:p>
        </w:tc>
        <w:tc>
          <w:tcPr>
            <w:tcW w:w="1240" w:type="dxa"/>
            <w:gridSpan w:val="2"/>
          </w:tcPr>
          <w:p>
            <w:pPr>
              <w:pStyle w:val="yTable"/>
              <w:tabs>
                <w:tab w:val="decimal" w:pos="439"/>
              </w:tabs>
              <w:spacing w:before="40" w:after="40"/>
            </w:pPr>
            <w:r>
              <w:t>0.004</w:t>
            </w:r>
          </w:p>
        </w:tc>
      </w:tr>
      <w:tr>
        <w:tc>
          <w:tcPr>
            <w:tcW w:w="994" w:type="dxa"/>
          </w:tcPr>
          <w:p>
            <w:pPr>
              <w:pStyle w:val="yTable"/>
              <w:spacing w:before="40" w:after="40"/>
            </w:pPr>
            <w:r>
              <w:t>74.</w:t>
            </w:r>
          </w:p>
        </w:tc>
        <w:tc>
          <w:tcPr>
            <w:tcW w:w="4792" w:type="dxa"/>
          </w:tcPr>
          <w:p>
            <w:pPr>
              <w:pStyle w:val="yTable"/>
            </w:pPr>
            <w:r>
              <w:t>MESCALINE</w:t>
            </w:r>
          </w:p>
        </w:tc>
        <w:tc>
          <w:tcPr>
            <w:tcW w:w="1240" w:type="dxa"/>
            <w:gridSpan w:val="2"/>
          </w:tcPr>
          <w:p>
            <w:pPr>
              <w:pStyle w:val="yTable"/>
              <w:tabs>
                <w:tab w:val="decimal" w:pos="439"/>
              </w:tabs>
              <w:spacing w:before="40" w:after="40"/>
            </w:pPr>
            <w:r>
              <w:t>22.5</w:t>
            </w:r>
          </w:p>
        </w:tc>
      </w:tr>
      <w:tr>
        <w:tc>
          <w:tcPr>
            <w:tcW w:w="994" w:type="dxa"/>
          </w:tcPr>
          <w:p>
            <w:pPr>
              <w:pStyle w:val="yTable"/>
              <w:spacing w:before="40" w:after="40"/>
            </w:pPr>
            <w:r>
              <w:t>75.</w:t>
            </w:r>
          </w:p>
        </w:tc>
        <w:tc>
          <w:tcPr>
            <w:tcW w:w="4792" w:type="dxa"/>
          </w:tcPr>
          <w:p>
            <w:pPr>
              <w:pStyle w:val="yTable"/>
            </w:pPr>
            <w:r>
              <w:t>METAZOCINE</w:t>
            </w:r>
          </w:p>
        </w:tc>
        <w:tc>
          <w:tcPr>
            <w:tcW w:w="1240" w:type="dxa"/>
            <w:gridSpan w:val="2"/>
          </w:tcPr>
          <w:p>
            <w:pPr>
              <w:pStyle w:val="yTable"/>
              <w:tabs>
                <w:tab w:val="decimal" w:pos="439"/>
              </w:tabs>
              <w:spacing w:before="40" w:after="40"/>
            </w:pPr>
            <w:r>
              <w:t>21.0</w:t>
            </w:r>
          </w:p>
        </w:tc>
      </w:tr>
      <w:tr>
        <w:tc>
          <w:tcPr>
            <w:tcW w:w="994" w:type="dxa"/>
          </w:tcPr>
          <w:p>
            <w:pPr>
              <w:pStyle w:val="yTable"/>
              <w:spacing w:before="40" w:after="40"/>
            </w:pPr>
            <w:r>
              <w:t>76.</w:t>
            </w:r>
          </w:p>
        </w:tc>
        <w:tc>
          <w:tcPr>
            <w:tcW w:w="4792" w:type="dxa"/>
          </w:tcPr>
          <w:p>
            <w:pPr>
              <w:pStyle w:val="yTable"/>
            </w:pPr>
            <w:r>
              <w:t>METHADONE</w:t>
            </w:r>
          </w:p>
        </w:tc>
        <w:tc>
          <w:tcPr>
            <w:tcW w:w="1240" w:type="dxa"/>
            <w:gridSpan w:val="2"/>
          </w:tcPr>
          <w:p>
            <w:pPr>
              <w:pStyle w:val="yTable"/>
              <w:tabs>
                <w:tab w:val="decimal" w:pos="439"/>
              </w:tabs>
              <w:spacing w:before="40" w:after="40"/>
            </w:pPr>
            <w:r>
              <w:t>0.6</w:t>
            </w:r>
          </w:p>
        </w:tc>
      </w:tr>
      <w:tr>
        <w:tc>
          <w:tcPr>
            <w:tcW w:w="994" w:type="dxa"/>
          </w:tcPr>
          <w:p>
            <w:pPr>
              <w:pStyle w:val="yTable"/>
              <w:spacing w:before="40" w:after="40"/>
            </w:pPr>
            <w:r>
              <w:t>77.</w:t>
            </w:r>
          </w:p>
        </w:tc>
        <w:tc>
          <w:tcPr>
            <w:tcW w:w="4792" w:type="dxa"/>
          </w:tcPr>
          <w:p>
            <w:pPr>
              <w:pStyle w:val="yTable"/>
            </w:pPr>
            <w:r>
              <w:t>METHADONE</w:t>
            </w:r>
            <w:r>
              <w:noBreakHyphen/>
              <w:t>INTERMEDIATE</w:t>
            </w:r>
          </w:p>
        </w:tc>
        <w:tc>
          <w:tcPr>
            <w:tcW w:w="1240" w:type="dxa"/>
            <w:gridSpan w:val="2"/>
          </w:tcPr>
          <w:p>
            <w:pPr>
              <w:pStyle w:val="yTable"/>
              <w:tabs>
                <w:tab w:val="decimal" w:pos="439"/>
              </w:tabs>
              <w:spacing w:before="40" w:after="40"/>
            </w:pPr>
            <w:r>
              <w:t>0.6</w:t>
            </w:r>
          </w:p>
        </w:tc>
      </w:tr>
      <w:tr>
        <w:tc>
          <w:tcPr>
            <w:tcW w:w="994" w:type="dxa"/>
          </w:tcPr>
          <w:p>
            <w:pPr>
              <w:pStyle w:val="yTable"/>
              <w:spacing w:before="40" w:after="40"/>
            </w:pPr>
            <w:r>
              <w:t>78.</w:t>
            </w:r>
          </w:p>
        </w:tc>
        <w:tc>
          <w:tcPr>
            <w:tcW w:w="4792" w:type="dxa"/>
          </w:tcPr>
          <w:p>
            <w:pPr>
              <w:pStyle w:val="yTable"/>
            </w:pPr>
            <w:r>
              <w:t>METHAQUALONE</w:t>
            </w:r>
          </w:p>
        </w:tc>
        <w:tc>
          <w:tcPr>
            <w:tcW w:w="1240" w:type="dxa"/>
            <w:gridSpan w:val="2"/>
          </w:tcPr>
          <w:p>
            <w:pPr>
              <w:pStyle w:val="yTable"/>
              <w:tabs>
                <w:tab w:val="decimal" w:pos="439"/>
              </w:tabs>
              <w:spacing w:before="40" w:after="40"/>
            </w:pPr>
            <w:r>
              <w:t>150.0</w:t>
            </w:r>
          </w:p>
        </w:tc>
      </w:tr>
      <w:tr>
        <w:tc>
          <w:tcPr>
            <w:tcW w:w="994" w:type="dxa"/>
          </w:tcPr>
          <w:p>
            <w:pPr>
              <w:pStyle w:val="yTable"/>
              <w:spacing w:before="40" w:after="40"/>
            </w:pPr>
            <w:r>
              <w:t>79.</w:t>
            </w:r>
          </w:p>
        </w:tc>
        <w:tc>
          <w:tcPr>
            <w:tcW w:w="4792" w:type="dxa"/>
          </w:tcPr>
          <w:p>
            <w:pPr>
              <w:pStyle w:val="yTable"/>
            </w:pPr>
            <w:r>
              <w:t>METHARBITONE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ind w:right="-154"/>
            </w:pPr>
            <w:r>
              <w:t>80A.</w:t>
            </w:r>
          </w:p>
        </w:tc>
        <w:tc>
          <w:tcPr>
            <w:tcW w:w="4792" w:type="dxa"/>
          </w:tcPr>
          <w:p>
            <w:pPr>
              <w:pStyle w:val="yTable"/>
            </w:pPr>
            <w:r>
              <w:t>METHCATHINONE</w:t>
            </w:r>
          </w:p>
        </w:tc>
        <w:tc>
          <w:tcPr>
            <w:tcW w:w="1240" w:type="dxa"/>
            <w:gridSpan w:val="2"/>
          </w:tcPr>
          <w:p>
            <w:pPr>
              <w:pStyle w:val="yTable"/>
              <w:tabs>
                <w:tab w:val="decimal" w:pos="439"/>
              </w:tabs>
              <w:spacing w:before="40" w:after="40"/>
            </w:pPr>
            <w:r>
              <w:t>4.0</w:t>
            </w:r>
          </w:p>
        </w:tc>
      </w:tr>
      <w:tr>
        <w:trPr>
          <w:gridAfter w:val="1"/>
          <w:wAfter w:w="11" w:type="dxa"/>
        </w:trPr>
        <w:tc>
          <w:tcPr>
            <w:tcW w:w="994" w:type="dxa"/>
          </w:tcPr>
          <w:p>
            <w:pPr>
              <w:pStyle w:val="yTable"/>
            </w:pPr>
            <w:r>
              <w:t>80BA.</w:t>
            </w:r>
          </w:p>
        </w:tc>
        <w:tc>
          <w:tcPr>
            <w:tcW w:w="4792" w:type="dxa"/>
          </w:tcPr>
          <w:p>
            <w:pPr>
              <w:pStyle w:val="yTable"/>
            </w:pPr>
            <w:r>
              <w:t>4</w:t>
            </w:r>
            <w:r>
              <w:noBreakHyphen/>
              <w:t>METHOXYPHENYL(1</w:t>
            </w:r>
            <w:r>
              <w:noBreakHyphen/>
              <w:t>BUTYL</w:t>
            </w:r>
            <w:r>
              <w:noBreakHyphen/>
              <w:t>1H</w:t>
            </w:r>
            <w:r>
              <w:noBreakHyphen/>
              <w:t>INDOL</w:t>
            </w:r>
            <w:r>
              <w:noBreakHyphen/>
            </w:r>
            <w:r>
              <w:br/>
              <w:t>3</w:t>
            </w:r>
            <w:r>
              <w:noBreakHyphen/>
              <w:t>YL)</w:t>
            </w:r>
            <w:r>
              <w:noBreakHyphen/>
              <w:t>METHANONE (RCS</w:t>
            </w:r>
            <w:r>
              <w:noBreakHyphen/>
              <w:t>4 (C4))</w:t>
            </w:r>
          </w:p>
        </w:tc>
        <w:tc>
          <w:tcPr>
            <w:tcW w:w="1229" w:type="dxa"/>
          </w:tcPr>
          <w:p>
            <w:pPr>
              <w:pStyle w:val="yTable"/>
              <w:tabs>
                <w:tab w:val="decimal" w:pos="439"/>
              </w:tabs>
              <w:spacing w:before="40" w:after="40"/>
            </w:pPr>
            <w:r>
              <w:br/>
              <w:t>500.0</w:t>
            </w:r>
          </w:p>
        </w:tc>
      </w:tr>
      <w:tr>
        <w:trPr>
          <w:gridAfter w:val="1"/>
          <w:wAfter w:w="11" w:type="dxa"/>
        </w:trPr>
        <w:tc>
          <w:tcPr>
            <w:tcW w:w="994" w:type="dxa"/>
          </w:tcPr>
          <w:p>
            <w:pPr>
              <w:pStyle w:val="yTable"/>
            </w:pPr>
            <w:r>
              <w:t>80BB.</w:t>
            </w:r>
          </w:p>
        </w:tc>
        <w:tc>
          <w:tcPr>
            <w:tcW w:w="4792" w:type="dxa"/>
          </w:tcPr>
          <w:p>
            <w:pPr>
              <w:pStyle w:val="yTable"/>
            </w:pPr>
            <w:r>
              <w:t>2</w:t>
            </w:r>
            <w:r>
              <w:noBreakHyphen/>
              <w:t>(4</w:t>
            </w:r>
            <w:r>
              <w:noBreakHyphen/>
              <w:t>METHOXYPHENYL)</w:t>
            </w:r>
            <w:r>
              <w:noBreakHyphen/>
              <w:t>1</w:t>
            </w:r>
            <w:r>
              <w:noBreakHyphen/>
              <w:t>(1</w:t>
            </w:r>
            <w:r>
              <w:noBreakHyphen/>
              <w:t>PENTYL</w:t>
            </w:r>
            <w:r>
              <w:noBreakHyphen/>
              <w:t>1H</w:t>
            </w:r>
            <w:r>
              <w:noBreakHyphen/>
            </w:r>
            <w:r>
              <w:br/>
              <w:t>INDOL</w:t>
            </w:r>
            <w:r>
              <w:noBreakHyphen/>
              <w:t>3</w:t>
            </w:r>
            <w:r>
              <w:noBreakHyphen/>
              <w:t>YL)</w:t>
            </w:r>
            <w:r>
              <w:noBreakHyphen/>
              <w:t>ETHANONE (JWH</w:t>
            </w:r>
            <w:r>
              <w:noBreakHyphen/>
              <w:t>201)</w:t>
            </w:r>
          </w:p>
        </w:tc>
        <w:tc>
          <w:tcPr>
            <w:tcW w:w="1229" w:type="dxa"/>
          </w:tcPr>
          <w:p>
            <w:pPr>
              <w:pStyle w:val="yTable"/>
              <w:tabs>
                <w:tab w:val="decimal" w:pos="439"/>
              </w:tabs>
              <w:spacing w:before="40" w:after="40"/>
            </w:pPr>
            <w:r>
              <w:br/>
              <w:t>500.0</w:t>
            </w:r>
          </w:p>
        </w:tc>
      </w:tr>
      <w:tr>
        <w:tc>
          <w:tcPr>
            <w:tcW w:w="994" w:type="dxa"/>
          </w:tcPr>
          <w:p>
            <w:pPr>
              <w:pStyle w:val="yTable"/>
            </w:pPr>
            <w:r>
              <w:t>80B</w:t>
            </w:r>
            <w:r>
              <w:rPr>
                <w:szCs w:val="22"/>
              </w:rPr>
              <w:t>.</w:t>
            </w:r>
          </w:p>
        </w:tc>
        <w:tc>
          <w:tcPr>
            <w:tcW w:w="4792" w:type="dxa"/>
          </w:tcPr>
          <w:p>
            <w:pPr>
              <w:pStyle w:val="yTable"/>
              <w:ind w:left="397" w:hanging="397"/>
            </w:pPr>
            <w:r>
              <w:rPr>
                <w:rFonts w:cs="Arial"/>
                <w:color w:val="000000"/>
                <w:szCs w:val="22"/>
              </w:rPr>
              <w:t>2</w:t>
            </w:r>
            <w:r>
              <w:rPr>
                <w:rFonts w:cs="Arial"/>
                <w:color w:val="000000"/>
                <w:szCs w:val="22"/>
              </w:rPr>
              <w:noBreakHyphen/>
              <w:t>(2</w:t>
            </w:r>
            <w:r>
              <w:rPr>
                <w:rFonts w:cs="Arial"/>
                <w:color w:val="000000"/>
                <w:szCs w:val="22"/>
              </w:rPr>
              <w:noBreakHyphen/>
              <w:t>METHOXYPHENYL)</w:t>
            </w:r>
            <w:r>
              <w:rPr>
                <w:rFonts w:cs="Arial"/>
                <w:color w:val="000000"/>
                <w:szCs w:val="22"/>
              </w:rPr>
              <w:noBreakHyphen/>
              <w:t>1</w:t>
            </w:r>
            <w:r>
              <w:rPr>
                <w:rFonts w:cs="Arial"/>
                <w:color w:val="000000"/>
                <w:szCs w:val="22"/>
              </w:rPr>
              <w:noBreakHyphen/>
              <w:t>(1</w:t>
            </w:r>
            <w:r>
              <w:rPr>
                <w:rFonts w:cs="Arial"/>
                <w:color w:val="000000"/>
                <w:szCs w:val="22"/>
              </w:rPr>
              <w:noBreakHyphen/>
              <w:t>PENTYLINDOL</w:t>
            </w:r>
            <w:r>
              <w:rPr>
                <w:rFonts w:cs="Arial"/>
                <w:color w:val="000000"/>
                <w:szCs w:val="22"/>
              </w:rPr>
              <w:noBreakHyphen/>
              <w:t>3</w:t>
            </w:r>
            <w:r>
              <w:rPr>
                <w:rFonts w:cs="Arial"/>
                <w:color w:val="000000"/>
                <w:szCs w:val="22"/>
              </w:rPr>
              <w:noBreakHyphen/>
            </w:r>
            <w:r>
              <w:t>YL</w:t>
            </w:r>
            <w:r>
              <w:rPr>
                <w:rFonts w:cs="Arial"/>
                <w:color w:val="000000"/>
                <w:szCs w:val="22"/>
              </w:rPr>
              <w:t>)</w:t>
            </w:r>
            <w:r>
              <w:t>ETHANONE</w:t>
            </w:r>
            <w:r>
              <w:rPr>
                <w:rFonts w:cs="Arial"/>
                <w:color w:val="000000"/>
                <w:szCs w:val="22"/>
              </w:rPr>
              <w:t xml:space="preserve"> (JWH – 250)</w:t>
            </w:r>
          </w:p>
        </w:tc>
        <w:tc>
          <w:tcPr>
            <w:tcW w:w="1240" w:type="dxa"/>
            <w:gridSpan w:val="2"/>
          </w:tcPr>
          <w:p>
            <w:pPr>
              <w:pStyle w:val="yTable"/>
              <w:tabs>
                <w:tab w:val="decimal" w:pos="439"/>
              </w:tabs>
              <w:spacing w:before="40" w:after="40"/>
            </w:pPr>
            <w:r>
              <w:rPr>
                <w:szCs w:val="22"/>
              </w:rPr>
              <w:br/>
              <w:t>500.0</w:t>
            </w:r>
          </w:p>
        </w:tc>
      </w:tr>
      <w:tr>
        <w:tc>
          <w:tcPr>
            <w:tcW w:w="994" w:type="dxa"/>
          </w:tcPr>
          <w:p>
            <w:pPr>
              <w:pStyle w:val="yTable"/>
            </w:pPr>
            <w:r>
              <w:t>80C.</w:t>
            </w:r>
          </w:p>
        </w:tc>
        <w:tc>
          <w:tcPr>
            <w:tcW w:w="4792" w:type="dxa"/>
          </w:tcPr>
          <w:p>
            <w:pPr>
              <w:pStyle w:val="yTable"/>
            </w:pPr>
            <w:r>
              <w:t>2</w:t>
            </w:r>
            <w:r>
              <w:noBreakHyphen/>
              <w:t>(3</w:t>
            </w:r>
            <w:r>
              <w:noBreakHyphen/>
              <w:t>METHOXYPHENYL)</w:t>
            </w:r>
            <w:r>
              <w:noBreakHyphen/>
              <w:t>1</w:t>
            </w:r>
            <w:r>
              <w:noBreakHyphen/>
              <w:t>(1</w:t>
            </w:r>
            <w:r>
              <w:noBreakHyphen/>
            </w:r>
            <w:r>
              <w:br/>
              <w:t>PENTYLINDOL</w:t>
            </w:r>
            <w:r>
              <w:noBreakHyphen/>
              <w:t>3</w:t>
            </w:r>
            <w:r>
              <w:noBreakHyphen/>
              <w:t>YL)ETHANONE (JWH</w:t>
            </w:r>
            <w:r>
              <w:noBreakHyphen/>
              <w:t>302)</w:t>
            </w:r>
          </w:p>
        </w:tc>
        <w:tc>
          <w:tcPr>
            <w:tcW w:w="1240" w:type="dxa"/>
            <w:gridSpan w:val="2"/>
          </w:tcPr>
          <w:p>
            <w:pPr>
              <w:pStyle w:val="yTable"/>
              <w:tabs>
                <w:tab w:val="decimal" w:pos="439"/>
              </w:tabs>
              <w:spacing w:before="40" w:after="40"/>
            </w:pPr>
            <w:r>
              <w:br/>
              <w:t>500.0</w:t>
            </w:r>
          </w:p>
        </w:tc>
      </w:tr>
      <w:tr>
        <w:tc>
          <w:tcPr>
            <w:tcW w:w="994" w:type="dxa"/>
          </w:tcPr>
          <w:p>
            <w:pPr>
              <w:pStyle w:val="yTable"/>
              <w:spacing w:before="40" w:after="40"/>
            </w:pPr>
            <w:r>
              <w:t>80.</w:t>
            </w:r>
          </w:p>
        </w:tc>
        <w:tc>
          <w:tcPr>
            <w:tcW w:w="4792" w:type="dxa"/>
          </w:tcPr>
          <w:p>
            <w:pPr>
              <w:pStyle w:val="yTable"/>
            </w:pPr>
            <w:r>
              <w:t>METHYLAMPHETAMINE</w:t>
            </w:r>
          </w:p>
        </w:tc>
        <w:tc>
          <w:tcPr>
            <w:tcW w:w="1240" w:type="dxa"/>
            <w:gridSpan w:val="2"/>
          </w:tcPr>
          <w:p>
            <w:pPr>
              <w:pStyle w:val="yTable"/>
              <w:tabs>
                <w:tab w:val="decimal" w:pos="439"/>
              </w:tabs>
              <w:spacing w:before="40" w:after="40"/>
            </w:pPr>
            <w:r>
              <w:t>4.0</w:t>
            </w:r>
          </w:p>
        </w:tc>
      </w:tr>
      <w:tr>
        <w:tc>
          <w:tcPr>
            <w:tcW w:w="994" w:type="dxa"/>
          </w:tcPr>
          <w:p>
            <w:pPr>
              <w:pStyle w:val="yTable"/>
              <w:spacing w:before="40" w:after="40"/>
            </w:pPr>
            <w:r>
              <w:t>81.</w:t>
            </w:r>
          </w:p>
        </w:tc>
        <w:tc>
          <w:tcPr>
            <w:tcW w:w="4792" w:type="dxa"/>
          </w:tcPr>
          <w:p>
            <w:pPr>
              <w:pStyle w:val="yTable"/>
            </w:pPr>
            <w:r>
              <w:t>METHYLDESORPHINE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82.</w:t>
            </w:r>
          </w:p>
        </w:tc>
        <w:tc>
          <w:tcPr>
            <w:tcW w:w="4792" w:type="dxa"/>
          </w:tcPr>
          <w:p>
            <w:pPr>
              <w:pStyle w:val="yTable"/>
            </w:pPr>
            <w:r>
              <w:t>METHYLDIHYDROMORPHINE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rPr>
                <w:rFonts w:ascii="Times" w:hAnsi="Times"/>
                <w:spacing w:val="-10"/>
              </w:rPr>
            </w:pPr>
            <w:r>
              <w:rPr>
                <w:rFonts w:ascii="Times" w:hAnsi="Times"/>
                <w:spacing w:val="-10"/>
              </w:rPr>
              <w:t>82A.</w:t>
            </w:r>
          </w:p>
        </w:tc>
        <w:tc>
          <w:tcPr>
            <w:tcW w:w="4792" w:type="dxa"/>
          </w:tcPr>
          <w:p>
            <w:pPr>
              <w:pStyle w:val="yTable"/>
              <w:ind w:left="397" w:hanging="397"/>
            </w:pPr>
            <w:r>
              <w:t>3, 4</w:t>
            </w:r>
            <w:r>
              <w:noBreakHyphen/>
              <w:t>METHYLENEDIOXYAMPHETAMINE (MDA)</w:t>
            </w:r>
          </w:p>
        </w:tc>
        <w:tc>
          <w:tcPr>
            <w:tcW w:w="1240" w:type="dxa"/>
            <w:gridSpan w:val="2"/>
          </w:tcPr>
          <w:p>
            <w:pPr>
              <w:pStyle w:val="yTable"/>
              <w:tabs>
                <w:tab w:val="decimal" w:pos="439"/>
              </w:tabs>
              <w:spacing w:before="40" w:after="40"/>
            </w:pPr>
            <w:r>
              <w:t>4.0</w:t>
            </w:r>
          </w:p>
        </w:tc>
      </w:tr>
      <w:tr>
        <w:tc>
          <w:tcPr>
            <w:tcW w:w="994" w:type="dxa"/>
          </w:tcPr>
          <w:p>
            <w:pPr>
              <w:pStyle w:val="yTable"/>
              <w:spacing w:before="40" w:after="40"/>
              <w:rPr>
                <w:rFonts w:ascii="Times" w:hAnsi="Times"/>
                <w:spacing w:val="-10"/>
              </w:rPr>
            </w:pPr>
            <w:r>
              <w:rPr>
                <w:rFonts w:ascii="Times" w:hAnsi="Times"/>
                <w:spacing w:val="-8"/>
              </w:rPr>
              <w:t>82B.</w:t>
            </w:r>
          </w:p>
        </w:tc>
        <w:tc>
          <w:tcPr>
            <w:tcW w:w="4792" w:type="dxa"/>
          </w:tcPr>
          <w:p>
            <w:pPr>
              <w:pStyle w:val="yTable"/>
              <w:ind w:left="397" w:right="-81" w:hanging="397"/>
            </w:pPr>
            <w:r>
              <w:t>3, 4</w:t>
            </w:r>
            <w:r>
              <w:noBreakHyphen/>
            </w:r>
            <w:r>
              <w:rPr>
                <w:rFonts w:cs="Arial"/>
                <w:color w:val="000000"/>
                <w:szCs w:val="22"/>
              </w:rPr>
              <w:t>METHYLENEDIOXY</w:t>
            </w:r>
            <w:r>
              <w:noBreakHyphen/>
              <w:t>N, ALPHA</w:t>
            </w:r>
            <w:r>
              <w:noBreakHyphen/>
              <w:t>DIMETHYLPHENYLE    THYLAMINE  (MDMA)</w:t>
            </w:r>
          </w:p>
        </w:tc>
        <w:tc>
          <w:tcPr>
            <w:tcW w:w="1240" w:type="dxa"/>
            <w:gridSpan w:val="2"/>
          </w:tcPr>
          <w:p>
            <w:pPr>
              <w:pStyle w:val="yTable"/>
              <w:tabs>
                <w:tab w:val="decimal" w:pos="439"/>
              </w:tabs>
              <w:spacing w:before="40" w:after="40"/>
            </w:pPr>
            <w:r>
              <w:t>4.0</w:t>
            </w:r>
          </w:p>
        </w:tc>
      </w:tr>
      <w:tr>
        <w:tc>
          <w:tcPr>
            <w:tcW w:w="994" w:type="dxa"/>
          </w:tcPr>
          <w:p>
            <w:pPr>
              <w:pStyle w:val="yTable"/>
              <w:spacing w:before="40" w:after="40"/>
              <w:rPr>
                <w:rFonts w:ascii="Times" w:hAnsi="Times"/>
                <w:spacing w:val="-8"/>
              </w:rPr>
            </w:pPr>
            <w:r>
              <w:t>82C.</w:t>
            </w:r>
          </w:p>
        </w:tc>
        <w:tc>
          <w:tcPr>
            <w:tcW w:w="4792" w:type="dxa"/>
          </w:tcPr>
          <w:p>
            <w:pPr>
              <w:pStyle w:val="yTable"/>
              <w:ind w:left="397" w:right="-81" w:hanging="397"/>
            </w:pPr>
            <w:r>
              <w:t>3, 4</w:t>
            </w:r>
            <w:r>
              <w:noBreakHyphen/>
            </w:r>
            <w:r>
              <w:rPr>
                <w:rFonts w:cs="Arial"/>
                <w:color w:val="000000"/>
                <w:szCs w:val="22"/>
              </w:rPr>
              <w:t>METHYLENEDIOXYPYROVALERONE</w:t>
            </w:r>
            <w:r>
              <w:t xml:space="preserve"> (MDPV)</w:t>
            </w:r>
          </w:p>
        </w:tc>
        <w:tc>
          <w:tcPr>
            <w:tcW w:w="1240" w:type="dxa"/>
            <w:gridSpan w:val="2"/>
          </w:tcPr>
          <w:p>
            <w:pPr>
              <w:pStyle w:val="yTable"/>
              <w:tabs>
                <w:tab w:val="decimal" w:pos="439"/>
              </w:tabs>
              <w:spacing w:before="40" w:after="40"/>
            </w:pPr>
            <w:r>
              <w:t>4.0</w:t>
            </w:r>
          </w:p>
        </w:tc>
      </w:tr>
      <w:tr>
        <w:tc>
          <w:tcPr>
            <w:tcW w:w="994" w:type="dxa"/>
          </w:tcPr>
          <w:p>
            <w:pPr>
              <w:pStyle w:val="yTable"/>
              <w:spacing w:before="40" w:after="40"/>
            </w:pPr>
            <w:r>
              <w:t>83.</w:t>
            </w:r>
          </w:p>
        </w:tc>
        <w:tc>
          <w:tcPr>
            <w:tcW w:w="4792" w:type="dxa"/>
          </w:tcPr>
          <w:p>
            <w:pPr>
              <w:pStyle w:val="yTable"/>
            </w:pPr>
            <w:r>
              <w:t>METHYLPHENIDATE</w:t>
            </w:r>
          </w:p>
        </w:tc>
        <w:tc>
          <w:tcPr>
            <w:tcW w:w="1240" w:type="dxa"/>
            <w:gridSpan w:val="2"/>
          </w:tcPr>
          <w:p>
            <w:pPr>
              <w:pStyle w:val="yTable"/>
              <w:tabs>
                <w:tab w:val="decimal" w:pos="439"/>
              </w:tabs>
              <w:spacing w:before="40" w:after="40"/>
            </w:pPr>
            <w:r>
              <w:t>6.0</w:t>
            </w:r>
          </w:p>
        </w:tc>
      </w:tr>
      <w:tr>
        <w:trPr>
          <w:cantSplit/>
        </w:trPr>
        <w:tc>
          <w:tcPr>
            <w:tcW w:w="994" w:type="dxa"/>
          </w:tcPr>
          <w:p>
            <w:pPr>
              <w:pStyle w:val="yTable"/>
              <w:spacing w:before="40" w:after="40"/>
            </w:pPr>
            <w:r>
              <w:t>84.</w:t>
            </w:r>
          </w:p>
        </w:tc>
        <w:tc>
          <w:tcPr>
            <w:tcW w:w="4792" w:type="dxa"/>
          </w:tcPr>
          <w:p>
            <w:pPr>
              <w:pStyle w:val="yTable"/>
            </w:pPr>
            <w:r>
              <w:t>METHYLPHENOBARBITONE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85.</w:t>
            </w:r>
          </w:p>
        </w:tc>
        <w:tc>
          <w:tcPr>
            <w:tcW w:w="4792" w:type="dxa"/>
          </w:tcPr>
          <w:p>
            <w:pPr>
              <w:pStyle w:val="yTable"/>
              <w:ind w:left="397" w:hanging="397"/>
            </w:pPr>
            <w:r>
              <w:t>1</w:t>
            </w:r>
            <w:r>
              <w:noBreakHyphen/>
              <w:t>METHYL</w:t>
            </w:r>
            <w:r>
              <w:noBreakHyphen/>
              <w:t>4</w:t>
            </w:r>
            <w:r>
              <w:noBreakHyphen/>
              <w:t>PHENYLPIPERIDINE</w:t>
            </w:r>
            <w:r>
              <w:noBreakHyphen/>
              <w:t xml:space="preserve"> 4</w:t>
            </w:r>
            <w:r>
              <w:noBreakHyphen/>
              <w:t>CARBOXYLIC ACID ESTERS</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86.</w:t>
            </w:r>
          </w:p>
        </w:tc>
        <w:tc>
          <w:tcPr>
            <w:tcW w:w="4792" w:type="dxa"/>
          </w:tcPr>
          <w:p>
            <w:pPr>
              <w:pStyle w:val="yTable"/>
            </w:pPr>
            <w:r>
              <w:t>METOPON</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87.</w:t>
            </w:r>
          </w:p>
        </w:tc>
        <w:tc>
          <w:tcPr>
            <w:tcW w:w="4792" w:type="dxa"/>
          </w:tcPr>
          <w:p>
            <w:pPr>
              <w:pStyle w:val="yTable"/>
            </w:pPr>
            <w:r>
              <w:t>MORAMIDE</w:t>
            </w:r>
            <w:r>
              <w:noBreakHyphen/>
              <w:t>INTERMEDIATE</w:t>
            </w:r>
          </w:p>
        </w:tc>
        <w:tc>
          <w:tcPr>
            <w:tcW w:w="1240" w:type="dxa"/>
            <w:gridSpan w:val="2"/>
          </w:tcPr>
          <w:p>
            <w:pPr>
              <w:pStyle w:val="yTable"/>
              <w:tabs>
                <w:tab w:val="decimal" w:pos="439"/>
              </w:tabs>
              <w:spacing w:before="40" w:after="40"/>
            </w:pPr>
            <w:r>
              <w:t>3.0</w:t>
            </w:r>
          </w:p>
        </w:tc>
      </w:tr>
      <w:tr>
        <w:tc>
          <w:tcPr>
            <w:tcW w:w="994" w:type="dxa"/>
          </w:tcPr>
          <w:p>
            <w:pPr>
              <w:pStyle w:val="yTable"/>
              <w:spacing w:before="40" w:after="40"/>
            </w:pPr>
            <w:r>
              <w:t>88.</w:t>
            </w:r>
          </w:p>
        </w:tc>
        <w:tc>
          <w:tcPr>
            <w:tcW w:w="4792" w:type="dxa"/>
          </w:tcPr>
          <w:p>
            <w:pPr>
              <w:pStyle w:val="yTable"/>
            </w:pPr>
            <w:r>
              <w:t>MORPHERIDINE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89.</w:t>
            </w:r>
          </w:p>
        </w:tc>
        <w:tc>
          <w:tcPr>
            <w:tcW w:w="4792" w:type="dxa"/>
          </w:tcPr>
          <w:p>
            <w:pPr>
              <w:pStyle w:val="yTable"/>
            </w:pPr>
            <w:r>
              <w:t>MORPHINE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90.</w:t>
            </w:r>
          </w:p>
        </w:tc>
        <w:tc>
          <w:tcPr>
            <w:tcW w:w="4792" w:type="dxa"/>
          </w:tcPr>
          <w:p>
            <w:pPr>
              <w:pStyle w:val="yTable"/>
              <w:ind w:left="397" w:hanging="397"/>
            </w:pPr>
            <w:r>
              <w:t xml:space="preserve">MORPHINE DERIVATIVES (not specifically included elsewhere in this Schedule or in any Schedule in Appendix A to the </w:t>
            </w:r>
            <w:r>
              <w:rPr>
                <w:i/>
                <w:iCs/>
              </w:rPr>
              <w:t>Poisons Act 1964</w:t>
            </w:r>
            <w:r>
              <w:t>)</w:t>
            </w:r>
          </w:p>
        </w:tc>
        <w:tc>
          <w:tcPr>
            <w:tcW w:w="1240" w:type="dxa"/>
            <w:gridSpan w:val="2"/>
          </w:tcPr>
          <w:p>
            <w:pPr>
              <w:pStyle w:val="yTable"/>
              <w:tabs>
                <w:tab w:val="decimal" w:pos="439"/>
              </w:tabs>
              <w:spacing w:before="40" w:after="40"/>
            </w:pPr>
            <w:r>
              <w:t>6.0</w:t>
            </w:r>
          </w:p>
        </w:tc>
      </w:tr>
      <w:tr>
        <w:trPr>
          <w:cantSplit/>
        </w:trPr>
        <w:tc>
          <w:tcPr>
            <w:tcW w:w="994" w:type="dxa"/>
          </w:tcPr>
          <w:p>
            <w:pPr>
              <w:pStyle w:val="yTable"/>
              <w:spacing w:before="40" w:after="40"/>
            </w:pPr>
            <w:r>
              <w:t>91.</w:t>
            </w:r>
          </w:p>
        </w:tc>
        <w:tc>
          <w:tcPr>
            <w:tcW w:w="4792" w:type="dxa"/>
          </w:tcPr>
          <w:p>
            <w:pPr>
              <w:pStyle w:val="yTable"/>
              <w:ind w:left="397" w:hanging="397"/>
            </w:pPr>
            <w:r>
              <w:t>MORPHINE METHOBROMIDE AND OTHER PENTAVALENT NITROGEN MORPHINE DERIVATIVES</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92.</w:t>
            </w:r>
          </w:p>
        </w:tc>
        <w:tc>
          <w:tcPr>
            <w:tcW w:w="4792" w:type="dxa"/>
          </w:tcPr>
          <w:p>
            <w:pPr>
              <w:pStyle w:val="yTable"/>
            </w:pPr>
            <w:r>
              <w:t>MORPHINE</w:t>
            </w:r>
            <w:r>
              <w:noBreakHyphen/>
              <w:t>N</w:t>
            </w:r>
            <w:r>
              <w:noBreakHyphen/>
              <w:t>OXIDE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93.</w:t>
            </w:r>
          </w:p>
        </w:tc>
        <w:tc>
          <w:tcPr>
            <w:tcW w:w="4792" w:type="dxa"/>
          </w:tcPr>
          <w:p>
            <w:pPr>
              <w:pStyle w:val="yTable"/>
              <w:ind w:left="397" w:hanging="397"/>
            </w:pPr>
            <w:r>
              <w:t>MORPHINE SUBSTITUTES (not specifically included elsewhere in this Schedule)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94A.</w:t>
            </w:r>
          </w:p>
        </w:tc>
        <w:tc>
          <w:tcPr>
            <w:tcW w:w="4792" w:type="dxa"/>
          </w:tcPr>
          <w:p>
            <w:pPr>
              <w:pStyle w:val="yTable"/>
              <w:ind w:left="397" w:hanging="397"/>
            </w:pPr>
            <w:r>
              <w:rPr>
                <w:rFonts w:cs="Arial"/>
                <w:color w:val="000000"/>
                <w:szCs w:val="22"/>
              </w:rPr>
              <w:t>1</w:t>
            </w:r>
            <w:r>
              <w:rPr>
                <w:rFonts w:cs="Arial"/>
                <w:color w:val="000000"/>
                <w:szCs w:val="22"/>
              </w:rPr>
              <w:noBreakHyphen/>
              <w:t>[2</w:t>
            </w:r>
            <w:r>
              <w:rPr>
                <w:rFonts w:cs="Arial"/>
                <w:color w:val="000000"/>
                <w:szCs w:val="22"/>
              </w:rPr>
              <w:noBreakHyphen/>
              <w:t>(4</w:t>
            </w:r>
            <w:r>
              <w:rPr>
                <w:rFonts w:cs="Arial"/>
                <w:color w:val="000000"/>
                <w:szCs w:val="22"/>
              </w:rPr>
              <w:noBreakHyphen/>
            </w:r>
            <w:r>
              <w:t>MORPHOLINYL</w:t>
            </w:r>
            <w:r>
              <w:rPr>
                <w:rFonts w:cs="Arial"/>
                <w:color w:val="000000"/>
                <w:szCs w:val="22"/>
              </w:rPr>
              <w:t>)ETHYL]</w:t>
            </w:r>
            <w:r>
              <w:rPr>
                <w:rFonts w:cs="Arial"/>
                <w:color w:val="000000"/>
                <w:szCs w:val="22"/>
              </w:rPr>
              <w:br/>
            </w:r>
            <w:r>
              <w:rPr>
                <w:rFonts w:cs="Arial"/>
                <w:color w:val="000000"/>
                <w:szCs w:val="22"/>
              </w:rPr>
              <w:noBreakHyphen/>
              <w:t>3</w:t>
            </w:r>
            <w:r>
              <w:rPr>
                <w:rFonts w:cs="Arial"/>
                <w:color w:val="000000"/>
                <w:szCs w:val="22"/>
              </w:rPr>
              <w:noBreakHyphen/>
              <w:t>(1</w:t>
            </w:r>
            <w:r>
              <w:rPr>
                <w:rFonts w:cs="Arial"/>
                <w:color w:val="000000"/>
                <w:szCs w:val="22"/>
              </w:rPr>
              <w:noBreakHyphen/>
            </w:r>
            <w:r>
              <w:t>NAPHTHOYL</w:t>
            </w:r>
            <w:r>
              <w:rPr>
                <w:rFonts w:cs="Arial"/>
                <w:color w:val="000000"/>
                <w:szCs w:val="22"/>
              </w:rPr>
              <w:t>)INDOLE (JWH – 200)</w:t>
            </w:r>
          </w:p>
        </w:tc>
        <w:tc>
          <w:tcPr>
            <w:tcW w:w="1240" w:type="dxa"/>
            <w:gridSpan w:val="2"/>
          </w:tcPr>
          <w:p>
            <w:pPr>
              <w:pStyle w:val="yTable"/>
              <w:tabs>
                <w:tab w:val="decimal" w:pos="439"/>
              </w:tabs>
              <w:spacing w:before="40" w:after="40"/>
            </w:pPr>
            <w:r>
              <w:t>500.0</w:t>
            </w:r>
          </w:p>
        </w:tc>
      </w:tr>
      <w:tr>
        <w:tc>
          <w:tcPr>
            <w:tcW w:w="994" w:type="dxa"/>
          </w:tcPr>
          <w:p>
            <w:pPr>
              <w:pStyle w:val="yTable"/>
              <w:spacing w:before="40" w:after="40"/>
            </w:pPr>
            <w:r>
              <w:t>94.</w:t>
            </w:r>
          </w:p>
        </w:tc>
        <w:tc>
          <w:tcPr>
            <w:tcW w:w="4792" w:type="dxa"/>
          </w:tcPr>
          <w:p>
            <w:pPr>
              <w:pStyle w:val="yTable"/>
            </w:pPr>
            <w:r>
              <w:t>MYROPHINE</w:t>
            </w:r>
          </w:p>
        </w:tc>
        <w:tc>
          <w:tcPr>
            <w:tcW w:w="1240" w:type="dxa"/>
            <w:gridSpan w:val="2"/>
          </w:tcPr>
          <w:p>
            <w:pPr>
              <w:pStyle w:val="yTable"/>
              <w:tabs>
                <w:tab w:val="decimal" w:pos="439"/>
              </w:tabs>
              <w:spacing w:before="40" w:after="40"/>
            </w:pPr>
            <w:r>
              <w:t>60.0</w:t>
            </w:r>
          </w:p>
        </w:tc>
      </w:tr>
      <w:tr>
        <w:tc>
          <w:tcPr>
            <w:tcW w:w="994" w:type="dxa"/>
          </w:tcPr>
          <w:p>
            <w:pPr>
              <w:pStyle w:val="yTable"/>
              <w:spacing w:before="40" w:after="40"/>
            </w:pPr>
            <w:r>
              <w:t>95.</w:t>
            </w:r>
          </w:p>
        </w:tc>
        <w:tc>
          <w:tcPr>
            <w:tcW w:w="4792" w:type="dxa"/>
          </w:tcPr>
          <w:p>
            <w:pPr>
              <w:pStyle w:val="yTable"/>
            </w:pPr>
            <w:r>
              <w:t>NEALBARBITONE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96.</w:t>
            </w:r>
          </w:p>
        </w:tc>
        <w:tc>
          <w:tcPr>
            <w:tcW w:w="4792" w:type="dxa"/>
          </w:tcPr>
          <w:p>
            <w:pPr>
              <w:pStyle w:val="yTable"/>
              <w:ind w:left="397" w:hanging="397"/>
            </w:pPr>
            <w:r>
              <w:t xml:space="preserve">NICOCODINE (except when included in Schedule 2 or 4 in Appendix A to the </w:t>
            </w:r>
            <w:r>
              <w:rPr>
                <w:i/>
                <w:iCs/>
              </w:rPr>
              <w:t>Poisons </w:t>
            </w:r>
            <w:r>
              <w:rPr>
                <w:i/>
              </w:rPr>
              <w:t>Act</w:t>
            </w:r>
            <w:r>
              <w:rPr>
                <w:i/>
                <w:iCs/>
              </w:rPr>
              <w:t> 1964</w:t>
            </w:r>
            <w:r>
              <w:t>)</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97.</w:t>
            </w:r>
          </w:p>
        </w:tc>
        <w:tc>
          <w:tcPr>
            <w:tcW w:w="4792" w:type="dxa"/>
          </w:tcPr>
          <w:p>
            <w:pPr>
              <w:pStyle w:val="yTable"/>
              <w:ind w:left="397" w:hanging="397"/>
            </w:pPr>
            <w:r>
              <w:t xml:space="preserve">NICODICODINE (except when included in Schedule 2 or 4 in Appendix A to the </w:t>
            </w:r>
            <w:r>
              <w:rPr>
                <w:i/>
                <w:iCs/>
              </w:rPr>
              <w:t>Poisons Act 1964</w:t>
            </w:r>
            <w:r>
              <w:t>)</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98.</w:t>
            </w:r>
          </w:p>
        </w:tc>
        <w:tc>
          <w:tcPr>
            <w:tcW w:w="4792" w:type="dxa"/>
          </w:tcPr>
          <w:p>
            <w:pPr>
              <w:pStyle w:val="yTable"/>
            </w:pPr>
            <w:r>
              <w:t>NICOMORPHINE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99.</w:t>
            </w:r>
          </w:p>
        </w:tc>
        <w:tc>
          <w:tcPr>
            <w:tcW w:w="4792" w:type="dxa"/>
          </w:tcPr>
          <w:p>
            <w:pPr>
              <w:pStyle w:val="yTable"/>
            </w:pPr>
            <w:r>
              <w:t>NORACYMETHADOL</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100.</w:t>
            </w:r>
          </w:p>
        </w:tc>
        <w:tc>
          <w:tcPr>
            <w:tcW w:w="4792" w:type="dxa"/>
          </w:tcPr>
          <w:p>
            <w:pPr>
              <w:pStyle w:val="yTable"/>
              <w:ind w:left="397" w:hanging="397"/>
            </w:pPr>
            <w:r>
              <w:t xml:space="preserve">NORCODEINE (except when included in Schedule 2 or 4 in Appendix A to the </w:t>
            </w:r>
            <w:r>
              <w:rPr>
                <w:i/>
                <w:iCs/>
              </w:rPr>
              <w:t>Poisons Act 1964</w:t>
            </w:r>
            <w:r>
              <w:rPr>
                <w:iCs/>
              </w:rPr>
              <w:t>)</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101.</w:t>
            </w:r>
          </w:p>
        </w:tc>
        <w:tc>
          <w:tcPr>
            <w:tcW w:w="4792" w:type="dxa"/>
          </w:tcPr>
          <w:p>
            <w:pPr>
              <w:pStyle w:val="yTable"/>
            </w:pPr>
            <w:r>
              <w:t>NORLEVORPHANOL</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102.</w:t>
            </w:r>
          </w:p>
        </w:tc>
        <w:tc>
          <w:tcPr>
            <w:tcW w:w="4792" w:type="dxa"/>
          </w:tcPr>
          <w:p>
            <w:pPr>
              <w:pStyle w:val="yTable"/>
            </w:pPr>
            <w:r>
              <w:t>NORMETHADONE</w:t>
            </w:r>
          </w:p>
        </w:tc>
        <w:tc>
          <w:tcPr>
            <w:tcW w:w="1240" w:type="dxa"/>
            <w:gridSpan w:val="2"/>
          </w:tcPr>
          <w:p>
            <w:pPr>
              <w:pStyle w:val="yTable"/>
              <w:tabs>
                <w:tab w:val="decimal" w:pos="439"/>
              </w:tabs>
              <w:spacing w:before="40" w:after="40"/>
            </w:pPr>
            <w:r>
              <w:t>1.5</w:t>
            </w:r>
          </w:p>
        </w:tc>
      </w:tr>
      <w:tr>
        <w:tc>
          <w:tcPr>
            <w:tcW w:w="994" w:type="dxa"/>
          </w:tcPr>
          <w:p>
            <w:pPr>
              <w:pStyle w:val="yTable"/>
              <w:spacing w:before="40" w:after="40"/>
            </w:pPr>
            <w:r>
              <w:t>103.</w:t>
            </w:r>
          </w:p>
        </w:tc>
        <w:tc>
          <w:tcPr>
            <w:tcW w:w="4792" w:type="dxa"/>
          </w:tcPr>
          <w:p>
            <w:pPr>
              <w:pStyle w:val="yTable"/>
            </w:pPr>
            <w:r>
              <w:t>NORMORPHINE</w:t>
            </w:r>
          </w:p>
        </w:tc>
        <w:tc>
          <w:tcPr>
            <w:tcW w:w="1240" w:type="dxa"/>
            <w:gridSpan w:val="2"/>
          </w:tcPr>
          <w:p>
            <w:pPr>
              <w:pStyle w:val="yTable"/>
              <w:tabs>
                <w:tab w:val="decimal" w:pos="439"/>
              </w:tabs>
              <w:spacing w:before="40" w:after="40"/>
            </w:pPr>
            <w:r>
              <w:t>60.0</w:t>
            </w:r>
          </w:p>
        </w:tc>
      </w:tr>
      <w:tr>
        <w:tc>
          <w:tcPr>
            <w:tcW w:w="994" w:type="dxa"/>
          </w:tcPr>
          <w:p>
            <w:pPr>
              <w:pStyle w:val="yTable"/>
              <w:spacing w:before="40" w:after="40"/>
            </w:pPr>
            <w:r>
              <w:t>104.</w:t>
            </w:r>
          </w:p>
        </w:tc>
        <w:tc>
          <w:tcPr>
            <w:tcW w:w="4792" w:type="dxa"/>
          </w:tcPr>
          <w:p>
            <w:pPr>
              <w:pStyle w:val="yTable"/>
            </w:pPr>
            <w:r>
              <w:t>NORPIPANONE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105.</w:t>
            </w:r>
          </w:p>
        </w:tc>
        <w:tc>
          <w:tcPr>
            <w:tcW w:w="4792" w:type="dxa"/>
          </w:tcPr>
          <w:p>
            <w:pPr>
              <w:pStyle w:val="yTable"/>
            </w:pPr>
            <w:r>
              <w:t>OPIUM</w:t>
            </w:r>
          </w:p>
        </w:tc>
        <w:tc>
          <w:tcPr>
            <w:tcW w:w="1240" w:type="dxa"/>
            <w:gridSpan w:val="2"/>
          </w:tcPr>
          <w:p>
            <w:pPr>
              <w:pStyle w:val="yTable"/>
              <w:tabs>
                <w:tab w:val="decimal" w:pos="439"/>
              </w:tabs>
              <w:spacing w:before="40" w:after="40"/>
            </w:pPr>
            <w:r>
              <w:t>40.0</w:t>
            </w:r>
          </w:p>
        </w:tc>
      </w:tr>
      <w:tr>
        <w:tc>
          <w:tcPr>
            <w:tcW w:w="994" w:type="dxa"/>
          </w:tcPr>
          <w:p>
            <w:pPr>
              <w:pStyle w:val="yTable"/>
              <w:spacing w:before="40" w:after="40"/>
            </w:pPr>
            <w:r>
              <w:t>106.</w:t>
            </w:r>
          </w:p>
        </w:tc>
        <w:tc>
          <w:tcPr>
            <w:tcW w:w="4792" w:type="dxa"/>
          </w:tcPr>
          <w:p>
            <w:pPr>
              <w:pStyle w:val="yTable"/>
            </w:pPr>
            <w:r>
              <w:t>OXYCODONE</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107.</w:t>
            </w:r>
          </w:p>
        </w:tc>
        <w:tc>
          <w:tcPr>
            <w:tcW w:w="4792" w:type="dxa"/>
          </w:tcPr>
          <w:p>
            <w:pPr>
              <w:pStyle w:val="yTable"/>
            </w:pPr>
            <w:r>
              <w:t>OXYMORPHONE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108.</w:t>
            </w:r>
          </w:p>
        </w:tc>
        <w:tc>
          <w:tcPr>
            <w:tcW w:w="4792" w:type="dxa"/>
          </w:tcPr>
          <w:p>
            <w:pPr>
              <w:pStyle w:val="yTable"/>
            </w:pPr>
            <w:r>
              <w:t>PENTAZOCINE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109.</w:t>
            </w:r>
          </w:p>
        </w:tc>
        <w:tc>
          <w:tcPr>
            <w:tcW w:w="4792" w:type="dxa"/>
          </w:tcPr>
          <w:p>
            <w:pPr>
              <w:pStyle w:val="yTable"/>
            </w:pPr>
            <w:r>
              <w:t>PENTOBARBITONE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110AA.</w:t>
            </w:r>
          </w:p>
        </w:tc>
        <w:tc>
          <w:tcPr>
            <w:tcW w:w="4792" w:type="dxa"/>
          </w:tcPr>
          <w:p>
            <w:pPr>
              <w:pStyle w:val="yTable"/>
            </w:pPr>
            <w:r>
              <w:t>1</w:t>
            </w:r>
            <w:r>
              <w:noBreakHyphen/>
              <w:t>PENTYL</w:t>
            </w:r>
            <w:r>
              <w:noBreakHyphen/>
              <w:t>3</w:t>
            </w:r>
            <w:r>
              <w:noBreakHyphen/>
              <w:t>(4</w:t>
            </w:r>
            <w:r>
              <w:noBreakHyphen/>
              <w:t>CHLORO</w:t>
            </w:r>
            <w:r>
              <w:noBreakHyphen/>
              <w:t>1</w:t>
            </w:r>
            <w:r>
              <w:noBreakHyphen/>
            </w:r>
            <w:r>
              <w:br/>
              <w:t>NAPHTHOYL)INDOLE (JWH</w:t>
            </w:r>
            <w:r>
              <w:noBreakHyphen/>
              <w:t xml:space="preserve">398) </w:t>
            </w:r>
          </w:p>
        </w:tc>
        <w:tc>
          <w:tcPr>
            <w:tcW w:w="1240" w:type="dxa"/>
            <w:gridSpan w:val="2"/>
          </w:tcPr>
          <w:p>
            <w:pPr>
              <w:pStyle w:val="yTable"/>
              <w:tabs>
                <w:tab w:val="decimal" w:pos="439"/>
              </w:tabs>
              <w:spacing w:before="40" w:after="40"/>
            </w:pPr>
            <w:r>
              <w:br/>
              <w:t>500.0</w:t>
            </w:r>
          </w:p>
        </w:tc>
      </w:tr>
      <w:tr>
        <w:tc>
          <w:tcPr>
            <w:tcW w:w="994" w:type="dxa"/>
          </w:tcPr>
          <w:p>
            <w:pPr>
              <w:pStyle w:val="yTable"/>
            </w:pPr>
            <w:r>
              <w:t>110AB.</w:t>
            </w:r>
          </w:p>
        </w:tc>
        <w:tc>
          <w:tcPr>
            <w:tcW w:w="4792" w:type="dxa"/>
          </w:tcPr>
          <w:p>
            <w:pPr>
              <w:pStyle w:val="yTable"/>
            </w:pPr>
            <w:r>
              <w:t>1</w:t>
            </w:r>
            <w:r>
              <w:noBreakHyphen/>
              <w:t>PENTYL</w:t>
            </w:r>
            <w:r>
              <w:noBreakHyphen/>
              <w:t>3</w:t>
            </w:r>
            <w:r>
              <w:noBreakHyphen/>
              <w:t>(2</w:t>
            </w:r>
            <w:r>
              <w:noBreakHyphen/>
            </w:r>
            <w:r>
              <w:br/>
              <w:t>CHLOROPHENYLACETYL)INDOLE (JWH</w:t>
            </w:r>
            <w:r>
              <w:noBreakHyphen/>
              <w:t>203)</w:t>
            </w:r>
          </w:p>
        </w:tc>
        <w:tc>
          <w:tcPr>
            <w:tcW w:w="1240" w:type="dxa"/>
            <w:gridSpan w:val="2"/>
          </w:tcPr>
          <w:p>
            <w:pPr>
              <w:pStyle w:val="yTable"/>
              <w:tabs>
                <w:tab w:val="decimal" w:pos="439"/>
              </w:tabs>
              <w:spacing w:before="40" w:after="40"/>
            </w:pPr>
            <w:r>
              <w:br/>
            </w:r>
            <w:r>
              <w:br/>
              <w:t>500.0</w:t>
            </w:r>
          </w:p>
        </w:tc>
      </w:tr>
      <w:tr>
        <w:tc>
          <w:tcPr>
            <w:tcW w:w="994" w:type="dxa"/>
          </w:tcPr>
          <w:p>
            <w:pPr>
              <w:pStyle w:val="yTable"/>
            </w:pPr>
            <w:r>
              <w:t>110AC.</w:t>
            </w:r>
          </w:p>
        </w:tc>
        <w:tc>
          <w:tcPr>
            <w:tcW w:w="4792" w:type="dxa"/>
          </w:tcPr>
          <w:p>
            <w:pPr>
              <w:pStyle w:val="yTable"/>
            </w:pPr>
            <w:r>
              <w:t>1</w:t>
            </w:r>
            <w:r>
              <w:noBreakHyphen/>
              <w:t>PENTYL</w:t>
            </w:r>
            <w:r>
              <w:noBreakHyphen/>
              <w:t>3</w:t>
            </w:r>
            <w:r>
              <w:noBreakHyphen/>
              <w:t>(4</w:t>
            </w:r>
            <w:r>
              <w:noBreakHyphen/>
              <w:t>ETHYL</w:t>
            </w:r>
            <w:r>
              <w:noBreakHyphen/>
              <w:t>1</w:t>
            </w:r>
            <w:r>
              <w:noBreakHyphen/>
            </w:r>
            <w:r>
              <w:br/>
              <w:t>NAPHTHOYL)INDOLE (JWH</w:t>
            </w:r>
            <w:r>
              <w:noBreakHyphen/>
              <w:t>210)</w:t>
            </w:r>
          </w:p>
        </w:tc>
        <w:tc>
          <w:tcPr>
            <w:tcW w:w="1240" w:type="dxa"/>
            <w:gridSpan w:val="2"/>
          </w:tcPr>
          <w:p>
            <w:pPr>
              <w:pStyle w:val="yTable"/>
              <w:tabs>
                <w:tab w:val="decimal" w:pos="439"/>
              </w:tabs>
              <w:spacing w:before="40" w:after="40"/>
            </w:pPr>
            <w:r>
              <w:br/>
              <w:t>500.0</w:t>
            </w:r>
          </w:p>
        </w:tc>
      </w:tr>
      <w:tr>
        <w:tc>
          <w:tcPr>
            <w:tcW w:w="994" w:type="dxa"/>
          </w:tcPr>
          <w:p>
            <w:pPr>
              <w:pStyle w:val="yTable"/>
            </w:pPr>
            <w:r>
              <w:t>110AD.</w:t>
            </w:r>
          </w:p>
        </w:tc>
        <w:tc>
          <w:tcPr>
            <w:tcW w:w="4792" w:type="dxa"/>
          </w:tcPr>
          <w:p>
            <w:pPr>
              <w:pStyle w:val="yTable"/>
            </w:pPr>
            <w:r>
              <w:t>1</w:t>
            </w:r>
            <w:r>
              <w:noBreakHyphen/>
              <w:t>PENTYL</w:t>
            </w:r>
            <w:r>
              <w:noBreakHyphen/>
              <w:t>3</w:t>
            </w:r>
            <w:r>
              <w:noBreakHyphen/>
              <w:t>[(4</w:t>
            </w:r>
            <w:r>
              <w:noBreakHyphen/>
              <w:t>METHOXY)</w:t>
            </w:r>
            <w:r>
              <w:noBreakHyphen/>
            </w:r>
            <w:r>
              <w:br/>
              <w:t>BENZOYL]INDOLE (RCS</w:t>
            </w:r>
            <w:r>
              <w:noBreakHyphen/>
              <w:t>4)</w:t>
            </w:r>
          </w:p>
        </w:tc>
        <w:tc>
          <w:tcPr>
            <w:tcW w:w="1240" w:type="dxa"/>
            <w:gridSpan w:val="2"/>
          </w:tcPr>
          <w:p>
            <w:pPr>
              <w:pStyle w:val="yTable"/>
              <w:tabs>
                <w:tab w:val="decimal" w:pos="439"/>
              </w:tabs>
              <w:spacing w:before="40" w:after="40"/>
            </w:pPr>
            <w:r>
              <w:br/>
              <w:t>500.0</w:t>
            </w:r>
          </w:p>
        </w:tc>
      </w:tr>
      <w:tr>
        <w:tc>
          <w:tcPr>
            <w:tcW w:w="994" w:type="dxa"/>
          </w:tcPr>
          <w:p>
            <w:pPr>
              <w:pStyle w:val="yTable"/>
            </w:pPr>
            <w:r>
              <w:t>110AE.</w:t>
            </w:r>
          </w:p>
        </w:tc>
        <w:tc>
          <w:tcPr>
            <w:tcW w:w="4792" w:type="dxa"/>
          </w:tcPr>
          <w:p>
            <w:pPr>
              <w:pStyle w:val="yTable"/>
            </w:pPr>
            <w:r>
              <w:t>1</w:t>
            </w:r>
            <w:r>
              <w:noBreakHyphen/>
              <w:t>PENTYL</w:t>
            </w:r>
            <w:r>
              <w:noBreakHyphen/>
              <w:t>3</w:t>
            </w:r>
            <w:r>
              <w:noBreakHyphen/>
              <w:t>(4</w:t>
            </w:r>
            <w:r>
              <w:noBreakHyphen/>
              <w:t>METHOXY</w:t>
            </w:r>
            <w:r>
              <w:noBreakHyphen/>
              <w:t>1</w:t>
            </w:r>
            <w:r>
              <w:noBreakHyphen/>
            </w:r>
            <w:r>
              <w:br/>
              <w:t>NAPHTHOYL)INDOLE (JWH</w:t>
            </w:r>
            <w:r>
              <w:noBreakHyphen/>
              <w:t>081)</w:t>
            </w:r>
          </w:p>
        </w:tc>
        <w:tc>
          <w:tcPr>
            <w:tcW w:w="1240" w:type="dxa"/>
            <w:gridSpan w:val="2"/>
          </w:tcPr>
          <w:p>
            <w:pPr>
              <w:pStyle w:val="yTable"/>
              <w:tabs>
                <w:tab w:val="decimal" w:pos="439"/>
              </w:tabs>
              <w:spacing w:before="40" w:after="40"/>
            </w:pPr>
            <w:r>
              <w:br/>
              <w:t>500.0</w:t>
            </w:r>
          </w:p>
        </w:tc>
      </w:tr>
      <w:tr>
        <w:trPr>
          <w:cantSplit/>
        </w:trPr>
        <w:tc>
          <w:tcPr>
            <w:tcW w:w="994" w:type="dxa"/>
          </w:tcPr>
          <w:p>
            <w:pPr>
              <w:pStyle w:val="yTable"/>
              <w:spacing w:before="40" w:after="40"/>
            </w:pPr>
            <w:r>
              <w:t>110A.</w:t>
            </w:r>
          </w:p>
        </w:tc>
        <w:tc>
          <w:tcPr>
            <w:tcW w:w="4792" w:type="dxa"/>
          </w:tcPr>
          <w:p>
            <w:pPr>
              <w:pStyle w:val="yTable"/>
              <w:ind w:left="397" w:hanging="397"/>
            </w:pPr>
            <w:r>
              <w:t>1</w:t>
            </w:r>
            <w:r>
              <w:noBreakHyphen/>
              <w:t>PENTYL</w:t>
            </w:r>
            <w:r>
              <w:noBreakHyphen/>
              <w:t>3</w:t>
            </w:r>
            <w:r>
              <w:noBreakHyphen/>
              <w:t>(1</w:t>
            </w:r>
            <w:r>
              <w:noBreakHyphen/>
              <w:t xml:space="preserve">NAPHTHOYL)INDOLE </w:t>
            </w:r>
            <w:r>
              <w:br/>
              <w:t>(JWH – 018)</w:t>
            </w:r>
          </w:p>
        </w:tc>
        <w:tc>
          <w:tcPr>
            <w:tcW w:w="1240" w:type="dxa"/>
            <w:gridSpan w:val="2"/>
          </w:tcPr>
          <w:p>
            <w:pPr>
              <w:pStyle w:val="yTable"/>
              <w:tabs>
                <w:tab w:val="decimal" w:pos="439"/>
              </w:tabs>
              <w:spacing w:before="40" w:after="40"/>
            </w:pPr>
            <w:r>
              <w:br/>
              <w:t>500.0</w:t>
            </w:r>
          </w:p>
        </w:tc>
      </w:tr>
      <w:tr>
        <w:tc>
          <w:tcPr>
            <w:tcW w:w="994" w:type="dxa"/>
          </w:tcPr>
          <w:p>
            <w:pPr>
              <w:pStyle w:val="yTable"/>
              <w:spacing w:before="40" w:after="40"/>
            </w:pPr>
            <w:r>
              <w:t>110B.</w:t>
            </w:r>
          </w:p>
        </w:tc>
        <w:tc>
          <w:tcPr>
            <w:tcW w:w="4792" w:type="dxa"/>
          </w:tcPr>
          <w:p>
            <w:pPr>
              <w:pStyle w:val="yTable"/>
              <w:ind w:left="397" w:hanging="397"/>
            </w:pPr>
            <w:r>
              <w:t>1</w:t>
            </w:r>
            <w:r>
              <w:noBreakHyphen/>
              <w:t>PENTYL</w:t>
            </w:r>
            <w:r>
              <w:noBreakHyphen/>
              <w:t>3</w:t>
            </w:r>
            <w:r>
              <w:noBreakHyphen/>
              <w:t>(4</w:t>
            </w:r>
            <w:r>
              <w:noBreakHyphen/>
              <w:t>METHYL</w:t>
            </w:r>
            <w:r>
              <w:noBreakHyphen/>
              <w:t>1</w:t>
            </w:r>
            <w:r>
              <w:noBreakHyphen/>
              <w:t>NAPHTHOYL)</w:t>
            </w:r>
            <w:r>
              <w:br/>
              <w:t>INDOLE (JWH – 122)</w:t>
            </w:r>
          </w:p>
        </w:tc>
        <w:tc>
          <w:tcPr>
            <w:tcW w:w="1240" w:type="dxa"/>
            <w:gridSpan w:val="2"/>
          </w:tcPr>
          <w:p>
            <w:pPr>
              <w:pStyle w:val="yTable"/>
              <w:tabs>
                <w:tab w:val="decimal" w:pos="439"/>
              </w:tabs>
              <w:spacing w:before="40" w:after="40"/>
            </w:pPr>
            <w:r>
              <w:br/>
              <w:t>500.0</w:t>
            </w:r>
          </w:p>
        </w:tc>
      </w:tr>
      <w:tr>
        <w:tc>
          <w:tcPr>
            <w:tcW w:w="994" w:type="dxa"/>
          </w:tcPr>
          <w:p>
            <w:pPr>
              <w:pStyle w:val="yTable"/>
              <w:spacing w:before="40" w:after="40"/>
            </w:pPr>
            <w:r>
              <w:t>110.</w:t>
            </w:r>
          </w:p>
        </w:tc>
        <w:tc>
          <w:tcPr>
            <w:tcW w:w="4792" w:type="dxa"/>
          </w:tcPr>
          <w:p>
            <w:pPr>
              <w:pStyle w:val="yTable"/>
            </w:pPr>
            <w:r>
              <w:t>PETHIDINE</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111.</w:t>
            </w:r>
          </w:p>
        </w:tc>
        <w:tc>
          <w:tcPr>
            <w:tcW w:w="4792" w:type="dxa"/>
          </w:tcPr>
          <w:p>
            <w:pPr>
              <w:pStyle w:val="yTable"/>
            </w:pPr>
            <w:r>
              <w:t>PETHIDINE</w:t>
            </w:r>
            <w:r>
              <w:noBreakHyphen/>
              <w:t>INTERMEDIATE A</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112.</w:t>
            </w:r>
          </w:p>
        </w:tc>
        <w:tc>
          <w:tcPr>
            <w:tcW w:w="4792" w:type="dxa"/>
          </w:tcPr>
          <w:p>
            <w:pPr>
              <w:pStyle w:val="yTable"/>
            </w:pPr>
            <w:r>
              <w:t>PETHIDINE</w:t>
            </w:r>
            <w:r>
              <w:noBreakHyphen/>
              <w:t>INTERMEDIATE B</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113.</w:t>
            </w:r>
          </w:p>
        </w:tc>
        <w:tc>
          <w:tcPr>
            <w:tcW w:w="4792" w:type="dxa"/>
          </w:tcPr>
          <w:p>
            <w:pPr>
              <w:pStyle w:val="yTable"/>
            </w:pPr>
            <w:r>
              <w:t>PETHIDINE</w:t>
            </w:r>
            <w:r>
              <w:noBreakHyphen/>
              <w:t>INTERMEDIATE C</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114.</w:t>
            </w:r>
          </w:p>
        </w:tc>
        <w:tc>
          <w:tcPr>
            <w:tcW w:w="4792" w:type="dxa"/>
          </w:tcPr>
          <w:p>
            <w:pPr>
              <w:pStyle w:val="yTable"/>
            </w:pPr>
            <w:r>
              <w:t>PHENADOXONE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115.</w:t>
            </w:r>
          </w:p>
        </w:tc>
        <w:tc>
          <w:tcPr>
            <w:tcW w:w="4792" w:type="dxa"/>
          </w:tcPr>
          <w:p>
            <w:pPr>
              <w:pStyle w:val="yTable"/>
            </w:pPr>
            <w:r>
              <w:t>PHENAMPROMIDE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116.</w:t>
            </w:r>
          </w:p>
        </w:tc>
        <w:tc>
          <w:tcPr>
            <w:tcW w:w="4792" w:type="dxa"/>
          </w:tcPr>
          <w:p>
            <w:pPr>
              <w:pStyle w:val="yTable"/>
            </w:pPr>
            <w:r>
              <w:t>PHENAZOCINE</w:t>
            </w:r>
          </w:p>
        </w:tc>
        <w:tc>
          <w:tcPr>
            <w:tcW w:w="1240" w:type="dxa"/>
            <w:gridSpan w:val="2"/>
          </w:tcPr>
          <w:p>
            <w:pPr>
              <w:pStyle w:val="yTable"/>
              <w:tabs>
                <w:tab w:val="decimal" w:pos="439"/>
              </w:tabs>
              <w:spacing w:before="40" w:after="40"/>
            </w:pPr>
            <w:r>
              <w:t>3.0</w:t>
            </w:r>
          </w:p>
        </w:tc>
      </w:tr>
      <w:tr>
        <w:tc>
          <w:tcPr>
            <w:tcW w:w="994" w:type="dxa"/>
          </w:tcPr>
          <w:p>
            <w:pPr>
              <w:pStyle w:val="yTable"/>
              <w:spacing w:before="40" w:after="40"/>
            </w:pPr>
            <w:r>
              <w:t>117.</w:t>
            </w:r>
          </w:p>
        </w:tc>
        <w:tc>
          <w:tcPr>
            <w:tcW w:w="4792" w:type="dxa"/>
          </w:tcPr>
          <w:p>
            <w:pPr>
              <w:pStyle w:val="yTable"/>
            </w:pPr>
            <w:r>
              <w:t>PHENCYCLIDINE</w:t>
            </w:r>
          </w:p>
        </w:tc>
        <w:tc>
          <w:tcPr>
            <w:tcW w:w="1240" w:type="dxa"/>
            <w:gridSpan w:val="2"/>
          </w:tcPr>
          <w:p>
            <w:pPr>
              <w:pStyle w:val="yTable"/>
              <w:tabs>
                <w:tab w:val="decimal" w:pos="439"/>
              </w:tabs>
              <w:spacing w:before="40" w:after="40"/>
            </w:pPr>
            <w:r>
              <w:t>0.004</w:t>
            </w:r>
          </w:p>
        </w:tc>
      </w:tr>
      <w:tr>
        <w:tc>
          <w:tcPr>
            <w:tcW w:w="994" w:type="dxa"/>
          </w:tcPr>
          <w:p>
            <w:pPr>
              <w:pStyle w:val="yTable"/>
              <w:spacing w:before="40" w:after="40"/>
            </w:pPr>
            <w:r>
              <w:t>118.</w:t>
            </w:r>
          </w:p>
        </w:tc>
        <w:tc>
          <w:tcPr>
            <w:tcW w:w="4792" w:type="dxa"/>
          </w:tcPr>
          <w:p>
            <w:pPr>
              <w:pStyle w:val="yTable"/>
            </w:pPr>
            <w:r>
              <w:t>PHENMETRAZINE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119.</w:t>
            </w:r>
          </w:p>
        </w:tc>
        <w:tc>
          <w:tcPr>
            <w:tcW w:w="4792" w:type="dxa"/>
          </w:tcPr>
          <w:p>
            <w:pPr>
              <w:pStyle w:val="yTable"/>
            </w:pPr>
            <w:r>
              <w:t>PHENOBARBITONE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120.</w:t>
            </w:r>
          </w:p>
        </w:tc>
        <w:tc>
          <w:tcPr>
            <w:tcW w:w="4792" w:type="dxa"/>
          </w:tcPr>
          <w:p>
            <w:pPr>
              <w:pStyle w:val="yTable"/>
            </w:pPr>
            <w:r>
              <w:t>PHENOMORPHAN</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121.</w:t>
            </w:r>
          </w:p>
        </w:tc>
        <w:tc>
          <w:tcPr>
            <w:tcW w:w="4792" w:type="dxa"/>
          </w:tcPr>
          <w:p>
            <w:pPr>
              <w:pStyle w:val="yTable"/>
            </w:pPr>
            <w:r>
              <w:t>PHENOPERIDINE</w:t>
            </w:r>
          </w:p>
        </w:tc>
        <w:tc>
          <w:tcPr>
            <w:tcW w:w="1240" w:type="dxa"/>
            <w:gridSpan w:val="2"/>
          </w:tcPr>
          <w:p>
            <w:pPr>
              <w:pStyle w:val="yTable"/>
              <w:tabs>
                <w:tab w:val="decimal" w:pos="439"/>
              </w:tabs>
              <w:spacing w:before="40" w:after="40"/>
            </w:pPr>
            <w:r>
              <w:t>3.0</w:t>
            </w:r>
          </w:p>
        </w:tc>
      </w:tr>
      <w:tr>
        <w:tc>
          <w:tcPr>
            <w:tcW w:w="994" w:type="dxa"/>
          </w:tcPr>
          <w:p>
            <w:pPr>
              <w:pStyle w:val="yTable"/>
              <w:spacing w:before="40" w:after="40"/>
            </w:pPr>
            <w:r>
              <w:t>122.</w:t>
            </w:r>
          </w:p>
        </w:tc>
        <w:tc>
          <w:tcPr>
            <w:tcW w:w="4792" w:type="dxa"/>
          </w:tcPr>
          <w:p>
            <w:pPr>
              <w:pStyle w:val="yTable"/>
            </w:pPr>
            <w:r>
              <w:t>PHENYLMETHYLBARBITURIC ACID</w:t>
            </w:r>
          </w:p>
        </w:tc>
        <w:tc>
          <w:tcPr>
            <w:tcW w:w="1240" w:type="dxa"/>
            <w:gridSpan w:val="2"/>
          </w:tcPr>
          <w:p>
            <w:pPr>
              <w:pStyle w:val="yTable"/>
              <w:tabs>
                <w:tab w:val="decimal" w:pos="439"/>
              </w:tabs>
              <w:spacing w:before="40" w:after="40"/>
            </w:pPr>
            <w:r>
              <w:t>30.0</w:t>
            </w:r>
          </w:p>
        </w:tc>
      </w:tr>
      <w:tr>
        <w:tc>
          <w:tcPr>
            <w:tcW w:w="994" w:type="dxa"/>
          </w:tcPr>
          <w:p>
            <w:pPr>
              <w:pStyle w:val="yTable"/>
              <w:keepNext/>
              <w:keepLines/>
              <w:spacing w:before="40" w:after="40"/>
            </w:pPr>
            <w:r>
              <w:t>123.</w:t>
            </w:r>
          </w:p>
        </w:tc>
        <w:tc>
          <w:tcPr>
            <w:tcW w:w="4792" w:type="dxa"/>
          </w:tcPr>
          <w:p>
            <w:pPr>
              <w:pStyle w:val="yTable"/>
              <w:ind w:left="397" w:hanging="397"/>
            </w:pPr>
            <w:r>
              <w:t xml:space="preserve">PHOLCODINE (except when included in Schedule 2 or 4 in Appendix A to the </w:t>
            </w:r>
            <w:r>
              <w:rPr>
                <w:i/>
                <w:iCs/>
              </w:rPr>
              <w:t>Poisons Act 1964</w:t>
            </w:r>
            <w:r>
              <w:t>)</w:t>
            </w:r>
          </w:p>
        </w:tc>
        <w:tc>
          <w:tcPr>
            <w:tcW w:w="1240" w:type="dxa"/>
            <w:gridSpan w:val="2"/>
          </w:tcPr>
          <w:p>
            <w:pPr>
              <w:pStyle w:val="yTable"/>
              <w:keepNext/>
              <w:keepLines/>
              <w:tabs>
                <w:tab w:val="decimal" w:pos="439"/>
              </w:tabs>
              <w:spacing w:before="40" w:after="40"/>
            </w:pPr>
            <w:r>
              <w:t>15.0</w:t>
            </w:r>
          </w:p>
        </w:tc>
      </w:tr>
      <w:tr>
        <w:tc>
          <w:tcPr>
            <w:tcW w:w="994" w:type="dxa"/>
          </w:tcPr>
          <w:p>
            <w:pPr>
              <w:pStyle w:val="yTable"/>
              <w:spacing w:before="40" w:after="40"/>
            </w:pPr>
            <w:r>
              <w:t>124.</w:t>
            </w:r>
          </w:p>
        </w:tc>
        <w:tc>
          <w:tcPr>
            <w:tcW w:w="4792" w:type="dxa"/>
          </w:tcPr>
          <w:p>
            <w:pPr>
              <w:pStyle w:val="yTable"/>
            </w:pPr>
            <w:r>
              <w:t>PIMINODINE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125.</w:t>
            </w:r>
          </w:p>
        </w:tc>
        <w:tc>
          <w:tcPr>
            <w:tcW w:w="4792" w:type="dxa"/>
          </w:tcPr>
          <w:p>
            <w:pPr>
              <w:pStyle w:val="yTable"/>
            </w:pPr>
            <w:r>
              <w:t>PIRITRAMIDE</w:t>
            </w:r>
          </w:p>
        </w:tc>
        <w:tc>
          <w:tcPr>
            <w:tcW w:w="1240" w:type="dxa"/>
            <w:gridSpan w:val="2"/>
          </w:tcPr>
          <w:p>
            <w:pPr>
              <w:pStyle w:val="yTable"/>
              <w:tabs>
                <w:tab w:val="decimal" w:pos="439"/>
              </w:tabs>
              <w:spacing w:before="40" w:after="40"/>
            </w:pPr>
            <w:r>
              <w:t>3.0</w:t>
            </w:r>
          </w:p>
        </w:tc>
      </w:tr>
      <w:tr>
        <w:tc>
          <w:tcPr>
            <w:tcW w:w="994" w:type="dxa"/>
          </w:tcPr>
          <w:p>
            <w:pPr>
              <w:pStyle w:val="yTable"/>
              <w:spacing w:before="40" w:after="40"/>
            </w:pPr>
            <w:r>
              <w:t>126A.</w:t>
            </w:r>
          </w:p>
        </w:tc>
        <w:tc>
          <w:tcPr>
            <w:tcW w:w="4792" w:type="dxa"/>
          </w:tcPr>
          <w:p>
            <w:pPr>
              <w:pStyle w:val="yTable"/>
            </w:pPr>
            <w:r>
              <w:t>PRAVADOLINE (WIN 48098)</w:t>
            </w:r>
          </w:p>
        </w:tc>
        <w:tc>
          <w:tcPr>
            <w:tcW w:w="1240" w:type="dxa"/>
            <w:gridSpan w:val="2"/>
          </w:tcPr>
          <w:p>
            <w:pPr>
              <w:pStyle w:val="yTable"/>
              <w:tabs>
                <w:tab w:val="decimal" w:pos="439"/>
              </w:tabs>
              <w:spacing w:before="40" w:after="40"/>
            </w:pPr>
            <w:r>
              <w:t>500.0</w:t>
            </w:r>
          </w:p>
        </w:tc>
      </w:tr>
      <w:tr>
        <w:tc>
          <w:tcPr>
            <w:tcW w:w="994" w:type="dxa"/>
          </w:tcPr>
          <w:p>
            <w:pPr>
              <w:pStyle w:val="yTable"/>
              <w:spacing w:before="40" w:after="40"/>
            </w:pPr>
            <w:r>
              <w:t>126.</w:t>
            </w:r>
          </w:p>
        </w:tc>
        <w:tc>
          <w:tcPr>
            <w:tcW w:w="4792" w:type="dxa"/>
          </w:tcPr>
          <w:p>
            <w:pPr>
              <w:pStyle w:val="yTable"/>
            </w:pPr>
            <w:r>
              <w:t>PROHEPTAZINE</w:t>
            </w:r>
          </w:p>
        </w:tc>
        <w:tc>
          <w:tcPr>
            <w:tcW w:w="1240" w:type="dxa"/>
            <w:gridSpan w:val="2"/>
          </w:tcPr>
          <w:p>
            <w:pPr>
              <w:pStyle w:val="yTable"/>
              <w:tabs>
                <w:tab w:val="decimal" w:pos="439"/>
              </w:tabs>
              <w:spacing w:before="40" w:after="40"/>
            </w:pPr>
            <w:r>
              <w:t>3.0</w:t>
            </w:r>
          </w:p>
        </w:tc>
      </w:tr>
      <w:tr>
        <w:tc>
          <w:tcPr>
            <w:tcW w:w="994" w:type="dxa"/>
          </w:tcPr>
          <w:p>
            <w:pPr>
              <w:pStyle w:val="yTable"/>
              <w:spacing w:before="40" w:after="40"/>
            </w:pPr>
            <w:r>
              <w:t>127.</w:t>
            </w:r>
          </w:p>
        </w:tc>
        <w:tc>
          <w:tcPr>
            <w:tcW w:w="4792" w:type="dxa"/>
          </w:tcPr>
          <w:p>
            <w:pPr>
              <w:pStyle w:val="yTable"/>
            </w:pPr>
            <w:r>
              <w:t>PROPERIDINE</w:t>
            </w:r>
          </w:p>
        </w:tc>
        <w:tc>
          <w:tcPr>
            <w:tcW w:w="1240" w:type="dxa"/>
            <w:gridSpan w:val="2"/>
          </w:tcPr>
          <w:p>
            <w:pPr>
              <w:pStyle w:val="yTable"/>
              <w:tabs>
                <w:tab w:val="decimal" w:pos="439"/>
              </w:tabs>
              <w:spacing w:before="40" w:after="40"/>
            </w:pPr>
            <w:r>
              <w:t>75.0</w:t>
            </w:r>
          </w:p>
        </w:tc>
      </w:tr>
      <w:tr>
        <w:tc>
          <w:tcPr>
            <w:tcW w:w="994" w:type="dxa"/>
          </w:tcPr>
          <w:p>
            <w:pPr>
              <w:pStyle w:val="yTable"/>
              <w:spacing w:before="40" w:after="40"/>
            </w:pPr>
            <w:r>
              <w:t>128.</w:t>
            </w:r>
          </w:p>
        </w:tc>
        <w:tc>
          <w:tcPr>
            <w:tcW w:w="4792" w:type="dxa"/>
          </w:tcPr>
          <w:p>
            <w:pPr>
              <w:pStyle w:val="yTable"/>
            </w:pPr>
            <w:r>
              <w:t>PROPIRAM</w:t>
            </w:r>
          </w:p>
        </w:tc>
        <w:tc>
          <w:tcPr>
            <w:tcW w:w="1240" w:type="dxa"/>
            <w:gridSpan w:val="2"/>
          </w:tcPr>
          <w:p>
            <w:pPr>
              <w:pStyle w:val="yTable"/>
              <w:tabs>
                <w:tab w:val="decimal" w:pos="439"/>
              </w:tabs>
              <w:spacing w:before="40" w:after="40"/>
            </w:pPr>
            <w:r>
              <w:t>12.0</w:t>
            </w:r>
          </w:p>
        </w:tc>
      </w:tr>
      <w:tr>
        <w:tc>
          <w:tcPr>
            <w:tcW w:w="994" w:type="dxa"/>
          </w:tcPr>
          <w:p>
            <w:pPr>
              <w:pStyle w:val="yTable"/>
              <w:spacing w:before="40" w:after="40"/>
            </w:pPr>
            <w:r>
              <w:t>129A.</w:t>
            </w:r>
          </w:p>
        </w:tc>
        <w:tc>
          <w:tcPr>
            <w:tcW w:w="4792" w:type="dxa"/>
          </w:tcPr>
          <w:p>
            <w:pPr>
              <w:pStyle w:val="yTable"/>
              <w:spacing w:before="40" w:after="40"/>
            </w:pPr>
            <w:r>
              <w:t>1</w:t>
            </w:r>
            <w:r>
              <w:noBreakHyphen/>
              <w:t>PROPYL</w:t>
            </w:r>
            <w:r>
              <w:noBreakHyphen/>
              <w:t>2</w:t>
            </w:r>
            <w:r>
              <w:noBreakHyphen/>
              <w:t>METHYL</w:t>
            </w:r>
            <w:r>
              <w:noBreakHyphen/>
              <w:t>3</w:t>
            </w:r>
            <w:r>
              <w:noBreakHyphen/>
              <w:t>(1</w:t>
            </w:r>
            <w:r>
              <w:noBreakHyphen/>
            </w:r>
            <w:r>
              <w:br/>
              <w:t>NAPHTHOYL)INDOLE (JWH</w:t>
            </w:r>
            <w:r>
              <w:noBreakHyphen/>
              <w:t>015)</w:t>
            </w:r>
          </w:p>
        </w:tc>
        <w:tc>
          <w:tcPr>
            <w:tcW w:w="1240" w:type="dxa"/>
            <w:gridSpan w:val="2"/>
          </w:tcPr>
          <w:p>
            <w:pPr>
              <w:pStyle w:val="yTable"/>
              <w:tabs>
                <w:tab w:val="decimal" w:pos="439"/>
              </w:tabs>
              <w:spacing w:before="40" w:after="40"/>
            </w:pPr>
            <w:r>
              <w:br/>
              <w:t>500.0</w:t>
            </w:r>
          </w:p>
        </w:tc>
      </w:tr>
      <w:tr>
        <w:tc>
          <w:tcPr>
            <w:tcW w:w="994" w:type="dxa"/>
          </w:tcPr>
          <w:p>
            <w:pPr>
              <w:pStyle w:val="yTable"/>
              <w:spacing w:before="40" w:after="40"/>
            </w:pPr>
            <w:r>
              <w:t>129.</w:t>
            </w:r>
          </w:p>
        </w:tc>
        <w:tc>
          <w:tcPr>
            <w:tcW w:w="4792" w:type="dxa"/>
          </w:tcPr>
          <w:p>
            <w:pPr>
              <w:pStyle w:val="yTable"/>
            </w:pPr>
            <w:r>
              <w:t>PSILOCIN</w:t>
            </w:r>
          </w:p>
        </w:tc>
        <w:tc>
          <w:tcPr>
            <w:tcW w:w="1240" w:type="dxa"/>
            <w:gridSpan w:val="2"/>
          </w:tcPr>
          <w:p>
            <w:pPr>
              <w:pStyle w:val="yTable"/>
              <w:tabs>
                <w:tab w:val="decimal" w:pos="439"/>
              </w:tabs>
              <w:spacing w:before="40" w:after="40"/>
            </w:pPr>
            <w:r>
              <w:t>0.3</w:t>
            </w:r>
          </w:p>
        </w:tc>
      </w:tr>
      <w:tr>
        <w:tc>
          <w:tcPr>
            <w:tcW w:w="994" w:type="dxa"/>
          </w:tcPr>
          <w:p>
            <w:pPr>
              <w:pStyle w:val="yTable"/>
              <w:spacing w:before="40" w:after="40"/>
            </w:pPr>
            <w:r>
              <w:t>130.</w:t>
            </w:r>
          </w:p>
        </w:tc>
        <w:tc>
          <w:tcPr>
            <w:tcW w:w="4792" w:type="dxa"/>
          </w:tcPr>
          <w:p>
            <w:pPr>
              <w:pStyle w:val="yTable"/>
            </w:pPr>
            <w:r>
              <w:t>PSILOCYBIN</w:t>
            </w:r>
          </w:p>
        </w:tc>
        <w:tc>
          <w:tcPr>
            <w:tcW w:w="1240" w:type="dxa"/>
            <w:gridSpan w:val="2"/>
          </w:tcPr>
          <w:p>
            <w:pPr>
              <w:pStyle w:val="yTable"/>
              <w:tabs>
                <w:tab w:val="decimal" w:pos="439"/>
              </w:tabs>
              <w:spacing w:before="40" w:after="40"/>
            </w:pPr>
            <w:r>
              <w:t>0.3</w:t>
            </w:r>
          </w:p>
        </w:tc>
      </w:tr>
      <w:tr>
        <w:trPr>
          <w:cantSplit/>
        </w:trPr>
        <w:tc>
          <w:tcPr>
            <w:tcW w:w="994" w:type="dxa"/>
          </w:tcPr>
          <w:p>
            <w:pPr>
              <w:pStyle w:val="yTable"/>
              <w:spacing w:before="40" w:after="40"/>
            </w:pPr>
            <w:r>
              <w:t>131.</w:t>
            </w:r>
          </w:p>
        </w:tc>
        <w:tc>
          <w:tcPr>
            <w:tcW w:w="4792" w:type="dxa"/>
          </w:tcPr>
          <w:p>
            <w:pPr>
              <w:pStyle w:val="yTable"/>
              <w:ind w:left="397" w:hanging="397"/>
            </w:pPr>
            <w:r>
              <w:t>PSYCHOTOMIMETIC SUBSTANCES (structurally derived from methoxyphenethylamine)</w:t>
            </w:r>
          </w:p>
        </w:tc>
        <w:tc>
          <w:tcPr>
            <w:tcW w:w="1240" w:type="dxa"/>
            <w:gridSpan w:val="2"/>
          </w:tcPr>
          <w:p>
            <w:pPr>
              <w:pStyle w:val="yTable"/>
              <w:tabs>
                <w:tab w:val="decimal" w:pos="439"/>
              </w:tabs>
              <w:spacing w:before="40" w:after="40"/>
            </w:pPr>
            <w:r>
              <w:t>0.25</w:t>
            </w:r>
          </w:p>
        </w:tc>
      </w:tr>
      <w:tr>
        <w:tc>
          <w:tcPr>
            <w:tcW w:w="994" w:type="dxa"/>
          </w:tcPr>
          <w:p>
            <w:pPr>
              <w:pStyle w:val="yTable"/>
              <w:spacing w:before="40" w:after="40"/>
            </w:pPr>
            <w:r>
              <w:t>132.</w:t>
            </w:r>
          </w:p>
        </w:tc>
        <w:tc>
          <w:tcPr>
            <w:tcW w:w="4792" w:type="dxa"/>
          </w:tcPr>
          <w:p>
            <w:pPr>
              <w:pStyle w:val="yTable"/>
            </w:pPr>
            <w:r>
              <w:t>QUINALBARBITONE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133.</w:t>
            </w:r>
          </w:p>
        </w:tc>
        <w:tc>
          <w:tcPr>
            <w:tcW w:w="4792" w:type="dxa"/>
          </w:tcPr>
          <w:p>
            <w:pPr>
              <w:pStyle w:val="yTable"/>
            </w:pPr>
            <w:r>
              <w:t>RACEMETHORPHAN</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134.</w:t>
            </w:r>
          </w:p>
        </w:tc>
        <w:tc>
          <w:tcPr>
            <w:tcW w:w="4792" w:type="dxa"/>
          </w:tcPr>
          <w:p>
            <w:pPr>
              <w:pStyle w:val="yTable"/>
            </w:pPr>
            <w:r>
              <w:t>RACEMORAMIDE</w:t>
            </w:r>
          </w:p>
        </w:tc>
        <w:tc>
          <w:tcPr>
            <w:tcW w:w="1240" w:type="dxa"/>
            <w:gridSpan w:val="2"/>
          </w:tcPr>
          <w:p>
            <w:pPr>
              <w:pStyle w:val="yTable"/>
              <w:tabs>
                <w:tab w:val="decimal" w:pos="439"/>
              </w:tabs>
              <w:spacing w:before="40" w:after="40"/>
            </w:pPr>
            <w:r>
              <w:t>3.0</w:t>
            </w:r>
          </w:p>
        </w:tc>
      </w:tr>
      <w:tr>
        <w:tc>
          <w:tcPr>
            <w:tcW w:w="994" w:type="dxa"/>
          </w:tcPr>
          <w:p>
            <w:pPr>
              <w:pStyle w:val="yTable"/>
              <w:spacing w:before="40" w:after="40"/>
            </w:pPr>
            <w:r>
              <w:t>135.</w:t>
            </w:r>
          </w:p>
        </w:tc>
        <w:tc>
          <w:tcPr>
            <w:tcW w:w="4792" w:type="dxa"/>
          </w:tcPr>
          <w:p>
            <w:pPr>
              <w:pStyle w:val="yTable"/>
            </w:pPr>
            <w:r>
              <w:t>RACEMORPHAN</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136.</w:t>
            </w:r>
          </w:p>
        </w:tc>
        <w:tc>
          <w:tcPr>
            <w:tcW w:w="4792" w:type="dxa"/>
          </w:tcPr>
          <w:p>
            <w:pPr>
              <w:pStyle w:val="yTable"/>
            </w:pPr>
            <w:r>
              <w:t>SECBUTOBARBITONE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137.</w:t>
            </w:r>
          </w:p>
        </w:tc>
        <w:tc>
          <w:tcPr>
            <w:tcW w:w="4792" w:type="dxa"/>
          </w:tcPr>
          <w:p>
            <w:pPr>
              <w:pStyle w:val="yTable"/>
            </w:pPr>
            <w:r>
              <w:t>TALBUTAL</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138.</w:t>
            </w:r>
          </w:p>
        </w:tc>
        <w:tc>
          <w:tcPr>
            <w:tcW w:w="4792" w:type="dxa"/>
          </w:tcPr>
          <w:p>
            <w:pPr>
              <w:pStyle w:val="yTable"/>
            </w:pPr>
            <w:r>
              <w:t>TETRAHYDROCANNABINOLS</w:t>
            </w:r>
          </w:p>
        </w:tc>
        <w:tc>
          <w:tcPr>
            <w:tcW w:w="1240" w:type="dxa"/>
            <w:gridSpan w:val="2"/>
          </w:tcPr>
          <w:p>
            <w:pPr>
              <w:pStyle w:val="yTable"/>
              <w:tabs>
                <w:tab w:val="decimal" w:pos="439"/>
              </w:tabs>
              <w:spacing w:before="40" w:after="40"/>
            </w:pPr>
            <w:r>
              <w:t>4.0</w:t>
            </w:r>
          </w:p>
        </w:tc>
      </w:tr>
      <w:tr>
        <w:tc>
          <w:tcPr>
            <w:tcW w:w="994" w:type="dxa"/>
          </w:tcPr>
          <w:p>
            <w:pPr>
              <w:pStyle w:val="yTable"/>
              <w:spacing w:before="40" w:after="40"/>
            </w:pPr>
            <w:r>
              <w:t>139.</w:t>
            </w:r>
          </w:p>
        </w:tc>
        <w:tc>
          <w:tcPr>
            <w:tcW w:w="4792" w:type="dxa"/>
          </w:tcPr>
          <w:p>
            <w:pPr>
              <w:pStyle w:val="yTable"/>
            </w:pPr>
            <w:r>
              <w:t>THEBACON</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140.</w:t>
            </w:r>
          </w:p>
        </w:tc>
        <w:tc>
          <w:tcPr>
            <w:tcW w:w="4792" w:type="dxa"/>
          </w:tcPr>
          <w:p>
            <w:pPr>
              <w:pStyle w:val="yTable"/>
            </w:pPr>
            <w:r>
              <w:t>THEBAINE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141.</w:t>
            </w:r>
          </w:p>
        </w:tc>
        <w:tc>
          <w:tcPr>
            <w:tcW w:w="4792" w:type="dxa"/>
          </w:tcPr>
          <w:p>
            <w:pPr>
              <w:pStyle w:val="yTable"/>
            </w:pPr>
            <w:r>
              <w:t>TRIMEPERIDINE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142.</w:t>
            </w:r>
          </w:p>
        </w:tc>
        <w:tc>
          <w:tcPr>
            <w:tcW w:w="4792" w:type="dxa"/>
          </w:tcPr>
          <w:p>
            <w:pPr>
              <w:pStyle w:val="yTable"/>
            </w:pPr>
            <w:r>
              <w:t>VINBARBITONE</w:t>
            </w:r>
          </w:p>
        </w:tc>
        <w:tc>
          <w:tcPr>
            <w:tcW w:w="1240" w:type="dxa"/>
            <w:gridSpan w:val="2"/>
          </w:tcPr>
          <w:p>
            <w:pPr>
              <w:pStyle w:val="yTable"/>
              <w:tabs>
                <w:tab w:val="decimal" w:pos="439"/>
              </w:tabs>
              <w:spacing w:before="40" w:after="40"/>
            </w:pPr>
            <w:r>
              <w:t>30.0</w:t>
            </w:r>
          </w:p>
        </w:tc>
      </w:tr>
    </w:tbl>
    <w:p>
      <w:pPr>
        <w:pStyle w:val="yFootnotesection"/>
      </w:pPr>
      <w:r>
        <w:tab/>
        <w:t>[Schedule III amended by No. 48 of 1995 s. 43; amended in Gazette 30 Nov 1990 p. 5937; 29 Nov 1991 p. 6041; 7 Dec 2007 p. 5985; 29 Apr 2011 p. 1533; 1 Jul 2011 p. 2743; 11 Oct 2011 p. 4316</w:t>
      </w:r>
      <w:r>
        <w:noBreakHyphen/>
        <w:t>18; 13 Apr 2012 p. 1665.]</w:t>
      </w:r>
    </w:p>
    <w:p>
      <w:pPr>
        <w:pStyle w:val="yScheduleHeading"/>
      </w:pPr>
      <w:bookmarkStart w:id="1129" w:name="_Toc535053912"/>
      <w:bookmarkStart w:id="1130" w:name="_Toc109615286"/>
      <w:bookmarkStart w:id="1131" w:name="_Toc139344580"/>
      <w:bookmarkStart w:id="1132" w:name="_Toc139699344"/>
      <w:bookmarkStart w:id="1133" w:name="_Toc147051377"/>
      <w:bookmarkStart w:id="1134" w:name="_Toc147118832"/>
      <w:bookmarkStart w:id="1135" w:name="_Toc148236153"/>
      <w:bookmarkStart w:id="1136" w:name="_Toc158705027"/>
      <w:bookmarkStart w:id="1137" w:name="_Toc165369990"/>
      <w:bookmarkStart w:id="1138" w:name="_Toc177873332"/>
      <w:bookmarkStart w:id="1139" w:name="_Toc177873457"/>
      <w:bookmarkStart w:id="1140" w:name="_Toc184707414"/>
      <w:bookmarkStart w:id="1141" w:name="_Toc189464745"/>
      <w:bookmarkStart w:id="1142" w:name="_Toc190249309"/>
      <w:bookmarkStart w:id="1143" w:name="_Toc191703203"/>
      <w:bookmarkStart w:id="1144" w:name="_Toc193692120"/>
      <w:bookmarkStart w:id="1145" w:name="_Toc199817302"/>
      <w:bookmarkStart w:id="1146" w:name="_Toc215543775"/>
      <w:bookmarkStart w:id="1147" w:name="_Toc215544035"/>
      <w:bookmarkStart w:id="1148" w:name="_Toc248029072"/>
      <w:bookmarkStart w:id="1149" w:name="_Toc256085121"/>
      <w:bookmarkStart w:id="1150" w:name="_Toc256092186"/>
      <w:bookmarkStart w:id="1151" w:name="_Toc268600369"/>
      <w:bookmarkStart w:id="1152" w:name="_Toc272237498"/>
      <w:bookmarkStart w:id="1153" w:name="_Toc275253577"/>
      <w:bookmarkStart w:id="1154" w:name="_Toc283287502"/>
      <w:bookmarkStart w:id="1155" w:name="_Toc290558488"/>
      <w:bookmarkStart w:id="1156" w:name="_Toc290558564"/>
      <w:bookmarkStart w:id="1157" w:name="_Toc291764703"/>
      <w:bookmarkStart w:id="1158" w:name="_Toc291768275"/>
      <w:bookmarkStart w:id="1159" w:name="_Toc297718776"/>
      <w:bookmarkStart w:id="1160" w:name="_Toc297904510"/>
      <w:bookmarkStart w:id="1161" w:name="_Toc297904584"/>
      <w:bookmarkStart w:id="1162" w:name="_Toc299717040"/>
      <w:bookmarkStart w:id="1163" w:name="_Toc299717537"/>
      <w:bookmarkStart w:id="1164" w:name="_Toc301268164"/>
      <w:bookmarkStart w:id="1165" w:name="_Toc301345334"/>
      <w:bookmarkStart w:id="1166" w:name="_Toc303929327"/>
      <w:bookmarkStart w:id="1167" w:name="_Toc306013943"/>
      <w:bookmarkStart w:id="1168" w:name="_Toc306014041"/>
      <w:bookmarkStart w:id="1169" w:name="_Toc306018477"/>
      <w:bookmarkStart w:id="1170" w:name="_Toc309727451"/>
      <w:bookmarkStart w:id="1171" w:name="_Toc309730172"/>
      <w:bookmarkStart w:id="1172" w:name="_Toc320107694"/>
      <w:bookmarkStart w:id="1173" w:name="_Toc320108324"/>
      <w:bookmarkStart w:id="1174" w:name="_Toc320187274"/>
      <w:bookmarkStart w:id="1175" w:name="_Toc322004336"/>
      <w:bookmarkStart w:id="1176" w:name="_Toc322006272"/>
      <w:bookmarkStart w:id="1177" w:name="_Toc325551470"/>
      <w:bookmarkStart w:id="1178" w:name="_Toc325553636"/>
      <w:bookmarkStart w:id="1179" w:name="_Toc325553735"/>
      <w:bookmarkStart w:id="1180" w:name="_Toc325553834"/>
      <w:bookmarkStart w:id="1181" w:name="_Toc325554304"/>
      <w:bookmarkStart w:id="1182" w:name="_Toc336264366"/>
      <w:r>
        <w:rPr>
          <w:rStyle w:val="CharSchNo"/>
        </w:rPr>
        <w:t>Schedule IV</w:t>
      </w:r>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r>
        <w:rPr>
          <w:rStyle w:val="CharSDivNo"/>
        </w:rPr>
        <w:t> </w:t>
      </w:r>
      <w:r>
        <w:t>—</w:t>
      </w:r>
      <w:r>
        <w:rPr>
          <w:rStyle w:val="CharSDivText"/>
        </w:rPr>
        <w:t> </w:t>
      </w:r>
      <w:r>
        <w:rPr>
          <w:rStyle w:val="CharSchText"/>
        </w:rPr>
        <w:t>Numbers of prohibited plants determining court of trial</w:t>
      </w:r>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p>
    <w:p>
      <w:pPr>
        <w:pStyle w:val="yShoulderClause"/>
        <w:rPr>
          <w:snapToGrid w:val="0"/>
        </w:rPr>
      </w:pPr>
      <w:r>
        <w:rPr>
          <w:snapToGrid w:val="0"/>
        </w:rPr>
        <w:t>[s. 9]</w:t>
      </w:r>
    </w:p>
    <w:p>
      <w:pPr>
        <w:pStyle w:val="yFootnoteheading"/>
        <w:rPr>
          <w:bCs/>
        </w:rPr>
      </w:pPr>
      <w:r>
        <w:tab/>
        <w:t>[Heading amended by No. 19 of 2010 s. 4.]</w:t>
      </w:r>
    </w:p>
    <w:tbl>
      <w:tblPr>
        <w:tblW w:w="7200" w:type="dxa"/>
        <w:tblInd w:w="232" w:type="dxa"/>
        <w:tblLayout w:type="fixed"/>
        <w:tblCellMar>
          <w:left w:w="142" w:type="dxa"/>
          <w:right w:w="142" w:type="dxa"/>
        </w:tblCellMar>
        <w:tblLook w:val="0000" w:firstRow="0" w:lastRow="0" w:firstColumn="0" w:lastColumn="0" w:noHBand="0" w:noVBand="0"/>
      </w:tblPr>
      <w:tblGrid>
        <w:gridCol w:w="1469"/>
        <w:gridCol w:w="4381"/>
        <w:gridCol w:w="1350"/>
      </w:tblGrid>
      <w:tr>
        <w:tc>
          <w:tcPr>
            <w:tcW w:w="1469" w:type="dxa"/>
          </w:tcPr>
          <w:p>
            <w:pPr>
              <w:pStyle w:val="yTableNAm"/>
              <w:jc w:val="center"/>
              <w:rPr>
                <w:i/>
                <w:iCs/>
              </w:rPr>
            </w:pPr>
            <w:r>
              <w:rPr>
                <w:i/>
                <w:iCs/>
              </w:rPr>
              <w:t>Item</w:t>
            </w:r>
          </w:p>
        </w:tc>
        <w:tc>
          <w:tcPr>
            <w:tcW w:w="4381" w:type="dxa"/>
          </w:tcPr>
          <w:p>
            <w:pPr>
              <w:pStyle w:val="yTableNAm"/>
              <w:jc w:val="center"/>
              <w:rPr>
                <w:i/>
                <w:iCs/>
              </w:rPr>
            </w:pPr>
            <w:r>
              <w:rPr>
                <w:i/>
                <w:iCs/>
              </w:rPr>
              <w:t>Prohibited plant</w:t>
            </w:r>
          </w:p>
        </w:tc>
        <w:tc>
          <w:tcPr>
            <w:tcW w:w="1350" w:type="dxa"/>
          </w:tcPr>
          <w:p>
            <w:pPr>
              <w:pStyle w:val="yTableNAm"/>
              <w:jc w:val="center"/>
              <w:rPr>
                <w:i/>
                <w:iCs/>
              </w:rPr>
            </w:pPr>
            <w:r>
              <w:rPr>
                <w:i/>
                <w:iCs/>
              </w:rPr>
              <w:t>Number</w:t>
            </w:r>
          </w:p>
        </w:tc>
      </w:tr>
      <w:tr>
        <w:tc>
          <w:tcPr>
            <w:tcW w:w="1469" w:type="dxa"/>
          </w:tcPr>
          <w:p>
            <w:pPr>
              <w:pStyle w:val="yTableNAm"/>
              <w:jc w:val="center"/>
            </w:pPr>
            <w:r>
              <w:t>1.</w:t>
            </w:r>
          </w:p>
        </w:tc>
        <w:tc>
          <w:tcPr>
            <w:tcW w:w="4381" w:type="dxa"/>
          </w:tcPr>
          <w:p>
            <w:pPr>
              <w:pStyle w:val="yTableNAm"/>
            </w:pPr>
            <w:r>
              <w:t>Papaver somniferum</w:t>
            </w:r>
          </w:p>
        </w:tc>
        <w:tc>
          <w:tcPr>
            <w:tcW w:w="1350" w:type="dxa"/>
          </w:tcPr>
          <w:p>
            <w:pPr>
              <w:pStyle w:val="yTableNAm"/>
              <w:jc w:val="center"/>
            </w:pPr>
            <w:r>
              <w:t>100</w:t>
            </w:r>
          </w:p>
        </w:tc>
      </w:tr>
      <w:tr>
        <w:tc>
          <w:tcPr>
            <w:tcW w:w="1469" w:type="dxa"/>
          </w:tcPr>
          <w:p>
            <w:pPr>
              <w:pStyle w:val="yTableNAm"/>
              <w:jc w:val="center"/>
            </w:pPr>
            <w:r>
              <w:t>2.</w:t>
            </w:r>
          </w:p>
        </w:tc>
        <w:tc>
          <w:tcPr>
            <w:tcW w:w="4381" w:type="dxa"/>
          </w:tcPr>
          <w:p>
            <w:pPr>
              <w:pStyle w:val="yTableNAm"/>
            </w:pPr>
            <w:r>
              <w:t>Papaver bracteatum</w:t>
            </w:r>
          </w:p>
        </w:tc>
        <w:tc>
          <w:tcPr>
            <w:tcW w:w="1350" w:type="dxa"/>
          </w:tcPr>
          <w:p>
            <w:pPr>
              <w:pStyle w:val="yTableNAm"/>
              <w:jc w:val="center"/>
            </w:pPr>
            <w:r>
              <w:t>100</w:t>
            </w:r>
          </w:p>
        </w:tc>
      </w:tr>
      <w:tr>
        <w:tc>
          <w:tcPr>
            <w:tcW w:w="1469" w:type="dxa"/>
          </w:tcPr>
          <w:p>
            <w:pPr>
              <w:pStyle w:val="yTableNAm"/>
              <w:jc w:val="center"/>
            </w:pPr>
            <w:r>
              <w:t>3.</w:t>
            </w:r>
          </w:p>
        </w:tc>
        <w:tc>
          <w:tcPr>
            <w:tcW w:w="4381" w:type="dxa"/>
          </w:tcPr>
          <w:p>
            <w:pPr>
              <w:pStyle w:val="yTableNAm"/>
            </w:pPr>
            <w:r>
              <w:t>Cannabis</w:t>
            </w:r>
          </w:p>
        </w:tc>
        <w:tc>
          <w:tcPr>
            <w:tcW w:w="1350" w:type="dxa"/>
          </w:tcPr>
          <w:p>
            <w:pPr>
              <w:pStyle w:val="yTableNAm"/>
              <w:jc w:val="center"/>
            </w:pPr>
            <w:r>
              <w:t>20</w:t>
            </w:r>
          </w:p>
        </w:tc>
      </w:tr>
    </w:tbl>
    <w:p>
      <w:pPr>
        <w:pStyle w:val="yFootnotesection"/>
      </w:pPr>
      <w:bookmarkStart w:id="1183" w:name="_Toc535053913"/>
      <w:bookmarkStart w:id="1184" w:name="_Toc109615287"/>
      <w:bookmarkStart w:id="1185" w:name="_Toc139344581"/>
      <w:bookmarkStart w:id="1186" w:name="_Toc139699345"/>
      <w:bookmarkStart w:id="1187" w:name="_Toc147051378"/>
      <w:bookmarkStart w:id="1188" w:name="_Toc147118833"/>
      <w:bookmarkStart w:id="1189" w:name="_Toc148236154"/>
      <w:bookmarkStart w:id="1190" w:name="_Toc158705028"/>
      <w:bookmarkStart w:id="1191" w:name="_Toc165369991"/>
      <w:bookmarkStart w:id="1192" w:name="_Toc177873333"/>
      <w:bookmarkStart w:id="1193" w:name="_Toc177873459"/>
      <w:bookmarkStart w:id="1194" w:name="_Toc184707416"/>
      <w:bookmarkStart w:id="1195" w:name="_Toc189464747"/>
      <w:bookmarkStart w:id="1196" w:name="_Toc190249311"/>
      <w:bookmarkStart w:id="1197" w:name="_Toc191703205"/>
      <w:bookmarkStart w:id="1198" w:name="_Toc193692122"/>
      <w:bookmarkStart w:id="1199" w:name="_Toc199817304"/>
      <w:bookmarkStart w:id="1200" w:name="_Toc215543777"/>
      <w:bookmarkStart w:id="1201" w:name="_Toc215544037"/>
      <w:bookmarkStart w:id="1202" w:name="_Toc248029074"/>
      <w:bookmarkStart w:id="1203" w:name="_Toc256085123"/>
      <w:bookmarkStart w:id="1204" w:name="_Toc256092188"/>
      <w:bookmarkStart w:id="1205" w:name="_Toc268600370"/>
      <w:bookmarkStart w:id="1206" w:name="_Toc272237499"/>
      <w:bookmarkStart w:id="1207" w:name="_Toc275253578"/>
      <w:bookmarkStart w:id="1208" w:name="_Toc283287503"/>
      <w:r>
        <w:tab/>
        <w:t>[Schedule IV amended in Gazette 15 Apr 2011 p. 1426.]</w:t>
      </w:r>
    </w:p>
    <w:p>
      <w:pPr>
        <w:pStyle w:val="yScheduleHeading"/>
      </w:pPr>
      <w:bookmarkStart w:id="1209" w:name="_Toc290558489"/>
      <w:bookmarkStart w:id="1210" w:name="_Toc290558565"/>
      <w:bookmarkStart w:id="1211" w:name="_Toc291764704"/>
      <w:bookmarkStart w:id="1212" w:name="_Toc291768276"/>
      <w:bookmarkStart w:id="1213" w:name="_Toc297718777"/>
      <w:bookmarkStart w:id="1214" w:name="_Toc297904511"/>
      <w:bookmarkStart w:id="1215" w:name="_Toc297904585"/>
      <w:bookmarkStart w:id="1216" w:name="_Toc299717041"/>
      <w:bookmarkStart w:id="1217" w:name="_Toc299717538"/>
      <w:bookmarkStart w:id="1218" w:name="_Toc301268165"/>
      <w:bookmarkStart w:id="1219" w:name="_Toc301345335"/>
      <w:bookmarkStart w:id="1220" w:name="_Toc303929328"/>
      <w:bookmarkStart w:id="1221" w:name="_Toc306013944"/>
      <w:bookmarkStart w:id="1222" w:name="_Toc306014042"/>
      <w:bookmarkStart w:id="1223" w:name="_Toc306018478"/>
      <w:bookmarkStart w:id="1224" w:name="_Toc309727452"/>
      <w:bookmarkStart w:id="1225" w:name="_Toc309730173"/>
      <w:bookmarkStart w:id="1226" w:name="_Toc320107695"/>
      <w:bookmarkStart w:id="1227" w:name="_Toc320108325"/>
      <w:bookmarkStart w:id="1228" w:name="_Toc320187275"/>
      <w:bookmarkStart w:id="1229" w:name="_Toc322004337"/>
      <w:bookmarkStart w:id="1230" w:name="_Toc322006273"/>
      <w:bookmarkStart w:id="1231" w:name="_Toc325551471"/>
      <w:bookmarkStart w:id="1232" w:name="_Toc325553637"/>
      <w:bookmarkStart w:id="1233" w:name="_Toc325553736"/>
      <w:bookmarkStart w:id="1234" w:name="_Toc325553835"/>
      <w:bookmarkStart w:id="1235" w:name="_Toc325554305"/>
      <w:bookmarkStart w:id="1236" w:name="_Toc336264367"/>
      <w:r>
        <w:rPr>
          <w:rStyle w:val="CharSchNo"/>
        </w:rPr>
        <w:t>Schedule V</w:t>
      </w:r>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r>
        <w:rPr>
          <w:rStyle w:val="CharSDivNo"/>
        </w:rPr>
        <w:t> </w:t>
      </w:r>
      <w:r>
        <w:t>—</w:t>
      </w:r>
      <w:r>
        <w:rPr>
          <w:rStyle w:val="CharSDivText"/>
        </w:rPr>
        <w:t> </w:t>
      </w:r>
      <w:r>
        <w:rPr>
          <w:rStyle w:val="CharSchText"/>
        </w:rPr>
        <w:t>Amounts of prohibited drugs giving rise to presumption of intention to sell or supply same</w:t>
      </w:r>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p>
    <w:p>
      <w:pPr>
        <w:pStyle w:val="yShoulderClause"/>
        <w:rPr>
          <w:snapToGrid w:val="0"/>
        </w:rPr>
      </w:pPr>
      <w:r>
        <w:rPr>
          <w:snapToGrid w:val="0"/>
        </w:rPr>
        <w:t>[s. 11(a)]</w:t>
      </w:r>
    </w:p>
    <w:p>
      <w:pPr>
        <w:pStyle w:val="yFootnoteheading"/>
      </w:pPr>
      <w:r>
        <w:tab/>
        <w:t>[Heading amended by No. 19 of 2010 s. 4.]</w:t>
      </w:r>
    </w:p>
    <w:tbl>
      <w:tblPr>
        <w:tblW w:w="7212" w:type="dxa"/>
        <w:tblInd w:w="226" w:type="dxa"/>
        <w:tblLayout w:type="fixed"/>
        <w:tblCellMar>
          <w:left w:w="142" w:type="dxa"/>
          <w:right w:w="142" w:type="dxa"/>
        </w:tblCellMar>
        <w:tblLook w:val="0000" w:firstRow="0" w:lastRow="0" w:firstColumn="0" w:lastColumn="0" w:noHBand="0" w:noVBand="0"/>
      </w:tblPr>
      <w:tblGrid>
        <w:gridCol w:w="6"/>
        <w:gridCol w:w="8"/>
        <w:gridCol w:w="994"/>
        <w:gridCol w:w="4950"/>
        <w:gridCol w:w="1254"/>
      </w:tblGrid>
      <w:tr>
        <w:trPr>
          <w:gridBefore w:val="1"/>
          <w:wBefore w:w="6" w:type="dxa"/>
          <w:tblHeader/>
        </w:trPr>
        <w:tc>
          <w:tcPr>
            <w:tcW w:w="1002" w:type="dxa"/>
            <w:gridSpan w:val="2"/>
          </w:tcPr>
          <w:p>
            <w:pPr>
              <w:spacing w:before="40" w:after="40"/>
              <w:rPr>
                <w:i/>
                <w:sz w:val="22"/>
              </w:rPr>
            </w:pPr>
            <w:r>
              <w:rPr>
                <w:i/>
                <w:sz w:val="22"/>
              </w:rPr>
              <w:t>Item</w:t>
            </w:r>
          </w:p>
        </w:tc>
        <w:tc>
          <w:tcPr>
            <w:tcW w:w="4950" w:type="dxa"/>
          </w:tcPr>
          <w:p>
            <w:pPr>
              <w:pStyle w:val="yTable"/>
              <w:jc w:val="center"/>
              <w:rPr>
                <w:i/>
              </w:rPr>
            </w:pPr>
            <w:r>
              <w:rPr>
                <w:i/>
              </w:rPr>
              <w:t>Prohibited drug</w:t>
            </w:r>
          </w:p>
        </w:tc>
        <w:tc>
          <w:tcPr>
            <w:tcW w:w="1254" w:type="dxa"/>
          </w:tcPr>
          <w:p>
            <w:pPr>
              <w:spacing w:before="40" w:after="40"/>
              <w:jc w:val="center"/>
              <w:rPr>
                <w:i/>
                <w:sz w:val="22"/>
              </w:rPr>
            </w:pPr>
            <w:r>
              <w:rPr>
                <w:i/>
                <w:sz w:val="22"/>
              </w:rPr>
              <w:t>Amount</w:t>
            </w:r>
            <w:r>
              <w:rPr>
                <w:i/>
                <w:sz w:val="22"/>
              </w:rPr>
              <w:br/>
            </w:r>
            <w:r>
              <w:rPr>
                <w:sz w:val="22"/>
              </w:rPr>
              <w:t>(in grams</w:t>
            </w:r>
            <w:r>
              <w:rPr>
                <w:sz w:val="22"/>
              </w:rPr>
              <w:br/>
              <w:t>unless</w:t>
            </w:r>
            <w:r>
              <w:rPr>
                <w:sz w:val="22"/>
              </w:rPr>
              <w:br/>
              <w:t>otherwise</w:t>
            </w:r>
            <w:r>
              <w:rPr>
                <w:sz w:val="22"/>
              </w:rPr>
              <w:br/>
              <w:t>stated)</w:t>
            </w:r>
          </w:p>
        </w:tc>
      </w:tr>
      <w:tr>
        <w:trPr>
          <w:gridBefore w:val="1"/>
          <w:wBefore w:w="6" w:type="dxa"/>
        </w:trPr>
        <w:tc>
          <w:tcPr>
            <w:tcW w:w="1002" w:type="dxa"/>
            <w:gridSpan w:val="2"/>
          </w:tcPr>
          <w:p>
            <w:pPr>
              <w:spacing w:before="40" w:after="40"/>
              <w:rPr>
                <w:sz w:val="22"/>
              </w:rPr>
            </w:pPr>
            <w:r>
              <w:rPr>
                <w:sz w:val="22"/>
              </w:rPr>
              <w:t>1.</w:t>
            </w:r>
          </w:p>
        </w:tc>
        <w:tc>
          <w:tcPr>
            <w:tcW w:w="4950" w:type="dxa"/>
          </w:tcPr>
          <w:p>
            <w:pPr>
              <w:pStyle w:val="yTable"/>
            </w:pPr>
            <w:r>
              <w:t>ACETORPHINE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2.</w:t>
            </w:r>
          </w:p>
        </w:tc>
        <w:tc>
          <w:tcPr>
            <w:tcW w:w="4950" w:type="dxa"/>
          </w:tcPr>
          <w:p>
            <w:pPr>
              <w:pStyle w:val="yTable"/>
              <w:ind w:left="397" w:hanging="397"/>
            </w:pPr>
            <w:r>
              <w:t>ACETYLDIHYDROCODEINE (except when included in Schedule 2 or 4 in Appendix A to the </w:t>
            </w:r>
            <w:r>
              <w:rPr>
                <w:i/>
                <w:iCs/>
              </w:rPr>
              <w:t>Poisons Act 1964</w:t>
            </w:r>
            <w:r>
              <w:t>)</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3.</w:t>
            </w:r>
          </w:p>
        </w:tc>
        <w:tc>
          <w:tcPr>
            <w:tcW w:w="4950" w:type="dxa"/>
          </w:tcPr>
          <w:p>
            <w:pPr>
              <w:pStyle w:val="yTable"/>
            </w:pPr>
            <w:r>
              <w:t>ACETYLMETHADOL</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4.</w:t>
            </w:r>
          </w:p>
        </w:tc>
        <w:tc>
          <w:tcPr>
            <w:tcW w:w="4950" w:type="dxa"/>
          </w:tcPr>
          <w:p>
            <w:pPr>
              <w:pStyle w:val="yTable"/>
            </w:pPr>
            <w:r>
              <w:t>ALLOBARBITONE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5.</w:t>
            </w:r>
          </w:p>
        </w:tc>
        <w:tc>
          <w:tcPr>
            <w:tcW w:w="4950" w:type="dxa"/>
          </w:tcPr>
          <w:p>
            <w:pPr>
              <w:pStyle w:val="yTable"/>
            </w:pPr>
            <w:r>
              <w:t>ALLYLBARBITURIC ACID</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6.</w:t>
            </w:r>
          </w:p>
        </w:tc>
        <w:tc>
          <w:tcPr>
            <w:tcW w:w="4950" w:type="dxa"/>
          </w:tcPr>
          <w:p>
            <w:pPr>
              <w:pStyle w:val="yTable"/>
            </w:pPr>
            <w:r>
              <w:t>ALLYLPRODINE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7.</w:t>
            </w:r>
          </w:p>
        </w:tc>
        <w:tc>
          <w:tcPr>
            <w:tcW w:w="4950" w:type="dxa"/>
          </w:tcPr>
          <w:p>
            <w:pPr>
              <w:pStyle w:val="yTable"/>
            </w:pPr>
            <w:r>
              <w:t>ALPHACETYLMETHADOL</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8.</w:t>
            </w:r>
          </w:p>
        </w:tc>
        <w:tc>
          <w:tcPr>
            <w:tcW w:w="4950" w:type="dxa"/>
          </w:tcPr>
          <w:p>
            <w:pPr>
              <w:pStyle w:val="yTable"/>
            </w:pPr>
            <w:r>
              <w:t>ALPHAMEPRODINE</w:t>
            </w:r>
          </w:p>
        </w:tc>
        <w:tc>
          <w:tcPr>
            <w:tcW w:w="1254" w:type="dxa"/>
          </w:tcPr>
          <w:p>
            <w:pPr>
              <w:tabs>
                <w:tab w:val="decimal" w:pos="439"/>
              </w:tabs>
              <w:spacing w:before="40" w:after="40"/>
              <w:rPr>
                <w:sz w:val="22"/>
              </w:rPr>
            </w:pPr>
            <w:r>
              <w:rPr>
                <w:sz w:val="22"/>
              </w:rPr>
              <w:t>0.2</w:t>
            </w:r>
          </w:p>
        </w:tc>
      </w:tr>
      <w:tr>
        <w:trPr>
          <w:gridBefore w:val="1"/>
          <w:wBefore w:w="6" w:type="dxa"/>
        </w:trPr>
        <w:tc>
          <w:tcPr>
            <w:tcW w:w="1002" w:type="dxa"/>
            <w:gridSpan w:val="2"/>
          </w:tcPr>
          <w:p>
            <w:pPr>
              <w:spacing w:before="40" w:after="40"/>
              <w:rPr>
                <w:sz w:val="22"/>
              </w:rPr>
            </w:pPr>
            <w:r>
              <w:rPr>
                <w:sz w:val="22"/>
              </w:rPr>
              <w:t>9.</w:t>
            </w:r>
          </w:p>
        </w:tc>
        <w:tc>
          <w:tcPr>
            <w:tcW w:w="4950" w:type="dxa"/>
          </w:tcPr>
          <w:p>
            <w:pPr>
              <w:pStyle w:val="yTable"/>
            </w:pPr>
            <w:r>
              <w:t>ALPHAMETHADOL</w:t>
            </w:r>
          </w:p>
        </w:tc>
        <w:tc>
          <w:tcPr>
            <w:tcW w:w="1254" w:type="dxa"/>
          </w:tcPr>
          <w:p>
            <w:pPr>
              <w:tabs>
                <w:tab w:val="decimal" w:pos="439"/>
              </w:tabs>
              <w:spacing w:before="40" w:after="40"/>
              <w:rPr>
                <w:sz w:val="22"/>
              </w:rPr>
            </w:pPr>
            <w:r>
              <w:rPr>
                <w:sz w:val="22"/>
              </w:rPr>
              <w:t>0.2</w:t>
            </w:r>
          </w:p>
        </w:tc>
      </w:tr>
      <w:tr>
        <w:trPr>
          <w:gridBefore w:val="1"/>
          <w:wBefore w:w="6" w:type="dxa"/>
        </w:trPr>
        <w:tc>
          <w:tcPr>
            <w:tcW w:w="1002" w:type="dxa"/>
            <w:gridSpan w:val="2"/>
          </w:tcPr>
          <w:p>
            <w:pPr>
              <w:spacing w:before="40" w:after="40"/>
              <w:rPr>
                <w:sz w:val="22"/>
              </w:rPr>
            </w:pPr>
            <w:r>
              <w:rPr>
                <w:sz w:val="22"/>
              </w:rPr>
              <w:t>10.</w:t>
            </w:r>
          </w:p>
        </w:tc>
        <w:tc>
          <w:tcPr>
            <w:tcW w:w="4950" w:type="dxa"/>
          </w:tcPr>
          <w:p>
            <w:pPr>
              <w:pStyle w:val="yTable"/>
            </w:pPr>
            <w:r>
              <w:t>ALPHAPRODINE</w:t>
            </w:r>
          </w:p>
        </w:tc>
        <w:tc>
          <w:tcPr>
            <w:tcW w:w="1254" w:type="dxa"/>
          </w:tcPr>
          <w:p>
            <w:pPr>
              <w:tabs>
                <w:tab w:val="decimal" w:pos="439"/>
              </w:tabs>
              <w:spacing w:before="40" w:after="40"/>
              <w:rPr>
                <w:sz w:val="22"/>
              </w:rPr>
            </w:pPr>
            <w:r>
              <w:rPr>
                <w:sz w:val="22"/>
              </w:rPr>
              <w:t>25.0</w:t>
            </w:r>
          </w:p>
        </w:tc>
      </w:tr>
      <w:tr>
        <w:trPr>
          <w:gridBefore w:val="1"/>
          <w:wBefore w:w="6" w:type="dxa"/>
        </w:trPr>
        <w:tc>
          <w:tcPr>
            <w:tcW w:w="1002" w:type="dxa"/>
            <w:gridSpan w:val="2"/>
          </w:tcPr>
          <w:p>
            <w:pPr>
              <w:spacing w:before="40" w:after="40"/>
              <w:rPr>
                <w:sz w:val="22"/>
              </w:rPr>
            </w:pPr>
            <w:r>
              <w:rPr>
                <w:sz w:val="22"/>
              </w:rPr>
              <w:t>11.</w:t>
            </w:r>
          </w:p>
        </w:tc>
        <w:tc>
          <w:tcPr>
            <w:tcW w:w="4950" w:type="dxa"/>
          </w:tcPr>
          <w:p>
            <w:pPr>
              <w:pStyle w:val="yTable"/>
            </w:pPr>
            <w:r>
              <w:t>AMPHETAMINE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12.</w:t>
            </w:r>
          </w:p>
        </w:tc>
        <w:tc>
          <w:tcPr>
            <w:tcW w:w="4950" w:type="dxa"/>
          </w:tcPr>
          <w:p>
            <w:pPr>
              <w:pStyle w:val="yTable"/>
            </w:pPr>
            <w:r>
              <w:t>AMYLOBARBITONE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13.</w:t>
            </w:r>
          </w:p>
        </w:tc>
        <w:tc>
          <w:tcPr>
            <w:tcW w:w="4950" w:type="dxa"/>
          </w:tcPr>
          <w:p>
            <w:pPr>
              <w:pStyle w:val="yTable"/>
            </w:pPr>
            <w:r>
              <w:t>ANILERIDINE</w:t>
            </w:r>
          </w:p>
        </w:tc>
        <w:tc>
          <w:tcPr>
            <w:tcW w:w="1254" w:type="dxa"/>
          </w:tcPr>
          <w:p>
            <w:pPr>
              <w:tabs>
                <w:tab w:val="decimal" w:pos="439"/>
              </w:tabs>
              <w:spacing w:before="40" w:after="40"/>
              <w:rPr>
                <w:sz w:val="22"/>
              </w:rPr>
            </w:pPr>
            <w:r>
              <w:rPr>
                <w:sz w:val="22"/>
              </w:rPr>
              <w:t>25.0</w:t>
            </w:r>
          </w:p>
        </w:tc>
      </w:tr>
      <w:tr>
        <w:trPr>
          <w:gridBefore w:val="1"/>
          <w:wBefore w:w="6" w:type="dxa"/>
        </w:trPr>
        <w:tc>
          <w:tcPr>
            <w:tcW w:w="1002" w:type="dxa"/>
            <w:gridSpan w:val="2"/>
          </w:tcPr>
          <w:p>
            <w:pPr>
              <w:spacing w:before="40" w:after="40"/>
              <w:rPr>
                <w:sz w:val="22"/>
              </w:rPr>
            </w:pPr>
            <w:r>
              <w:rPr>
                <w:sz w:val="22"/>
              </w:rPr>
              <w:t>14.</w:t>
            </w:r>
          </w:p>
        </w:tc>
        <w:tc>
          <w:tcPr>
            <w:tcW w:w="4950" w:type="dxa"/>
          </w:tcPr>
          <w:p>
            <w:pPr>
              <w:pStyle w:val="yTable"/>
            </w:pPr>
            <w:r>
              <w:t>APROBARBITONE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15.</w:t>
            </w:r>
          </w:p>
        </w:tc>
        <w:tc>
          <w:tcPr>
            <w:tcW w:w="4950" w:type="dxa"/>
          </w:tcPr>
          <w:p>
            <w:pPr>
              <w:pStyle w:val="yTable"/>
            </w:pPr>
            <w:r>
              <w:t>BARBITONE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16.</w:t>
            </w:r>
          </w:p>
        </w:tc>
        <w:tc>
          <w:tcPr>
            <w:tcW w:w="4950" w:type="dxa"/>
          </w:tcPr>
          <w:p>
            <w:pPr>
              <w:pStyle w:val="yTable"/>
            </w:pPr>
            <w:r>
              <w:t>BENZETHIDINE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17.</w:t>
            </w:r>
          </w:p>
        </w:tc>
        <w:tc>
          <w:tcPr>
            <w:tcW w:w="4950" w:type="dxa"/>
          </w:tcPr>
          <w:p>
            <w:pPr>
              <w:pStyle w:val="yTable"/>
            </w:pPr>
            <w:r>
              <w:t>BENZYLMORPHINE</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18A.</w:t>
            </w:r>
          </w:p>
        </w:tc>
        <w:tc>
          <w:tcPr>
            <w:tcW w:w="4950" w:type="dxa"/>
          </w:tcPr>
          <w:p>
            <w:pPr>
              <w:pStyle w:val="yTable"/>
            </w:pPr>
            <w:r>
              <w:t>BENZYLPIPERAZINE (BZP)</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18.</w:t>
            </w:r>
          </w:p>
        </w:tc>
        <w:tc>
          <w:tcPr>
            <w:tcW w:w="4950" w:type="dxa"/>
          </w:tcPr>
          <w:p>
            <w:pPr>
              <w:pStyle w:val="yTable"/>
            </w:pPr>
            <w:r>
              <w:t>BETACETYLMETHADOL</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19.</w:t>
            </w:r>
          </w:p>
        </w:tc>
        <w:tc>
          <w:tcPr>
            <w:tcW w:w="4950" w:type="dxa"/>
          </w:tcPr>
          <w:p>
            <w:pPr>
              <w:pStyle w:val="yTable"/>
            </w:pPr>
            <w:r>
              <w:t>BETAMEPRODINE</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20.</w:t>
            </w:r>
          </w:p>
        </w:tc>
        <w:tc>
          <w:tcPr>
            <w:tcW w:w="4950" w:type="dxa"/>
          </w:tcPr>
          <w:p>
            <w:pPr>
              <w:pStyle w:val="yTable"/>
            </w:pPr>
            <w:r>
              <w:t>BETAMETHADOL</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21.</w:t>
            </w:r>
          </w:p>
        </w:tc>
        <w:tc>
          <w:tcPr>
            <w:tcW w:w="4950" w:type="dxa"/>
          </w:tcPr>
          <w:p>
            <w:pPr>
              <w:pStyle w:val="yTable"/>
            </w:pPr>
            <w:r>
              <w:t>BETAPRODINE</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22.</w:t>
            </w:r>
          </w:p>
        </w:tc>
        <w:tc>
          <w:tcPr>
            <w:tcW w:w="4950" w:type="dxa"/>
          </w:tcPr>
          <w:p>
            <w:pPr>
              <w:pStyle w:val="yTable"/>
            </w:pPr>
            <w:r>
              <w:t>BEZITRAMIDE</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23.</w:t>
            </w:r>
          </w:p>
        </w:tc>
        <w:tc>
          <w:tcPr>
            <w:tcW w:w="4950" w:type="dxa"/>
          </w:tcPr>
          <w:p>
            <w:pPr>
              <w:pStyle w:val="yTable"/>
            </w:pPr>
            <w:r>
              <w:t>BUFOTENINE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24.</w:t>
            </w:r>
          </w:p>
        </w:tc>
        <w:tc>
          <w:tcPr>
            <w:tcW w:w="4950" w:type="dxa"/>
          </w:tcPr>
          <w:p>
            <w:pPr>
              <w:pStyle w:val="yTable"/>
            </w:pPr>
            <w:r>
              <w:t>BUTOBARBITONE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25A.</w:t>
            </w:r>
          </w:p>
        </w:tc>
        <w:tc>
          <w:tcPr>
            <w:tcW w:w="4950" w:type="dxa"/>
          </w:tcPr>
          <w:p>
            <w:pPr>
              <w:pStyle w:val="yTable"/>
              <w:ind w:left="397" w:hanging="397"/>
            </w:pPr>
            <w:r>
              <w:t>1</w:t>
            </w:r>
            <w:r>
              <w:noBreakHyphen/>
              <w:t>BUTYL</w:t>
            </w:r>
            <w:r>
              <w:noBreakHyphen/>
              <w:t>3</w:t>
            </w:r>
            <w:r>
              <w:noBreakHyphen/>
              <w:t>(1</w:t>
            </w:r>
            <w:r>
              <w:noBreakHyphen/>
              <w:t xml:space="preserve">NAPHTHOYL)INDOLE </w:t>
            </w:r>
            <w:r>
              <w:br/>
              <w:t>(JWH – 073)</w:t>
            </w:r>
          </w:p>
        </w:tc>
        <w:tc>
          <w:tcPr>
            <w:tcW w:w="1254" w:type="dxa"/>
          </w:tcPr>
          <w:p>
            <w:pPr>
              <w:tabs>
                <w:tab w:val="decimal" w:pos="439"/>
              </w:tabs>
              <w:spacing w:before="40" w:after="40"/>
              <w:rPr>
                <w:sz w:val="22"/>
              </w:rPr>
            </w:pPr>
            <w:r>
              <w:rPr>
                <w:sz w:val="22"/>
              </w:rPr>
              <w:br/>
              <w:t>100.0</w:t>
            </w:r>
          </w:p>
        </w:tc>
      </w:tr>
      <w:tr>
        <w:trPr>
          <w:gridBefore w:val="1"/>
          <w:wBefore w:w="6" w:type="dxa"/>
        </w:trPr>
        <w:tc>
          <w:tcPr>
            <w:tcW w:w="1002" w:type="dxa"/>
            <w:gridSpan w:val="2"/>
          </w:tcPr>
          <w:p>
            <w:pPr>
              <w:spacing w:before="40" w:after="40"/>
              <w:rPr>
                <w:sz w:val="22"/>
              </w:rPr>
            </w:pPr>
            <w:r>
              <w:rPr>
                <w:sz w:val="22"/>
              </w:rPr>
              <w:t>25.</w:t>
            </w:r>
          </w:p>
        </w:tc>
        <w:tc>
          <w:tcPr>
            <w:tcW w:w="4950" w:type="dxa"/>
          </w:tcPr>
          <w:p>
            <w:pPr>
              <w:pStyle w:val="yTable"/>
            </w:pPr>
            <w:r>
              <w:t>CANNABIS</w:t>
            </w:r>
          </w:p>
        </w:tc>
        <w:tc>
          <w:tcPr>
            <w:tcW w:w="1254" w:type="dxa"/>
          </w:tcPr>
          <w:p>
            <w:pPr>
              <w:tabs>
                <w:tab w:val="decimal" w:pos="439"/>
              </w:tabs>
              <w:spacing w:before="40" w:after="40"/>
              <w:rPr>
                <w:sz w:val="22"/>
              </w:rPr>
            </w:pPr>
            <w:r>
              <w:rPr>
                <w:sz w:val="22"/>
              </w:rPr>
              <w:t>100.0</w:t>
            </w:r>
          </w:p>
        </w:tc>
      </w:tr>
      <w:tr>
        <w:trPr>
          <w:gridBefore w:val="1"/>
          <w:wBefore w:w="6" w:type="dxa"/>
        </w:trPr>
        <w:tc>
          <w:tcPr>
            <w:tcW w:w="1002" w:type="dxa"/>
            <w:gridSpan w:val="2"/>
          </w:tcPr>
          <w:p>
            <w:pPr>
              <w:spacing w:before="40" w:after="40"/>
              <w:rPr>
                <w:sz w:val="22"/>
              </w:rPr>
            </w:pPr>
            <w:r>
              <w:rPr>
                <w:sz w:val="22"/>
              </w:rPr>
              <w:t>26.</w:t>
            </w:r>
          </w:p>
        </w:tc>
        <w:tc>
          <w:tcPr>
            <w:tcW w:w="4950" w:type="dxa"/>
          </w:tcPr>
          <w:p>
            <w:pPr>
              <w:pStyle w:val="yTable"/>
            </w:pPr>
            <w:r>
              <w:t>CANNABIS RESIN</w:t>
            </w:r>
          </w:p>
        </w:tc>
        <w:tc>
          <w:tcPr>
            <w:tcW w:w="1254" w:type="dxa"/>
          </w:tcPr>
          <w:p>
            <w:pPr>
              <w:tabs>
                <w:tab w:val="decimal" w:pos="439"/>
              </w:tabs>
              <w:spacing w:before="40" w:after="40"/>
              <w:rPr>
                <w:sz w:val="22"/>
              </w:rPr>
            </w:pPr>
            <w:r>
              <w:rPr>
                <w:sz w:val="22"/>
              </w:rPr>
              <w:t>20.0</w:t>
            </w:r>
          </w:p>
        </w:tc>
      </w:tr>
      <w:tr>
        <w:trPr>
          <w:gridBefore w:val="1"/>
          <w:wBefore w:w="6" w:type="dxa"/>
        </w:trPr>
        <w:tc>
          <w:tcPr>
            <w:tcW w:w="1002" w:type="dxa"/>
            <w:gridSpan w:val="2"/>
          </w:tcPr>
          <w:p>
            <w:pPr>
              <w:keepNext/>
              <w:spacing w:before="40" w:after="40"/>
              <w:rPr>
                <w:sz w:val="22"/>
              </w:rPr>
            </w:pPr>
            <w:r>
              <w:rPr>
                <w:sz w:val="22"/>
              </w:rPr>
              <w:t>27.</w:t>
            </w:r>
          </w:p>
        </w:tc>
        <w:tc>
          <w:tcPr>
            <w:tcW w:w="4950" w:type="dxa"/>
          </w:tcPr>
          <w:p>
            <w:pPr>
              <w:pStyle w:val="yTable"/>
            </w:pPr>
            <w:r>
              <w:t>CANNABIS (in cigarette form)</w:t>
            </w:r>
          </w:p>
        </w:tc>
        <w:tc>
          <w:tcPr>
            <w:tcW w:w="1254" w:type="dxa"/>
          </w:tcPr>
          <w:p>
            <w:pPr>
              <w:keepNext/>
              <w:spacing w:before="40" w:after="40"/>
              <w:jc w:val="center"/>
              <w:rPr>
                <w:sz w:val="22"/>
              </w:rPr>
            </w:pPr>
            <w:r>
              <w:rPr>
                <w:sz w:val="22"/>
              </w:rPr>
              <w:t>80 cigarettes</w:t>
            </w:r>
            <w:r>
              <w:rPr>
                <w:sz w:val="22"/>
              </w:rPr>
              <w:br/>
              <w:t>each containing</w:t>
            </w:r>
            <w:r>
              <w:rPr>
                <w:sz w:val="22"/>
              </w:rPr>
              <w:br/>
              <w:t>any portion of</w:t>
            </w:r>
            <w:r>
              <w:rPr>
                <w:sz w:val="22"/>
              </w:rPr>
              <w:br/>
              <w:t>cannabis</w:t>
            </w:r>
          </w:p>
        </w:tc>
      </w:tr>
      <w:tr>
        <w:trPr>
          <w:gridBefore w:val="1"/>
          <w:wBefore w:w="6" w:type="dxa"/>
        </w:trPr>
        <w:tc>
          <w:tcPr>
            <w:tcW w:w="1002" w:type="dxa"/>
            <w:gridSpan w:val="2"/>
          </w:tcPr>
          <w:p>
            <w:pPr>
              <w:spacing w:before="40" w:after="40"/>
              <w:rPr>
                <w:sz w:val="22"/>
              </w:rPr>
            </w:pPr>
            <w:r>
              <w:rPr>
                <w:sz w:val="22"/>
              </w:rPr>
              <w:t>28.</w:t>
            </w:r>
          </w:p>
        </w:tc>
        <w:tc>
          <w:tcPr>
            <w:tcW w:w="4950" w:type="dxa"/>
          </w:tcPr>
          <w:p>
            <w:pPr>
              <w:pStyle w:val="yTable"/>
            </w:pPr>
            <w:r>
              <w:t>CLONITAZENE</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29.</w:t>
            </w:r>
          </w:p>
        </w:tc>
        <w:tc>
          <w:tcPr>
            <w:tcW w:w="4950" w:type="dxa"/>
          </w:tcPr>
          <w:p>
            <w:pPr>
              <w:pStyle w:val="yTable"/>
            </w:pPr>
            <w:r>
              <w:t>COCAINE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30.</w:t>
            </w:r>
          </w:p>
        </w:tc>
        <w:tc>
          <w:tcPr>
            <w:tcW w:w="4950" w:type="dxa"/>
          </w:tcPr>
          <w:p>
            <w:pPr>
              <w:pStyle w:val="yTable"/>
              <w:ind w:left="397" w:hanging="397"/>
            </w:pPr>
            <w:r>
              <w:t xml:space="preserve">CODEINE (except when included in Schedule 2, 3 or 4 in Appendix A to the </w:t>
            </w:r>
            <w:r>
              <w:rPr>
                <w:i/>
                <w:iCs/>
              </w:rPr>
              <w:t>Poisons Act 1964</w:t>
            </w:r>
            <w:r>
              <w:t>)</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31.</w:t>
            </w:r>
          </w:p>
        </w:tc>
        <w:tc>
          <w:tcPr>
            <w:tcW w:w="4950" w:type="dxa"/>
          </w:tcPr>
          <w:p>
            <w:pPr>
              <w:pStyle w:val="yTable"/>
            </w:pPr>
            <w:r>
              <w:t>CODEINE</w:t>
            </w:r>
            <w:r>
              <w:noBreakHyphen/>
              <w:t>N</w:t>
            </w:r>
            <w:r>
              <w:noBreakHyphen/>
              <w:t>OXIDE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32.</w:t>
            </w:r>
          </w:p>
        </w:tc>
        <w:tc>
          <w:tcPr>
            <w:tcW w:w="4950" w:type="dxa"/>
          </w:tcPr>
          <w:p>
            <w:pPr>
              <w:pStyle w:val="yTable"/>
            </w:pPr>
            <w:r>
              <w:t>CODOXINE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33.</w:t>
            </w:r>
          </w:p>
        </w:tc>
        <w:tc>
          <w:tcPr>
            <w:tcW w:w="4950" w:type="dxa"/>
          </w:tcPr>
          <w:p>
            <w:pPr>
              <w:pStyle w:val="yTable"/>
            </w:pPr>
            <w:r>
              <w:t>CYCLOBARBITONE</w:t>
            </w:r>
          </w:p>
        </w:tc>
        <w:tc>
          <w:tcPr>
            <w:tcW w:w="1254" w:type="dxa"/>
          </w:tcPr>
          <w:p>
            <w:pPr>
              <w:tabs>
                <w:tab w:val="decimal" w:pos="439"/>
              </w:tabs>
              <w:spacing w:before="40" w:after="40"/>
              <w:rPr>
                <w:sz w:val="22"/>
              </w:rPr>
            </w:pPr>
            <w:r>
              <w:rPr>
                <w:sz w:val="22"/>
              </w:rPr>
              <w:t>10.0</w:t>
            </w:r>
          </w:p>
        </w:tc>
      </w:tr>
      <w:tr>
        <w:tc>
          <w:tcPr>
            <w:tcW w:w="1008" w:type="dxa"/>
            <w:gridSpan w:val="3"/>
          </w:tcPr>
          <w:p>
            <w:pPr>
              <w:pStyle w:val="yTable"/>
            </w:pPr>
            <w:r>
              <w:t>34A.</w:t>
            </w:r>
          </w:p>
        </w:tc>
        <w:tc>
          <w:tcPr>
            <w:tcW w:w="4950" w:type="dxa"/>
          </w:tcPr>
          <w:p>
            <w:pPr>
              <w:pStyle w:val="yTable"/>
            </w:pPr>
            <w:r>
              <w:t>1</w:t>
            </w:r>
            <w:r>
              <w:noBreakHyphen/>
              <w:t>CYCLOHEXYLETHYL</w:t>
            </w:r>
            <w:r>
              <w:noBreakHyphen/>
              <w:t>3</w:t>
            </w:r>
            <w:r>
              <w:noBreakHyphen/>
              <w:t>(2</w:t>
            </w:r>
            <w:r>
              <w:noBreakHyphen/>
            </w:r>
            <w:r>
              <w:br/>
              <w:t>METHOXYPHENYLACETYL)INDOLE (RCS</w:t>
            </w:r>
            <w:r>
              <w:noBreakHyphen/>
              <w:t>8)</w:t>
            </w:r>
          </w:p>
        </w:tc>
        <w:tc>
          <w:tcPr>
            <w:tcW w:w="1254" w:type="dxa"/>
          </w:tcPr>
          <w:p>
            <w:pPr>
              <w:tabs>
                <w:tab w:val="decimal" w:pos="439"/>
              </w:tabs>
              <w:spacing w:before="40" w:after="40"/>
              <w:rPr>
                <w:sz w:val="22"/>
              </w:rPr>
            </w:pPr>
            <w:r>
              <w:rPr>
                <w:sz w:val="22"/>
              </w:rPr>
              <w:br/>
              <w:t>100.0</w:t>
            </w:r>
          </w:p>
        </w:tc>
      </w:tr>
      <w:tr>
        <w:trPr>
          <w:gridBefore w:val="1"/>
          <w:wBefore w:w="6" w:type="dxa"/>
        </w:trPr>
        <w:tc>
          <w:tcPr>
            <w:tcW w:w="1002" w:type="dxa"/>
            <w:gridSpan w:val="2"/>
          </w:tcPr>
          <w:p>
            <w:pPr>
              <w:spacing w:before="40" w:after="40"/>
              <w:rPr>
                <w:sz w:val="22"/>
              </w:rPr>
            </w:pPr>
            <w:r>
              <w:rPr>
                <w:sz w:val="22"/>
              </w:rPr>
              <w:t>34.</w:t>
            </w:r>
          </w:p>
        </w:tc>
        <w:tc>
          <w:tcPr>
            <w:tcW w:w="4950" w:type="dxa"/>
          </w:tcPr>
          <w:p>
            <w:pPr>
              <w:pStyle w:val="yTable"/>
            </w:pPr>
            <w:r>
              <w:t>DESOMORPHINE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35.</w:t>
            </w:r>
          </w:p>
        </w:tc>
        <w:tc>
          <w:tcPr>
            <w:tcW w:w="4950" w:type="dxa"/>
          </w:tcPr>
          <w:p>
            <w:pPr>
              <w:pStyle w:val="yTable"/>
            </w:pPr>
            <w:r>
              <w:t>DEXAMPHETAMINE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36.</w:t>
            </w:r>
          </w:p>
        </w:tc>
        <w:tc>
          <w:tcPr>
            <w:tcW w:w="4950" w:type="dxa"/>
          </w:tcPr>
          <w:p>
            <w:pPr>
              <w:pStyle w:val="yTable"/>
            </w:pPr>
            <w:r>
              <w:t>DEXTROMORAMIDE</w:t>
            </w:r>
          </w:p>
        </w:tc>
        <w:tc>
          <w:tcPr>
            <w:tcW w:w="1254" w:type="dxa"/>
          </w:tcPr>
          <w:p>
            <w:pPr>
              <w:tabs>
                <w:tab w:val="decimal" w:pos="439"/>
              </w:tabs>
              <w:spacing w:before="40" w:after="40"/>
              <w:rPr>
                <w:sz w:val="22"/>
              </w:rPr>
            </w:pPr>
            <w:r>
              <w:rPr>
                <w:sz w:val="22"/>
              </w:rPr>
              <w:t>1.0</w:t>
            </w:r>
          </w:p>
        </w:tc>
      </w:tr>
      <w:tr>
        <w:trPr>
          <w:gridBefore w:val="1"/>
          <w:wBefore w:w="6" w:type="dxa"/>
        </w:trPr>
        <w:tc>
          <w:tcPr>
            <w:tcW w:w="1002" w:type="dxa"/>
            <w:gridSpan w:val="2"/>
          </w:tcPr>
          <w:p>
            <w:pPr>
              <w:spacing w:before="40" w:after="40"/>
              <w:rPr>
                <w:sz w:val="22"/>
              </w:rPr>
            </w:pPr>
            <w:r>
              <w:rPr>
                <w:sz w:val="22"/>
              </w:rPr>
              <w:t>37.</w:t>
            </w:r>
          </w:p>
        </w:tc>
        <w:tc>
          <w:tcPr>
            <w:tcW w:w="4950" w:type="dxa"/>
          </w:tcPr>
          <w:p>
            <w:pPr>
              <w:pStyle w:val="yTable"/>
            </w:pPr>
            <w:r>
              <w:t>DIACETYLMORPHINE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38.</w:t>
            </w:r>
          </w:p>
        </w:tc>
        <w:tc>
          <w:tcPr>
            <w:tcW w:w="4950" w:type="dxa"/>
          </w:tcPr>
          <w:p>
            <w:pPr>
              <w:pStyle w:val="yTable"/>
            </w:pPr>
            <w:r>
              <w:t>DIAMPROMIDE</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39.</w:t>
            </w:r>
          </w:p>
        </w:tc>
        <w:tc>
          <w:tcPr>
            <w:tcW w:w="4950" w:type="dxa"/>
          </w:tcPr>
          <w:p>
            <w:pPr>
              <w:pStyle w:val="yTable"/>
            </w:pPr>
            <w:r>
              <w:t>DIETHYLTHIAMBUTENE</w:t>
            </w:r>
          </w:p>
        </w:tc>
        <w:tc>
          <w:tcPr>
            <w:tcW w:w="1254" w:type="dxa"/>
          </w:tcPr>
          <w:p>
            <w:pPr>
              <w:tabs>
                <w:tab w:val="decimal" w:pos="439"/>
              </w:tabs>
              <w:spacing w:before="40" w:after="40"/>
              <w:rPr>
                <w:sz w:val="22"/>
              </w:rPr>
            </w:pPr>
            <w:r>
              <w:rPr>
                <w:sz w:val="22"/>
              </w:rPr>
              <w:t>5.0</w:t>
            </w:r>
          </w:p>
        </w:tc>
      </w:tr>
      <w:tr>
        <w:trPr>
          <w:gridBefore w:val="1"/>
          <w:wBefore w:w="6" w:type="dxa"/>
          <w:cantSplit/>
        </w:trPr>
        <w:tc>
          <w:tcPr>
            <w:tcW w:w="1002" w:type="dxa"/>
            <w:gridSpan w:val="2"/>
          </w:tcPr>
          <w:p>
            <w:pPr>
              <w:spacing w:before="40" w:after="40"/>
              <w:rPr>
                <w:sz w:val="22"/>
              </w:rPr>
            </w:pPr>
            <w:r>
              <w:rPr>
                <w:sz w:val="22"/>
              </w:rPr>
              <w:t>40.</w:t>
            </w:r>
          </w:p>
        </w:tc>
        <w:tc>
          <w:tcPr>
            <w:tcW w:w="4950" w:type="dxa"/>
          </w:tcPr>
          <w:p>
            <w:pPr>
              <w:pStyle w:val="yTable"/>
              <w:ind w:left="397" w:hanging="397"/>
            </w:pPr>
            <w:r>
              <w:t>DIFENOXIN (excluding preparations containing, per dosage unit, not more than 0.5 mg of difenoxin and a quantity of atropine sulphate equivalent to at least 5% of the dose of difenoxin)</w:t>
            </w:r>
          </w:p>
        </w:tc>
        <w:tc>
          <w:tcPr>
            <w:tcW w:w="1254" w:type="dxa"/>
          </w:tcPr>
          <w:p>
            <w:pPr>
              <w:tabs>
                <w:tab w:val="decimal" w:pos="439"/>
              </w:tabs>
              <w:spacing w:before="40" w:after="40"/>
              <w:rPr>
                <w:sz w:val="22"/>
              </w:rPr>
            </w:pPr>
            <w:r>
              <w:rPr>
                <w:sz w:val="22"/>
              </w:rPr>
              <w:t>10.0</w:t>
            </w:r>
          </w:p>
        </w:tc>
      </w:tr>
      <w:tr>
        <w:trPr>
          <w:gridBefore w:val="1"/>
          <w:wBefore w:w="6" w:type="dxa"/>
          <w:cantSplit/>
        </w:trPr>
        <w:tc>
          <w:tcPr>
            <w:tcW w:w="1002" w:type="dxa"/>
            <w:gridSpan w:val="2"/>
          </w:tcPr>
          <w:p>
            <w:pPr>
              <w:spacing w:before="40" w:after="40"/>
              <w:rPr>
                <w:sz w:val="22"/>
              </w:rPr>
            </w:pPr>
            <w:r>
              <w:rPr>
                <w:sz w:val="22"/>
              </w:rPr>
              <w:t>41.</w:t>
            </w:r>
          </w:p>
        </w:tc>
        <w:tc>
          <w:tcPr>
            <w:tcW w:w="4950" w:type="dxa"/>
          </w:tcPr>
          <w:p>
            <w:pPr>
              <w:pStyle w:val="yTable"/>
              <w:ind w:left="397" w:hanging="397"/>
            </w:pPr>
            <w:r>
              <w:t xml:space="preserve">DIHYDROCODEINE (except when included in Schedule 2 or 4 in Appendix A to the </w:t>
            </w:r>
            <w:r>
              <w:rPr>
                <w:i/>
                <w:iCs/>
              </w:rPr>
              <w:t>Poisons Act 1964</w:t>
            </w:r>
            <w:r>
              <w:t>)</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42.</w:t>
            </w:r>
          </w:p>
        </w:tc>
        <w:tc>
          <w:tcPr>
            <w:tcW w:w="4950" w:type="dxa"/>
          </w:tcPr>
          <w:p>
            <w:pPr>
              <w:pStyle w:val="yTable"/>
            </w:pPr>
            <w:r>
              <w:t>DIHYDROMORPHINE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43.</w:t>
            </w:r>
          </w:p>
        </w:tc>
        <w:tc>
          <w:tcPr>
            <w:tcW w:w="4950" w:type="dxa"/>
          </w:tcPr>
          <w:p>
            <w:pPr>
              <w:pStyle w:val="yTable"/>
            </w:pPr>
            <w:r>
              <w:t>DIMENOXADOL</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44.</w:t>
            </w:r>
          </w:p>
        </w:tc>
        <w:tc>
          <w:tcPr>
            <w:tcW w:w="4950" w:type="dxa"/>
          </w:tcPr>
          <w:p>
            <w:pPr>
              <w:pStyle w:val="yTable"/>
            </w:pPr>
            <w:r>
              <w:t>DIMEPHEPTANOL</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45.</w:t>
            </w:r>
          </w:p>
        </w:tc>
        <w:tc>
          <w:tcPr>
            <w:tcW w:w="4950" w:type="dxa"/>
          </w:tcPr>
          <w:p>
            <w:pPr>
              <w:pStyle w:val="yTable"/>
            </w:pPr>
            <w:r>
              <w:t>2, 5</w:t>
            </w:r>
            <w:r>
              <w:noBreakHyphen/>
              <w:t>DIMETHOXY</w:t>
            </w:r>
            <w:r>
              <w:noBreakHyphen/>
              <w:t>4</w:t>
            </w:r>
            <w:r>
              <w:noBreakHyphen/>
              <w:t>BROMOAMPHETAMINE</w:t>
            </w:r>
          </w:p>
        </w:tc>
        <w:tc>
          <w:tcPr>
            <w:tcW w:w="1254" w:type="dxa"/>
          </w:tcPr>
          <w:p>
            <w:pPr>
              <w:tabs>
                <w:tab w:val="decimal" w:pos="439"/>
              </w:tabs>
              <w:spacing w:before="40" w:after="40"/>
              <w:rPr>
                <w:sz w:val="22"/>
              </w:rPr>
            </w:pPr>
            <w:r>
              <w:rPr>
                <w:sz w:val="22"/>
              </w:rPr>
              <w:t>0.05</w:t>
            </w:r>
          </w:p>
        </w:tc>
      </w:tr>
      <w:tr>
        <w:trPr>
          <w:gridBefore w:val="1"/>
          <w:wBefore w:w="6" w:type="dxa"/>
        </w:trPr>
        <w:tc>
          <w:tcPr>
            <w:tcW w:w="1002" w:type="dxa"/>
            <w:gridSpan w:val="2"/>
          </w:tcPr>
          <w:p>
            <w:pPr>
              <w:spacing w:before="40" w:after="40"/>
              <w:rPr>
                <w:sz w:val="22"/>
              </w:rPr>
            </w:pPr>
            <w:r>
              <w:rPr>
                <w:sz w:val="22"/>
              </w:rPr>
              <w:t>46.</w:t>
            </w:r>
          </w:p>
        </w:tc>
        <w:tc>
          <w:tcPr>
            <w:tcW w:w="4950" w:type="dxa"/>
          </w:tcPr>
          <w:p>
            <w:pPr>
              <w:pStyle w:val="yTable"/>
            </w:pPr>
            <w:r>
              <w:t>2, 5</w:t>
            </w:r>
            <w:r>
              <w:noBreakHyphen/>
              <w:t>DIMETHOXY</w:t>
            </w:r>
            <w:r>
              <w:noBreakHyphen/>
              <w:t>4</w:t>
            </w:r>
            <w:r>
              <w:noBreakHyphen/>
              <w:t>METHYLAMPHETAMINE</w:t>
            </w:r>
          </w:p>
        </w:tc>
        <w:tc>
          <w:tcPr>
            <w:tcW w:w="1254" w:type="dxa"/>
          </w:tcPr>
          <w:p>
            <w:pPr>
              <w:tabs>
                <w:tab w:val="decimal" w:pos="439"/>
              </w:tabs>
              <w:spacing w:before="40" w:after="40"/>
              <w:rPr>
                <w:sz w:val="22"/>
              </w:rPr>
            </w:pPr>
            <w:r>
              <w:rPr>
                <w:sz w:val="22"/>
              </w:rPr>
              <w:t>0.05</w:t>
            </w:r>
          </w:p>
        </w:tc>
      </w:tr>
      <w:tr>
        <w:trPr>
          <w:gridBefore w:val="1"/>
          <w:wBefore w:w="6" w:type="dxa"/>
        </w:trPr>
        <w:tc>
          <w:tcPr>
            <w:tcW w:w="1002" w:type="dxa"/>
            <w:gridSpan w:val="2"/>
          </w:tcPr>
          <w:p>
            <w:pPr>
              <w:spacing w:before="40" w:after="40"/>
              <w:rPr>
                <w:sz w:val="22"/>
              </w:rPr>
            </w:pPr>
            <w:r>
              <w:rPr>
                <w:sz w:val="22"/>
              </w:rPr>
              <w:t>47A.</w:t>
            </w:r>
          </w:p>
        </w:tc>
        <w:tc>
          <w:tcPr>
            <w:tcW w:w="4950" w:type="dxa"/>
          </w:tcPr>
          <w:p>
            <w:pPr>
              <w:pStyle w:val="yTable"/>
            </w:pPr>
            <w:r>
              <w:t>DIMETHYLAMPHETAMINE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47B.</w:t>
            </w:r>
          </w:p>
        </w:tc>
        <w:tc>
          <w:tcPr>
            <w:tcW w:w="4950" w:type="dxa"/>
          </w:tcPr>
          <w:p>
            <w:pPr>
              <w:pStyle w:val="yTable"/>
              <w:ind w:left="397" w:hanging="397"/>
            </w:pPr>
            <w:r>
              <w:t>5</w:t>
            </w:r>
            <w:r>
              <w:noBreakHyphen/>
              <w:t>(1,1</w:t>
            </w:r>
            <w:r>
              <w:noBreakHyphen/>
              <w:t>DIMETHYLHEPTYL)</w:t>
            </w:r>
            <w:r>
              <w:noBreakHyphen/>
              <w:t>2</w:t>
            </w:r>
            <w:r>
              <w:noBreakHyphen/>
              <w:t>[(1</w:t>
            </w:r>
            <w:r>
              <w:rPr>
                <w:i/>
              </w:rPr>
              <w:t>R,3S</w:t>
            </w:r>
            <w:r>
              <w:t>)</w:t>
            </w:r>
            <w:r>
              <w:noBreakHyphen/>
              <w:t>3</w:t>
            </w:r>
            <w:r>
              <w:noBreakHyphen/>
            </w:r>
            <w:r>
              <w:br/>
              <w:t>HYDROXYCYCLOHEXYL]</w:t>
            </w:r>
            <w:r>
              <w:noBreakHyphen/>
              <w:t xml:space="preserve">PHENOL </w:t>
            </w:r>
            <w:r>
              <w:br/>
              <w:t>(CP 47,497)</w:t>
            </w:r>
          </w:p>
        </w:tc>
        <w:tc>
          <w:tcPr>
            <w:tcW w:w="1254" w:type="dxa"/>
          </w:tcPr>
          <w:p>
            <w:pPr>
              <w:tabs>
                <w:tab w:val="decimal" w:pos="439"/>
              </w:tabs>
              <w:spacing w:before="40" w:after="40"/>
              <w:rPr>
                <w:sz w:val="22"/>
              </w:rPr>
            </w:pPr>
            <w:r>
              <w:rPr>
                <w:sz w:val="22"/>
              </w:rPr>
              <w:br/>
            </w:r>
            <w:r>
              <w:rPr>
                <w:sz w:val="22"/>
              </w:rPr>
              <w:br/>
              <w:t>100.0</w:t>
            </w:r>
          </w:p>
        </w:tc>
      </w:tr>
      <w:tr>
        <w:trPr>
          <w:gridBefore w:val="1"/>
          <w:wBefore w:w="6" w:type="dxa"/>
        </w:trPr>
        <w:tc>
          <w:tcPr>
            <w:tcW w:w="1002" w:type="dxa"/>
            <w:gridSpan w:val="2"/>
          </w:tcPr>
          <w:p>
            <w:pPr>
              <w:spacing w:before="40" w:after="40"/>
              <w:rPr>
                <w:sz w:val="22"/>
              </w:rPr>
            </w:pPr>
            <w:r>
              <w:rPr>
                <w:sz w:val="22"/>
              </w:rPr>
              <w:t>47C.</w:t>
            </w:r>
          </w:p>
        </w:tc>
        <w:tc>
          <w:tcPr>
            <w:tcW w:w="4950" w:type="dxa"/>
          </w:tcPr>
          <w:p>
            <w:pPr>
              <w:pStyle w:val="yTable"/>
              <w:ind w:left="397" w:hanging="397"/>
            </w:pPr>
            <w:r>
              <w:t>5</w:t>
            </w:r>
            <w:r>
              <w:noBreakHyphen/>
              <w:t>(1,1</w:t>
            </w:r>
            <w:r>
              <w:noBreakHyphen/>
              <w:t>DIMETHYLOCTYL)</w:t>
            </w:r>
            <w:r>
              <w:noBreakHyphen/>
              <w:t>2</w:t>
            </w:r>
            <w:r>
              <w:noBreakHyphen/>
              <w:t>[(1</w:t>
            </w:r>
            <w:r>
              <w:rPr>
                <w:i/>
              </w:rPr>
              <w:t>R,3S</w:t>
            </w:r>
            <w:r>
              <w:t>)</w:t>
            </w:r>
            <w:r>
              <w:br/>
            </w:r>
            <w:r>
              <w:noBreakHyphen/>
              <w:t>3</w:t>
            </w:r>
            <w:r>
              <w:noBreakHyphen/>
              <w:t>HYDROXYCYCLOHEXYL]</w:t>
            </w:r>
            <w:r>
              <w:noBreakHyphen/>
              <w:t>PHENOL (CANNABICYCLOHEXANOL or CP 47,497 C8 HOMOLOGUE)</w:t>
            </w:r>
          </w:p>
        </w:tc>
        <w:tc>
          <w:tcPr>
            <w:tcW w:w="1254" w:type="dxa"/>
          </w:tcPr>
          <w:p>
            <w:pPr>
              <w:tabs>
                <w:tab w:val="decimal" w:pos="439"/>
              </w:tabs>
              <w:spacing w:before="40" w:after="40"/>
              <w:rPr>
                <w:sz w:val="22"/>
              </w:rPr>
            </w:pPr>
            <w:r>
              <w:rPr>
                <w:sz w:val="22"/>
              </w:rPr>
              <w:br/>
            </w:r>
            <w:r>
              <w:rPr>
                <w:sz w:val="22"/>
              </w:rPr>
              <w:br/>
            </w:r>
            <w:r>
              <w:rPr>
                <w:sz w:val="22"/>
              </w:rPr>
              <w:br/>
              <w:t>100.0</w:t>
            </w:r>
          </w:p>
        </w:tc>
      </w:tr>
      <w:tr>
        <w:trPr>
          <w:gridBefore w:val="1"/>
          <w:wBefore w:w="6" w:type="dxa"/>
        </w:trPr>
        <w:tc>
          <w:tcPr>
            <w:tcW w:w="1002" w:type="dxa"/>
            <w:gridSpan w:val="2"/>
          </w:tcPr>
          <w:p>
            <w:pPr>
              <w:spacing w:before="40" w:after="40"/>
              <w:rPr>
                <w:sz w:val="22"/>
              </w:rPr>
            </w:pPr>
            <w:r>
              <w:rPr>
                <w:sz w:val="22"/>
              </w:rPr>
              <w:t>47.</w:t>
            </w:r>
          </w:p>
        </w:tc>
        <w:tc>
          <w:tcPr>
            <w:tcW w:w="4950" w:type="dxa"/>
          </w:tcPr>
          <w:p>
            <w:pPr>
              <w:pStyle w:val="yTable"/>
            </w:pPr>
            <w:r>
              <w:t>DIMETHYLTHIAMBUTENE</w:t>
            </w:r>
          </w:p>
        </w:tc>
        <w:tc>
          <w:tcPr>
            <w:tcW w:w="1254" w:type="dxa"/>
          </w:tcPr>
          <w:p>
            <w:pPr>
              <w:tabs>
                <w:tab w:val="decimal" w:pos="439"/>
              </w:tabs>
              <w:spacing w:before="40" w:after="40"/>
              <w:rPr>
                <w:sz w:val="22"/>
              </w:rPr>
            </w:pPr>
            <w:r>
              <w:rPr>
                <w:sz w:val="22"/>
              </w:rPr>
              <w:t>20.0</w:t>
            </w:r>
          </w:p>
        </w:tc>
      </w:tr>
      <w:tr>
        <w:trPr>
          <w:gridBefore w:val="1"/>
          <w:wBefore w:w="6" w:type="dxa"/>
        </w:trPr>
        <w:tc>
          <w:tcPr>
            <w:tcW w:w="1002" w:type="dxa"/>
            <w:gridSpan w:val="2"/>
          </w:tcPr>
          <w:p>
            <w:pPr>
              <w:spacing w:before="40" w:after="40"/>
              <w:rPr>
                <w:sz w:val="22"/>
              </w:rPr>
            </w:pPr>
            <w:r>
              <w:rPr>
                <w:sz w:val="22"/>
              </w:rPr>
              <w:t>48.</w:t>
            </w:r>
          </w:p>
        </w:tc>
        <w:tc>
          <w:tcPr>
            <w:tcW w:w="4950" w:type="dxa"/>
          </w:tcPr>
          <w:p>
            <w:pPr>
              <w:pStyle w:val="yTable"/>
            </w:pPr>
            <w:r>
              <w:t>DIMETHYLTRYPTAMINE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49.</w:t>
            </w:r>
          </w:p>
        </w:tc>
        <w:tc>
          <w:tcPr>
            <w:tcW w:w="4950" w:type="dxa"/>
          </w:tcPr>
          <w:p>
            <w:pPr>
              <w:pStyle w:val="yTable"/>
            </w:pPr>
            <w:r>
              <w:t>DIOXAPHETYL BUTYRATE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keepNext/>
              <w:spacing w:before="40" w:after="40"/>
              <w:rPr>
                <w:sz w:val="22"/>
              </w:rPr>
            </w:pPr>
            <w:r>
              <w:rPr>
                <w:sz w:val="22"/>
              </w:rPr>
              <w:t>50.</w:t>
            </w:r>
          </w:p>
        </w:tc>
        <w:tc>
          <w:tcPr>
            <w:tcW w:w="4950" w:type="dxa"/>
          </w:tcPr>
          <w:p>
            <w:pPr>
              <w:pStyle w:val="yTable"/>
              <w:ind w:left="397" w:hanging="397"/>
            </w:pPr>
            <w:r>
              <w:t>DIPHENOXYLATE (excluding preparations containing per dosage unit, not more than 2.5 mg of diphenoxylate calculated as base, and a quantity of atropine sulphate equivalent to at least 1% of the dose of diphenoxylate)</w:t>
            </w:r>
          </w:p>
        </w:tc>
        <w:tc>
          <w:tcPr>
            <w:tcW w:w="1254" w:type="dxa"/>
          </w:tcPr>
          <w:p>
            <w:pPr>
              <w:keepNext/>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51.</w:t>
            </w:r>
          </w:p>
        </w:tc>
        <w:tc>
          <w:tcPr>
            <w:tcW w:w="4950" w:type="dxa"/>
          </w:tcPr>
          <w:p>
            <w:pPr>
              <w:pStyle w:val="yTable"/>
            </w:pPr>
            <w:r>
              <w:t>DIPIPANONE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52.</w:t>
            </w:r>
          </w:p>
        </w:tc>
        <w:tc>
          <w:tcPr>
            <w:tcW w:w="4950" w:type="dxa"/>
          </w:tcPr>
          <w:p>
            <w:pPr>
              <w:pStyle w:val="yTable"/>
            </w:pPr>
            <w:r>
              <w:t>DROTEBANOL</w:t>
            </w:r>
          </w:p>
        </w:tc>
        <w:tc>
          <w:tcPr>
            <w:tcW w:w="1254" w:type="dxa"/>
          </w:tcPr>
          <w:p>
            <w:pPr>
              <w:tabs>
                <w:tab w:val="decimal" w:pos="439"/>
              </w:tabs>
              <w:spacing w:before="40" w:after="40"/>
              <w:rPr>
                <w:sz w:val="22"/>
              </w:rPr>
            </w:pPr>
            <w:r>
              <w:rPr>
                <w:sz w:val="22"/>
              </w:rPr>
              <w:t>0.1</w:t>
            </w:r>
          </w:p>
        </w:tc>
      </w:tr>
      <w:tr>
        <w:trPr>
          <w:gridBefore w:val="1"/>
          <w:wBefore w:w="6" w:type="dxa"/>
        </w:trPr>
        <w:tc>
          <w:tcPr>
            <w:tcW w:w="1002" w:type="dxa"/>
            <w:gridSpan w:val="2"/>
          </w:tcPr>
          <w:p>
            <w:pPr>
              <w:spacing w:before="40" w:after="40"/>
              <w:rPr>
                <w:sz w:val="22"/>
              </w:rPr>
            </w:pPr>
            <w:r>
              <w:rPr>
                <w:sz w:val="22"/>
              </w:rPr>
              <w:t>53.</w:t>
            </w:r>
          </w:p>
        </w:tc>
        <w:tc>
          <w:tcPr>
            <w:tcW w:w="4950" w:type="dxa"/>
          </w:tcPr>
          <w:p>
            <w:pPr>
              <w:pStyle w:val="yTable"/>
              <w:ind w:left="397" w:hanging="397"/>
            </w:pPr>
            <w:r>
              <w:t>ECGONINE, ITS ESTERS AND DERIVATIVES which are convertible to ECGONINE AND COCAINE</w:t>
            </w:r>
          </w:p>
        </w:tc>
        <w:tc>
          <w:tcPr>
            <w:tcW w:w="1254" w:type="dxa"/>
          </w:tcPr>
          <w:p>
            <w:pPr>
              <w:tabs>
                <w:tab w:val="decimal" w:pos="439"/>
              </w:tabs>
              <w:spacing w:before="40" w:after="40"/>
              <w:rPr>
                <w:sz w:val="22"/>
              </w:rPr>
            </w:pPr>
            <w:r>
              <w:rPr>
                <w:sz w:val="22"/>
              </w:rPr>
              <w:t>10.0</w:t>
            </w:r>
          </w:p>
        </w:tc>
      </w:tr>
      <w:tr>
        <w:trPr>
          <w:gridBefore w:val="1"/>
          <w:wBefore w:w="6" w:type="dxa"/>
          <w:cantSplit/>
        </w:trPr>
        <w:tc>
          <w:tcPr>
            <w:tcW w:w="1002" w:type="dxa"/>
            <w:gridSpan w:val="2"/>
          </w:tcPr>
          <w:p>
            <w:pPr>
              <w:spacing w:before="40" w:after="40"/>
              <w:rPr>
                <w:rFonts w:ascii="Times" w:hAnsi="Times"/>
                <w:spacing w:val="-6"/>
                <w:sz w:val="22"/>
              </w:rPr>
            </w:pPr>
            <w:r>
              <w:rPr>
                <w:rFonts w:ascii="Times" w:hAnsi="Times"/>
                <w:spacing w:val="-6"/>
                <w:sz w:val="22"/>
              </w:rPr>
              <w:t>53A.</w:t>
            </w:r>
          </w:p>
        </w:tc>
        <w:tc>
          <w:tcPr>
            <w:tcW w:w="4950" w:type="dxa"/>
          </w:tcPr>
          <w:p>
            <w:pPr>
              <w:pStyle w:val="yTable"/>
            </w:pPr>
            <w:r>
              <w:t>EPHEDRINE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54.</w:t>
            </w:r>
          </w:p>
        </w:tc>
        <w:tc>
          <w:tcPr>
            <w:tcW w:w="4950" w:type="dxa"/>
          </w:tcPr>
          <w:p>
            <w:pPr>
              <w:pStyle w:val="yTable"/>
            </w:pPr>
            <w:r>
              <w:t>ETHYLMETHYLTHIAMBUTENE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55.</w:t>
            </w:r>
          </w:p>
        </w:tc>
        <w:tc>
          <w:tcPr>
            <w:tcW w:w="4950" w:type="dxa"/>
          </w:tcPr>
          <w:p>
            <w:pPr>
              <w:pStyle w:val="yTable"/>
              <w:ind w:left="397" w:hanging="397"/>
            </w:pPr>
            <w:r>
              <w:t>ETHYLMORPHINE (and substances containing more than 2.5% of ethylmorphine)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56.</w:t>
            </w:r>
          </w:p>
        </w:tc>
        <w:tc>
          <w:tcPr>
            <w:tcW w:w="4950" w:type="dxa"/>
          </w:tcPr>
          <w:p>
            <w:pPr>
              <w:pStyle w:val="yTable"/>
            </w:pPr>
            <w:r>
              <w:t>ETONITAZENE</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57.</w:t>
            </w:r>
          </w:p>
        </w:tc>
        <w:tc>
          <w:tcPr>
            <w:tcW w:w="4950" w:type="dxa"/>
          </w:tcPr>
          <w:p>
            <w:pPr>
              <w:pStyle w:val="yTable"/>
            </w:pPr>
            <w:r>
              <w:t>ETORPHINE</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58.</w:t>
            </w:r>
          </w:p>
        </w:tc>
        <w:tc>
          <w:tcPr>
            <w:tcW w:w="4950" w:type="dxa"/>
          </w:tcPr>
          <w:p>
            <w:pPr>
              <w:pStyle w:val="yTable"/>
            </w:pPr>
            <w:r>
              <w:t>ETOXERIDINE</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59.</w:t>
            </w:r>
          </w:p>
        </w:tc>
        <w:tc>
          <w:tcPr>
            <w:tcW w:w="4950" w:type="dxa"/>
          </w:tcPr>
          <w:p>
            <w:pPr>
              <w:pStyle w:val="yTable"/>
            </w:pPr>
            <w:r>
              <w:t>FENTANYL</w:t>
            </w:r>
          </w:p>
        </w:tc>
        <w:tc>
          <w:tcPr>
            <w:tcW w:w="1254" w:type="dxa"/>
          </w:tcPr>
          <w:p>
            <w:pPr>
              <w:tabs>
                <w:tab w:val="decimal" w:pos="439"/>
              </w:tabs>
              <w:spacing w:before="40" w:after="40"/>
              <w:rPr>
                <w:sz w:val="22"/>
              </w:rPr>
            </w:pPr>
            <w:r>
              <w:rPr>
                <w:sz w:val="22"/>
              </w:rPr>
              <w:t>0.005</w:t>
            </w:r>
          </w:p>
        </w:tc>
      </w:tr>
      <w:tr>
        <w:trPr>
          <w:gridBefore w:val="2"/>
          <w:wBefore w:w="14" w:type="dxa"/>
        </w:trPr>
        <w:tc>
          <w:tcPr>
            <w:tcW w:w="994" w:type="dxa"/>
          </w:tcPr>
          <w:p>
            <w:pPr>
              <w:pStyle w:val="yTable"/>
            </w:pPr>
            <w:r>
              <w:t>60A.</w:t>
            </w:r>
          </w:p>
        </w:tc>
        <w:tc>
          <w:tcPr>
            <w:tcW w:w="4950" w:type="dxa"/>
          </w:tcPr>
          <w:p>
            <w:pPr>
              <w:pStyle w:val="yTable"/>
            </w:pPr>
            <w:r>
              <w:t>1</w:t>
            </w:r>
            <w:r>
              <w:noBreakHyphen/>
              <w:t>(5</w:t>
            </w:r>
            <w:r>
              <w:noBreakHyphen/>
              <w:t>FLUOROPENTYL)</w:t>
            </w:r>
            <w:r>
              <w:noBreakHyphen/>
              <w:t>3</w:t>
            </w:r>
            <w:r>
              <w:noBreakHyphen/>
              <w:t>(2</w:t>
            </w:r>
            <w:r>
              <w:noBreakHyphen/>
            </w:r>
            <w:r>
              <w:br/>
              <w:t>IODOBENZOYL)INDOLE) (AM</w:t>
            </w:r>
            <w:r>
              <w:noBreakHyphen/>
              <w:t>694)</w:t>
            </w:r>
          </w:p>
        </w:tc>
        <w:tc>
          <w:tcPr>
            <w:tcW w:w="1254" w:type="dxa"/>
          </w:tcPr>
          <w:p>
            <w:pPr>
              <w:tabs>
                <w:tab w:val="decimal" w:pos="439"/>
              </w:tabs>
              <w:spacing w:before="40" w:after="40"/>
              <w:rPr>
                <w:sz w:val="22"/>
              </w:rPr>
            </w:pPr>
            <w:r>
              <w:rPr>
                <w:sz w:val="22"/>
              </w:rPr>
              <w:br/>
              <w:t>100.0</w:t>
            </w:r>
          </w:p>
        </w:tc>
      </w:tr>
      <w:tr>
        <w:trPr>
          <w:gridBefore w:val="2"/>
          <w:wBefore w:w="14" w:type="dxa"/>
        </w:trPr>
        <w:tc>
          <w:tcPr>
            <w:tcW w:w="994" w:type="dxa"/>
          </w:tcPr>
          <w:p>
            <w:pPr>
              <w:pStyle w:val="yTable"/>
            </w:pPr>
            <w:r>
              <w:t>60B.</w:t>
            </w:r>
          </w:p>
        </w:tc>
        <w:tc>
          <w:tcPr>
            <w:tcW w:w="4950" w:type="dxa"/>
          </w:tcPr>
          <w:p>
            <w:pPr>
              <w:pStyle w:val="yTable"/>
            </w:pPr>
            <w:r>
              <w:t>1</w:t>
            </w:r>
            <w:r>
              <w:noBreakHyphen/>
              <w:t>(5</w:t>
            </w:r>
            <w:r>
              <w:noBreakHyphen/>
              <w:t>FLUOROPENTYL)</w:t>
            </w:r>
            <w:r>
              <w:noBreakHyphen/>
              <w:t>3</w:t>
            </w:r>
            <w:r>
              <w:noBreakHyphen/>
              <w:t>(1</w:t>
            </w:r>
            <w:r>
              <w:noBreakHyphen/>
            </w:r>
            <w:r>
              <w:br/>
              <w:t>NAPHTHOYL)INDOLE (AM</w:t>
            </w:r>
            <w:r>
              <w:noBreakHyphen/>
              <w:t>2201)</w:t>
            </w:r>
          </w:p>
        </w:tc>
        <w:tc>
          <w:tcPr>
            <w:tcW w:w="1254" w:type="dxa"/>
          </w:tcPr>
          <w:p>
            <w:pPr>
              <w:tabs>
                <w:tab w:val="decimal" w:pos="439"/>
              </w:tabs>
              <w:spacing w:before="40" w:after="40"/>
              <w:rPr>
                <w:sz w:val="22"/>
              </w:rPr>
            </w:pPr>
            <w:r>
              <w:rPr>
                <w:sz w:val="22"/>
              </w:rPr>
              <w:br/>
              <w:t>100.0</w:t>
            </w:r>
          </w:p>
        </w:tc>
      </w:tr>
      <w:tr>
        <w:trPr>
          <w:gridBefore w:val="1"/>
          <w:wBefore w:w="6" w:type="dxa"/>
        </w:trPr>
        <w:tc>
          <w:tcPr>
            <w:tcW w:w="1002" w:type="dxa"/>
            <w:gridSpan w:val="2"/>
          </w:tcPr>
          <w:p>
            <w:pPr>
              <w:spacing w:before="40" w:after="40"/>
              <w:rPr>
                <w:sz w:val="22"/>
              </w:rPr>
            </w:pPr>
            <w:r>
              <w:rPr>
                <w:sz w:val="22"/>
              </w:rPr>
              <w:t>60.</w:t>
            </w:r>
          </w:p>
        </w:tc>
        <w:tc>
          <w:tcPr>
            <w:tcW w:w="4950" w:type="dxa"/>
          </w:tcPr>
          <w:p>
            <w:pPr>
              <w:pStyle w:val="yTable"/>
            </w:pPr>
            <w:r>
              <w:t>FURETHIDINE</w:t>
            </w:r>
          </w:p>
        </w:tc>
        <w:tc>
          <w:tcPr>
            <w:tcW w:w="1254" w:type="dxa"/>
          </w:tcPr>
          <w:p>
            <w:pPr>
              <w:tabs>
                <w:tab w:val="decimal" w:pos="439"/>
              </w:tabs>
              <w:spacing w:before="40" w:after="40"/>
              <w:rPr>
                <w:sz w:val="22"/>
              </w:rPr>
            </w:pPr>
            <w:r>
              <w:rPr>
                <w:sz w:val="22"/>
              </w:rPr>
              <w:t>1.0</w:t>
            </w:r>
          </w:p>
        </w:tc>
      </w:tr>
      <w:tr>
        <w:trPr>
          <w:gridBefore w:val="1"/>
          <w:wBefore w:w="6" w:type="dxa"/>
        </w:trPr>
        <w:tc>
          <w:tcPr>
            <w:tcW w:w="1002" w:type="dxa"/>
            <w:gridSpan w:val="2"/>
          </w:tcPr>
          <w:p>
            <w:pPr>
              <w:spacing w:before="40" w:after="40"/>
              <w:rPr>
                <w:sz w:val="22"/>
              </w:rPr>
            </w:pPr>
            <w:r>
              <w:rPr>
                <w:sz w:val="22"/>
              </w:rPr>
              <w:t>61.</w:t>
            </w:r>
          </w:p>
        </w:tc>
        <w:tc>
          <w:tcPr>
            <w:tcW w:w="4950" w:type="dxa"/>
          </w:tcPr>
          <w:p>
            <w:pPr>
              <w:pStyle w:val="yTable"/>
              <w:ind w:left="397" w:hanging="397"/>
            </w:pPr>
            <w:r>
              <w:t>HALLUCINOGENIC SUBSTANCES (structurally derived from methoxyphenethylamine)</w:t>
            </w:r>
          </w:p>
        </w:tc>
        <w:tc>
          <w:tcPr>
            <w:tcW w:w="1254" w:type="dxa"/>
          </w:tcPr>
          <w:p>
            <w:pPr>
              <w:tabs>
                <w:tab w:val="decimal" w:pos="439"/>
              </w:tabs>
              <w:spacing w:before="40" w:after="40"/>
              <w:rPr>
                <w:sz w:val="22"/>
              </w:rPr>
            </w:pPr>
            <w:r>
              <w:rPr>
                <w:sz w:val="22"/>
              </w:rPr>
              <w:t>0.05</w:t>
            </w:r>
          </w:p>
        </w:tc>
      </w:tr>
      <w:tr>
        <w:trPr>
          <w:gridBefore w:val="1"/>
          <w:wBefore w:w="6" w:type="dxa"/>
        </w:trPr>
        <w:tc>
          <w:tcPr>
            <w:tcW w:w="1002" w:type="dxa"/>
            <w:gridSpan w:val="2"/>
          </w:tcPr>
          <w:p>
            <w:pPr>
              <w:spacing w:before="40" w:after="40"/>
              <w:rPr>
                <w:sz w:val="22"/>
              </w:rPr>
            </w:pPr>
            <w:r>
              <w:rPr>
                <w:sz w:val="22"/>
              </w:rPr>
              <w:t>62.</w:t>
            </w:r>
          </w:p>
        </w:tc>
        <w:tc>
          <w:tcPr>
            <w:tcW w:w="4950" w:type="dxa"/>
          </w:tcPr>
          <w:p>
            <w:pPr>
              <w:pStyle w:val="yTable"/>
            </w:pPr>
            <w:r>
              <w:t>HEPTABARBITONE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63.</w:t>
            </w:r>
          </w:p>
        </w:tc>
        <w:tc>
          <w:tcPr>
            <w:tcW w:w="4950" w:type="dxa"/>
          </w:tcPr>
          <w:p>
            <w:pPr>
              <w:pStyle w:val="yTable"/>
            </w:pPr>
            <w:r>
              <w:t>HEROIN</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64.</w:t>
            </w:r>
          </w:p>
        </w:tc>
        <w:tc>
          <w:tcPr>
            <w:tcW w:w="4950" w:type="dxa"/>
          </w:tcPr>
          <w:p>
            <w:pPr>
              <w:pStyle w:val="yTable"/>
            </w:pPr>
            <w:r>
              <w:t>HEXOBARBITONE</w:t>
            </w:r>
          </w:p>
        </w:tc>
        <w:tc>
          <w:tcPr>
            <w:tcW w:w="1254" w:type="dxa"/>
          </w:tcPr>
          <w:p>
            <w:pPr>
              <w:tabs>
                <w:tab w:val="decimal" w:pos="439"/>
              </w:tabs>
              <w:spacing w:before="40" w:after="40"/>
              <w:rPr>
                <w:sz w:val="22"/>
              </w:rPr>
            </w:pPr>
            <w:r>
              <w:rPr>
                <w:sz w:val="22"/>
              </w:rPr>
              <w:t>10.0</w:t>
            </w:r>
          </w:p>
        </w:tc>
      </w:tr>
      <w:tr>
        <w:trPr>
          <w:gridBefore w:val="2"/>
          <w:wBefore w:w="14" w:type="dxa"/>
        </w:trPr>
        <w:tc>
          <w:tcPr>
            <w:tcW w:w="994" w:type="dxa"/>
          </w:tcPr>
          <w:p>
            <w:pPr>
              <w:pStyle w:val="yTable"/>
            </w:pPr>
            <w:r>
              <w:t>65A.</w:t>
            </w:r>
          </w:p>
        </w:tc>
        <w:tc>
          <w:tcPr>
            <w:tcW w:w="4950" w:type="dxa"/>
          </w:tcPr>
          <w:p>
            <w:pPr>
              <w:pStyle w:val="yTable"/>
            </w:pPr>
            <w:r>
              <w:t>1</w:t>
            </w:r>
            <w:r>
              <w:noBreakHyphen/>
              <w:t>HEXYL</w:t>
            </w:r>
            <w:r>
              <w:noBreakHyphen/>
              <w:t>3</w:t>
            </w:r>
            <w:r>
              <w:noBreakHyphen/>
              <w:t>(1</w:t>
            </w:r>
            <w:r>
              <w:noBreakHyphen/>
              <w:t>NAPHTHOYL)INDOLE (JWH</w:t>
            </w:r>
            <w:r>
              <w:noBreakHyphen/>
              <w:t>019)</w:t>
            </w:r>
          </w:p>
        </w:tc>
        <w:tc>
          <w:tcPr>
            <w:tcW w:w="1254" w:type="dxa"/>
          </w:tcPr>
          <w:p>
            <w:pPr>
              <w:tabs>
                <w:tab w:val="decimal" w:pos="439"/>
              </w:tabs>
              <w:spacing w:before="40" w:after="40"/>
              <w:rPr>
                <w:sz w:val="22"/>
              </w:rPr>
            </w:pPr>
            <w:r>
              <w:rPr>
                <w:sz w:val="22"/>
              </w:rPr>
              <w:t>100.0</w:t>
            </w:r>
          </w:p>
        </w:tc>
      </w:tr>
      <w:tr>
        <w:trPr>
          <w:gridBefore w:val="1"/>
          <w:wBefore w:w="6" w:type="dxa"/>
        </w:trPr>
        <w:tc>
          <w:tcPr>
            <w:tcW w:w="1002" w:type="dxa"/>
            <w:gridSpan w:val="2"/>
          </w:tcPr>
          <w:p>
            <w:pPr>
              <w:spacing w:before="40" w:after="40"/>
              <w:rPr>
                <w:sz w:val="22"/>
              </w:rPr>
            </w:pPr>
            <w:r>
              <w:rPr>
                <w:sz w:val="22"/>
              </w:rPr>
              <w:t>65.</w:t>
            </w:r>
          </w:p>
        </w:tc>
        <w:tc>
          <w:tcPr>
            <w:tcW w:w="4950" w:type="dxa"/>
          </w:tcPr>
          <w:p>
            <w:pPr>
              <w:pStyle w:val="yTable"/>
            </w:pPr>
            <w:r>
              <w:t>HYDROCODONE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66.</w:t>
            </w:r>
          </w:p>
        </w:tc>
        <w:tc>
          <w:tcPr>
            <w:tcW w:w="4950" w:type="dxa"/>
          </w:tcPr>
          <w:p>
            <w:pPr>
              <w:pStyle w:val="yTable"/>
            </w:pPr>
            <w:r>
              <w:t>HYDROMORPHINOL</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67.</w:t>
            </w:r>
          </w:p>
        </w:tc>
        <w:tc>
          <w:tcPr>
            <w:tcW w:w="4950" w:type="dxa"/>
          </w:tcPr>
          <w:p>
            <w:pPr>
              <w:pStyle w:val="yTable"/>
            </w:pPr>
            <w:r>
              <w:t>HYDROMORPHONE</w:t>
            </w:r>
          </w:p>
        </w:tc>
        <w:tc>
          <w:tcPr>
            <w:tcW w:w="1254" w:type="dxa"/>
          </w:tcPr>
          <w:p>
            <w:pPr>
              <w:tabs>
                <w:tab w:val="decimal" w:pos="439"/>
              </w:tabs>
              <w:spacing w:before="40" w:after="40"/>
              <w:rPr>
                <w:sz w:val="22"/>
              </w:rPr>
            </w:pPr>
            <w:r>
              <w:rPr>
                <w:sz w:val="22"/>
              </w:rPr>
              <w:t>2.0</w:t>
            </w:r>
          </w:p>
        </w:tc>
      </w:tr>
      <w:tr>
        <w:trPr>
          <w:gridBefore w:val="2"/>
          <w:wBefore w:w="14" w:type="dxa"/>
        </w:trPr>
        <w:tc>
          <w:tcPr>
            <w:tcW w:w="994" w:type="dxa"/>
          </w:tcPr>
          <w:p>
            <w:pPr>
              <w:pStyle w:val="yTable"/>
            </w:pPr>
            <w:r>
              <w:t>68A.</w:t>
            </w:r>
          </w:p>
        </w:tc>
        <w:tc>
          <w:tcPr>
            <w:tcW w:w="4950" w:type="dxa"/>
          </w:tcPr>
          <w:p>
            <w:pPr>
              <w:pStyle w:val="yTable"/>
            </w:pPr>
            <w:r>
              <w:t>9</w:t>
            </w:r>
            <w:r>
              <w:noBreakHyphen/>
              <w:t>(HYDROXYMETHYL)</w:t>
            </w:r>
            <w:r>
              <w:noBreakHyphen/>
              <w:t>6,6</w:t>
            </w:r>
            <w:r>
              <w:noBreakHyphen/>
              <w:t>DIMETHYL</w:t>
            </w:r>
            <w:r>
              <w:noBreakHyphen/>
              <w:t>3</w:t>
            </w:r>
            <w:r>
              <w:noBreakHyphen/>
            </w:r>
            <w:r>
              <w:br/>
              <w:t>(2</w:t>
            </w:r>
            <w:r>
              <w:noBreakHyphen/>
              <w:t>METHYLOCTAN</w:t>
            </w:r>
            <w:r>
              <w:noBreakHyphen/>
              <w:t>2</w:t>
            </w:r>
            <w:r>
              <w:noBreakHyphen/>
              <w:t>YL)</w:t>
            </w:r>
            <w:r>
              <w:noBreakHyphen/>
            </w:r>
            <w:r>
              <w:br/>
              <w:t>6A,7,10,10A</w:t>
            </w:r>
            <w:r>
              <w:noBreakHyphen/>
              <w:t>TETRAHYDROBENZO[C]CHROMEN</w:t>
            </w:r>
            <w:r>
              <w:noBreakHyphen/>
              <w:t>1</w:t>
            </w:r>
            <w:r>
              <w:noBreakHyphen/>
              <w:t>OL (HU</w:t>
            </w:r>
            <w:r>
              <w:noBreakHyphen/>
              <w:t>210)</w:t>
            </w:r>
          </w:p>
        </w:tc>
        <w:tc>
          <w:tcPr>
            <w:tcW w:w="1254" w:type="dxa"/>
          </w:tcPr>
          <w:p>
            <w:pPr>
              <w:tabs>
                <w:tab w:val="decimal" w:pos="439"/>
              </w:tabs>
              <w:spacing w:before="40" w:after="40"/>
              <w:rPr>
                <w:sz w:val="22"/>
              </w:rPr>
            </w:pPr>
            <w:r>
              <w:rPr>
                <w:sz w:val="22"/>
              </w:rPr>
              <w:br/>
            </w:r>
            <w:r>
              <w:rPr>
                <w:sz w:val="22"/>
              </w:rPr>
              <w:br/>
            </w:r>
            <w:r>
              <w:rPr>
                <w:sz w:val="22"/>
              </w:rPr>
              <w:br/>
              <w:t>100.0</w:t>
            </w:r>
          </w:p>
        </w:tc>
      </w:tr>
      <w:tr>
        <w:trPr>
          <w:gridBefore w:val="1"/>
          <w:wBefore w:w="6" w:type="dxa"/>
        </w:trPr>
        <w:tc>
          <w:tcPr>
            <w:tcW w:w="1002" w:type="dxa"/>
            <w:gridSpan w:val="2"/>
          </w:tcPr>
          <w:p>
            <w:pPr>
              <w:spacing w:before="40" w:after="40"/>
              <w:rPr>
                <w:sz w:val="22"/>
              </w:rPr>
            </w:pPr>
            <w:r>
              <w:rPr>
                <w:sz w:val="22"/>
              </w:rPr>
              <w:t>68.</w:t>
            </w:r>
          </w:p>
        </w:tc>
        <w:tc>
          <w:tcPr>
            <w:tcW w:w="4950" w:type="dxa"/>
          </w:tcPr>
          <w:p>
            <w:pPr>
              <w:pStyle w:val="yTable"/>
            </w:pPr>
            <w:r>
              <w:t>HYDROXYPETHIDINE</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69.</w:t>
            </w:r>
          </w:p>
        </w:tc>
        <w:tc>
          <w:tcPr>
            <w:tcW w:w="4950" w:type="dxa"/>
          </w:tcPr>
          <w:p>
            <w:pPr>
              <w:pStyle w:val="yTable"/>
            </w:pPr>
            <w:r>
              <w:t>ISOMETHADONE</w:t>
            </w:r>
          </w:p>
        </w:tc>
        <w:tc>
          <w:tcPr>
            <w:tcW w:w="1254" w:type="dxa"/>
          </w:tcPr>
          <w:p>
            <w:pPr>
              <w:tabs>
                <w:tab w:val="decimal" w:pos="439"/>
              </w:tabs>
              <w:spacing w:before="40" w:after="40"/>
              <w:rPr>
                <w:sz w:val="22"/>
              </w:rPr>
            </w:pPr>
            <w:r>
              <w:rPr>
                <w:sz w:val="22"/>
              </w:rPr>
              <w:t>0.2</w:t>
            </w:r>
          </w:p>
        </w:tc>
      </w:tr>
      <w:tr>
        <w:trPr>
          <w:gridBefore w:val="1"/>
          <w:wBefore w:w="6" w:type="dxa"/>
        </w:trPr>
        <w:tc>
          <w:tcPr>
            <w:tcW w:w="1002" w:type="dxa"/>
            <w:gridSpan w:val="2"/>
          </w:tcPr>
          <w:p>
            <w:pPr>
              <w:spacing w:before="40" w:after="40"/>
              <w:rPr>
                <w:sz w:val="22"/>
              </w:rPr>
            </w:pPr>
            <w:r>
              <w:rPr>
                <w:sz w:val="22"/>
              </w:rPr>
              <w:t>70.</w:t>
            </w:r>
          </w:p>
        </w:tc>
        <w:tc>
          <w:tcPr>
            <w:tcW w:w="4950" w:type="dxa"/>
          </w:tcPr>
          <w:p>
            <w:pPr>
              <w:pStyle w:val="yTable"/>
            </w:pPr>
            <w:r>
              <w:t>KETOBEMIDONE</w:t>
            </w:r>
          </w:p>
        </w:tc>
        <w:tc>
          <w:tcPr>
            <w:tcW w:w="1254" w:type="dxa"/>
          </w:tcPr>
          <w:p>
            <w:pPr>
              <w:tabs>
                <w:tab w:val="decimal" w:pos="439"/>
              </w:tabs>
              <w:spacing w:before="40" w:after="40"/>
              <w:rPr>
                <w:sz w:val="22"/>
              </w:rPr>
            </w:pPr>
            <w:r>
              <w:rPr>
                <w:sz w:val="22"/>
              </w:rPr>
              <w:t>0.2</w:t>
            </w:r>
          </w:p>
        </w:tc>
      </w:tr>
      <w:tr>
        <w:trPr>
          <w:gridBefore w:val="1"/>
          <w:wBefore w:w="6" w:type="dxa"/>
        </w:trPr>
        <w:tc>
          <w:tcPr>
            <w:tcW w:w="1002" w:type="dxa"/>
            <w:gridSpan w:val="2"/>
          </w:tcPr>
          <w:p>
            <w:pPr>
              <w:spacing w:before="40" w:after="40"/>
              <w:rPr>
                <w:sz w:val="22"/>
              </w:rPr>
            </w:pPr>
            <w:r>
              <w:rPr>
                <w:sz w:val="22"/>
              </w:rPr>
              <w:t>71.</w:t>
            </w:r>
          </w:p>
        </w:tc>
        <w:tc>
          <w:tcPr>
            <w:tcW w:w="4950" w:type="dxa"/>
          </w:tcPr>
          <w:p>
            <w:pPr>
              <w:pStyle w:val="yTable"/>
            </w:pPr>
            <w:r>
              <w:t>LEVOMETHORPHAN</w:t>
            </w:r>
          </w:p>
        </w:tc>
        <w:tc>
          <w:tcPr>
            <w:tcW w:w="1254" w:type="dxa"/>
          </w:tcPr>
          <w:p>
            <w:pPr>
              <w:tabs>
                <w:tab w:val="decimal" w:pos="439"/>
              </w:tabs>
              <w:spacing w:before="40" w:after="40"/>
              <w:rPr>
                <w:sz w:val="22"/>
              </w:rPr>
            </w:pPr>
            <w:r>
              <w:rPr>
                <w:sz w:val="22"/>
              </w:rPr>
              <w:t>1.0</w:t>
            </w:r>
          </w:p>
        </w:tc>
      </w:tr>
      <w:tr>
        <w:trPr>
          <w:gridBefore w:val="1"/>
          <w:wBefore w:w="6" w:type="dxa"/>
        </w:trPr>
        <w:tc>
          <w:tcPr>
            <w:tcW w:w="1002" w:type="dxa"/>
            <w:gridSpan w:val="2"/>
          </w:tcPr>
          <w:p>
            <w:pPr>
              <w:spacing w:before="40" w:after="40"/>
              <w:rPr>
                <w:sz w:val="22"/>
              </w:rPr>
            </w:pPr>
            <w:r>
              <w:rPr>
                <w:sz w:val="22"/>
              </w:rPr>
              <w:t>72.</w:t>
            </w:r>
          </w:p>
        </w:tc>
        <w:tc>
          <w:tcPr>
            <w:tcW w:w="4950" w:type="dxa"/>
          </w:tcPr>
          <w:p>
            <w:pPr>
              <w:pStyle w:val="yTable"/>
            </w:pPr>
            <w:r>
              <w:t>LEVOMORAMIDE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73.</w:t>
            </w:r>
          </w:p>
        </w:tc>
        <w:tc>
          <w:tcPr>
            <w:tcW w:w="4950" w:type="dxa"/>
          </w:tcPr>
          <w:p>
            <w:pPr>
              <w:pStyle w:val="yTable"/>
            </w:pPr>
            <w:r>
              <w:t>LEVOPHENACYLMORPHAN</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74.</w:t>
            </w:r>
          </w:p>
        </w:tc>
        <w:tc>
          <w:tcPr>
            <w:tcW w:w="4950" w:type="dxa"/>
          </w:tcPr>
          <w:p>
            <w:pPr>
              <w:pStyle w:val="yTable"/>
            </w:pPr>
            <w:r>
              <w:t>LEVORPHANOL</w:t>
            </w:r>
          </w:p>
        </w:tc>
        <w:tc>
          <w:tcPr>
            <w:tcW w:w="1254" w:type="dxa"/>
          </w:tcPr>
          <w:p>
            <w:pPr>
              <w:tabs>
                <w:tab w:val="decimal" w:pos="439"/>
              </w:tabs>
              <w:spacing w:before="40" w:after="40"/>
              <w:rPr>
                <w:sz w:val="22"/>
              </w:rPr>
            </w:pPr>
            <w:r>
              <w:rPr>
                <w:sz w:val="22"/>
              </w:rPr>
              <w:t>1.0</w:t>
            </w:r>
          </w:p>
        </w:tc>
      </w:tr>
      <w:tr>
        <w:trPr>
          <w:gridBefore w:val="1"/>
          <w:wBefore w:w="6" w:type="dxa"/>
        </w:trPr>
        <w:tc>
          <w:tcPr>
            <w:tcW w:w="1002" w:type="dxa"/>
            <w:gridSpan w:val="2"/>
          </w:tcPr>
          <w:p>
            <w:pPr>
              <w:spacing w:before="40" w:after="40"/>
              <w:rPr>
                <w:sz w:val="22"/>
              </w:rPr>
            </w:pPr>
            <w:r>
              <w:rPr>
                <w:sz w:val="22"/>
              </w:rPr>
              <w:t>75.</w:t>
            </w:r>
          </w:p>
        </w:tc>
        <w:tc>
          <w:tcPr>
            <w:tcW w:w="4950" w:type="dxa"/>
          </w:tcPr>
          <w:p>
            <w:pPr>
              <w:pStyle w:val="yTable"/>
            </w:pPr>
            <w:r>
              <w:t>LYSERGIC ACID DIETHYLAMIDE (LSD)</w:t>
            </w:r>
          </w:p>
        </w:tc>
        <w:tc>
          <w:tcPr>
            <w:tcW w:w="1254" w:type="dxa"/>
          </w:tcPr>
          <w:p>
            <w:pPr>
              <w:tabs>
                <w:tab w:val="decimal" w:pos="439"/>
              </w:tabs>
              <w:spacing w:before="40" w:after="40"/>
              <w:rPr>
                <w:sz w:val="22"/>
              </w:rPr>
            </w:pPr>
            <w:r>
              <w:rPr>
                <w:sz w:val="22"/>
              </w:rPr>
              <w:t>0.002</w:t>
            </w:r>
          </w:p>
        </w:tc>
      </w:tr>
      <w:tr>
        <w:trPr>
          <w:gridBefore w:val="1"/>
          <w:wBefore w:w="6" w:type="dxa"/>
        </w:trPr>
        <w:tc>
          <w:tcPr>
            <w:tcW w:w="1002" w:type="dxa"/>
            <w:gridSpan w:val="2"/>
          </w:tcPr>
          <w:p>
            <w:pPr>
              <w:spacing w:before="40" w:after="40"/>
              <w:rPr>
                <w:sz w:val="22"/>
              </w:rPr>
            </w:pPr>
            <w:r>
              <w:rPr>
                <w:sz w:val="22"/>
              </w:rPr>
              <w:t>76.</w:t>
            </w:r>
          </w:p>
        </w:tc>
        <w:tc>
          <w:tcPr>
            <w:tcW w:w="4950" w:type="dxa"/>
          </w:tcPr>
          <w:p>
            <w:pPr>
              <w:pStyle w:val="yTable"/>
            </w:pPr>
            <w:r>
              <w:t>MESCALINE</w:t>
            </w:r>
          </w:p>
        </w:tc>
        <w:tc>
          <w:tcPr>
            <w:tcW w:w="1254" w:type="dxa"/>
          </w:tcPr>
          <w:p>
            <w:pPr>
              <w:tabs>
                <w:tab w:val="decimal" w:pos="439"/>
              </w:tabs>
              <w:spacing w:before="40" w:after="40"/>
              <w:rPr>
                <w:sz w:val="22"/>
              </w:rPr>
            </w:pPr>
            <w:r>
              <w:rPr>
                <w:sz w:val="22"/>
              </w:rPr>
              <w:t>7.5</w:t>
            </w:r>
          </w:p>
        </w:tc>
      </w:tr>
      <w:tr>
        <w:trPr>
          <w:gridBefore w:val="1"/>
          <w:wBefore w:w="6" w:type="dxa"/>
        </w:trPr>
        <w:tc>
          <w:tcPr>
            <w:tcW w:w="1002" w:type="dxa"/>
            <w:gridSpan w:val="2"/>
          </w:tcPr>
          <w:p>
            <w:pPr>
              <w:spacing w:before="40" w:after="40"/>
              <w:rPr>
                <w:sz w:val="22"/>
              </w:rPr>
            </w:pPr>
            <w:r>
              <w:rPr>
                <w:sz w:val="22"/>
              </w:rPr>
              <w:t>77.</w:t>
            </w:r>
          </w:p>
        </w:tc>
        <w:tc>
          <w:tcPr>
            <w:tcW w:w="4950" w:type="dxa"/>
          </w:tcPr>
          <w:p>
            <w:pPr>
              <w:pStyle w:val="yTable"/>
            </w:pPr>
            <w:r>
              <w:t>METAZOCINE</w:t>
            </w:r>
          </w:p>
        </w:tc>
        <w:tc>
          <w:tcPr>
            <w:tcW w:w="1254" w:type="dxa"/>
          </w:tcPr>
          <w:p>
            <w:pPr>
              <w:tabs>
                <w:tab w:val="decimal" w:pos="439"/>
              </w:tabs>
              <w:spacing w:before="40" w:after="40"/>
              <w:rPr>
                <w:sz w:val="22"/>
              </w:rPr>
            </w:pPr>
            <w:r>
              <w:rPr>
                <w:sz w:val="22"/>
              </w:rPr>
              <w:t>7.0</w:t>
            </w:r>
          </w:p>
        </w:tc>
      </w:tr>
      <w:tr>
        <w:trPr>
          <w:gridBefore w:val="1"/>
          <w:wBefore w:w="6" w:type="dxa"/>
        </w:trPr>
        <w:tc>
          <w:tcPr>
            <w:tcW w:w="1002" w:type="dxa"/>
            <w:gridSpan w:val="2"/>
          </w:tcPr>
          <w:p>
            <w:pPr>
              <w:spacing w:before="40" w:after="40"/>
              <w:rPr>
                <w:sz w:val="22"/>
              </w:rPr>
            </w:pPr>
            <w:r>
              <w:rPr>
                <w:sz w:val="22"/>
              </w:rPr>
              <w:t>78.</w:t>
            </w:r>
          </w:p>
        </w:tc>
        <w:tc>
          <w:tcPr>
            <w:tcW w:w="4950" w:type="dxa"/>
          </w:tcPr>
          <w:p>
            <w:pPr>
              <w:pStyle w:val="yTable"/>
            </w:pPr>
            <w:r>
              <w:t>METHADONE</w:t>
            </w:r>
          </w:p>
        </w:tc>
        <w:tc>
          <w:tcPr>
            <w:tcW w:w="1254" w:type="dxa"/>
          </w:tcPr>
          <w:p>
            <w:pPr>
              <w:tabs>
                <w:tab w:val="decimal" w:pos="439"/>
              </w:tabs>
              <w:spacing w:before="40" w:after="40"/>
              <w:rPr>
                <w:sz w:val="22"/>
              </w:rPr>
            </w:pPr>
            <w:r>
              <w:rPr>
                <w:sz w:val="22"/>
              </w:rPr>
              <w:t>0.2</w:t>
            </w:r>
          </w:p>
        </w:tc>
      </w:tr>
      <w:tr>
        <w:trPr>
          <w:gridBefore w:val="1"/>
          <w:wBefore w:w="6" w:type="dxa"/>
        </w:trPr>
        <w:tc>
          <w:tcPr>
            <w:tcW w:w="1002" w:type="dxa"/>
            <w:gridSpan w:val="2"/>
          </w:tcPr>
          <w:p>
            <w:pPr>
              <w:spacing w:before="40" w:after="40"/>
              <w:rPr>
                <w:sz w:val="22"/>
              </w:rPr>
            </w:pPr>
            <w:r>
              <w:rPr>
                <w:sz w:val="22"/>
              </w:rPr>
              <w:t>79.</w:t>
            </w:r>
          </w:p>
        </w:tc>
        <w:tc>
          <w:tcPr>
            <w:tcW w:w="4950" w:type="dxa"/>
          </w:tcPr>
          <w:p>
            <w:pPr>
              <w:pStyle w:val="yTable"/>
            </w:pPr>
            <w:r>
              <w:t>METHADONE</w:t>
            </w:r>
            <w:r>
              <w:noBreakHyphen/>
              <w:t>INTERMEDIATE</w:t>
            </w:r>
          </w:p>
        </w:tc>
        <w:tc>
          <w:tcPr>
            <w:tcW w:w="1254" w:type="dxa"/>
          </w:tcPr>
          <w:p>
            <w:pPr>
              <w:tabs>
                <w:tab w:val="decimal" w:pos="439"/>
              </w:tabs>
              <w:spacing w:before="40" w:after="40"/>
              <w:rPr>
                <w:sz w:val="22"/>
              </w:rPr>
            </w:pPr>
            <w:r>
              <w:rPr>
                <w:sz w:val="22"/>
              </w:rPr>
              <w:t>0.2</w:t>
            </w:r>
          </w:p>
        </w:tc>
      </w:tr>
      <w:tr>
        <w:trPr>
          <w:gridBefore w:val="1"/>
          <w:wBefore w:w="6" w:type="dxa"/>
        </w:trPr>
        <w:tc>
          <w:tcPr>
            <w:tcW w:w="1002" w:type="dxa"/>
            <w:gridSpan w:val="2"/>
          </w:tcPr>
          <w:p>
            <w:pPr>
              <w:spacing w:before="40" w:after="40"/>
              <w:rPr>
                <w:sz w:val="22"/>
              </w:rPr>
            </w:pPr>
            <w:r>
              <w:rPr>
                <w:sz w:val="22"/>
              </w:rPr>
              <w:t>80.</w:t>
            </w:r>
          </w:p>
        </w:tc>
        <w:tc>
          <w:tcPr>
            <w:tcW w:w="4950" w:type="dxa"/>
          </w:tcPr>
          <w:p>
            <w:pPr>
              <w:pStyle w:val="yTable"/>
            </w:pPr>
            <w:r>
              <w:t>METHAQUALONE</w:t>
            </w:r>
          </w:p>
        </w:tc>
        <w:tc>
          <w:tcPr>
            <w:tcW w:w="1254" w:type="dxa"/>
          </w:tcPr>
          <w:p>
            <w:pPr>
              <w:tabs>
                <w:tab w:val="decimal" w:pos="439"/>
              </w:tabs>
              <w:spacing w:before="40" w:after="40"/>
              <w:rPr>
                <w:sz w:val="22"/>
              </w:rPr>
            </w:pPr>
            <w:r>
              <w:rPr>
                <w:sz w:val="22"/>
              </w:rPr>
              <w:t>50.0</w:t>
            </w:r>
          </w:p>
        </w:tc>
      </w:tr>
      <w:tr>
        <w:trPr>
          <w:gridBefore w:val="1"/>
          <w:wBefore w:w="6" w:type="dxa"/>
        </w:trPr>
        <w:tc>
          <w:tcPr>
            <w:tcW w:w="1002" w:type="dxa"/>
            <w:gridSpan w:val="2"/>
          </w:tcPr>
          <w:p>
            <w:pPr>
              <w:spacing w:before="40" w:after="40"/>
              <w:rPr>
                <w:sz w:val="22"/>
              </w:rPr>
            </w:pPr>
            <w:r>
              <w:rPr>
                <w:sz w:val="22"/>
              </w:rPr>
              <w:t>81.</w:t>
            </w:r>
          </w:p>
        </w:tc>
        <w:tc>
          <w:tcPr>
            <w:tcW w:w="4950" w:type="dxa"/>
          </w:tcPr>
          <w:p>
            <w:pPr>
              <w:pStyle w:val="yTable"/>
            </w:pPr>
            <w:r>
              <w:t>METHARBITONE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82A.</w:t>
            </w:r>
          </w:p>
        </w:tc>
        <w:tc>
          <w:tcPr>
            <w:tcW w:w="4950" w:type="dxa"/>
          </w:tcPr>
          <w:p>
            <w:pPr>
              <w:pStyle w:val="yTable"/>
            </w:pPr>
            <w:r>
              <w:t>METHCATHINONE</w:t>
            </w:r>
          </w:p>
        </w:tc>
        <w:tc>
          <w:tcPr>
            <w:tcW w:w="1254" w:type="dxa"/>
          </w:tcPr>
          <w:p>
            <w:pPr>
              <w:tabs>
                <w:tab w:val="decimal" w:pos="439"/>
              </w:tabs>
              <w:spacing w:before="40" w:after="40"/>
              <w:rPr>
                <w:sz w:val="22"/>
              </w:rPr>
            </w:pPr>
            <w:r>
              <w:rPr>
                <w:sz w:val="22"/>
              </w:rPr>
              <w:t>2.0</w:t>
            </w:r>
          </w:p>
        </w:tc>
      </w:tr>
      <w:tr>
        <w:tc>
          <w:tcPr>
            <w:tcW w:w="1008" w:type="dxa"/>
            <w:gridSpan w:val="3"/>
          </w:tcPr>
          <w:p>
            <w:pPr>
              <w:pStyle w:val="yTable"/>
            </w:pPr>
            <w:r>
              <w:t>82BA.</w:t>
            </w:r>
          </w:p>
        </w:tc>
        <w:tc>
          <w:tcPr>
            <w:tcW w:w="4950" w:type="dxa"/>
          </w:tcPr>
          <w:p>
            <w:pPr>
              <w:pStyle w:val="yTable"/>
            </w:pPr>
            <w:r>
              <w:t>4</w:t>
            </w:r>
            <w:r>
              <w:noBreakHyphen/>
              <w:t>METHOXYPHENYL(1</w:t>
            </w:r>
            <w:r>
              <w:noBreakHyphen/>
              <w:t>BUTYL</w:t>
            </w:r>
            <w:r>
              <w:noBreakHyphen/>
              <w:t>1H</w:t>
            </w:r>
            <w:r>
              <w:noBreakHyphen/>
              <w:t>INDOL</w:t>
            </w:r>
            <w:r>
              <w:br/>
            </w:r>
            <w:r>
              <w:noBreakHyphen/>
              <w:t>3</w:t>
            </w:r>
            <w:r>
              <w:noBreakHyphen/>
              <w:t>YL)</w:t>
            </w:r>
            <w:r>
              <w:noBreakHyphen/>
              <w:t>METHANONE (RCS</w:t>
            </w:r>
            <w:r>
              <w:noBreakHyphen/>
              <w:t>4 (C4))</w:t>
            </w:r>
          </w:p>
        </w:tc>
        <w:tc>
          <w:tcPr>
            <w:tcW w:w="1254" w:type="dxa"/>
          </w:tcPr>
          <w:p>
            <w:pPr>
              <w:tabs>
                <w:tab w:val="decimal" w:pos="439"/>
              </w:tabs>
              <w:spacing w:before="40" w:after="40"/>
              <w:rPr>
                <w:sz w:val="22"/>
              </w:rPr>
            </w:pPr>
            <w:r>
              <w:rPr>
                <w:sz w:val="22"/>
              </w:rPr>
              <w:br/>
              <w:t>100.0</w:t>
            </w:r>
          </w:p>
        </w:tc>
      </w:tr>
      <w:tr>
        <w:tc>
          <w:tcPr>
            <w:tcW w:w="1008" w:type="dxa"/>
            <w:gridSpan w:val="3"/>
          </w:tcPr>
          <w:p>
            <w:pPr>
              <w:pStyle w:val="yTable"/>
            </w:pPr>
            <w:r>
              <w:t>82BB.</w:t>
            </w:r>
          </w:p>
        </w:tc>
        <w:tc>
          <w:tcPr>
            <w:tcW w:w="4950" w:type="dxa"/>
          </w:tcPr>
          <w:p>
            <w:pPr>
              <w:pStyle w:val="yTable"/>
            </w:pPr>
            <w:r>
              <w:t>2</w:t>
            </w:r>
            <w:r>
              <w:noBreakHyphen/>
              <w:t>(4</w:t>
            </w:r>
            <w:r>
              <w:noBreakHyphen/>
              <w:t>METHOXYPHENYL)</w:t>
            </w:r>
            <w:r>
              <w:noBreakHyphen/>
              <w:t>1</w:t>
            </w:r>
            <w:r>
              <w:noBreakHyphen/>
              <w:t>(1</w:t>
            </w:r>
            <w:r>
              <w:noBreakHyphen/>
              <w:t>PENTYL</w:t>
            </w:r>
            <w:r>
              <w:noBreakHyphen/>
              <w:t>1H</w:t>
            </w:r>
            <w:r>
              <w:noBreakHyphen/>
            </w:r>
            <w:r>
              <w:br/>
              <w:t>INDOL</w:t>
            </w:r>
            <w:r>
              <w:noBreakHyphen/>
              <w:t>3</w:t>
            </w:r>
            <w:r>
              <w:noBreakHyphen/>
              <w:t>YL)</w:t>
            </w:r>
            <w:r>
              <w:noBreakHyphen/>
              <w:t>ETHANONE (JWH</w:t>
            </w:r>
            <w:r>
              <w:noBreakHyphen/>
              <w:t>201)</w:t>
            </w:r>
          </w:p>
        </w:tc>
        <w:tc>
          <w:tcPr>
            <w:tcW w:w="1254" w:type="dxa"/>
          </w:tcPr>
          <w:p>
            <w:pPr>
              <w:tabs>
                <w:tab w:val="decimal" w:pos="439"/>
              </w:tabs>
              <w:spacing w:before="40" w:after="40"/>
              <w:rPr>
                <w:sz w:val="22"/>
              </w:rPr>
            </w:pPr>
            <w:r>
              <w:rPr>
                <w:sz w:val="22"/>
              </w:rPr>
              <w:br/>
              <w:t>100.0</w:t>
            </w:r>
          </w:p>
        </w:tc>
      </w:tr>
      <w:tr>
        <w:trPr>
          <w:gridBefore w:val="1"/>
          <w:wBefore w:w="6" w:type="dxa"/>
        </w:trPr>
        <w:tc>
          <w:tcPr>
            <w:tcW w:w="1002" w:type="dxa"/>
            <w:gridSpan w:val="2"/>
          </w:tcPr>
          <w:p>
            <w:pPr>
              <w:spacing w:before="40" w:after="40"/>
              <w:rPr>
                <w:sz w:val="22"/>
              </w:rPr>
            </w:pPr>
            <w:r>
              <w:rPr>
                <w:sz w:val="22"/>
              </w:rPr>
              <w:t>82B.</w:t>
            </w:r>
          </w:p>
        </w:tc>
        <w:tc>
          <w:tcPr>
            <w:tcW w:w="4950" w:type="dxa"/>
          </w:tcPr>
          <w:p>
            <w:pPr>
              <w:pStyle w:val="yTable"/>
              <w:ind w:left="397" w:hanging="397"/>
            </w:pPr>
            <w:r>
              <w:rPr>
                <w:szCs w:val="24"/>
              </w:rPr>
              <w:t>2</w:t>
            </w:r>
            <w:r>
              <w:rPr>
                <w:szCs w:val="24"/>
              </w:rPr>
              <w:noBreakHyphen/>
              <w:t>(2</w:t>
            </w:r>
            <w:r>
              <w:rPr>
                <w:szCs w:val="24"/>
              </w:rPr>
              <w:noBreakHyphen/>
            </w:r>
            <w:r>
              <w:t>METHOXYPHENYL</w:t>
            </w:r>
            <w:r>
              <w:rPr>
                <w:szCs w:val="24"/>
              </w:rPr>
              <w:t>)</w:t>
            </w:r>
            <w:r>
              <w:rPr>
                <w:szCs w:val="24"/>
              </w:rPr>
              <w:noBreakHyphen/>
              <w:t>1</w:t>
            </w:r>
            <w:r>
              <w:rPr>
                <w:szCs w:val="24"/>
              </w:rPr>
              <w:noBreakHyphen/>
              <w:t>(1</w:t>
            </w:r>
            <w:r>
              <w:rPr>
                <w:szCs w:val="24"/>
              </w:rPr>
              <w:noBreakHyphen/>
              <w:t>PENTYLINDOL</w:t>
            </w:r>
            <w:r>
              <w:rPr>
                <w:szCs w:val="24"/>
              </w:rPr>
              <w:br/>
            </w:r>
            <w:r>
              <w:rPr>
                <w:szCs w:val="24"/>
              </w:rPr>
              <w:noBreakHyphen/>
              <w:t>3</w:t>
            </w:r>
            <w:r>
              <w:rPr>
                <w:szCs w:val="24"/>
              </w:rPr>
              <w:noBreakHyphen/>
              <w:t>YL)</w:t>
            </w:r>
            <w:r>
              <w:t>ETHANONE</w:t>
            </w:r>
            <w:r>
              <w:rPr>
                <w:szCs w:val="24"/>
              </w:rPr>
              <w:t xml:space="preserve"> (JWH – 250)</w:t>
            </w:r>
          </w:p>
        </w:tc>
        <w:tc>
          <w:tcPr>
            <w:tcW w:w="1254" w:type="dxa"/>
          </w:tcPr>
          <w:p>
            <w:pPr>
              <w:tabs>
                <w:tab w:val="decimal" w:pos="439"/>
              </w:tabs>
              <w:spacing w:before="40" w:after="40"/>
              <w:rPr>
                <w:sz w:val="22"/>
              </w:rPr>
            </w:pPr>
            <w:r>
              <w:rPr>
                <w:sz w:val="22"/>
              </w:rPr>
              <w:br/>
              <w:t>100.0</w:t>
            </w:r>
          </w:p>
        </w:tc>
      </w:tr>
      <w:tr>
        <w:trPr>
          <w:gridBefore w:val="2"/>
          <w:wBefore w:w="14" w:type="dxa"/>
        </w:trPr>
        <w:tc>
          <w:tcPr>
            <w:tcW w:w="994" w:type="dxa"/>
          </w:tcPr>
          <w:p>
            <w:pPr>
              <w:pStyle w:val="yTable"/>
            </w:pPr>
            <w:r>
              <w:t>82C.</w:t>
            </w:r>
          </w:p>
        </w:tc>
        <w:tc>
          <w:tcPr>
            <w:tcW w:w="4950" w:type="dxa"/>
          </w:tcPr>
          <w:p>
            <w:pPr>
              <w:pStyle w:val="yTable"/>
            </w:pPr>
            <w:r>
              <w:t>2</w:t>
            </w:r>
            <w:r>
              <w:noBreakHyphen/>
              <w:t>(3</w:t>
            </w:r>
            <w:r>
              <w:noBreakHyphen/>
              <w:t>METHOXYPHENYL)</w:t>
            </w:r>
            <w:r>
              <w:noBreakHyphen/>
              <w:t>1</w:t>
            </w:r>
            <w:r>
              <w:noBreakHyphen/>
              <w:t>(1</w:t>
            </w:r>
            <w:r>
              <w:noBreakHyphen/>
            </w:r>
            <w:r>
              <w:br/>
              <w:t>PENTYLINDOL</w:t>
            </w:r>
            <w:r>
              <w:noBreakHyphen/>
              <w:t>3</w:t>
            </w:r>
            <w:r>
              <w:noBreakHyphen/>
              <w:t>YL)ETHANONE (JWH</w:t>
            </w:r>
            <w:r>
              <w:noBreakHyphen/>
              <w:t>302)</w:t>
            </w:r>
          </w:p>
        </w:tc>
        <w:tc>
          <w:tcPr>
            <w:tcW w:w="1254" w:type="dxa"/>
          </w:tcPr>
          <w:p>
            <w:pPr>
              <w:tabs>
                <w:tab w:val="decimal" w:pos="439"/>
              </w:tabs>
              <w:spacing w:before="40" w:after="40"/>
              <w:rPr>
                <w:sz w:val="22"/>
              </w:rPr>
            </w:pPr>
            <w:r>
              <w:rPr>
                <w:sz w:val="22"/>
              </w:rPr>
              <w:br/>
              <w:t>100.0</w:t>
            </w:r>
          </w:p>
        </w:tc>
      </w:tr>
      <w:tr>
        <w:trPr>
          <w:gridBefore w:val="1"/>
          <w:wBefore w:w="6" w:type="dxa"/>
        </w:trPr>
        <w:tc>
          <w:tcPr>
            <w:tcW w:w="1002" w:type="dxa"/>
            <w:gridSpan w:val="2"/>
          </w:tcPr>
          <w:p>
            <w:pPr>
              <w:spacing w:before="40" w:after="40"/>
              <w:rPr>
                <w:sz w:val="22"/>
              </w:rPr>
            </w:pPr>
            <w:r>
              <w:rPr>
                <w:sz w:val="22"/>
              </w:rPr>
              <w:t>82</w:t>
            </w:r>
          </w:p>
        </w:tc>
        <w:tc>
          <w:tcPr>
            <w:tcW w:w="4950" w:type="dxa"/>
          </w:tcPr>
          <w:p>
            <w:pPr>
              <w:pStyle w:val="yTable"/>
            </w:pPr>
            <w:r>
              <w:t>METHYLAMPHETAMINE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83.</w:t>
            </w:r>
          </w:p>
        </w:tc>
        <w:tc>
          <w:tcPr>
            <w:tcW w:w="4950" w:type="dxa"/>
          </w:tcPr>
          <w:p>
            <w:pPr>
              <w:pStyle w:val="yTable"/>
            </w:pPr>
            <w:r>
              <w:t>METHYLDESORPHINE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84.</w:t>
            </w:r>
          </w:p>
        </w:tc>
        <w:tc>
          <w:tcPr>
            <w:tcW w:w="4950" w:type="dxa"/>
          </w:tcPr>
          <w:p>
            <w:pPr>
              <w:pStyle w:val="yTable"/>
            </w:pPr>
            <w:r>
              <w:t>METHYLDIHYDROMORPHINE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rFonts w:ascii="Times" w:hAnsi="Times"/>
                <w:spacing w:val="-6"/>
                <w:sz w:val="22"/>
              </w:rPr>
            </w:pPr>
            <w:r>
              <w:rPr>
                <w:rFonts w:ascii="Times" w:hAnsi="Times"/>
                <w:spacing w:val="-6"/>
                <w:sz w:val="22"/>
              </w:rPr>
              <w:t>84A.</w:t>
            </w:r>
          </w:p>
        </w:tc>
        <w:tc>
          <w:tcPr>
            <w:tcW w:w="4950" w:type="dxa"/>
          </w:tcPr>
          <w:p>
            <w:pPr>
              <w:pStyle w:val="yTable"/>
              <w:ind w:left="397" w:hanging="397"/>
            </w:pPr>
            <w:r>
              <w:t>3, 4</w:t>
            </w:r>
            <w:r>
              <w:noBreakHyphen/>
              <w:t>METHYLENEDIOXYAMPHETAMINE (MDA)</w:t>
            </w:r>
          </w:p>
        </w:tc>
        <w:tc>
          <w:tcPr>
            <w:tcW w:w="1254" w:type="dxa"/>
          </w:tcPr>
          <w:p>
            <w:pPr>
              <w:tabs>
                <w:tab w:val="decimal" w:pos="439"/>
              </w:tabs>
              <w:spacing w:before="40" w:after="40"/>
              <w:rPr>
                <w:sz w:val="22"/>
              </w:rPr>
            </w:pPr>
            <w:r>
              <w:rPr>
                <w:sz w:val="22"/>
              </w:rPr>
              <w:br/>
              <w:t>2.0</w:t>
            </w:r>
          </w:p>
        </w:tc>
      </w:tr>
      <w:tr>
        <w:trPr>
          <w:gridBefore w:val="1"/>
          <w:wBefore w:w="6" w:type="dxa"/>
        </w:trPr>
        <w:tc>
          <w:tcPr>
            <w:tcW w:w="1002" w:type="dxa"/>
            <w:gridSpan w:val="2"/>
          </w:tcPr>
          <w:p>
            <w:pPr>
              <w:keepNext/>
              <w:spacing w:before="40" w:after="40"/>
              <w:rPr>
                <w:rFonts w:ascii="Times" w:hAnsi="Times"/>
                <w:spacing w:val="-6"/>
                <w:sz w:val="22"/>
              </w:rPr>
            </w:pPr>
            <w:r>
              <w:rPr>
                <w:rFonts w:ascii="Times" w:hAnsi="Times"/>
                <w:spacing w:val="-6"/>
                <w:sz w:val="22"/>
              </w:rPr>
              <w:t>84B.</w:t>
            </w:r>
          </w:p>
        </w:tc>
        <w:tc>
          <w:tcPr>
            <w:tcW w:w="4950" w:type="dxa"/>
          </w:tcPr>
          <w:p>
            <w:pPr>
              <w:pStyle w:val="yTable"/>
              <w:ind w:left="397" w:hanging="397"/>
            </w:pPr>
            <w:r>
              <w:t>3, 4</w:t>
            </w:r>
            <w:r>
              <w:noBreakHyphen/>
              <w:t>METHYLENEDIOXY</w:t>
            </w:r>
            <w:r>
              <w:noBreakHyphen/>
              <w:t>N, ALPHA</w:t>
            </w:r>
            <w:r>
              <w:noBreakHyphen/>
              <w:t>DIMETHYLPHENYLETHYLAMINE (MDMA)</w:t>
            </w:r>
          </w:p>
        </w:tc>
        <w:tc>
          <w:tcPr>
            <w:tcW w:w="1254" w:type="dxa"/>
          </w:tcPr>
          <w:p>
            <w:pPr>
              <w:keepNext/>
              <w:tabs>
                <w:tab w:val="decimal" w:pos="439"/>
              </w:tabs>
              <w:spacing w:before="40" w:after="40"/>
              <w:rPr>
                <w:sz w:val="22"/>
              </w:rPr>
            </w:pPr>
            <w:r>
              <w:rPr>
                <w:sz w:val="22"/>
              </w:rPr>
              <w:br/>
            </w:r>
            <w:r>
              <w:rPr>
                <w:sz w:val="22"/>
              </w:rPr>
              <w:br/>
              <w:t>2.0</w:t>
            </w:r>
          </w:p>
        </w:tc>
      </w:tr>
      <w:tr>
        <w:trPr>
          <w:gridBefore w:val="1"/>
          <w:wBefore w:w="6" w:type="dxa"/>
        </w:trPr>
        <w:tc>
          <w:tcPr>
            <w:tcW w:w="1002" w:type="dxa"/>
            <w:gridSpan w:val="2"/>
          </w:tcPr>
          <w:p>
            <w:pPr>
              <w:spacing w:before="40" w:after="40"/>
              <w:rPr>
                <w:sz w:val="22"/>
              </w:rPr>
            </w:pPr>
            <w:r>
              <w:rPr>
                <w:sz w:val="22"/>
              </w:rPr>
              <w:t>84C.</w:t>
            </w:r>
          </w:p>
        </w:tc>
        <w:tc>
          <w:tcPr>
            <w:tcW w:w="4950" w:type="dxa"/>
          </w:tcPr>
          <w:p>
            <w:pPr>
              <w:spacing w:before="40" w:after="40"/>
              <w:rPr>
                <w:sz w:val="22"/>
              </w:rPr>
            </w:pPr>
            <w:r>
              <w:rPr>
                <w:sz w:val="22"/>
              </w:rPr>
              <w:t>3, 4</w:t>
            </w:r>
            <w:r>
              <w:rPr>
                <w:sz w:val="22"/>
              </w:rPr>
              <w:noBreakHyphen/>
              <w:t>METHYLENEDIOXYPYROVALERONE (MDPV)</w:t>
            </w:r>
          </w:p>
        </w:tc>
        <w:tc>
          <w:tcPr>
            <w:tcW w:w="1254" w:type="dxa"/>
          </w:tcPr>
          <w:p>
            <w:pPr>
              <w:keepNext/>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85.</w:t>
            </w:r>
          </w:p>
        </w:tc>
        <w:tc>
          <w:tcPr>
            <w:tcW w:w="4950" w:type="dxa"/>
          </w:tcPr>
          <w:p>
            <w:pPr>
              <w:pStyle w:val="yTable"/>
            </w:pPr>
            <w:r>
              <w:t>METHYLPHENIDATE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86.</w:t>
            </w:r>
          </w:p>
        </w:tc>
        <w:tc>
          <w:tcPr>
            <w:tcW w:w="4950" w:type="dxa"/>
          </w:tcPr>
          <w:p>
            <w:pPr>
              <w:pStyle w:val="yTable"/>
            </w:pPr>
            <w:r>
              <w:t>METHYLPHENOBARBITONE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87.</w:t>
            </w:r>
          </w:p>
        </w:tc>
        <w:tc>
          <w:tcPr>
            <w:tcW w:w="4950" w:type="dxa"/>
          </w:tcPr>
          <w:p>
            <w:pPr>
              <w:pStyle w:val="yTable"/>
              <w:ind w:left="548" w:hanging="548"/>
            </w:pPr>
            <w:r>
              <w:t>1</w:t>
            </w:r>
            <w:r>
              <w:noBreakHyphen/>
              <w:t>METHYL</w:t>
            </w:r>
            <w:r>
              <w:noBreakHyphen/>
              <w:t>4</w:t>
            </w:r>
            <w:r>
              <w:noBreakHyphen/>
              <w:t>PHENYLPIPERIDINE</w:t>
            </w:r>
            <w:r>
              <w:noBreakHyphen/>
              <w:t>4</w:t>
            </w:r>
            <w:r>
              <w:noBreakHyphen/>
            </w:r>
            <w:r>
              <w:br/>
              <w:t>CARBOXYLIC ACID ESTERS</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88.</w:t>
            </w:r>
          </w:p>
        </w:tc>
        <w:tc>
          <w:tcPr>
            <w:tcW w:w="4950" w:type="dxa"/>
          </w:tcPr>
          <w:p>
            <w:pPr>
              <w:pStyle w:val="yTable"/>
            </w:pPr>
            <w:r>
              <w:t>METOPON</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89.</w:t>
            </w:r>
          </w:p>
        </w:tc>
        <w:tc>
          <w:tcPr>
            <w:tcW w:w="4950" w:type="dxa"/>
          </w:tcPr>
          <w:p>
            <w:pPr>
              <w:pStyle w:val="yTable"/>
            </w:pPr>
            <w:r>
              <w:t>MORAMIDE</w:t>
            </w:r>
            <w:r>
              <w:noBreakHyphen/>
              <w:t>INTERMEDIATE</w:t>
            </w:r>
          </w:p>
        </w:tc>
        <w:tc>
          <w:tcPr>
            <w:tcW w:w="1254" w:type="dxa"/>
          </w:tcPr>
          <w:p>
            <w:pPr>
              <w:tabs>
                <w:tab w:val="decimal" w:pos="439"/>
              </w:tabs>
              <w:spacing w:before="40" w:after="40"/>
              <w:rPr>
                <w:sz w:val="22"/>
              </w:rPr>
            </w:pPr>
            <w:r>
              <w:rPr>
                <w:sz w:val="22"/>
              </w:rPr>
              <w:t>1.0</w:t>
            </w:r>
          </w:p>
        </w:tc>
      </w:tr>
      <w:tr>
        <w:trPr>
          <w:gridBefore w:val="1"/>
          <w:wBefore w:w="6" w:type="dxa"/>
        </w:trPr>
        <w:tc>
          <w:tcPr>
            <w:tcW w:w="1002" w:type="dxa"/>
            <w:gridSpan w:val="2"/>
          </w:tcPr>
          <w:p>
            <w:pPr>
              <w:spacing w:before="40" w:after="40"/>
              <w:rPr>
                <w:sz w:val="22"/>
              </w:rPr>
            </w:pPr>
            <w:r>
              <w:rPr>
                <w:sz w:val="22"/>
              </w:rPr>
              <w:t>90.</w:t>
            </w:r>
          </w:p>
        </w:tc>
        <w:tc>
          <w:tcPr>
            <w:tcW w:w="4950" w:type="dxa"/>
          </w:tcPr>
          <w:p>
            <w:pPr>
              <w:pStyle w:val="yTable"/>
            </w:pPr>
            <w:r>
              <w:t>MORPHERIDINE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91.</w:t>
            </w:r>
          </w:p>
        </w:tc>
        <w:tc>
          <w:tcPr>
            <w:tcW w:w="4950" w:type="dxa"/>
          </w:tcPr>
          <w:p>
            <w:pPr>
              <w:pStyle w:val="yTable"/>
              <w:ind w:right="-70"/>
            </w:pPr>
            <w:r>
              <w:t>MORPHINE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92.</w:t>
            </w:r>
          </w:p>
        </w:tc>
        <w:tc>
          <w:tcPr>
            <w:tcW w:w="4950" w:type="dxa"/>
          </w:tcPr>
          <w:p>
            <w:pPr>
              <w:pStyle w:val="yTable"/>
              <w:ind w:left="397" w:hanging="397"/>
            </w:pPr>
            <w:r>
              <w:t xml:space="preserve">MORPHINE DERIVATIVES (not specifically included elsewhere in this Schedule or in any Schedule in Appendix A to the </w:t>
            </w:r>
            <w:r>
              <w:rPr>
                <w:i/>
                <w:iCs/>
              </w:rPr>
              <w:t>Poisons Act 1964</w:t>
            </w:r>
            <w:r>
              <w:t>)</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keepNext/>
              <w:keepLines/>
              <w:spacing w:before="40" w:after="40"/>
              <w:rPr>
                <w:sz w:val="22"/>
              </w:rPr>
            </w:pPr>
            <w:r>
              <w:rPr>
                <w:sz w:val="22"/>
              </w:rPr>
              <w:t>93.</w:t>
            </w:r>
          </w:p>
        </w:tc>
        <w:tc>
          <w:tcPr>
            <w:tcW w:w="4950" w:type="dxa"/>
          </w:tcPr>
          <w:p>
            <w:pPr>
              <w:pStyle w:val="yTable"/>
              <w:ind w:left="397" w:hanging="397"/>
            </w:pPr>
            <w:r>
              <w:t>MORPHINE METHOBROMIDE AND OTHER PENTAVALENT NITROGEN MORPHINE DERIVATIVES</w:t>
            </w:r>
          </w:p>
        </w:tc>
        <w:tc>
          <w:tcPr>
            <w:tcW w:w="1254" w:type="dxa"/>
          </w:tcPr>
          <w:p>
            <w:pPr>
              <w:keepNext/>
              <w:keepLines/>
              <w:tabs>
                <w:tab w:val="decimal" w:pos="439"/>
              </w:tabs>
              <w:spacing w:before="40" w:after="40"/>
              <w:rPr>
                <w:sz w:val="22"/>
              </w:rPr>
            </w:pPr>
            <w:r>
              <w:rPr>
                <w:sz w:val="22"/>
              </w:rPr>
              <w:br/>
            </w:r>
            <w:r>
              <w:rPr>
                <w:sz w:val="22"/>
              </w:rPr>
              <w:br/>
              <w:t>2.0</w:t>
            </w:r>
          </w:p>
        </w:tc>
      </w:tr>
      <w:tr>
        <w:trPr>
          <w:gridBefore w:val="1"/>
          <w:wBefore w:w="6" w:type="dxa"/>
        </w:trPr>
        <w:tc>
          <w:tcPr>
            <w:tcW w:w="1002" w:type="dxa"/>
            <w:gridSpan w:val="2"/>
          </w:tcPr>
          <w:p>
            <w:pPr>
              <w:spacing w:before="40" w:after="40"/>
              <w:rPr>
                <w:sz w:val="22"/>
              </w:rPr>
            </w:pPr>
            <w:r>
              <w:rPr>
                <w:sz w:val="22"/>
              </w:rPr>
              <w:t>94.</w:t>
            </w:r>
          </w:p>
        </w:tc>
        <w:tc>
          <w:tcPr>
            <w:tcW w:w="4950" w:type="dxa"/>
          </w:tcPr>
          <w:p>
            <w:pPr>
              <w:pStyle w:val="yTable"/>
            </w:pPr>
            <w:r>
              <w:t>MORPHINE</w:t>
            </w:r>
            <w:r>
              <w:noBreakHyphen/>
              <w:t>N</w:t>
            </w:r>
            <w:r>
              <w:noBreakHyphen/>
              <w:t>OXIDE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95.</w:t>
            </w:r>
          </w:p>
        </w:tc>
        <w:tc>
          <w:tcPr>
            <w:tcW w:w="4950" w:type="dxa"/>
          </w:tcPr>
          <w:p>
            <w:pPr>
              <w:pStyle w:val="yTable"/>
              <w:ind w:left="397" w:hanging="397"/>
            </w:pPr>
            <w:r>
              <w:t>MORPHINE SUBSTITUTES (not specifically included elsewhere in this Schedule)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96A.</w:t>
            </w:r>
          </w:p>
        </w:tc>
        <w:tc>
          <w:tcPr>
            <w:tcW w:w="4950" w:type="dxa"/>
          </w:tcPr>
          <w:p>
            <w:pPr>
              <w:pStyle w:val="yTable"/>
              <w:ind w:left="397" w:hanging="397"/>
            </w:pPr>
            <w:r>
              <w:rPr>
                <w:szCs w:val="24"/>
              </w:rPr>
              <w:t>1</w:t>
            </w:r>
            <w:r>
              <w:rPr>
                <w:szCs w:val="24"/>
              </w:rPr>
              <w:noBreakHyphen/>
              <w:t>[2</w:t>
            </w:r>
            <w:r>
              <w:rPr>
                <w:szCs w:val="24"/>
              </w:rPr>
              <w:noBreakHyphen/>
              <w:t>(4</w:t>
            </w:r>
            <w:r>
              <w:rPr>
                <w:szCs w:val="24"/>
              </w:rPr>
              <w:noBreakHyphen/>
              <w:t>MORPHOLINYL)ETHYL]</w:t>
            </w:r>
            <w:r>
              <w:rPr>
                <w:szCs w:val="24"/>
              </w:rPr>
              <w:br/>
            </w:r>
            <w:r>
              <w:rPr>
                <w:szCs w:val="24"/>
              </w:rPr>
              <w:noBreakHyphen/>
              <w:t>3</w:t>
            </w:r>
            <w:r>
              <w:rPr>
                <w:szCs w:val="24"/>
              </w:rPr>
              <w:noBreakHyphen/>
              <w:t>(1</w:t>
            </w:r>
            <w:r>
              <w:rPr>
                <w:szCs w:val="24"/>
              </w:rPr>
              <w:noBreakHyphen/>
              <w:t>NAPHTHOYL)INDOLE (JWH – 200)</w:t>
            </w:r>
          </w:p>
        </w:tc>
        <w:tc>
          <w:tcPr>
            <w:tcW w:w="1254" w:type="dxa"/>
          </w:tcPr>
          <w:p>
            <w:pPr>
              <w:tabs>
                <w:tab w:val="decimal" w:pos="439"/>
              </w:tabs>
              <w:spacing w:before="40" w:after="40"/>
              <w:rPr>
                <w:sz w:val="22"/>
              </w:rPr>
            </w:pPr>
            <w:r>
              <w:rPr>
                <w:sz w:val="22"/>
              </w:rPr>
              <w:br/>
              <w:t>100.0</w:t>
            </w:r>
          </w:p>
        </w:tc>
      </w:tr>
      <w:tr>
        <w:trPr>
          <w:gridBefore w:val="1"/>
          <w:wBefore w:w="6" w:type="dxa"/>
        </w:trPr>
        <w:tc>
          <w:tcPr>
            <w:tcW w:w="1002" w:type="dxa"/>
            <w:gridSpan w:val="2"/>
          </w:tcPr>
          <w:p>
            <w:pPr>
              <w:spacing w:before="40" w:after="40"/>
              <w:rPr>
                <w:sz w:val="22"/>
              </w:rPr>
            </w:pPr>
            <w:r>
              <w:rPr>
                <w:sz w:val="22"/>
              </w:rPr>
              <w:t>96.</w:t>
            </w:r>
          </w:p>
        </w:tc>
        <w:tc>
          <w:tcPr>
            <w:tcW w:w="4950" w:type="dxa"/>
          </w:tcPr>
          <w:p>
            <w:pPr>
              <w:pStyle w:val="yTable"/>
            </w:pPr>
            <w:r>
              <w:t>MYROPHINE</w:t>
            </w:r>
          </w:p>
        </w:tc>
        <w:tc>
          <w:tcPr>
            <w:tcW w:w="1254" w:type="dxa"/>
          </w:tcPr>
          <w:p>
            <w:pPr>
              <w:tabs>
                <w:tab w:val="decimal" w:pos="439"/>
              </w:tabs>
              <w:spacing w:before="40" w:after="40"/>
              <w:rPr>
                <w:sz w:val="22"/>
              </w:rPr>
            </w:pPr>
            <w:r>
              <w:rPr>
                <w:sz w:val="22"/>
              </w:rPr>
              <w:t>20.0</w:t>
            </w:r>
          </w:p>
        </w:tc>
      </w:tr>
      <w:tr>
        <w:trPr>
          <w:gridBefore w:val="1"/>
          <w:wBefore w:w="6" w:type="dxa"/>
        </w:trPr>
        <w:tc>
          <w:tcPr>
            <w:tcW w:w="1002" w:type="dxa"/>
            <w:gridSpan w:val="2"/>
          </w:tcPr>
          <w:p>
            <w:pPr>
              <w:spacing w:before="40" w:after="40"/>
              <w:rPr>
                <w:sz w:val="22"/>
              </w:rPr>
            </w:pPr>
            <w:r>
              <w:rPr>
                <w:sz w:val="22"/>
              </w:rPr>
              <w:t>97.</w:t>
            </w:r>
          </w:p>
        </w:tc>
        <w:tc>
          <w:tcPr>
            <w:tcW w:w="4950" w:type="dxa"/>
          </w:tcPr>
          <w:p>
            <w:pPr>
              <w:pStyle w:val="yTable"/>
            </w:pPr>
            <w:r>
              <w:t>NEALBARBITONE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keepNext/>
              <w:spacing w:before="40" w:after="40"/>
              <w:rPr>
                <w:sz w:val="22"/>
              </w:rPr>
            </w:pPr>
            <w:r>
              <w:rPr>
                <w:sz w:val="22"/>
              </w:rPr>
              <w:t>98.</w:t>
            </w:r>
          </w:p>
        </w:tc>
        <w:tc>
          <w:tcPr>
            <w:tcW w:w="4950" w:type="dxa"/>
          </w:tcPr>
          <w:p>
            <w:pPr>
              <w:pStyle w:val="yTable"/>
              <w:ind w:left="548" w:hanging="548"/>
            </w:pPr>
            <w:r>
              <w:t xml:space="preserve">NICOCODINE (except when included in Schedule 2 or 4 in Appendix A to the </w:t>
            </w:r>
            <w:r>
              <w:rPr>
                <w:i/>
                <w:iCs/>
              </w:rPr>
              <w:t>Poisons Act 1964</w:t>
            </w:r>
            <w:r>
              <w:t>)</w:t>
            </w:r>
          </w:p>
        </w:tc>
        <w:tc>
          <w:tcPr>
            <w:tcW w:w="1254" w:type="dxa"/>
          </w:tcPr>
          <w:p>
            <w:pPr>
              <w:keepNext/>
              <w:tabs>
                <w:tab w:val="decimal" w:pos="439"/>
              </w:tabs>
              <w:spacing w:before="40" w:after="40"/>
              <w:rPr>
                <w:sz w:val="22"/>
              </w:rPr>
            </w:pPr>
            <w:r>
              <w:rPr>
                <w:sz w:val="22"/>
              </w:rPr>
              <w:t>2.0</w:t>
            </w:r>
          </w:p>
        </w:tc>
      </w:tr>
      <w:tr>
        <w:trPr>
          <w:gridBefore w:val="1"/>
          <w:wBefore w:w="6" w:type="dxa"/>
          <w:cantSplit/>
        </w:trPr>
        <w:tc>
          <w:tcPr>
            <w:tcW w:w="1002" w:type="dxa"/>
            <w:gridSpan w:val="2"/>
          </w:tcPr>
          <w:p>
            <w:pPr>
              <w:spacing w:before="40" w:after="40"/>
              <w:rPr>
                <w:sz w:val="22"/>
              </w:rPr>
            </w:pPr>
            <w:r>
              <w:rPr>
                <w:sz w:val="22"/>
              </w:rPr>
              <w:t>99.</w:t>
            </w:r>
          </w:p>
        </w:tc>
        <w:tc>
          <w:tcPr>
            <w:tcW w:w="4950" w:type="dxa"/>
          </w:tcPr>
          <w:p>
            <w:pPr>
              <w:pStyle w:val="yTable"/>
              <w:ind w:left="397" w:hanging="397"/>
            </w:pPr>
            <w:r>
              <w:t xml:space="preserve">NICODICODINE (except when included in Schedule 2 or 4 in Appendix A to the </w:t>
            </w:r>
            <w:r>
              <w:rPr>
                <w:i/>
                <w:iCs/>
              </w:rPr>
              <w:t>Poisons</w:t>
            </w:r>
            <w:r>
              <w:t xml:space="preserve"> </w:t>
            </w:r>
            <w:r>
              <w:rPr>
                <w:i/>
                <w:iCs/>
              </w:rPr>
              <w:t>Act 1964</w:t>
            </w:r>
            <w:r>
              <w:t>)</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100.</w:t>
            </w:r>
          </w:p>
        </w:tc>
        <w:tc>
          <w:tcPr>
            <w:tcW w:w="4950" w:type="dxa"/>
          </w:tcPr>
          <w:p>
            <w:pPr>
              <w:pStyle w:val="yTable"/>
            </w:pPr>
            <w:r>
              <w:t>NICOMORPHINE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101.</w:t>
            </w:r>
          </w:p>
        </w:tc>
        <w:tc>
          <w:tcPr>
            <w:tcW w:w="4950" w:type="dxa"/>
          </w:tcPr>
          <w:p>
            <w:pPr>
              <w:pStyle w:val="yTable"/>
            </w:pPr>
            <w:r>
              <w:t>NORACYMETHADOL</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102.</w:t>
            </w:r>
          </w:p>
        </w:tc>
        <w:tc>
          <w:tcPr>
            <w:tcW w:w="4950" w:type="dxa"/>
          </w:tcPr>
          <w:p>
            <w:pPr>
              <w:pStyle w:val="yTable"/>
              <w:ind w:left="397" w:hanging="397"/>
            </w:pPr>
            <w:r>
              <w:t xml:space="preserve">NORCODEINE (except when included in Schedule 2 or 4 in Appendix A to the </w:t>
            </w:r>
            <w:r>
              <w:rPr>
                <w:i/>
                <w:iCs/>
              </w:rPr>
              <w:t>Poisons Act 1964</w:t>
            </w:r>
            <w:r>
              <w:t>)</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103.</w:t>
            </w:r>
          </w:p>
        </w:tc>
        <w:tc>
          <w:tcPr>
            <w:tcW w:w="4950" w:type="dxa"/>
          </w:tcPr>
          <w:p>
            <w:pPr>
              <w:pStyle w:val="yTable"/>
            </w:pPr>
            <w:r>
              <w:t>NORLEVORPHANOL</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104.</w:t>
            </w:r>
          </w:p>
        </w:tc>
        <w:tc>
          <w:tcPr>
            <w:tcW w:w="4950" w:type="dxa"/>
          </w:tcPr>
          <w:p>
            <w:pPr>
              <w:pStyle w:val="yTable"/>
            </w:pPr>
            <w:r>
              <w:t>NORMETHADONE</w:t>
            </w:r>
          </w:p>
        </w:tc>
        <w:tc>
          <w:tcPr>
            <w:tcW w:w="1254" w:type="dxa"/>
          </w:tcPr>
          <w:p>
            <w:pPr>
              <w:tabs>
                <w:tab w:val="decimal" w:pos="439"/>
              </w:tabs>
              <w:spacing w:before="40" w:after="40"/>
              <w:rPr>
                <w:sz w:val="22"/>
              </w:rPr>
            </w:pPr>
            <w:r>
              <w:rPr>
                <w:sz w:val="22"/>
              </w:rPr>
              <w:t>0.5</w:t>
            </w:r>
          </w:p>
        </w:tc>
      </w:tr>
      <w:tr>
        <w:trPr>
          <w:gridBefore w:val="1"/>
          <w:wBefore w:w="6" w:type="dxa"/>
        </w:trPr>
        <w:tc>
          <w:tcPr>
            <w:tcW w:w="1002" w:type="dxa"/>
            <w:gridSpan w:val="2"/>
          </w:tcPr>
          <w:p>
            <w:pPr>
              <w:spacing w:before="40" w:after="40"/>
              <w:rPr>
                <w:sz w:val="22"/>
              </w:rPr>
            </w:pPr>
            <w:r>
              <w:rPr>
                <w:sz w:val="22"/>
              </w:rPr>
              <w:t>105.</w:t>
            </w:r>
          </w:p>
        </w:tc>
        <w:tc>
          <w:tcPr>
            <w:tcW w:w="4950" w:type="dxa"/>
          </w:tcPr>
          <w:p>
            <w:pPr>
              <w:pStyle w:val="yTable"/>
            </w:pPr>
            <w:r>
              <w:t>NORMORPHINE</w:t>
            </w:r>
          </w:p>
        </w:tc>
        <w:tc>
          <w:tcPr>
            <w:tcW w:w="1254" w:type="dxa"/>
          </w:tcPr>
          <w:p>
            <w:pPr>
              <w:tabs>
                <w:tab w:val="decimal" w:pos="439"/>
              </w:tabs>
              <w:spacing w:before="40" w:after="40"/>
              <w:rPr>
                <w:sz w:val="22"/>
              </w:rPr>
            </w:pPr>
            <w:r>
              <w:rPr>
                <w:sz w:val="22"/>
              </w:rPr>
              <w:t>20.0</w:t>
            </w:r>
          </w:p>
        </w:tc>
      </w:tr>
      <w:tr>
        <w:trPr>
          <w:gridBefore w:val="1"/>
          <w:wBefore w:w="6" w:type="dxa"/>
        </w:trPr>
        <w:tc>
          <w:tcPr>
            <w:tcW w:w="1002" w:type="dxa"/>
            <w:gridSpan w:val="2"/>
          </w:tcPr>
          <w:p>
            <w:pPr>
              <w:spacing w:before="40" w:after="40"/>
              <w:rPr>
                <w:sz w:val="22"/>
              </w:rPr>
            </w:pPr>
            <w:r>
              <w:rPr>
                <w:sz w:val="22"/>
              </w:rPr>
              <w:t>106.</w:t>
            </w:r>
          </w:p>
        </w:tc>
        <w:tc>
          <w:tcPr>
            <w:tcW w:w="4950" w:type="dxa"/>
          </w:tcPr>
          <w:p>
            <w:pPr>
              <w:pStyle w:val="yTable"/>
            </w:pPr>
            <w:r>
              <w:t>NORPIPANONE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107.</w:t>
            </w:r>
          </w:p>
        </w:tc>
        <w:tc>
          <w:tcPr>
            <w:tcW w:w="4950" w:type="dxa"/>
          </w:tcPr>
          <w:p>
            <w:pPr>
              <w:pStyle w:val="yTable"/>
            </w:pPr>
            <w:r>
              <w:t>OPIUM</w:t>
            </w:r>
          </w:p>
        </w:tc>
        <w:tc>
          <w:tcPr>
            <w:tcW w:w="1254" w:type="dxa"/>
          </w:tcPr>
          <w:p>
            <w:pPr>
              <w:tabs>
                <w:tab w:val="decimal" w:pos="439"/>
              </w:tabs>
              <w:spacing w:before="40" w:after="40"/>
              <w:rPr>
                <w:sz w:val="22"/>
              </w:rPr>
            </w:pPr>
            <w:r>
              <w:rPr>
                <w:sz w:val="22"/>
              </w:rPr>
              <w:t>20.0</w:t>
            </w:r>
          </w:p>
        </w:tc>
      </w:tr>
      <w:tr>
        <w:trPr>
          <w:gridBefore w:val="1"/>
          <w:wBefore w:w="6" w:type="dxa"/>
        </w:trPr>
        <w:tc>
          <w:tcPr>
            <w:tcW w:w="1002" w:type="dxa"/>
            <w:gridSpan w:val="2"/>
          </w:tcPr>
          <w:p>
            <w:pPr>
              <w:spacing w:before="40" w:after="40"/>
              <w:rPr>
                <w:sz w:val="22"/>
              </w:rPr>
            </w:pPr>
            <w:r>
              <w:rPr>
                <w:sz w:val="22"/>
              </w:rPr>
              <w:t>108.</w:t>
            </w:r>
          </w:p>
        </w:tc>
        <w:tc>
          <w:tcPr>
            <w:tcW w:w="4950" w:type="dxa"/>
          </w:tcPr>
          <w:p>
            <w:pPr>
              <w:pStyle w:val="yTable"/>
            </w:pPr>
            <w:r>
              <w:t>OXYCODONE</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109.</w:t>
            </w:r>
          </w:p>
        </w:tc>
        <w:tc>
          <w:tcPr>
            <w:tcW w:w="4950" w:type="dxa"/>
          </w:tcPr>
          <w:p>
            <w:pPr>
              <w:pStyle w:val="yTable"/>
            </w:pPr>
            <w:r>
              <w:t>OXYMORPHONE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110.</w:t>
            </w:r>
          </w:p>
        </w:tc>
        <w:tc>
          <w:tcPr>
            <w:tcW w:w="4950" w:type="dxa"/>
          </w:tcPr>
          <w:p>
            <w:pPr>
              <w:pStyle w:val="yTable"/>
            </w:pPr>
            <w:r>
              <w:t>PENTAZOCINE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111.</w:t>
            </w:r>
          </w:p>
        </w:tc>
        <w:tc>
          <w:tcPr>
            <w:tcW w:w="4950" w:type="dxa"/>
          </w:tcPr>
          <w:p>
            <w:pPr>
              <w:pStyle w:val="yTable"/>
            </w:pPr>
            <w:r>
              <w:t>PENTOBARBITONE</w:t>
            </w:r>
          </w:p>
        </w:tc>
        <w:tc>
          <w:tcPr>
            <w:tcW w:w="1254" w:type="dxa"/>
          </w:tcPr>
          <w:p>
            <w:pPr>
              <w:tabs>
                <w:tab w:val="decimal" w:pos="439"/>
              </w:tabs>
              <w:spacing w:before="40" w:after="40"/>
              <w:rPr>
                <w:sz w:val="22"/>
              </w:rPr>
            </w:pPr>
            <w:r>
              <w:rPr>
                <w:sz w:val="22"/>
              </w:rPr>
              <w:t>10.0</w:t>
            </w:r>
          </w:p>
        </w:tc>
      </w:tr>
      <w:tr>
        <w:trPr>
          <w:gridBefore w:val="2"/>
          <w:wBefore w:w="14" w:type="dxa"/>
        </w:trPr>
        <w:tc>
          <w:tcPr>
            <w:tcW w:w="994" w:type="dxa"/>
          </w:tcPr>
          <w:p>
            <w:pPr>
              <w:pStyle w:val="yTable"/>
            </w:pPr>
            <w:r>
              <w:t>112AA.</w:t>
            </w:r>
          </w:p>
        </w:tc>
        <w:tc>
          <w:tcPr>
            <w:tcW w:w="4950" w:type="dxa"/>
          </w:tcPr>
          <w:p>
            <w:pPr>
              <w:pStyle w:val="yTable"/>
            </w:pPr>
            <w:r>
              <w:t>1</w:t>
            </w:r>
            <w:r>
              <w:noBreakHyphen/>
              <w:t>PENTYL</w:t>
            </w:r>
            <w:r>
              <w:noBreakHyphen/>
              <w:t>3</w:t>
            </w:r>
            <w:r>
              <w:noBreakHyphen/>
              <w:t>(4</w:t>
            </w:r>
            <w:r>
              <w:noBreakHyphen/>
              <w:t>CHLORO</w:t>
            </w:r>
            <w:r>
              <w:noBreakHyphen/>
              <w:t>1</w:t>
            </w:r>
            <w:r>
              <w:noBreakHyphen/>
            </w:r>
            <w:r>
              <w:br/>
              <w:t>NAPHTHOYL)INDOLE (JWH</w:t>
            </w:r>
            <w:r>
              <w:noBreakHyphen/>
              <w:t>398)</w:t>
            </w:r>
          </w:p>
        </w:tc>
        <w:tc>
          <w:tcPr>
            <w:tcW w:w="1254" w:type="dxa"/>
          </w:tcPr>
          <w:p>
            <w:pPr>
              <w:tabs>
                <w:tab w:val="decimal" w:pos="439"/>
              </w:tabs>
              <w:spacing w:before="40" w:after="40"/>
              <w:rPr>
                <w:sz w:val="22"/>
              </w:rPr>
            </w:pPr>
            <w:r>
              <w:rPr>
                <w:sz w:val="22"/>
              </w:rPr>
              <w:br/>
              <w:t>100.0</w:t>
            </w:r>
          </w:p>
        </w:tc>
      </w:tr>
      <w:tr>
        <w:trPr>
          <w:gridBefore w:val="2"/>
          <w:wBefore w:w="14" w:type="dxa"/>
        </w:trPr>
        <w:tc>
          <w:tcPr>
            <w:tcW w:w="994" w:type="dxa"/>
          </w:tcPr>
          <w:p>
            <w:pPr>
              <w:pStyle w:val="yTable"/>
            </w:pPr>
            <w:r>
              <w:t>112AB.</w:t>
            </w:r>
          </w:p>
        </w:tc>
        <w:tc>
          <w:tcPr>
            <w:tcW w:w="4950" w:type="dxa"/>
          </w:tcPr>
          <w:p>
            <w:pPr>
              <w:pStyle w:val="yTable"/>
            </w:pPr>
            <w:r>
              <w:t>1</w:t>
            </w:r>
            <w:r>
              <w:noBreakHyphen/>
              <w:t>PENTYL</w:t>
            </w:r>
            <w:r>
              <w:noBreakHyphen/>
              <w:t>3</w:t>
            </w:r>
            <w:r>
              <w:noBreakHyphen/>
              <w:t>(2</w:t>
            </w:r>
            <w:r>
              <w:noBreakHyphen/>
            </w:r>
            <w:r>
              <w:br/>
              <w:t>CHLOROPHENYLACETYL)INDOLE (JWH</w:t>
            </w:r>
            <w:r>
              <w:noBreakHyphen/>
              <w:t>203)</w:t>
            </w:r>
          </w:p>
        </w:tc>
        <w:tc>
          <w:tcPr>
            <w:tcW w:w="1254" w:type="dxa"/>
          </w:tcPr>
          <w:p>
            <w:pPr>
              <w:tabs>
                <w:tab w:val="decimal" w:pos="439"/>
              </w:tabs>
              <w:spacing w:before="40" w:after="40"/>
              <w:rPr>
                <w:sz w:val="22"/>
              </w:rPr>
            </w:pPr>
            <w:r>
              <w:rPr>
                <w:sz w:val="22"/>
              </w:rPr>
              <w:br/>
              <w:t>100.0</w:t>
            </w:r>
          </w:p>
        </w:tc>
      </w:tr>
      <w:tr>
        <w:trPr>
          <w:gridBefore w:val="2"/>
          <w:wBefore w:w="14" w:type="dxa"/>
        </w:trPr>
        <w:tc>
          <w:tcPr>
            <w:tcW w:w="994" w:type="dxa"/>
          </w:tcPr>
          <w:p>
            <w:pPr>
              <w:pStyle w:val="yTable"/>
            </w:pPr>
            <w:r>
              <w:t>112AC.</w:t>
            </w:r>
          </w:p>
        </w:tc>
        <w:tc>
          <w:tcPr>
            <w:tcW w:w="4950" w:type="dxa"/>
          </w:tcPr>
          <w:p>
            <w:pPr>
              <w:pStyle w:val="yTable"/>
            </w:pPr>
            <w:r>
              <w:t>1</w:t>
            </w:r>
            <w:r>
              <w:noBreakHyphen/>
              <w:t>PENTYL</w:t>
            </w:r>
            <w:r>
              <w:noBreakHyphen/>
              <w:t>3</w:t>
            </w:r>
            <w:r>
              <w:noBreakHyphen/>
              <w:t>(4</w:t>
            </w:r>
            <w:r>
              <w:noBreakHyphen/>
              <w:t>ETHYL</w:t>
            </w:r>
            <w:r>
              <w:noBreakHyphen/>
              <w:t>1</w:t>
            </w:r>
            <w:r>
              <w:noBreakHyphen/>
            </w:r>
            <w:r>
              <w:br/>
              <w:t>NAPHTHOYL)INDOLE (JWH</w:t>
            </w:r>
            <w:r>
              <w:noBreakHyphen/>
              <w:t>210)</w:t>
            </w:r>
          </w:p>
        </w:tc>
        <w:tc>
          <w:tcPr>
            <w:tcW w:w="1254" w:type="dxa"/>
          </w:tcPr>
          <w:p>
            <w:pPr>
              <w:tabs>
                <w:tab w:val="decimal" w:pos="439"/>
              </w:tabs>
              <w:spacing w:before="40" w:after="40"/>
              <w:rPr>
                <w:sz w:val="22"/>
              </w:rPr>
            </w:pPr>
            <w:r>
              <w:rPr>
                <w:sz w:val="22"/>
              </w:rPr>
              <w:br/>
              <w:t>100.0</w:t>
            </w:r>
          </w:p>
        </w:tc>
      </w:tr>
      <w:tr>
        <w:trPr>
          <w:gridBefore w:val="2"/>
          <w:wBefore w:w="14" w:type="dxa"/>
        </w:trPr>
        <w:tc>
          <w:tcPr>
            <w:tcW w:w="994" w:type="dxa"/>
          </w:tcPr>
          <w:p>
            <w:pPr>
              <w:pStyle w:val="yTable"/>
            </w:pPr>
            <w:r>
              <w:t>112AD.</w:t>
            </w:r>
          </w:p>
        </w:tc>
        <w:tc>
          <w:tcPr>
            <w:tcW w:w="4950" w:type="dxa"/>
          </w:tcPr>
          <w:p>
            <w:pPr>
              <w:pStyle w:val="yTable"/>
            </w:pPr>
            <w:r>
              <w:t>1</w:t>
            </w:r>
            <w:r>
              <w:noBreakHyphen/>
              <w:t>PENTYL</w:t>
            </w:r>
            <w:r>
              <w:noBreakHyphen/>
              <w:t>3</w:t>
            </w:r>
            <w:r>
              <w:noBreakHyphen/>
              <w:t>[(4</w:t>
            </w:r>
            <w:r>
              <w:noBreakHyphen/>
              <w:t>METHOXY)</w:t>
            </w:r>
            <w:r>
              <w:noBreakHyphen/>
            </w:r>
            <w:r>
              <w:br/>
              <w:t>BENZOYL]INDOLE (RCS</w:t>
            </w:r>
            <w:r>
              <w:noBreakHyphen/>
              <w:t>4)</w:t>
            </w:r>
          </w:p>
        </w:tc>
        <w:tc>
          <w:tcPr>
            <w:tcW w:w="1254" w:type="dxa"/>
          </w:tcPr>
          <w:p>
            <w:pPr>
              <w:tabs>
                <w:tab w:val="decimal" w:pos="439"/>
              </w:tabs>
              <w:spacing w:before="40" w:after="40"/>
              <w:rPr>
                <w:sz w:val="22"/>
              </w:rPr>
            </w:pPr>
            <w:r>
              <w:rPr>
                <w:sz w:val="22"/>
              </w:rPr>
              <w:br/>
              <w:t>100.0</w:t>
            </w:r>
          </w:p>
        </w:tc>
      </w:tr>
      <w:tr>
        <w:trPr>
          <w:gridBefore w:val="2"/>
          <w:wBefore w:w="14" w:type="dxa"/>
        </w:trPr>
        <w:tc>
          <w:tcPr>
            <w:tcW w:w="994" w:type="dxa"/>
          </w:tcPr>
          <w:p>
            <w:pPr>
              <w:pStyle w:val="yTable"/>
            </w:pPr>
            <w:r>
              <w:t>112AE.</w:t>
            </w:r>
          </w:p>
        </w:tc>
        <w:tc>
          <w:tcPr>
            <w:tcW w:w="4950" w:type="dxa"/>
          </w:tcPr>
          <w:p>
            <w:pPr>
              <w:pStyle w:val="yTable"/>
            </w:pPr>
            <w:r>
              <w:t>1</w:t>
            </w:r>
            <w:r>
              <w:noBreakHyphen/>
              <w:t>PENTYL</w:t>
            </w:r>
            <w:r>
              <w:noBreakHyphen/>
              <w:t>3</w:t>
            </w:r>
            <w:r>
              <w:noBreakHyphen/>
              <w:t>(4</w:t>
            </w:r>
            <w:r>
              <w:noBreakHyphen/>
              <w:t>METHOXY</w:t>
            </w:r>
            <w:r>
              <w:noBreakHyphen/>
              <w:t>1</w:t>
            </w:r>
            <w:r>
              <w:noBreakHyphen/>
            </w:r>
            <w:r>
              <w:br/>
              <w:t>NAPHTHOYL)INDOLE (JWH</w:t>
            </w:r>
            <w:r>
              <w:noBreakHyphen/>
              <w:t>081)</w:t>
            </w:r>
          </w:p>
        </w:tc>
        <w:tc>
          <w:tcPr>
            <w:tcW w:w="1254" w:type="dxa"/>
          </w:tcPr>
          <w:p>
            <w:pPr>
              <w:tabs>
                <w:tab w:val="decimal" w:pos="439"/>
              </w:tabs>
              <w:spacing w:before="40" w:after="40"/>
              <w:rPr>
                <w:sz w:val="22"/>
              </w:rPr>
            </w:pPr>
            <w:r>
              <w:rPr>
                <w:sz w:val="22"/>
              </w:rPr>
              <w:br/>
              <w:t>100.0</w:t>
            </w:r>
          </w:p>
        </w:tc>
      </w:tr>
      <w:tr>
        <w:trPr>
          <w:gridBefore w:val="1"/>
          <w:wBefore w:w="6" w:type="dxa"/>
          <w:cantSplit/>
        </w:trPr>
        <w:tc>
          <w:tcPr>
            <w:tcW w:w="1002" w:type="dxa"/>
            <w:gridSpan w:val="2"/>
          </w:tcPr>
          <w:p>
            <w:pPr>
              <w:pStyle w:val="yTable"/>
            </w:pPr>
            <w:r>
              <w:t>112A.</w:t>
            </w:r>
          </w:p>
        </w:tc>
        <w:tc>
          <w:tcPr>
            <w:tcW w:w="4950" w:type="dxa"/>
          </w:tcPr>
          <w:p>
            <w:pPr>
              <w:pStyle w:val="yTable"/>
            </w:pPr>
            <w:r>
              <w:t>1-PENTYL-3-(1- NAPHTHOYL)INDOLE</w:t>
            </w:r>
            <w:r>
              <w:br/>
              <w:t xml:space="preserve"> (JWH - 018)</w:t>
            </w:r>
          </w:p>
        </w:tc>
        <w:tc>
          <w:tcPr>
            <w:tcW w:w="1254" w:type="dxa"/>
          </w:tcPr>
          <w:p>
            <w:pPr>
              <w:tabs>
                <w:tab w:val="decimal" w:pos="439"/>
              </w:tabs>
              <w:spacing w:before="40" w:after="40"/>
              <w:rPr>
                <w:sz w:val="22"/>
              </w:rPr>
            </w:pPr>
            <w:r>
              <w:rPr>
                <w:sz w:val="22"/>
              </w:rPr>
              <w:br/>
              <w:t>100.0</w:t>
            </w:r>
          </w:p>
        </w:tc>
      </w:tr>
      <w:tr>
        <w:trPr>
          <w:gridBefore w:val="1"/>
          <w:wBefore w:w="6" w:type="dxa"/>
        </w:trPr>
        <w:tc>
          <w:tcPr>
            <w:tcW w:w="1002" w:type="dxa"/>
            <w:gridSpan w:val="2"/>
          </w:tcPr>
          <w:p>
            <w:pPr>
              <w:pStyle w:val="yTable"/>
            </w:pPr>
            <w:r>
              <w:t>112B.</w:t>
            </w:r>
          </w:p>
        </w:tc>
        <w:tc>
          <w:tcPr>
            <w:tcW w:w="4950" w:type="dxa"/>
          </w:tcPr>
          <w:p>
            <w:pPr>
              <w:pStyle w:val="yTable"/>
            </w:pPr>
            <w:r>
              <w:t>1</w:t>
            </w:r>
            <w:r>
              <w:noBreakHyphen/>
              <w:t>PENTYL</w:t>
            </w:r>
            <w:r>
              <w:noBreakHyphen/>
              <w:t>3</w:t>
            </w:r>
            <w:r>
              <w:noBreakHyphen/>
              <w:t>(4</w:t>
            </w:r>
            <w:r>
              <w:noBreakHyphen/>
              <w:t>METHYL</w:t>
            </w:r>
            <w:r>
              <w:noBreakHyphen/>
              <w:t>1</w:t>
            </w:r>
            <w:r>
              <w:noBreakHyphen/>
              <w:t>NAPHTHOYL)</w:t>
            </w:r>
            <w:r>
              <w:br/>
              <w:t>INDOLE (JWH – 122)</w:t>
            </w:r>
          </w:p>
        </w:tc>
        <w:tc>
          <w:tcPr>
            <w:tcW w:w="1254" w:type="dxa"/>
          </w:tcPr>
          <w:p>
            <w:pPr>
              <w:tabs>
                <w:tab w:val="decimal" w:pos="439"/>
              </w:tabs>
              <w:spacing w:before="40" w:after="40"/>
              <w:rPr>
                <w:sz w:val="22"/>
              </w:rPr>
            </w:pPr>
            <w:r>
              <w:rPr>
                <w:sz w:val="22"/>
              </w:rPr>
              <w:br/>
              <w:t>100.0</w:t>
            </w:r>
          </w:p>
        </w:tc>
      </w:tr>
      <w:tr>
        <w:trPr>
          <w:gridBefore w:val="1"/>
          <w:wBefore w:w="6" w:type="dxa"/>
        </w:trPr>
        <w:tc>
          <w:tcPr>
            <w:tcW w:w="1002" w:type="dxa"/>
            <w:gridSpan w:val="2"/>
          </w:tcPr>
          <w:p>
            <w:pPr>
              <w:spacing w:before="40" w:after="40"/>
              <w:rPr>
                <w:sz w:val="22"/>
              </w:rPr>
            </w:pPr>
            <w:r>
              <w:rPr>
                <w:sz w:val="22"/>
              </w:rPr>
              <w:t>112.</w:t>
            </w:r>
          </w:p>
        </w:tc>
        <w:tc>
          <w:tcPr>
            <w:tcW w:w="4950" w:type="dxa"/>
          </w:tcPr>
          <w:p>
            <w:pPr>
              <w:pStyle w:val="yTable"/>
            </w:pPr>
            <w:r>
              <w:t>PETHIDINE</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113.</w:t>
            </w:r>
          </w:p>
        </w:tc>
        <w:tc>
          <w:tcPr>
            <w:tcW w:w="4950" w:type="dxa"/>
          </w:tcPr>
          <w:p>
            <w:pPr>
              <w:pStyle w:val="yTable"/>
            </w:pPr>
            <w:r>
              <w:t>PETHIDINE</w:t>
            </w:r>
            <w:r>
              <w:noBreakHyphen/>
              <w:t>INTERMEDIATE A</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114.</w:t>
            </w:r>
          </w:p>
        </w:tc>
        <w:tc>
          <w:tcPr>
            <w:tcW w:w="4950" w:type="dxa"/>
          </w:tcPr>
          <w:p>
            <w:pPr>
              <w:pStyle w:val="yTable"/>
            </w:pPr>
            <w:r>
              <w:t>PETHIDINE</w:t>
            </w:r>
            <w:r>
              <w:noBreakHyphen/>
              <w:t>INTERMEDIATE B</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115.</w:t>
            </w:r>
          </w:p>
        </w:tc>
        <w:tc>
          <w:tcPr>
            <w:tcW w:w="4950" w:type="dxa"/>
          </w:tcPr>
          <w:p>
            <w:pPr>
              <w:pStyle w:val="yTable"/>
            </w:pPr>
            <w:r>
              <w:t>PETHIDINE</w:t>
            </w:r>
            <w:r>
              <w:noBreakHyphen/>
              <w:t>INTERMEDIATE C</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116.</w:t>
            </w:r>
          </w:p>
        </w:tc>
        <w:tc>
          <w:tcPr>
            <w:tcW w:w="4950" w:type="dxa"/>
          </w:tcPr>
          <w:p>
            <w:pPr>
              <w:pStyle w:val="yTable"/>
            </w:pPr>
            <w:r>
              <w:t>PHENADOXONE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117.</w:t>
            </w:r>
          </w:p>
        </w:tc>
        <w:tc>
          <w:tcPr>
            <w:tcW w:w="4950" w:type="dxa"/>
          </w:tcPr>
          <w:p>
            <w:pPr>
              <w:pStyle w:val="yTable"/>
            </w:pPr>
            <w:r>
              <w:t>PHENAMPROMIDE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118.</w:t>
            </w:r>
          </w:p>
        </w:tc>
        <w:tc>
          <w:tcPr>
            <w:tcW w:w="4950" w:type="dxa"/>
          </w:tcPr>
          <w:p>
            <w:pPr>
              <w:pStyle w:val="yTable"/>
            </w:pPr>
            <w:r>
              <w:t>PHENAZOCINE</w:t>
            </w:r>
          </w:p>
        </w:tc>
        <w:tc>
          <w:tcPr>
            <w:tcW w:w="1254" w:type="dxa"/>
          </w:tcPr>
          <w:p>
            <w:pPr>
              <w:tabs>
                <w:tab w:val="decimal" w:pos="439"/>
              </w:tabs>
              <w:spacing w:before="40" w:after="40"/>
              <w:rPr>
                <w:sz w:val="22"/>
              </w:rPr>
            </w:pPr>
            <w:r>
              <w:rPr>
                <w:sz w:val="22"/>
              </w:rPr>
              <w:t>1.0</w:t>
            </w:r>
          </w:p>
        </w:tc>
      </w:tr>
      <w:tr>
        <w:trPr>
          <w:gridBefore w:val="1"/>
          <w:wBefore w:w="6" w:type="dxa"/>
        </w:trPr>
        <w:tc>
          <w:tcPr>
            <w:tcW w:w="1002" w:type="dxa"/>
            <w:gridSpan w:val="2"/>
          </w:tcPr>
          <w:p>
            <w:pPr>
              <w:spacing w:before="40" w:after="40"/>
              <w:rPr>
                <w:sz w:val="22"/>
              </w:rPr>
            </w:pPr>
            <w:r>
              <w:rPr>
                <w:sz w:val="22"/>
              </w:rPr>
              <w:t>119.</w:t>
            </w:r>
          </w:p>
        </w:tc>
        <w:tc>
          <w:tcPr>
            <w:tcW w:w="4950" w:type="dxa"/>
          </w:tcPr>
          <w:p>
            <w:pPr>
              <w:pStyle w:val="yTable"/>
            </w:pPr>
            <w:r>
              <w:t>PHENCYCLIDINE</w:t>
            </w:r>
          </w:p>
        </w:tc>
        <w:tc>
          <w:tcPr>
            <w:tcW w:w="1254" w:type="dxa"/>
          </w:tcPr>
          <w:p>
            <w:pPr>
              <w:tabs>
                <w:tab w:val="decimal" w:pos="439"/>
              </w:tabs>
              <w:spacing w:before="40" w:after="40"/>
              <w:rPr>
                <w:sz w:val="22"/>
              </w:rPr>
            </w:pPr>
            <w:r>
              <w:rPr>
                <w:sz w:val="22"/>
              </w:rPr>
              <w:t>0.002</w:t>
            </w:r>
          </w:p>
        </w:tc>
      </w:tr>
      <w:tr>
        <w:trPr>
          <w:gridBefore w:val="1"/>
          <w:wBefore w:w="6" w:type="dxa"/>
        </w:trPr>
        <w:tc>
          <w:tcPr>
            <w:tcW w:w="1002" w:type="dxa"/>
            <w:gridSpan w:val="2"/>
          </w:tcPr>
          <w:p>
            <w:pPr>
              <w:spacing w:before="40" w:after="40"/>
              <w:rPr>
                <w:sz w:val="22"/>
              </w:rPr>
            </w:pPr>
            <w:r>
              <w:rPr>
                <w:sz w:val="22"/>
              </w:rPr>
              <w:t>120.</w:t>
            </w:r>
          </w:p>
        </w:tc>
        <w:tc>
          <w:tcPr>
            <w:tcW w:w="4950" w:type="dxa"/>
          </w:tcPr>
          <w:p>
            <w:pPr>
              <w:pStyle w:val="yTable"/>
            </w:pPr>
            <w:r>
              <w:t>PHENMETRAZINE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121.</w:t>
            </w:r>
          </w:p>
        </w:tc>
        <w:tc>
          <w:tcPr>
            <w:tcW w:w="4950" w:type="dxa"/>
          </w:tcPr>
          <w:p>
            <w:pPr>
              <w:pStyle w:val="yTable"/>
            </w:pPr>
            <w:r>
              <w:t>PHENOBARBITONE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122.</w:t>
            </w:r>
          </w:p>
        </w:tc>
        <w:tc>
          <w:tcPr>
            <w:tcW w:w="4950" w:type="dxa"/>
          </w:tcPr>
          <w:p>
            <w:pPr>
              <w:pStyle w:val="yTable"/>
            </w:pPr>
            <w:r>
              <w:t>PHENOMORPHAN</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123.</w:t>
            </w:r>
          </w:p>
        </w:tc>
        <w:tc>
          <w:tcPr>
            <w:tcW w:w="4950" w:type="dxa"/>
          </w:tcPr>
          <w:p>
            <w:pPr>
              <w:pStyle w:val="yTable"/>
            </w:pPr>
            <w:r>
              <w:t>PHENOPERIDINE</w:t>
            </w:r>
          </w:p>
        </w:tc>
        <w:tc>
          <w:tcPr>
            <w:tcW w:w="1254" w:type="dxa"/>
          </w:tcPr>
          <w:p>
            <w:pPr>
              <w:tabs>
                <w:tab w:val="decimal" w:pos="439"/>
              </w:tabs>
              <w:spacing w:before="40" w:after="40"/>
              <w:rPr>
                <w:sz w:val="22"/>
              </w:rPr>
            </w:pPr>
            <w:r>
              <w:rPr>
                <w:sz w:val="22"/>
              </w:rPr>
              <w:t>1.0</w:t>
            </w:r>
          </w:p>
        </w:tc>
      </w:tr>
      <w:tr>
        <w:trPr>
          <w:gridBefore w:val="1"/>
          <w:wBefore w:w="6" w:type="dxa"/>
        </w:trPr>
        <w:tc>
          <w:tcPr>
            <w:tcW w:w="1002" w:type="dxa"/>
            <w:gridSpan w:val="2"/>
          </w:tcPr>
          <w:p>
            <w:pPr>
              <w:spacing w:before="40" w:after="40"/>
              <w:rPr>
                <w:sz w:val="22"/>
              </w:rPr>
            </w:pPr>
            <w:r>
              <w:rPr>
                <w:sz w:val="22"/>
              </w:rPr>
              <w:t>124.</w:t>
            </w:r>
          </w:p>
        </w:tc>
        <w:tc>
          <w:tcPr>
            <w:tcW w:w="4950" w:type="dxa"/>
          </w:tcPr>
          <w:p>
            <w:pPr>
              <w:pStyle w:val="yTable"/>
            </w:pPr>
            <w:r>
              <w:t>PHENYLMETHYLBARBITURIC ACID</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125.</w:t>
            </w:r>
          </w:p>
        </w:tc>
        <w:tc>
          <w:tcPr>
            <w:tcW w:w="4950" w:type="dxa"/>
          </w:tcPr>
          <w:p>
            <w:pPr>
              <w:pStyle w:val="yTable"/>
              <w:ind w:left="397" w:hanging="397"/>
            </w:pPr>
            <w:r>
              <w:t xml:space="preserve">PHOLCODINE (except when included in Schedule 2 or 4 in Appendix A to the </w:t>
            </w:r>
            <w:r>
              <w:rPr>
                <w:i/>
                <w:iCs/>
              </w:rPr>
              <w:t>Poisons Act 1964</w:t>
            </w:r>
            <w:r>
              <w:t>)</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126.</w:t>
            </w:r>
          </w:p>
        </w:tc>
        <w:tc>
          <w:tcPr>
            <w:tcW w:w="4950" w:type="dxa"/>
          </w:tcPr>
          <w:p>
            <w:pPr>
              <w:pStyle w:val="yTable"/>
            </w:pPr>
            <w:r>
              <w:t>PIMINODINE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127.</w:t>
            </w:r>
          </w:p>
        </w:tc>
        <w:tc>
          <w:tcPr>
            <w:tcW w:w="4950" w:type="dxa"/>
          </w:tcPr>
          <w:p>
            <w:pPr>
              <w:pStyle w:val="yTable"/>
            </w:pPr>
            <w:r>
              <w:t>PIRITRAMIDE</w:t>
            </w:r>
          </w:p>
        </w:tc>
        <w:tc>
          <w:tcPr>
            <w:tcW w:w="1254" w:type="dxa"/>
          </w:tcPr>
          <w:p>
            <w:pPr>
              <w:tabs>
                <w:tab w:val="decimal" w:pos="439"/>
              </w:tabs>
              <w:spacing w:before="40" w:after="40"/>
              <w:rPr>
                <w:sz w:val="22"/>
              </w:rPr>
            </w:pPr>
            <w:r>
              <w:rPr>
                <w:sz w:val="22"/>
              </w:rPr>
              <w:t>1.0</w:t>
            </w:r>
          </w:p>
        </w:tc>
      </w:tr>
      <w:tr>
        <w:tc>
          <w:tcPr>
            <w:tcW w:w="1008" w:type="dxa"/>
            <w:gridSpan w:val="3"/>
          </w:tcPr>
          <w:p>
            <w:pPr>
              <w:pStyle w:val="zyTableNAm"/>
              <w:tabs>
                <w:tab w:val="clear" w:pos="567"/>
              </w:tabs>
              <w:ind w:right="-142"/>
            </w:pPr>
            <w:r>
              <w:t>128A.</w:t>
            </w:r>
          </w:p>
        </w:tc>
        <w:tc>
          <w:tcPr>
            <w:tcW w:w="4950" w:type="dxa"/>
          </w:tcPr>
          <w:p>
            <w:pPr>
              <w:pStyle w:val="zyTableNAm"/>
              <w:tabs>
                <w:tab w:val="clear" w:pos="567"/>
              </w:tabs>
            </w:pPr>
            <w:r>
              <w:t>PRAVADOLINE (WIN 48098)</w:t>
            </w:r>
          </w:p>
        </w:tc>
        <w:tc>
          <w:tcPr>
            <w:tcW w:w="1254" w:type="dxa"/>
          </w:tcPr>
          <w:p>
            <w:pPr>
              <w:tabs>
                <w:tab w:val="decimal" w:pos="439"/>
              </w:tabs>
              <w:spacing w:before="40" w:after="40"/>
              <w:rPr>
                <w:sz w:val="22"/>
              </w:rPr>
            </w:pPr>
            <w:r>
              <w:rPr>
                <w:sz w:val="22"/>
              </w:rPr>
              <w:t>100.0</w:t>
            </w:r>
          </w:p>
        </w:tc>
      </w:tr>
      <w:tr>
        <w:trPr>
          <w:gridBefore w:val="1"/>
          <w:wBefore w:w="6" w:type="dxa"/>
        </w:trPr>
        <w:tc>
          <w:tcPr>
            <w:tcW w:w="1002" w:type="dxa"/>
            <w:gridSpan w:val="2"/>
          </w:tcPr>
          <w:p>
            <w:pPr>
              <w:spacing w:before="40" w:after="40"/>
              <w:rPr>
                <w:sz w:val="22"/>
              </w:rPr>
            </w:pPr>
            <w:r>
              <w:rPr>
                <w:sz w:val="22"/>
              </w:rPr>
              <w:t>128.</w:t>
            </w:r>
          </w:p>
        </w:tc>
        <w:tc>
          <w:tcPr>
            <w:tcW w:w="4950" w:type="dxa"/>
          </w:tcPr>
          <w:p>
            <w:pPr>
              <w:pStyle w:val="yTable"/>
            </w:pPr>
            <w:r>
              <w:t>PROHEPTAZINE</w:t>
            </w:r>
          </w:p>
        </w:tc>
        <w:tc>
          <w:tcPr>
            <w:tcW w:w="1254" w:type="dxa"/>
          </w:tcPr>
          <w:p>
            <w:pPr>
              <w:tabs>
                <w:tab w:val="decimal" w:pos="439"/>
              </w:tabs>
              <w:spacing w:before="40" w:after="40"/>
              <w:rPr>
                <w:sz w:val="22"/>
              </w:rPr>
            </w:pPr>
            <w:r>
              <w:rPr>
                <w:sz w:val="22"/>
              </w:rPr>
              <w:t>1.0</w:t>
            </w:r>
          </w:p>
        </w:tc>
      </w:tr>
      <w:tr>
        <w:trPr>
          <w:gridBefore w:val="1"/>
          <w:wBefore w:w="6" w:type="dxa"/>
        </w:trPr>
        <w:tc>
          <w:tcPr>
            <w:tcW w:w="1002" w:type="dxa"/>
            <w:gridSpan w:val="2"/>
          </w:tcPr>
          <w:p>
            <w:pPr>
              <w:spacing w:before="40" w:after="40"/>
              <w:rPr>
                <w:sz w:val="22"/>
              </w:rPr>
            </w:pPr>
            <w:r>
              <w:rPr>
                <w:sz w:val="22"/>
              </w:rPr>
              <w:t>129.</w:t>
            </w:r>
          </w:p>
        </w:tc>
        <w:tc>
          <w:tcPr>
            <w:tcW w:w="4950" w:type="dxa"/>
          </w:tcPr>
          <w:p>
            <w:pPr>
              <w:pStyle w:val="yTable"/>
            </w:pPr>
            <w:r>
              <w:t>PROPERIDINE</w:t>
            </w:r>
          </w:p>
        </w:tc>
        <w:tc>
          <w:tcPr>
            <w:tcW w:w="1254" w:type="dxa"/>
          </w:tcPr>
          <w:p>
            <w:pPr>
              <w:tabs>
                <w:tab w:val="decimal" w:pos="439"/>
              </w:tabs>
              <w:spacing w:before="40" w:after="40"/>
              <w:rPr>
                <w:sz w:val="22"/>
              </w:rPr>
            </w:pPr>
            <w:r>
              <w:rPr>
                <w:sz w:val="22"/>
              </w:rPr>
              <w:t>25.0</w:t>
            </w:r>
          </w:p>
        </w:tc>
      </w:tr>
      <w:tr>
        <w:trPr>
          <w:gridBefore w:val="1"/>
          <w:wBefore w:w="6" w:type="dxa"/>
        </w:trPr>
        <w:tc>
          <w:tcPr>
            <w:tcW w:w="1002" w:type="dxa"/>
            <w:gridSpan w:val="2"/>
          </w:tcPr>
          <w:p>
            <w:pPr>
              <w:spacing w:before="40" w:after="40"/>
              <w:rPr>
                <w:sz w:val="22"/>
              </w:rPr>
            </w:pPr>
            <w:r>
              <w:rPr>
                <w:sz w:val="22"/>
              </w:rPr>
              <w:t>130.</w:t>
            </w:r>
          </w:p>
        </w:tc>
        <w:tc>
          <w:tcPr>
            <w:tcW w:w="4950" w:type="dxa"/>
          </w:tcPr>
          <w:p>
            <w:pPr>
              <w:pStyle w:val="yTable"/>
            </w:pPr>
            <w:r>
              <w:t>PROPIRAM</w:t>
            </w:r>
          </w:p>
        </w:tc>
        <w:tc>
          <w:tcPr>
            <w:tcW w:w="1254" w:type="dxa"/>
          </w:tcPr>
          <w:p>
            <w:pPr>
              <w:tabs>
                <w:tab w:val="decimal" w:pos="439"/>
              </w:tabs>
              <w:spacing w:before="40" w:after="40"/>
              <w:rPr>
                <w:sz w:val="22"/>
              </w:rPr>
            </w:pPr>
            <w:r>
              <w:rPr>
                <w:sz w:val="22"/>
              </w:rPr>
              <w:t>4.0</w:t>
            </w:r>
          </w:p>
        </w:tc>
      </w:tr>
      <w:tr>
        <w:trPr>
          <w:gridBefore w:val="2"/>
          <w:wBefore w:w="14" w:type="dxa"/>
        </w:trPr>
        <w:tc>
          <w:tcPr>
            <w:tcW w:w="994" w:type="dxa"/>
          </w:tcPr>
          <w:p>
            <w:pPr>
              <w:pStyle w:val="yTable"/>
            </w:pPr>
            <w:r>
              <w:t>131A.</w:t>
            </w:r>
          </w:p>
        </w:tc>
        <w:tc>
          <w:tcPr>
            <w:tcW w:w="4950" w:type="dxa"/>
          </w:tcPr>
          <w:p>
            <w:pPr>
              <w:pStyle w:val="yTable"/>
            </w:pPr>
            <w:r>
              <w:t>1</w:t>
            </w:r>
            <w:r>
              <w:noBreakHyphen/>
              <w:t>PROPYL</w:t>
            </w:r>
            <w:r>
              <w:noBreakHyphen/>
              <w:t>2</w:t>
            </w:r>
            <w:r>
              <w:noBreakHyphen/>
              <w:t>METHYL</w:t>
            </w:r>
            <w:r>
              <w:noBreakHyphen/>
              <w:t>3</w:t>
            </w:r>
            <w:r>
              <w:noBreakHyphen/>
              <w:t>(1</w:t>
            </w:r>
            <w:r>
              <w:noBreakHyphen/>
            </w:r>
            <w:r>
              <w:br/>
              <w:t>NAPHTHOYL)INDOLE (JWH</w:t>
            </w:r>
            <w:r>
              <w:noBreakHyphen/>
              <w:t>015)</w:t>
            </w:r>
          </w:p>
        </w:tc>
        <w:tc>
          <w:tcPr>
            <w:tcW w:w="1254" w:type="dxa"/>
          </w:tcPr>
          <w:p>
            <w:pPr>
              <w:tabs>
                <w:tab w:val="decimal" w:pos="439"/>
              </w:tabs>
              <w:spacing w:before="40" w:after="40"/>
              <w:rPr>
                <w:sz w:val="22"/>
              </w:rPr>
            </w:pPr>
            <w:r>
              <w:rPr>
                <w:sz w:val="22"/>
              </w:rPr>
              <w:br/>
              <w:t>100.0</w:t>
            </w:r>
          </w:p>
        </w:tc>
      </w:tr>
      <w:tr>
        <w:trPr>
          <w:gridBefore w:val="1"/>
          <w:wBefore w:w="6" w:type="dxa"/>
        </w:trPr>
        <w:tc>
          <w:tcPr>
            <w:tcW w:w="1002" w:type="dxa"/>
            <w:gridSpan w:val="2"/>
          </w:tcPr>
          <w:p>
            <w:pPr>
              <w:spacing w:before="40" w:after="40"/>
              <w:rPr>
                <w:sz w:val="22"/>
              </w:rPr>
            </w:pPr>
            <w:r>
              <w:rPr>
                <w:sz w:val="22"/>
              </w:rPr>
              <w:t>131.</w:t>
            </w:r>
          </w:p>
        </w:tc>
        <w:tc>
          <w:tcPr>
            <w:tcW w:w="4950" w:type="dxa"/>
          </w:tcPr>
          <w:p>
            <w:pPr>
              <w:pStyle w:val="yTable"/>
            </w:pPr>
            <w:r>
              <w:t>PSILOCIN</w:t>
            </w:r>
          </w:p>
        </w:tc>
        <w:tc>
          <w:tcPr>
            <w:tcW w:w="1254" w:type="dxa"/>
          </w:tcPr>
          <w:p>
            <w:pPr>
              <w:tabs>
                <w:tab w:val="decimal" w:pos="439"/>
              </w:tabs>
              <w:spacing w:before="40" w:after="40"/>
              <w:rPr>
                <w:sz w:val="22"/>
              </w:rPr>
            </w:pPr>
            <w:r>
              <w:rPr>
                <w:sz w:val="22"/>
              </w:rPr>
              <w:t>0.1</w:t>
            </w:r>
          </w:p>
        </w:tc>
      </w:tr>
      <w:tr>
        <w:trPr>
          <w:gridBefore w:val="1"/>
          <w:wBefore w:w="6" w:type="dxa"/>
        </w:trPr>
        <w:tc>
          <w:tcPr>
            <w:tcW w:w="1002" w:type="dxa"/>
            <w:gridSpan w:val="2"/>
          </w:tcPr>
          <w:p>
            <w:pPr>
              <w:spacing w:before="40" w:after="40"/>
              <w:rPr>
                <w:sz w:val="22"/>
              </w:rPr>
            </w:pPr>
            <w:r>
              <w:rPr>
                <w:sz w:val="22"/>
              </w:rPr>
              <w:t>132.</w:t>
            </w:r>
          </w:p>
        </w:tc>
        <w:tc>
          <w:tcPr>
            <w:tcW w:w="4950" w:type="dxa"/>
          </w:tcPr>
          <w:p>
            <w:pPr>
              <w:pStyle w:val="yTable"/>
            </w:pPr>
            <w:r>
              <w:t>PSILOCYBIN</w:t>
            </w:r>
          </w:p>
        </w:tc>
        <w:tc>
          <w:tcPr>
            <w:tcW w:w="1254" w:type="dxa"/>
          </w:tcPr>
          <w:p>
            <w:pPr>
              <w:tabs>
                <w:tab w:val="decimal" w:pos="439"/>
              </w:tabs>
              <w:spacing w:before="40" w:after="40"/>
              <w:rPr>
                <w:sz w:val="22"/>
              </w:rPr>
            </w:pPr>
            <w:r>
              <w:rPr>
                <w:sz w:val="22"/>
              </w:rPr>
              <w:t>0.1</w:t>
            </w:r>
          </w:p>
        </w:tc>
      </w:tr>
      <w:tr>
        <w:trPr>
          <w:gridBefore w:val="1"/>
          <w:wBefore w:w="6" w:type="dxa"/>
        </w:trPr>
        <w:tc>
          <w:tcPr>
            <w:tcW w:w="1002" w:type="dxa"/>
            <w:gridSpan w:val="2"/>
          </w:tcPr>
          <w:p>
            <w:pPr>
              <w:spacing w:before="40" w:after="40"/>
              <w:rPr>
                <w:sz w:val="22"/>
              </w:rPr>
            </w:pPr>
            <w:r>
              <w:rPr>
                <w:sz w:val="22"/>
              </w:rPr>
              <w:t>133.</w:t>
            </w:r>
          </w:p>
        </w:tc>
        <w:tc>
          <w:tcPr>
            <w:tcW w:w="4950" w:type="dxa"/>
          </w:tcPr>
          <w:p>
            <w:pPr>
              <w:pStyle w:val="yTable"/>
              <w:ind w:left="397" w:hanging="397"/>
            </w:pPr>
            <w:r>
              <w:t>PSYCHOTOMIMETIC SUBSTANCES (structurally derived from methoxyphenethylamine)</w:t>
            </w:r>
          </w:p>
        </w:tc>
        <w:tc>
          <w:tcPr>
            <w:tcW w:w="1254" w:type="dxa"/>
          </w:tcPr>
          <w:p>
            <w:pPr>
              <w:tabs>
                <w:tab w:val="decimal" w:pos="439"/>
              </w:tabs>
              <w:spacing w:before="40" w:after="40"/>
              <w:rPr>
                <w:sz w:val="22"/>
              </w:rPr>
            </w:pPr>
            <w:r>
              <w:rPr>
                <w:sz w:val="22"/>
              </w:rPr>
              <w:t>0.05</w:t>
            </w:r>
          </w:p>
        </w:tc>
      </w:tr>
      <w:tr>
        <w:trPr>
          <w:gridBefore w:val="1"/>
          <w:wBefore w:w="6" w:type="dxa"/>
        </w:trPr>
        <w:tc>
          <w:tcPr>
            <w:tcW w:w="1002" w:type="dxa"/>
            <w:gridSpan w:val="2"/>
          </w:tcPr>
          <w:p>
            <w:pPr>
              <w:spacing w:before="40" w:after="40"/>
              <w:rPr>
                <w:sz w:val="22"/>
              </w:rPr>
            </w:pPr>
            <w:r>
              <w:rPr>
                <w:sz w:val="22"/>
              </w:rPr>
              <w:t>134.</w:t>
            </w:r>
          </w:p>
        </w:tc>
        <w:tc>
          <w:tcPr>
            <w:tcW w:w="4950" w:type="dxa"/>
          </w:tcPr>
          <w:p>
            <w:pPr>
              <w:pStyle w:val="yTable"/>
            </w:pPr>
            <w:r>
              <w:t>QUINALBARBITONE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135.</w:t>
            </w:r>
          </w:p>
        </w:tc>
        <w:tc>
          <w:tcPr>
            <w:tcW w:w="4950" w:type="dxa"/>
          </w:tcPr>
          <w:p>
            <w:pPr>
              <w:pStyle w:val="yTable"/>
            </w:pPr>
            <w:r>
              <w:t>RACEMETHORPHAN</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136.</w:t>
            </w:r>
          </w:p>
        </w:tc>
        <w:tc>
          <w:tcPr>
            <w:tcW w:w="4950" w:type="dxa"/>
          </w:tcPr>
          <w:p>
            <w:pPr>
              <w:pStyle w:val="yTable"/>
            </w:pPr>
            <w:r>
              <w:t>RACEMORAMIDE</w:t>
            </w:r>
          </w:p>
        </w:tc>
        <w:tc>
          <w:tcPr>
            <w:tcW w:w="1254" w:type="dxa"/>
          </w:tcPr>
          <w:p>
            <w:pPr>
              <w:tabs>
                <w:tab w:val="decimal" w:pos="439"/>
              </w:tabs>
              <w:spacing w:before="40" w:after="40"/>
              <w:rPr>
                <w:sz w:val="22"/>
              </w:rPr>
            </w:pPr>
            <w:r>
              <w:rPr>
                <w:sz w:val="22"/>
              </w:rPr>
              <w:t>1.0</w:t>
            </w:r>
          </w:p>
        </w:tc>
      </w:tr>
      <w:tr>
        <w:trPr>
          <w:gridBefore w:val="1"/>
          <w:wBefore w:w="6" w:type="dxa"/>
        </w:trPr>
        <w:tc>
          <w:tcPr>
            <w:tcW w:w="1002" w:type="dxa"/>
            <w:gridSpan w:val="2"/>
          </w:tcPr>
          <w:p>
            <w:pPr>
              <w:spacing w:before="40" w:after="40"/>
              <w:rPr>
                <w:sz w:val="22"/>
              </w:rPr>
            </w:pPr>
            <w:r>
              <w:rPr>
                <w:sz w:val="22"/>
              </w:rPr>
              <w:t>137.</w:t>
            </w:r>
          </w:p>
        </w:tc>
        <w:tc>
          <w:tcPr>
            <w:tcW w:w="4950" w:type="dxa"/>
          </w:tcPr>
          <w:p>
            <w:pPr>
              <w:pStyle w:val="yTable"/>
            </w:pPr>
            <w:r>
              <w:t>RACEMORPHAN</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138.</w:t>
            </w:r>
          </w:p>
        </w:tc>
        <w:tc>
          <w:tcPr>
            <w:tcW w:w="4950" w:type="dxa"/>
          </w:tcPr>
          <w:p>
            <w:pPr>
              <w:pStyle w:val="yTable"/>
            </w:pPr>
            <w:r>
              <w:t>SECBUTOBARBITONE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139.</w:t>
            </w:r>
          </w:p>
        </w:tc>
        <w:tc>
          <w:tcPr>
            <w:tcW w:w="4950" w:type="dxa"/>
          </w:tcPr>
          <w:p>
            <w:pPr>
              <w:pStyle w:val="yTable"/>
            </w:pPr>
            <w:r>
              <w:t>TALBUTAL</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140.</w:t>
            </w:r>
          </w:p>
        </w:tc>
        <w:tc>
          <w:tcPr>
            <w:tcW w:w="4950" w:type="dxa"/>
          </w:tcPr>
          <w:p>
            <w:pPr>
              <w:pStyle w:val="yTable"/>
            </w:pPr>
            <w:r>
              <w:t>TETRAHYDROCANNABINOLS</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141.</w:t>
            </w:r>
          </w:p>
        </w:tc>
        <w:tc>
          <w:tcPr>
            <w:tcW w:w="4950" w:type="dxa"/>
          </w:tcPr>
          <w:p>
            <w:pPr>
              <w:pStyle w:val="yTable"/>
            </w:pPr>
            <w:r>
              <w:t>THEBACON</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142.</w:t>
            </w:r>
          </w:p>
        </w:tc>
        <w:tc>
          <w:tcPr>
            <w:tcW w:w="4950" w:type="dxa"/>
          </w:tcPr>
          <w:p>
            <w:pPr>
              <w:pStyle w:val="yTable"/>
            </w:pPr>
            <w:r>
              <w:t>THEBAINE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keepNext/>
              <w:spacing w:before="40" w:after="40"/>
              <w:rPr>
                <w:sz w:val="22"/>
              </w:rPr>
            </w:pPr>
            <w:r>
              <w:rPr>
                <w:sz w:val="22"/>
              </w:rPr>
              <w:t>143.</w:t>
            </w:r>
          </w:p>
        </w:tc>
        <w:tc>
          <w:tcPr>
            <w:tcW w:w="4950" w:type="dxa"/>
          </w:tcPr>
          <w:p>
            <w:pPr>
              <w:pStyle w:val="yTable"/>
            </w:pPr>
            <w:r>
              <w:t>TRIMEPERIDINE</w:t>
            </w:r>
          </w:p>
        </w:tc>
        <w:tc>
          <w:tcPr>
            <w:tcW w:w="1254" w:type="dxa"/>
          </w:tcPr>
          <w:p>
            <w:pPr>
              <w:keepNext/>
              <w:tabs>
                <w:tab w:val="decimal" w:pos="439"/>
              </w:tabs>
              <w:spacing w:before="40" w:after="40"/>
              <w:rPr>
                <w:sz w:val="22"/>
              </w:rPr>
            </w:pPr>
            <w:r>
              <w:rPr>
                <w:sz w:val="22"/>
              </w:rPr>
              <w:t>10.0</w:t>
            </w:r>
          </w:p>
        </w:tc>
      </w:tr>
      <w:tr>
        <w:trPr>
          <w:gridBefore w:val="1"/>
          <w:wBefore w:w="6" w:type="dxa"/>
        </w:trPr>
        <w:tc>
          <w:tcPr>
            <w:tcW w:w="1002" w:type="dxa"/>
            <w:gridSpan w:val="2"/>
          </w:tcPr>
          <w:p>
            <w:pPr>
              <w:keepNext/>
              <w:spacing w:before="40" w:after="40"/>
              <w:rPr>
                <w:sz w:val="22"/>
              </w:rPr>
            </w:pPr>
            <w:r>
              <w:rPr>
                <w:sz w:val="22"/>
              </w:rPr>
              <w:t>144.</w:t>
            </w:r>
          </w:p>
        </w:tc>
        <w:tc>
          <w:tcPr>
            <w:tcW w:w="4950" w:type="dxa"/>
          </w:tcPr>
          <w:p>
            <w:pPr>
              <w:pStyle w:val="yTable"/>
            </w:pPr>
            <w:r>
              <w:t>VINBARBITONE</w:t>
            </w:r>
          </w:p>
        </w:tc>
        <w:tc>
          <w:tcPr>
            <w:tcW w:w="1254" w:type="dxa"/>
          </w:tcPr>
          <w:p>
            <w:pPr>
              <w:keepNext/>
              <w:tabs>
                <w:tab w:val="decimal" w:pos="439"/>
              </w:tabs>
              <w:spacing w:before="40" w:after="40"/>
              <w:rPr>
                <w:sz w:val="22"/>
              </w:rPr>
            </w:pPr>
            <w:r>
              <w:rPr>
                <w:sz w:val="22"/>
              </w:rPr>
              <w:t>10.0</w:t>
            </w:r>
          </w:p>
        </w:tc>
      </w:tr>
    </w:tbl>
    <w:p>
      <w:pPr>
        <w:pStyle w:val="yFootnotesection"/>
      </w:pPr>
      <w:r>
        <w:tab/>
        <w:t>[Schedule V amended by No. 48 of 1995 s. 43; amended in Gazette 30 Nov 1990 p. 5937; 29 Nov 1991 p. 6041; 29 Apr 2011 p. 1533; 1 Jul 2011 p. 2743</w:t>
      </w:r>
      <w:r>
        <w:noBreakHyphen/>
        <w:t>4; 11 Oct 2011 p. 4318</w:t>
      </w:r>
      <w:r>
        <w:noBreakHyphen/>
        <w:t>19; 13 Apr 2012 p. 1665.]</w:t>
      </w:r>
    </w:p>
    <w:p>
      <w:pPr>
        <w:pStyle w:val="yScheduleHeading"/>
      </w:pPr>
      <w:bookmarkStart w:id="1237" w:name="_Toc535053914"/>
      <w:bookmarkStart w:id="1238" w:name="_Toc109615288"/>
      <w:bookmarkStart w:id="1239" w:name="_Toc139344582"/>
      <w:bookmarkStart w:id="1240" w:name="_Toc139699346"/>
      <w:bookmarkStart w:id="1241" w:name="_Toc147051379"/>
      <w:bookmarkStart w:id="1242" w:name="_Toc147118834"/>
      <w:bookmarkStart w:id="1243" w:name="_Toc148236155"/>
      <w:bookmarkStart w:id="1244" w:name="_Toc158705029"/>
      <w:bookmarkStart w:id="1245" w:name="_Toc165369993"/>
      <w:bookmarkStart w:id="1246" w:name="_Toc177873335"/>
      <w:bookmarkStart w:id="1247" w:name="_Toc177873461"/>
      <w:bookmarkStart w:id="1248" w:name="_Toc184707418"/>
      <w:bookmarkStart w:id="1249" w:name="_Toc189464749"/>
      <w:bookmarkStart w:id="1250" w:name="_Toc190249313"/>
      <w:bookmarkStart w:id="1251" w:name="_Toc191703207"/>
      <w:bookmarkStart w:id="1252" w:name="_Toc193692124"/>
      <w:bookmarkStart w:id="1253" w:name="_Toc199817306"/>
      <w:bookmarkStart w:id="1254" w:name="_Toc215543779"/>
      <w:bookmarkStart w:id="1255" w:name="_Toc215544039"/>
      <w:bookmarkStart w:id="1256" w:name="_Toc248029076"/>
      <w:bookmarkStart w:id="1257" w:name="_Toc256085125"/>
      <w:bookmarkStart w:id="1258" w:name="_Toc256092190"/>
      <w:bookmarkStart w:id="1259" w:name="_Toc268600371"/>
      <w:bookmarkStart w:id="1260" w:name="_Toc272237500"/>
      <w:bookmarkStart w:id="1261" w:name="_Toc275253579"/>
      <w:bookmarkStart w:id="1262" w:name="_Toc283287504"/>
      <w:bookmarkStart w:id="1263" w:name="_Toc290558490"/>
      <w:bookmarkStart w:id="1264" w:name="_Toc290558566"/>
      <w:bookmarkStart w:id="1265" w:name="_Toc291764705"/>
      <w:bookmarkStart w:id="1266" w:name="_Toc291768277"/>
      <w:bookmarkStart w:id="1267" w:name="_Toc297718778"/>
      <w:bookmarkStart w:id="1268" w:name="_Toc297904512"/>
      <w:bookmarkStart w:id="1269" w:name="_Toc297904586"/>
      <w:bookmarkStart w:id="1270" w:name="_Toc299717042"/>
      <w:bookmarkStart w:id="1271" w:name="_Toc299717539"/>
      <w:bookmarkStart w:id="1272" w:name="_Toc301268166"/>
      <w:bookmarkStart w:id="1273" w:name="_Toc301345336"/>
      <w:bookmarkStart w:id="1274" w:name="_Toc303929329"/>
      <w:bookmarkStart w:id="1275" w:name="_Toc306013945"/>
      <w:bookmarkStart w:id="1276" w:name="_Toc306014043"/>
      <w:bookmarkStart w:id="1277" w:name="_Toc306018479"/>
      <w:bookmarkStart w:id="1278" w:name="_Toc309727453"/>
      <w:bookmarkStart w:id="1279" w:name="_Toc309730174"/>
      <w:bookmarkStart w:id="1280" w:name="_Toc320107696"/>
      <w:bookmarkStart w:id="1281" w:name="_Toc320108326"/>
      <w:bookmarkStart w:id="1282" w:name="_Toc320187276"/>
      <w:bookmarkStart w:id="1283" w:name="_Toc322004338"/>
      <w:bookmarkStart w:id="1284" w:name="_Toc322006274"/>
      <w:bookmarkStart w:id="1285" w:name="_Toc325551472"/>
      <w:bookmarkStart w:id="1286" w:name="_Toc325553638"/>
      <w:bookmarkStart w:id="1287" w:name="_Toc325553737"/>
      <w:bookmarkStart w:id="1288" w:name="_Toc325553836"/>
      <w:bookmarkStart w:id="1289" w:name="_Toc325554306"/>
      <w:bookmarkStart w:id="1290" w:name="_Toc336264368"/>
      <w:r>
        <w:rPr>
          <w:rStyle w:val="CharSchNo"/>
        </w:rPr>
        <w:t>Schedule VI</w:t>
      </w:r>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r>
        <w:rPr>
          <w:rStyle w:val="CharSDivNo"/>
        </w:rPr>
        <w:t> </w:t>
      </w:r>
      <w:r>
        <w:t>—</w:t>
      </w:r>
      <w:r>
        <w:rPr>
          <w:rStyle w:val="CharSDivText"/>
        </w:rPr>
        <w:t> </w:t>
      </w:r>
      <w:r>
        <w:rPr>
          <w:rStyle w:val="CharSchText"/>
        </w:rPr>
        <w:t>Numbers of prohibited plants giving rise to presumption of intention to sell or supply same or prohibited drugs obtainable from same</w:t>
      </w:r>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p>
    <w:p>
      <w:pPr>
        <w:pStyle w:val="yShoulderClause"/>
        <w:rPr>
          <w:snapToGrid w:val="0"/>
        </w:rPr>
      </w:pPr>
      <w:r>
        <w:rPr>
          <w:snapToGrid w:val="0"/>
        </w:rPr>
        <w:t>[s. 11(b)]</w:t>
      </w:r>
    </w:p>
    <w:p>
      <w:pPr>
        <w:pStyle w:val="yFootnoteheading"/>
      </w:pPr>
      <w:r>
        <w:tab/>
        <w:t>[Heading amended by No. 19 of 2010 s. 4.]</w:t>
      </w:r>
    </w:p>
    <w:tbl>
      <w:tblPr>
        <w:tblW w:w="0" w:type="auto"/>
        <w:tblInd w:w="322" w:type="dxa"/>
        <w:tblLayout w:type="fixed"/>
        <w:tblCellMar>
          <w:left w:w="142" w:type="dxa"/>
          <w:right w:w="142" w:type="dxa"/>
        </w:tblCellMar>
        <w:tblLook w:val="0000" w:firstRow="0" w:lastRow="0" w:firstColumn="0" w:lastColumn="0" w:noHBand="0" w:noVBand="0"/>
      </w:tblPr>
      <w:tblGrid>
        <w:gridCol w:w="1379"/>
        <w:gridCol w:w="4381"/>
        <w:gridCol w:w="1350"/>
      </w:tblGrid>
      <w:tr>
        <w:tc>
          <w:tcPr>
            <w:tcW w:w="1379" w:type="dxa"/>
          </w:tcPr>
          <w:p>
            <w:pPr>
              <w:pStyle w:val="yTableNAm"/>
              <w:jc w:val="center"/>
              <w:rPr>
                <w:i/>
                <w:iCs/>
              </w:rPr>
            </w:pPr>
            <w:r>
              <w:rPr>
                <w:i/>
                <w:iCs/>
              </w:rPr>
              <w:t>Item</w:t>
            </w:r>
          </w:p>
        </w:tc>
        <w:tc>
          <w:tcPr>
            <w:tcW w:w="4381" w:type="dxa"/>
          </w:tcPr>
          <w:p>
            <w:pPr>
              <w:pStyle w:val="yTableNAm"/>
              <w:jc w:val="center"/>
              <w:rPr>
                <w:i/>
                <w:iCs/>
              </w:rPr>
            </w:pPr>
            <w:r>
              <w:rPr>
                <w:i/>
                <w:iCs/>
              </w:rPr>
              <w:t>Prohibited plant</w:t>
            </w:r>
          </w:p>
        </w:tc>
        <w:tc>
          <w:tcPr>
            <w:tcW w:w="1350" w:type="dxa"/>
          </w:tcPr>
          <w:p>
            <w:pPr>
              <w:pStyle w:val="yTableNAm"/>
              <w:jc w:val="center"/>
              <w:rPr>
                <w:i/>
                <w:iCs/>
              </w:rPr>
            </w:pPr>
            <w:r>
              <w:rPr>
                <w:i/>
                <w:iCs/>
              </w:rPr>
              <w:t>Number</w:t>
            </w:r>
          </w:p>
        </w:tc>
      </w:tr>
      <w:tr>
        <w:tc>
          <w:tcPr>
            <w:tcW w:w="1379" w:type="dxa"/>
          </w:tcPr>
          <w:p>
            <w:pPr>
              <w:pStyle w:val="yTableNAm"/>
              <w:jc w:val="center"/>
            </w:pPr>
            <w:r>
              <w:t>1.</w:t>
            </w:r>
          </w:p>
        </w:tc>
        <w:tc>
          <w:tcPr>
            <w:tcW w:w="4381" w:type="dxa"/>
          </w:tcPr>
          <w:p>
            <w:pPr>
              <w:pStyle w:val="yTableNAm"/>
            </w:pPr>
            <w:r>
              <w:t>Papaver somniferum</w:t>
            </w:r>
          </w:p>
        </w:tc>
        <w:tc>
          <w:tcPr>
            <w:tcW w:w="1350" w:type="dxa"/>
          </w:tcPr>
          <w:p>
            <w:pPr>
              <w:pStyle w:val="yTableNAm"/>
              <w:jc w:val="center"/>
            </w:pPr>
            <w:r>
              <w:t>25</w:t>
            </w:r>
          </w:p>
        </w:tc>
      </w:tr>
      <w:tr>
        <w:tc>
          <w:tcPr>
            <w:tcW w:w="1379" w:type="dxa"/>
          </w:tcPr>
          <w:p>
            <w:pPr>
              <w:pStyle w:val="yTableNAm"/>
              <w:jc w:val="center"/>
            </w:pPr>
            <w:r>
              <w:t>2.</w:t>
            </w:r>
          </w:p>
        </w:tc>
        <w:tc>
          <w:tcPr>
            <w:tcW w:w="4381" w:type="dxa"/>
          </w:tcPr>
          <w:p>
            <w:pPr>
              <w:pStyle w:val="yTableNAm"/>
            </w:pPr>
            <w:r>
              <w:t>Papaver bracteatum</w:t>
            </w:r>
          </w:p>
        </w:tc>
        <w:tc>
          <w:tcPr>
            <w:tcW w:w="1350" w:type="dxa"/>
          </w:tcPr>
          <w:p>
            <w:pPr>
              <w:pStyle w:val="yTableNAm"/>
              <w:jc w:val="center"/>
            </w:pPr>
            <w:r>
              <w:t>25</w:t>
            </w:r>
          </w:p>
        </w:tc>
      </w:tr>
      <w:tr>
        <w:tc>
          <w:tcPr>
            <w:tcW w:w="1379" w:type="dxa"/>
          </w:tcPr>
          <w:p>
            <w:pPr>
              <w:pStyle w:val="yTableNAm"/>
              <w:jc w:val="center"/>
            </w:pPr>
            <w:r>
              <w:t>3.</w:t>
            </w:r>
          </w:p>
        </w:tc>
        <w:tc>
          <w:tcPr>
            <w:tcW w:w="4381" w:type="dxa"/>
          </w:tcPr>
          <w:p>
            <w:pPr>
              <w:pStyle w:val="yTableNAm"/>
            </w:pPr>
            <w:r>
              <w:t>Cannabis</w:t>
            </w:r>
          </w:p>
        </w:tc>
        <w:tc>
          <w:tcPr>
            <w:tcW w:w="1350" w:type="dxa"/>
          </w:tcPr>
          <w:p>
            <w:pPr>
              <w:pStyle w:val="yTableNAm"/>
              <w:jc w:val="center"/>
            </w:pPr>
            <w:r>
              <w:t>10</w:t>
            </w:r>
          </w:p>
        </w:tc>
      </w:tr>
    </w:tbl>
    <w:p>
      <w:pPr>
        <w:pStyle w:val="yFootnotesection"/>
      </w:pPr>
      <w:bookmarkStart w:id="1291" w:name="_Toc535053915"/>
      <w:r>
        <w:tab/>
        <w:t>[Schedule VI amended by No. 52 of 2003 s. 32.]</w:t>
      </w:r>
    </w:p>
    <w:p>
      <w:pPr>
        <w:pStyle w:val="yScheduleHeading"/>
      </w:pPr>
      <w:bookmarkStart w:id="1292" w:name="_Toc109615289"/>
      <w:bookmarkStart w:id="1293" w:name="_Toc139344583"/>
      <w:bookmarkStart w:id="1294" w:name="_Toc139699347"/>
      <w:bookmarkStart w:id="1295" w:name="_Toc147051380"/>
      <w:bookmarkStart w:id="1296" w:name="_Toc147118835"/>
      <w:bookmarkStart w:id="1297" w:name="_Toc148236156"/>
      <w:bookmarkStart w:id="1298" w:name="_Toc158705030"/>
      <w:bookmarkStart w:id="1299" w:name="_Toc165369995"/>
      <w:bookmarkStart w:id="1300" w:name="_Toc177873337"/>
      <w:bookmarkStart w:id="1301" w:name="_Toc177873463"/>
      <w:bookmarkStart w:id="1302" w:name="_Toc184707420"/>
      <w:bookmarkStart w:id="1303" w:name="_Toc189464751"/>
      <w:bookmarkStart w:id="1304" w:name="_Toc190249315"/>
      <w:bookmarkStart w:id="1305" w:name="_Toc191703209"/>
      <w:bookmarkStart w:id="1306" w:name="_Toc193692126"/>
      <w:bookmarkStart w:id="1307" w:name="_Toc199817308"/>
      <w:bookmarkStart w:id="1308" w:name="_Toc215543781"/>
      <w:bookmarkStart w:id="1309" w:name="_Toc215544041"/>
      <w:bookmarkStart w:id="1310" w:name="_Toc248029078"/>
      <w:bookmarkStart w:id="1311" w:name="_Toc256085127"/>
      <w:bookmarkStart w:id="1312" w:name="_Toc256092192"/>
      <w:bookmarkStart w:id="1313" w:name="_Toc268600372"/>
      <w:bookmarkStart w:id="1314" w:name="_Toc272237501"/>
      <w:bookmarkStart w:id="1315" w:name="_Toc275253580"/>
      <w:bookmarkStart w:id="1316" w:name="_Toc283287505"/>
      <w:bookmarkStart w:id="1317" w:name="_Toc290558491"/>
      <w:bookmarkStart w:id="1318" w:name="_Toc290558567"/>
      <w:bookmarkStart w:id="1319" w:name="_Toc291764706"/>
      <w:bookmarkStart w:id="1320" w:name="_Toc291768278"/>
      <w:bookmarkStart w:id="1321" w:name="_Toc297718779"/>
      <w:bookmarkStart w:id="1322" w:name="_Toc297904513"/>
      <w:bookmarkStart w:id="1323" w:name="_Toc297904587"/>
      <w:bookmarkStart w:id="1324" w:name="_Toc299717043"/>
      <w:bookmarkStart w:id="1325" w:name="_Toc299717540"/>
      <w:bookmarkStart w:id="1326" w:name="_Toc301268167"/>
      <w:bookmarkStart w:id="1327" w:name="_Toc301345337"/>
      <w:bookmarkStart w:id="1328" w:name="_Toc303929330"/>
      <w:bookmarkStart w:id="1329" w:name="_Toc306013946"/>
      <w:bookmarkStart w:id="1330" w:name="_Toc306014044"/>
      <w:bookmarkStart w:id="1331" w:name="_Toc306018480"/>
      <w:bookmarkStart w:id="1332" w:name="_Toc309727454"/>
      <w:bookmarkStart w:id="1333" w:name="_Toc309730175"/>
      <w:bookmarkStart w:id="1334" w:name="_Toc320107697"/>
      <w:bookmarkStart w:id="1335" w:name="_Toc320108327"/>
      <w:bookmarkStart w:id="1336" w:name="_Toc320187277"/>
      <w:bookmarkStart w:id="1337" w:name="_Toc322004339"/>
      <w:bookmarkStart w:id="1338" w:name="_Toc322006275"/>
      <w:bookmarkStart w:id="1339" w:name="_Toc325551473"/>
      <w:bookmarkStart w:id="1340" w:name="_Toc325553639"/>
      <w:bookmarkStart w:id="1341" w:name="_Toc325553738"/>
      <w:bookmarkStart w:id="1342" w:name="_Toc325553837"/>
      <w:bookmarkStart w:id="1343" w:name="_Toc325554307"/>
      <w:bookmarkStart w:id="1344" w:name="_Toc336264369"/>
      <w:r>
        <w:rPr>
          <w:rStyle w:val="CharSchNo"/>
        </w:rPr>
        <w:t>Schedule VII</w:t>
      </w:r>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r>
        <w:rPr>
          <w:rStyle w:val="CharSDivNo"/>
        </w:rPr>
        <w:t> </w:t>
      </w:r>
      <w:r>
        <w:t>—</w:t>
      </w:r>
      <w:r>
        <w:rPr>
          <w:rStyle w:val="CharSDivText"/>
        </w:rPr>
        <w:t> </w:t>
      </w:r>
      <w:r>
        <w:rPr>
          <w:rStyle w:val="CharSchText"/>
          <w:bCs/>
        </w:rPr>
        <w:t>Amounts of prohibited drugs for purposes of drug trafficking</w:t>
      </w:r>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p>
    <w:p>
      <w:pPr>
        <w:pStyle w:val="yShoulderClause"/>
        <w:rPr>
          <w:snapToGrid w:val="0"/>
        </w:rPr>
      </w:pPr>
      <w:r>
        <w:rPr>
          <w:snapToGrid w:val="0"/>
        </w:rPr>
        <w:t>[s. 32A(1)(b)(i)]</w:t>
      </w:r>
    </w:p>
    <w:p>
      <w:pPr>
        <w:pStyle w:val="yFootnoteheading"/>
      </w:pPr>
      <w:r>
        <w:tab/>
        <w:t>[Heading amended by No. 19 of 2010 s. 4.]</w:t>
      </w:r>
    </w:p>
    <w:tbl>
      <w:tblPr>
        <w:tblW w:w="7111" w:type="dxa"/>
        <w:tblInd w:w="310" w:type="dxa"/>
        <w:tblLayout w:type="fixed"/>
        <w:tblCellMar>
          <w:left w:w="142" w:type="dxa"/>
          <w:right w:w="142" w:type="dxa"/>
        </w:tblCellMar>
        <w:tblLook w:val="0000" w:firstRow="0" w:lastRow="0" w:firstColumn="0" w:lastColumn="0" w:noHBand="0" w:noVBand="0"/>
      </w:tblPr>
      <w:tblGrid>
        <w:gridCol w:w="13"/>
        <w:gridCol w:w="788"/>
        <w:gridCol w:w="4952"/>
        <w:gridCol w:w="1358"/>
      </w:tblGrid>
      <w:tr>
        <w:trPr>
          <w:gridBefore w:val="1"/>
          <w:wBefore w:w="13" w:type="dxa"/>
          <w:tblHeader/>
        </w:trPr>
        <w:tc>
          <w:tcPr>
            <w:tcW w:w="788" w:type="dxa"/>
          </w:tcPr>
          <w:p>
            <w:pPr>
              <w:pStyle w:val="yTable"/>
              <w:spacing w:before="40" w:after="40"/>
              <w:rPr>
                <w:i/>
              </w:rPr>
            </w:pPr>
            <w:r>
              <w:rPr>
                <w:i/>
              </w:rPr>
              <w:t>Item</w:t>
            </w:r>
          </w:p>
        </w:tc>
        <w:tc>
          <w:tcPr>
            <w:tcW w:w="4952" w:type="dxa"/>
          </w:tcPr>
          <w:p>
            <w:pPr>
              <w:pStyle w:val="yTable"/>
              <w:jc w:val="center"/>
              <w:rPr>
                <w:i/>
              </w:rPr>
            </w:pPr>
            <w:r>
              <w:rPr>
                <w:i/>
              </w:rPr>
              <w:t>Prohibited drug</w:t>
            </w:r>
          </w:p>
        </w:tc>
        <w:tc>
          <w:tcPr>
            <w:tcW w:w="1358" w:type="dxa"/>
          </w:tcPr>
          <w:p>
            <w:pPr>
              <w:pStyle w:val="yTable"/>
              <w:spacing w:before="40" w:after="40"/>
              <w:jc w:val="center"/>
              <w:rPr>
                <w:i/>
              </w:rPr>
            </w:pPr>
            <w:r>
              <w:rPr>
                <w:i/>
              </w:rPr>
              <w:t>Amount</w:t>
            </w:r>
            <w:r>
              <w:rPr>
                <w:i/>
              </w:rPr>
              <w:br/>
              <w:t>(in grams</w:t>
            </w:r>
            <w:r>
              <w:rPr>
                <w:i/>
              </w:rPr>
              <w:br/>
              <w:t>unless</w:t>
            </w:r>
            <w:r>
              <w:rPr>
                <w:i/>
              </w:rPr>
              <w:br/>
              <w:t>otherwise</w:t>
            </w:r>
            <w:r>
              <w:rPr>
                <w:i/>
              </w:rPr>
              <w:br/>
              <w:t>stated)</w:t>
            </w:r>
          </w:p>
        </w:tc>
      </w:tr>
      <w:tr>
        <w:trPr>
          <w:gridBefore w:val="1"/>
          <w:wBefore w:w="13" w:type="dxa"/>
        </w:trPr>
        <w:tc>
          <w:tcPr>
            <w:tcW w:w="788" w:type="dxa"/>
          </w:tcPr>
          <w:p>
            <w:pPr>
              <w:pStyle w:val="yTable"/>
              <w:spacing w:before="40" w:after="40"/>
            </w:pPr>
            <w:r>
              <w:t>1.</w:t>
            </w:r>
          </w:p>
        </w:tc>
        <w:tc>
          <w:tcPr>
            <w:tcW w:w="4952" w:type="dxa"/>
          </w:tcPr>
          <w:p>
            <w:pPr>
              <w:pStyle w:val="yTable"/>
            </w:pPr>
            <w:r>
              <w:t>AMPHETAMINE</w:t>
            </w:r>
          </w:p>
        </w:tc>
        <w:tc>
          <w:tcPr>
            <w:tcW w:w="1358" w:type="dxa"/>
          </w:tcPr>
          <w:p>
            <w:pPr>
              <w:pStyle w:val="yTable"/>
              <w:tabs>
                <w:tab w:val="decimal" w:pos="439"/>
              </w:tabs>
              <w:spacing w:before="40" w:after="40"/>
            </w:pPr>
            <w:r>
              <w:t>28.0</w:t>
            </w:r>
          </w:p>
        </w:tc>
      </w:tr>
      <w:tr>
        <w:trPr>
          <w:gridBefore w:val="1"/>
          <w:wBefore w:w="13" w:type="dxa"/>
        </w:trPr>
        <w:tc>
          <w:tcPr>
            <w:tcW w:w="788" w:type="dxa"/>
          </w:tcPr>
          <w:p>
            <w:pPr>
              <w:pStyle w:val="yTable"/>
              <w:spacing w:before="40" w:after="40"/>
            </w:pPr>
            <w:r>
              <w:t>2A.</w:t>
            </w:r>
          </w:p>
        </w:tc>
        <w:tc>
          <w:tcPr>
            <w:tcW w:w="4952" w:type="dxa"/>
          </w:tcPr>
          <w:p>
            <w:pPr>
              <w:pStyle w:val="yTable"/>
            </w:pPr>
            <w:r>
              <w:t>BENZYLPIPERAZINE (BZP)</w:t>
            </w:r>
          </w:p>
        </w:tc>
        <w:tc>
          <w:tcPr>
            <w:tcW w:w="1358" w:type="dxa"/>
          </w:tcPr>
          <w:p>
            <w:pPr>
              <w:pStyle w:val="yTable"/>
              <w:tabs>
                <w:tab w:val="decimal" w:pos="439"/>
              </w:tabs>
              <w:spacing w:before="40" w:after="40"/>
            </w:pPr>
            <w:r>
              <w:t>28.0</w:t>
            </w:r>
          </w:p>
        </w:tc>
      </w:tr>
      <w:tr>
        <w:trPr>
          <w:gridBefore w:val="1"/>
          <w:wBefore w:w="13" w:type="dxa"/>
        </w:trPr>
        <w:tc>
          <w:tcPr>
            <w:tcW w:w="788" w:type="dxa"/>
          </w:tcPr>
          <w:p>
            <w:pPr>
              <w:pStyle w:val="yTable"/>
              <w:spacing w:before="40" w:after="40"/>
            </w:pPr>
            <w:r>
              <w:t>2B.</w:t>
            </w:r>
          </w:p>
        </w:tc>
        <w:tc>
          <w:tcPr>
            <w:tcW w:w="4952" w:type="dxa"/>
          </w:tcPr>
          <w:p>
            <w:pPr>
              <w:pStyle w:val="yTable"/>
              <w:ind w:left="397" w:hanging="397"/>
            </w:pPr>
            <w:r>
              <w:t>1</w:t>
            </w:r>
            <w:r>
              <w:noBreakHyphen/>
              <w:t>BUTYL</w:t>
            </w:r>
            <w:r>
              <w:noBreakHyphen/>
              <w:t>3</w:t>
            </w:r>
            <w:r>
              <w:noBreakHyphen/>
              <w:t>(1</w:t>
            </w:r>
            <w:r>
              <w:noBreakHyphen/>
              <w:t xml:space="preserve">NAPHTHOYL)INDOLE </w:t>
            </w:r>
            <w:r>
              <w:br/>
              <w:t>(JWH – 073)</w:t>
            </w:r>
          </w:p>
        </w:tc>
        <w:tc>
          <w:tcPr>
            <w:tcW w:w="1358" w:type="dxa"/>
          </w:tcPr>
          <w:p>
            <w:pPr>
              <w:pStyle w:val="yTable"/>
              <w:tabs>
                <w:tab w:val="decimal" w:pos="439"/>
              </w:tabs>
              <w:spacing w:before="40" w:after="40"/>
            </w:pPr>
            <w:r>
              <w:br/>
              <w:t>3.0 kg</w:t>
            </w:r>
          </w:p>
        </w:tc>
      </w:tr>
      <w:tr>
        <w:trPr>
          <w:gridBefore w:val="1"/>
          <w:wBefore w:w="13" w:type="dxa"/>
        </w:trPr>
        <w:tc>
          <w:tcPr>
            <w:tcW w:w="788" w:type="dxa"/>
          </w:tcPr>
          <w:p>
            <w:pPr>
              <w:pStyle w:val="yTable"/>
              <w:spacing w:before="40" w:after="40"/>
            </w:pPr>
            <w:r>
              <w:t>2.</w:t>
            </w:r>
          </w:p>
        </w:tc>
        <w:tc>
          <w:tcPr>
            <w:tcW w:w="4952" w:type="dxa"/>
          </w:tcPr>
          <w:p>
            <w:pPr>
              <w:pStyle w:val="yTable"/>
            </w:pPr>
            <w:r>
              <w:t>CANNABIS</w:t>
            </w:r>
          </w:p>
        </w:tc>
        <w:tc>
          <w:tcPr>
            <w:tcW w:w="1358" w:type="dxa"/>
          </w:tcPr>
          <w:p>
            <w:pPr>
              <w:pStyle w:val="yTable"/>
              <w:tabs>
                <w:tab w:val="decimal" w:pos="439"/>
              </w:tabs>
              <w:spacing w:before="40" w:after="40"/>
            </w:pPr>
            <w:r>
              <w:t>3.0 kg</w:t>
            </w:r>
          </w:p>
        </w:tc>
      </w:tr>
      <w:tr>
        <w:trPr>
          <w:gridBefore w:val="1"/>
          <w:wBefore w:w="13" w:type="dxa"/>
        </w:trPr>
        <w:tc>
          <w:tcPr>
            <w:tcW w:w="788" w:type="dxa"/>
          </w:tcPr>
          <w:p>
            <w:pPr>
              <w:pStyle w:val="yTable"/>
              <w:spacing w:before="40" w:after="40"/>
            </w:pPr>
            <w:r>
              <w:t>3.</w:t>
            </w:r>
          </w:p>
        </w:tc>
        <w:tc>
          <w:tcPr>
            <w:tcW w:w="4952" w:type="dxa"/>
          </w:tcPr>
          <w:p>
            <w:pPr>
              <w:pStyle w:val="yTable"/>
            </w:pPr>
            <w:r>
              <w:t>CANNABIS RESIN</w:t>
            </w:r>
          </w:p>
        </w:tc>
        <w:tc>
          <w:tcPr>
            <w:tcW w:w="1358" w:type="dxa"/>
          </w:tcPr>
          <w:p>
            <w:pPr>
              <w:pStyle w:val="yTable"/>
              <w:tabs>
                <w:tab w:val="decimal" w:pos="439"/>
              </w:tabs>
              <w:spacing w:before="40" w:after="40"/>
            </w:pPr>
            <w:r>
              <w:t>100.0</w:t>
            </w:r>
          </w:p>
        </w:tc>
      </w:tr>
      <w:tr>
        <w:trPr>
          <w:gridBefore w:val="1"/>
          <w:wBefore w:w="13" w:type="dxa"/>
        </w:trPr>
        <w:tc>
          <w:tcPr>
            <w:tcW w:w="788" w:type="dxa"/>
          </w:tcPr>
          <w:p>
            <w:pPr>
              <w:pStyle w:val="yTable"/>
              <w:spacing w:before="40" w:after="40"/>
            </w:pPr>
            <w:r>
              <w:t>4.</w:t>
            </w:r>
          </w:p>
        </w:tc>
        <w:tc>
          <w:tcPr>
            <w:tcW w:w="4952" w:type="dxa"/>
          </w:tcPr>
          <w:p>
            <w:pPr>
              <w:pStyle w:val="yTable"/>
            </w:pPr>
            <w:r>
              <w:t>COCAINE</w:t>
            </w:r>
          </w:p>
        </w:tc>
        <w:tc>
          <w:tcPr>
            <w:tcW w:w="1358" w:type="dxa"/>
          </w:tcPr>
          <w:p>
            <w:pPr>
              <w:pStyle w:val="yTable"/>
              <w:tabs>
                <w:tab w:val="decimal" w:pos="439"/>
              </w:tabs>
              <w:spacing w:before="40" w:after="40"/>
            </w:pPr>
            <w:r>
              <w:t>28.0</w:t>
            </w:r>
          </w:p>
        </w:tc>
      </w:tr>
      <w:tr>
        <w:tc>
          <w:tcPr>
            <w:tcW w:w="801" w:type="dxa"/>
            <w:gridSpan w:val="2"/>
          </w:tcPr>
          <w:p>
            <w:pPr>
              <w:pStyle w:val="yTable"/>
            </w:pPr>
            <w:r>
              <w:t>4A.</w:t>
            </w:r>
          </w:p>
        </w:tc>
        <w:tc>
          <w:tcPr>
            <w:tcW w:w="4952" w:type="dxa"/>
          </w:tcPr>
          <w:p>
            <w:pPr>
              <w:pStyle w:val="yTable"/>
            </w:pPr>
            <w:r>
              <w:t>1</w:t>
            </w:r>
            <w:r>
              <w:noBreakHyphen/>
              <w:t>CYCLOHEXYLETHYL</w:t>
            </w:r>
            <w:r>
              <w:noBreakHyphen/>
              <w:t>3</w:t>
            </w:r>
            <w:r>
              <w:noBreakHyphen/>
              <w:t>(2</w:t>
            </w:r>
            <w:r>
              <w:noBreakHyphen/>
            </w:r>
            <w:r>
              <w:br/>
              <w:t>METHOXYPHENYLACETYL)INDOLE (RCS</w:t>
            </w:r>
            <w:r>
              <w:noBreakHyphen/>
              <w:t>8)</w:t>
            </w:r>
          </w:p>
        </w:tc>
        <w:tc>
          <w:tcPr>
            <w:tcW w:w="1358" w:type="dxa"/>
          </w:tcPr>
          <w:p>
            <w:pPr>
              <w:pStyle w:val="yTable"/>
              <w:tabs>
                <w:tab w:val="decimal" w:pos="439"/>
              </w:tabs>
              <w:spacing w:before="40" w:after="40"/>
            </w:pPr>
            <w:r>
              <w:br/>
              <w:t>3.0 kg</w:t>
            </w:r>
          </w:p>
        </w:tc>
      </w:tr>
      <w:tr>
        <w:trPr>
          <w:gridBefore w:val="1"/>
          <w:wBefore w:w="13" w:type="dxa"/>
        </w:trPr>
        <w:tc>
          <w:tcPr>
            <w:tcW w:w="788" w:type="dxa"/>
          </w:tcPr>
          <w:p>
            <w:pPr>
              <w:pStyle w:val="yTable"/>
              <w:spacing w:before="40" w:after="40"/>
            </w:pPr>
            <w:r>
              <w:t>5.</w:t>
            </w:r>
          </w:p>
        </w:tc>
        <w:tc>
          <w:tcPr>
            <w:tcW w:w="4952" w:type="dxa"/>
          </w:tcPr>
          <w:p>
            <w:pPr>
              <w:pStyle w:val="yTable"/>
            </w:pPr>
            <w:r>
              <w:t>DIACETYLMORPHINE</w:t>
            </w:r>
          </w:p>
        </w:tc>
        <w:tc>
          <w:tcPr>
            <w:tcW w:w="1358" w:type="dxa"/>
          </w:tcPr>
          <w:p>
            <w:pPr>
              <w:pStyle w:val="yTable"/>
              <w:tabs>
                <w:tab w:val="decimal" w:pos="439"/>
              </w:tabs>
              <w:spacing w:before="40" w:after="40"/>
            </w:pPr>
            <w:r>
              <w:t>28.0</w:t>
            </w:r>
          </w:p>
        </w:tc>
      </w:tr>
      <w:tr>
        <w:trPr>
          <w:gridBefore w:val="1"/>
          <w:wBefore w:w="13" w:type="dxa"/>
        </w:trPr>
        <w:tc>
          <w:tcPr>
            <w:tcW w:w="788" w:type="dxa"/>
          </w:tcPr>
          <w:p>
            <w:pPr>
              <w:pStyle w:val="yTable"/>
              <w:spacing w:before="40" w:after="40"/>
            </w:pPr>
            <w:r>
              <w:t>5AA.</w:t>
            </w:r>
          </w:p>
        </w:tc>
        <w:tc>
          <w:tcPr>
            <w:tcW w:w="4952" w:type="dxa"/>
          </w:tcPr>
          <w:p>
            <w:pPr>
              <w:pStyle w:val="yTable"/>
            </w:pPr>
            <w:r>
              <w:t>DIMETHYLAMPHETAMINE</w:t>
            </w:r>
          </w:p>
        </w:tc>
        <w:tc>
          <w:tcPr>
            <w:tcW w:w="1358" w:type="dxa"/>
          </w:tcPr>
          <w:p>
            <w:pPr>
              <w:pStyle w:val="yTable"/>
              <w:tabs>
                <w:tab w:val="decimal" w:pos="439"/>
              </w:tabs>
              <w:spacing w:before="40" w:after="40"/>
            </w:pPr>
            <w:r>
              <w:t>28.0</w:t>
            </w:r>
          </w:p>
        </w:tc>
      </w:tr>
      <w:tr>
        <w:trPr>
          <w:gridBefore w:val="1"/>
          <w:wBefore w:w="13" w:type="dxa"/>
        </w:trPr>
        <w:tc>
          <w:tcPr>
            <w:tcW w:w="788" w:type="dxa"/>
          </w:tcPr>
          <w:p>
            <w:pPr>
              <w:pStyle w:val="yTable"/>
              <w:spacing w:before="40" w:after="40"/>
            </w:pPr>
            <w:r>
              <w:t>5AB.</w:t>
            </w:r>
          </w:p>
        </w:tc>
        <w:tc>
          <w:tcPr>
            <w:tcW w:w="4952" w:type="dxa"/>
          </w:tcPr>
          <w:p>
            <w:pPr>
              <w:pStyle w:val="yTable"/>
              <w:ind w:left="397" w:hanging="397"/>
            </w:pPr>
            <w:r>
              <w:t>5</w:t>
            </w:r>
            <w:r>
              <w:noBreakHyphen/>
              <w:t>(1,1</w:t>
            </w:r>
            <w:r>
              <w:noBreakHyphen/>
              <w:t>DIMETHYLHEPTYL)</w:t>
            </w:r>
            <w:r>
              <w:noBreakHyphen/>
              <w:t>2</w:t>
            </w:r>
            <w:r>
              <w:noBreakHyphen/>
              <w:t>[(1</w:t>
            </w:r>
            <w:r>
              <w:rPr>
                <w:i/>
              </w:rPr>
              <w:t>R,3S</w:t>
            </w:r>
            <w:r>
              <w:t>)</w:t>
            </w:r>
            <w:r>
              <w:br/>
            </w:r>
            <w:r>
              <w:noBreakHyphen/>
              <w:t>3</w:t>
            </w:r>
            <w:r>
              <w:noBreakHyphen/>
              <w:t>HY</w:t>
            </w:r>
            <w:r>
              <w:rPr>
                <w:rFonts w:cs="Arial"/>
                <w:color w:val="000000"/>
                <w:szCs w:val="22"/>
              </w:rPr>
              <w:t>D</w:t>
            </w:r>
            <w:r>
              <w:t>ROXYCYCLOHEXYL]</w:t>
            </w:r>
            <w:r>
              <w:noBreakHyphen/>
              <w:t xml:space="preserve">PHENOL </w:t>
            </w:r>
            <w:r>
              <w:br/>
              <w:t>(CP 47,497)</w:t>
            </w:r>
          </w:p>
        </w:tc>
        <w:tc>
          <w:tcPr>
            <w:tcW w:w="1358" w:type="dxa"/>
          </w:tcPr>
          <w:p>
            <w:pPr>
              <w:pStyle w:val="yTable"/>
              <w:tabs>
                <w:tab w:val="decimal" w:pos="439"/>
              </w:tabs>
              <w:spacing w:before="40" w:after="40"/>
            </w:pPr>
            <w:r>
              <w:br/>
            </w:r>
            <w:r>
              <w:br/>
              <w:t>3.0 kg</w:t>
            </w:r>
          </w:p>
        </w:tc>
      </w:tr>
      <w:tr>
        <w:trPr>
          <w:gridBefore w:val="1"/>
          <w:wBefore w:w="13" w:type="dxa"/>
        </w:trPr>
        <w:tc>
          <w:tcPr>
            <w:tcW w:w="788" w:type="dxa"/>
          </w:tcPr>
          <w:p>
            <w:pPr>
              <w:pStyle w:val="yTable"/>
              <w:spacing w:before="40" w:after="40"/>
            </w:pPr>
            <w:r>
              <w:t>5AC.</w:t>
            </w:r>
          </w:p>
        </w:tc>
        <w:tc>
          <w:tcPr>
            <w:tcW w:w="4952" w:type="dxa"/>
          </w:tcPr>
          <w:p>
            <w:pPr>
              <w:pStyle w:val="yTable"/>
              <w:ind w:left="397" w:hanging="397"/>
            </w:pPr>
            <w:r>
              <w:t>5</w:t>
            </w:r>
            <w:r>
              <w:noBreakHyphen/>
              <w:t>(1,1</w:t>
            </w:r>
            <w:r>
              <w:noBreakHyphen/>
              <w:t>DIMETHYLOCTYL)</w:t>
            </w:r>
            <w:r>
              <w:noBreakHyphen/>
              <w:t>2</w:t>
            </w:r>
            <w:r>
              <w:noBreakHyphen/>
              <w:t>[(1</w:t>
            </w:r>
            <w:r>
              <w:rPr>
                <w:i/>
              </w:rPr>
              <w:t>R,3S</w:t>
            </w:r>
            <w:r>
              <w:t>)</w:t>
            </w:r>
            <w:r>
              <w:br/>
            </w:r>
            <w:r>
              <w:noBreakHyphen/>
              <w:t>3</w:t>
            </w:r>
            <w:r>
              <w:noBreakHyphen/>
            </w:r>
            <w:r>
              <w:rPr>
                <w:rFonts w:cs="Arial"/>
                <w:color w:val="000000"/>
                <w:szCs w:val="22"/>
              </w:rPr>
              <w:t>HYDROXYCYCLOHEXYL</w:t>
            </w:r>
            <w:r>
              <w:t>]</w:t>
            </w:r>
            <w:r>
              <w:noBreakHyphen/>
              <w:t>PHENOL (CANNABICYCLOHEXANOL or CP 47,497 C8 HOMOLOGUE)</w:t>
            </w:r>
          </w:p>
        </w:tc>
        <w:tc>
          <w:tcPr>
            <w:tcW w:w="1358" w:type="dxa"/>
          </w:tcPr>
          <w:p>
            <w:pPr>
              <w:pStyle w:val="yTable"/>
              <w:tabs>
                <w:tab w:val="decimal" w:pos="439"/>
              </w:tabs>
              <w:spacing w:before="40" w:after="40"/>
            </w:pPr>
            <w:r>
              <w:br/>
            </w:r>
            <w:r>
              <w:br/>
            </w:r>
            <w:r>
              <w:br/>
              <w:t>3.0 kg</w:t>
            </w:r>
          </w:p>
        </w:tc>
      </w:tr>
      <w:tr>
        <w:trPr>
          <w:gridBefore w:val="1"/>
          <w:wBefore w:w="13" w:type="dxa"/>
        </w:trPr>
        <w:tc>
          <w:tcPr>
            <w:tcW w:w="788" w:type="dxa"/>
          </w:tcPr>
          <w:p>
            <w:pPr>
              <w:pStyle w:val="yTable"/>
              <w:spacing w:before="40" w:after="40"/>
            </w:pPr>
            <w:r>
              <w:t>5A.</w:t>
            </w:r>
          </w:p>
        </w:tc>
        <w:tc>
          <w:tcPr>
            <w:tcW w:w="4952" w:type="dxa"/>
          </w:tcPr>
          <w:p>
            <w:pPr>
              <w:pStyle w:val="yTable"/>
            </w:pPr>
            <w:r>
              <w:t>EPHEDRINE</w:t>
            </w:r>
          </w:p>
        </w:tc>
        <w:tc>
          <w:tcPr>
            <w:tcW w:w="1358" w:type="dxa"/>
          </w:tcPr>
          <w:p>
            <w:pPr>
              <w:pStyle w:val="yTable"/>
              <w:tabs>
                <w:tab w:val="decimal" w:pos="439"/>
              </w:tabs>
              <w:spacing w:before="40" w:after="40"/>
            </w:pPr>
            <w:r>
              <w:t>28.0</w:t>
            </w:r>
          </w:p>
        </w:tc>
      </w:tr>
      <w:tr>
        <w:tc>
          <w:tcPr>
            <w:tcW w:w="801" w:type="dxa"/>
            <w:gridSpan w:val="2"/>
          </w:tcPr>
          <w:p>
            <w:pPr>
              <w:pStyle w:val="yTable"/>
            </w:pPr>
            <w:r>
              <w:t>6A.</w:t>
            </w:r>
          </w:p>
        </w:tc>
        <w:tc>
          <w:tcPr>
            <w:tcW w:w="4952" w:type="dxa"/>
          </w:tcPr>
          <w:p>
            <w:pPr>
              <w:pStyle w:val="yTable"/>
            </w:pPr>
            <w:r>
              <w:t>1</w:t>
            </w:r>
            <w:r>
              <w:noBreakHyphen/>
              <w:t>(5</w:t>
            </w:r>
            <w:r>
              <w:noBreakHyphen/>
              <w:t>FLUOROPENTYL)</w:t>
            </w:r>
            <w:r>
              <w:noBreakHyphen/>
              <w:t>3</w:t>
            </w:r>
            <w:r>
              <w:noBreakHyphen/>
              <w:t>(2</w:t>
            </w:r>
            <w:r>
              <w:noBreakHyphen/>
            </w:r>
            <w:r>
              <w:br/>
              <w:t>IODOBENZOYL)INDOLE) (AM</w:t>
            </w:r>
            <w:r>
              <w:noBreakHyphen/>
              <w:t>694)</w:t>
            </w:r>
          </w:p>
        </w:tc>
        <w:tc>
          <w:tcPr>
            <w:tcW w:w="1358" w:type="dxa"/>
          </w:tcPr>
          <w:p>
            <w:pPr>
              <w:pStyle w:val="yTable"/>
              <w:tabs>
                <w:tab w:val="decimal" w:pos="439"/>
              </w:tabs>
              <w:spacing w:before="40" w:after="40"/>
            </w:pPr>
            <w:r>
              <w:br/>
              <w:t>3.0 kg</w:t>
            </w:r>
          </w:p>
        </w:tc>
      </w:tr>
      <w:tr>
        <w:tc>
          <w:tcPr>
            <w:tcW w:w="801" w:type="dxa"/>
            <w:gridSpan w:val="2"/>
          </w:tcPr>
          <w:p>
            <w:pPr>
              <w:pStyle w:val="yTable"/>
            </w:pPr>
            <w:r>
              <w:t>6B.</w:t>
            </w:r>
          </w:p>
        </w:tc>
        <w:tc>
          <w:tcPr>
            <w:tcW w:w="4952" w:type="dxa"/>
          </w:tcPr>
          <w:p>
            <w:pPr>
              <w:pStyle w:val="yTable"/>
            </w:pPr>
            <w:r>
              <w:t>1</w:t>
            </w:r>
            <w:r>
              <w:noBreakHyphen/>
              <w:t>(5</w:t>
            </w:r>
            <w:r>
              <w:noBreakHyphen/>
              <w:t>FLUOROPENTYL)</w:t>
            </w:r>
            <w:r>
              <w:noBreakHyphen/>
              <w:t>3</w:t>
            </w:r>
            <w:r>
              <w:noBreakHyphen/>
              <w:t>(1</w:t>
            </w:r>
            <w:r>
              <w:noBreakHyphen/>
            </w:r>
            <w:r>
              <w:br/>
              <w:t>NAPHTHOYL)INDOLE (AM</w:t>
            </w:r>
            <w:r>
              <w:noBreakHyphen/>
              <w:t>2201)</w:t>
            </w:r>
          </w:p>
        </w:tc>
        <w:tc>
          <w:tcPr>
            <w:tcW w:w="1358" w:type="dxa"/>
          </w:tcPr>
          <w:p>
            <w:pPr>
              <w:pStyle w:val="yTable"/>
              <w:tabs>
                <w:tab w:val="decimal" w:pos="439"/>
              </w:tabs>
              <w:spacing w:before="40" w:after="40"/>
            </w:pPr>
            <w:r>
              <w:br/>
              <w:t>3.0 kg</w:t>
            </w:r>
          </w:p>
        </w:tc>
      </w:tr>
      <w:tr>
        <w:tc>
          <w:tcPr>
            <w:tcW w:w="801" w:type="dxa"/>
            <w:gridSpan w:val="2"/>
          </w:tcPr>
          <w:p>
            <w:pPr>
              <w:pStyle w:val="yTable"/>
            </w:pPr>
            <w:r>
              <w:t>6C.</w:t>
            </w:r>
          </w:p>
        </w:tc>
        <w:tc>
          <w:tcPr>
            <w:tcW w:w="4952" w:type="dxa"/>
          </w:tcPr>
          <w:p>
            <w:pPr>
              <w:pStyle w:val="yTable"/>
            </w:pPr>
            <w:r>
              <w:t>1</w:t>
            </w:r>
            <w:r>
              <w:noBreakHyphen/>
              <w:t>HEXYL</w:t>
            </w:r>
            <w:r>
              <w:noBreakHyphen/>
              <w:t>3</w:t>
            </w:r>
            <w:r>
              <w:noBreakHyphen/>
              <w:t>(1</w:t>
            </w:r>
            <w:r>
              <w:noBreakHyphen/>
              <w:t>NAPHTHOYL)INDOLE (JWH</w:t>
            </w:r>
            <w:r>
              <w:noBreakHyphen/>
              <w:t>019)</w:t>
            </w:r>
          </w:p>
        </w:tc>
        <w:tc>
          <w:tcPr>
            <w:tcW w:w="1358" w:type="dxa"/>
          </w:tcPr>
          <w:p>
            <w:pPr>
              <w:pStyle w:val="yTable"/>
              <w:tabs>
                <w:tab w:val="decimal" w:pos="439"/>
              </w:tabs>
              <w:spacing w:before="40" w:after="40"/>
            </w:pPr>
            <w:r>
              <w:br/>
              <w:t>3.0 kg</w:t>
            </w:r>
          </w:p>
        </w:tc>
      </w:tr>
      <w:tr>
        <w:tc>
          <w:tcPr>
            <w:tcW w:w="801" w:type="dxa"/>
            <w:gridSpan w:val="2"/>
          </w:tcPr>
          <w:p>
            <w:pPr>
              <w:pStyle w:val="yTable"/>
            </w:pPr>
            <w:r>
              <w:t>6D.</w:t>
            </w:r>
          </w:p>
        </w:tc>
        <w:tc>
          <w:tcPr>
            <w:tcW w:w="4952" w:type="dxa"/>
          </w:tcPr>
          <w:p>
            <w:pPr>
              <w:pStyle w:val="yTable"/>
            </w:pPr>
            <w:r>
              <w:t>9</w:t>
            </w:r>
            <w:r>
              <w:noBreakHyphen/>
              <w:t>(HYDROXYMETHYL)</w:t>
            </w:r>
            <w:r>
              <w:noBreakHyphen/>
              <w:t>6,6</w:t>
            </w:r>
            <w:r>
              <w:noBreakHyphen/>
              <w:t>DIMETHYL</w:t>
            </w:r>
            <w:r>
              <w:noBreakHyphen/>
              <w:t>3</w:t>
            </w:r>
            <w:r>
              <w:noBreakHyphen/>
            </w:r>
            <w:r>
              <w:br/>
              <w:t>(2</w:t>
            </w:r>
            <w:r>
              <w:noBreakHyphen/>
              <w:t>METHYLOCTAN</w:t>
            </w:r>
            <w:r>
              <w:noBreakHyphen/>
              <w:t>2</w:t>
            </w:r>
            <w:r>
              <w:noBreakHyphen/>
              <w:t>YL)</w:t>
            </w:r>
            <w:r>
              <w:noBreakHyphen/>
            </w:r>
            <w:r>
              <w:br/>
              <w:t>6A,7,10,10A</w:t>
            </w:r>
            <w:r>
              <w:noBreakHyphen/>
              <w:t>TETRAHYDROBENZO[C]CHROMEN</w:t>
            </w:r>
            <w:r>
              <w:noBreakHyphen/>
              <w:t>1</w:t>
            </w:r>
            <w:r>
              <w:noBreakHyphen/>
              <w:t>OL (HU</w:t>
            </w:r>
            <w:r>
              <w:noBreakHyphen/>
              <w:t>210)</w:t>
            </w:r>
          </w:p>
        </w:tc>
        <w:tc>
          <w:tcPr>
            <w:tcW w:w="1358" w:type="dxa"/>
          </w:tcPr>
          <w:p>
            <w:pPr>
              <w:pStyle w:val="yTable"/>
              <w:tabs>
                <w:tab w:val="decimal" w:pos="439"/>
              </w:tabs>
              <w:spacing w:before="40" w:after="40"/>
            </w:pPr>
            <w:r>
              <w:br/>
            </w:r>
            <w:r>
              <w:br/>
            </w:r>
            <w:r>
              <w:br/>
              <w:t>3.0 kg</w:t>
            </w:r>
          </w:p>
        </w:tc>
      </w:tr>
      <w:tr>
        <w:trPr>
          <w:gridBefore w:val="1"/>
          <w:wBefore w:w="13" w:type="dxa"/>
        </w:trPr>
        <w:tc>
          <w:tcPr>
            <w:tcW w:w="788" w:type="dxa"/>
          </w:tcPr>
          <w:p>
            <w:pPr>
              <w:pStyle w:val="yTable"/>
              <w:spacing w:before="40" w:after="40"/>
            </w:pPr>
            <w:r>
              <w:t>6.</w:t>
            </w:r>
          </w:p>
        </w:tc>
        <w:tc>
          <w:tcPr>
            <w:tcW w:w="4952" w:type="dxa"/>
          </w:tcPr>
          <w:p>
            <w:pPr>
              <w:pStyle w:val="yTable"/>
            </w:pPr>
            <w:r>
              <w:t>LYSERGIC ACID DIETHYLAMIDE (LSD)</w:t>
            </w:r>
          </w:p>
        </w:tc>
        <w:tc>
          <w:tcPr>
            <w:tcW w:w="1358" w:type="dxa"/>
          </w:tcPr>
          <w:p>
            <w:pPr>
              <w:pStyle w:val="yTable"/>
              <w:tabs>
                <w:tab w:val="decimal" w:pos="439"/>
              </w:tabs>
              <w:spacing w:before="40" w:after="40"/>
            </w:pPr>
            <w:r>
              <w:t>0.01</w:t>
            </w:r>
          </w:p>
        </w:tc>
      </w:tr>
      <w:tr>
        <w:trPr>
          <w:gridBefore w:val="1"/>
          <w:wBefore w:w="13" w:type="dxa"/>
        </w:trPr>
        <w:tc>
          <w:tcPr>
            <w:tcW w:w="788" w:type="dxa"/>
          </w:tcPr>
          <w:p>
            <w:pPr>
              <w:pStyle w:val="yTable"/>
              <w:spacing w:before="40" w:after="40"/>
            </w:pPr>
            <w:r>
              <w:t>7.</w:t>
            </w:r>
          </w:p>
        </w:tc>
        <w:tc>
          <w:tcPr>
            <w:tcW w:w="4952" w:type="dxa"/>
          </w:tcPr>
          <w:p>
            <w:pPr>
              <w:pStyle w:val="yTable"/>
            </w:pPr>
            <w:r>
              <w:t>METHADONE</w:t>
            </w:r>
          </w:p>
        </w:tc>
        <w:tc>
          <w:tcPr>
            <w:tcW w:w="1358" w:type="dxa"/>
          </w:tcPr>
          <w:p>
            <w:pPr>
              <w:pStyle w:val="yTable"/>
              <w:tabs>
                <w:tab w:val="decimal" w:pos="439"/>
              </w:tabs>
              <w:spacing w:before="40" w:after="40"/>
            </w:pPr>
            <w:r>
              <w:t>5.0</w:t>
            </w:r>
          </w:p>
        </w:tc>
      </w:tr>
      <w:tr>
        <w:trPr>
          <w:gridBefore w:val="1"/>
          <w:wBefore w:w="13" w:type="dxa"/>
        </w:trPr>
        <w:tc>
          <w:tcPr>
            <w:tcW w:w="788" w:type="dxa"/>
          </w:tcPr>
          <w:p>
            <w:pPr>
              <w:pStyle w:val="yTable"/>
              <w:spacing w:before="40" w:after="40"/>
            </w:pPr>
            <w:r>
              <w:t>8A.</w:t>
            </w:r>
          </w:p>
        </w:tc>
        <w:tc>
          <w:tcPr>
            <w:tcW w:w="4952" w:type="dxa"/>
          </w:tcPr>
          <w:p>
            <w:pPr>
              <w:pStyle w:val="yTable"/>
            </w:pPr>
            <w:r>
              <w:t>METHCATHINONE</w:t>
            </w:r>
          </w:p>
        </w:tc>
        <w:tc>
          <w:tcPr>
            <w:tcW w:w="1358" w:type="dxa"/>
          </w:tcPr>
          <w:p>
            <w:pPr>
              <w:pStyle w:val="yTable"/>
              <w:tabs>
                <w:tab w:val="decimal" w:pos="439"/>
              </w:tabs>
              <w:spacing w:before="40" w:after="40"/>
            </w:pPr>
            <w:r>
              <w:t>28.0</w:t>
            </w:r>
          </w:p>
        </w:tc>
      </w:tr>
      <w:tr>
        <w:trPr>
          <w:gridBefore w:val="1"/>
          <w:wBefore w:w="13" w:type="dxa"/>
        </w:trPr>
        <w:tc>
          <w:tcPr>
            <w:tcW w:w="788" w:type="dxa"/>
          </w:tcPr>
          <w:p>
            <w:pPr>
              <w:pStyle w:val="yTable"/>
            </w:pPr>
            <w:r>
              <w:t>8BA.</w:t>
            </w:r>
          </w:p>
        </w:tc>
        <w:tc>
          <w:tcPr>
            <w:tcW w:w="4952" w:type="dxa"/>
          </w:tcPr>
          <w:p>
            <w:pPr>
              <w:pStyle w:val="yTable"/>
            </w:pPr>
            <w:r>
              <w:t>4</w:t>
            </w:r>
            <w:r>
              <w:noBreakHyphen/>
              <w:t>METHOXYPHENYL(1</w:t>
            </w:r>
            <w:r>
              <w:noBreakHyphen/>
              <w:t>BUTYL</w:t>
            </w:r>
            <w:r>
              <w:noBreakHyphen/>
              <w:t>1H</w:t>
            </w:r>
            <w:r>
              <w:noBreakHyphen/>
              <w:t>INDOL</w:t>
            </w:r>
            <w:r>
              <w:noBreakHyphen/>
            </w:r>
            <w:r>
              <w:br/>
              <w:t>3</w:t>
            </w:r>
            <w:r>
              <w:noBreakHyphen/>
              <w:t>YL)</w:t>
            </w:r>
            <w:r>
              <w:noBreakHyphen/>
              <w:t>METHANONE (RCS</w:t>
            </w:r>
            <w:r>
              <w:noBreakHyphen/>
              <w:t>4 (C4))</w:t>
            </w:r>
          </w:p>
        </w:tc>
        <w:tc>
          <w:tcPr>
            <w:tcW w:w="1358" w:type="dxa"/>
          </w:tcPr>
          <w:p>
            <w:pPr>
              <w:pStyle w:val="yTable"/>
              <w:tabs>
                <w:tab w:val="decimal" w:pos="439"/>
              </w:tabs>
              <w:spacing w:before="40" w:after="40"/>
            </w:pPr>
            <w:r>
              <w:br/>
              <w:t>3.0 kg</w:t>
            </w:r>
          </w:p>
        </w:tc>
      </w:tr>
      <w:tr>
        <w:trPr>
          <w:gridBefore w:val="1"/>
          <w:wBefore w:w="13" w:type="dxa"/>
        </w:trPr>
        <w:tc>
          <w:tcPr>
            <w:tcW w:w="788" w:type="dxa"/>
          </w:tcPr>
          <w:p>
            <w:pPr>
              <w:pStyle w:val="yTable"/>
            </w:pPr>
            <w:r>
              <w:t>8BB.</w:t>
            </w:r>
          </w:p>
        </w:tc>
        <w:tc>
          <w:tcPr>
            <w:tcW w:w="4952" w:type="dxa"/>
          </w:tcPr>
          <w:p>
            <w:pPr>
              <w:pStyle w:val="yTable"/>
            </w:pPr>
            <w:r>
              <w:t>2</w:t>
            </w:r>
            <w:r>
              <w:noBreakHyphen/>
              <w:t>(4</w:t>
            </w:r>
            <w:r>
              <w:noBreakHyphen/>
              <w:t>METHOXYPHENYL)</w:t>
            </w:r>
            <w:r>
              <w:noBreakHyphen/>
              <w:t>1</w:t>
            </w:r>
            <w:r>
              <w:noBreakHyphen/>
              <w:t>(1</w:t>
            </w:r>
            <w:r>
              <w:noBreakHyphen/>
              <w:t>PENTYL</w:t>
            </w:r>
            <w:r>
              <w:noBreakHyphen/>
              <w:t>1H</w:t>
            </w:r>
            <w:r>
              <w:noBreakHyphen/>
            </w:r>
            <w:r>
              <w:br/>
              <w:t>INDOL</w:t>
            </w:r>
            <w:r>
              <w:noBreakHyphen/>
              <w:t>3</w:t>
            </w:r>
            <w:r>
              <w:noBreakHyphen/>
              <w:t>YL)</w:t>
            </w:r>
            <w:r>
              <w:noBreakHyphen/>
              <w:t>ETHANONE (JWH</w:t>
            </w:r>
            <w:r>
              <w:noBreakHyphen/>
              <w:t>201)</w:t>
            </w:r>
          </w:p>
        </w:tc>
        <w:tc>
          <w:tcPr>
            <w:tcW w:w="1358" w:type="dxa"/>
          </w:tcPr>
          <w:p>
            <w:pPr>
              <w:pStyle w:val="yTable"/>
              <w:tabs>
                <w:tab w:val="decimal" w:pos="439"/>
              </w:tabs>
              <w:spacing w:before="40" w:after="40"/>
            </w:pPr>
            <w:r>
              <w:br/>
              <w:t>3.0 kg</w:t>
            </w:r>
          </w:p>
        </w:tc>
      </w:tr>
      <w:tr>
        <w:trPr>
          <w:gridBefore w:val="1"/>
          <w:wBefore w:w="13" w:type="dxa"/>
        </w:trPr>
        <w:tc>
          <w:tcPr>
            <w:tcW w:w="788" w:type="dxa"/>
          </w:tcPr>
          <w:p>
            <w:pPr>
              <w:pStyle w:val="yTable"/>
            </w:pPr>
            <w:r>
              <w:t>8B.</w:t>
            </w:r>
          </w:p>
        </w:tc>
        <w:tc>
          <w:tcPr>
            <w:tcW w:w="4952" w:type="dxa"/>
          </w:tcPr>
          <w:p>
            <w:pPr>
              <w:pStyle w:val="yTable"/>
              <w:ind w:left="397" w:hanging="397"/>
            </w:pPr>
            <w:r>
              <w:t>2</w:t>
            </w:r>
            <w:r>
              <w:noBreakHyphen/>
              <w:t>(2</w:t>
            </w:r>
            <w:r>
              <w:noBreakHyphen/>
              <w:t>METHOXYPHENYL)</w:t>
            </w:r>
            <w:r>
              <w:noBreakHyphen/>
              <w:t>1</w:t>
            </w:r>
            <w:r>
              <w:noBreakHyphen/>
              <w:t>(1</w:t>
            </w:r>
            <w:r>
              <w:noBreakHyphen/>
              <w:t>PENTYLINDOL</w:t>
            </w:r>
            <w:r>
              <w:noBreakHyphen/>
              <w:t>3</w:t>
            </w:r>
            <w:r>
              <w:noBreakHyphen/>
              <w:t>YL)ETHANONE (JWH – 250)</w:t>
            </w:r>
          </w:p>
        </w:tc>
        <w:tc>
          <w:tcPr>
            <w:tcW w:w="1358" w:type="dxa"/>
          </w:tcPr>
          <w:p>
            <w:pPr>
              <w:pStyle w:val="yTable"/>
              <w:tabs>
                <w:tab w:val="decimal" w:pos="439"/>
              </w:tabs>
              <w:spacing w:before="40" w:after="40"/>
            </w:pPr>
            <w:r>
              <w:br/>
              <w:t>3.0 kg</w:t>
            </w:r>
          </w:p>
        </w:tc>
      </w:tr>
      <w:tr>
        <w:trPr>
          <w:gridBefore w:val="1"/>
          <w:wBefore w:w="13" w:type="dxa"/>
        </w:trPr>
        <w:tc>
          <w:tcPr>
            <w:tcW w:w="788" w:type="dxa"/>
          </w:tcPr>
          <w:p>
            <w:pPr>
              <w:pStyle w:val="yTable"/>
            </w:pPr>
            <w:r>
              <w:t>8C.</w:t>
            </w:r>
          </w:p>
        </w:tc>
        <w:tc>
          <w:tcPr>
            <w:tcW w:w="4952" w:type="dxa"/>
          </w:tcPr>
          <w:p>
            <w:pPr>
              <w:pStyle w:val="yTable"/>
            </w:pPr>
            <w:r>
              <w:t>2</w:t>
            </w:r>
            <w:r>
              <w:noBreakHyphen/>
              <w:t>(3</w:t>
            </w:r>
            <w:r>
              <w:noBreakHyphen/>
              <w:t>METHOXYPHENYL)</w:t>
            </w:r>
            <w:r>
              <w:noBreakHyphen/>
              <w:t>1</w:t>
            </w:r>
            <w:r>
              <w:noBreakHyphen/>
              <w:t>(1</w:t>
            </w:r>
            <w:r>
              <w:noBreakHyphen/>
            </w:r>
            <w:r>
              <w:br/>
              <w:t>PENTYLINDOL</w:t>
            </w:r>
            <w:r>
              <w:noBreakHyphen/>
              <w:t>3</w:t>
            </w:r>
            <w:r>
              <w:noBreakHyphen/>
              <w:t>YL)ETHANONE (JWH</w:t>
            </w:r>
            <w:r>
              <w:noBreakHyphen/>
              <w:t>302)</w:t>
            </w:r>
          </w:p>
        </w:tc>
        <w:tc>
          <w:tcPr>
            <w:tcW w:w="1358" w:type="dxa"/>
          </w:tcPr>
          <w:p>
            <w:pPr>
              <w:pStyle w:val="yTable"/>
              <w:tabs>
                <w:tab w:val="decimal" w:pos="439"/>
              </w:tabs>
              <w:spacing w:before="40" w:after="40"/>
            </w:pPr>
            <w:r>
              <w:br/>
              <w:t>3.0 kg</w:t>
            </w:r>
          </w:p>
        </w:tc>
      </w:tr>
      <w:tr>
        <w:trPr>
          <w:gridBefore w:val="1"/>
          <w:wBefore w:w="13" w:type="dxa"/>
        </w:trPr>
        <w:tc>
          <w:tcPr>
            <w:tcW w:w="788" w:type="dxa"/>
          </w:tcPr>
          <w:p>
            <w:pPr>
              <w:pStyle w:val="yTable"/>
              <w:spacing w:before="40" w:after="40"/>
            </w:pPr>
            <w:r>
              <w:t>8.</w:t>
            </w:r>
          </w:p>
        </w:tc>
        <w:tc>
          <w:tcPr>
            <w:tcW w:w="4952" w:type="dxa"/>
          </w:tcPr>
          <w:p>
            <w:pPr>
              <w:pStyle w:val="yTable"/>
            </w:pPr>
            <w:r>
              <w:t>METHYLAMPHETAMINE</w:t>
            </w:r>
          </w:p>
        </w:tc>
        <w:tc>
          <w:tcPr>
            <w:tcW w:w="1358" w:type="dxa"/>
          </w:tcPr>
          <w:p>
            <w:pPr>
              <w:pStyle w:val="yTable"/>
              <w:tabs>
                <w:tab w:val="decimal" w:pos="439"/>
              </w:tabs>
              <w:spacing w:before="40" w:after="40"/>
            </w:pPr>
            <w:r>
              <w:t>28.0</w:t>
            </w:r>
          </w:p>
        </w:tc>
      </w:tr>
      <w:tr>
        <w:trPr>
          <w:gridBefore w:val="1"/>
          <w:wBefore w:w="13" w:type="dxa"/>
          <w:cantSplit/>
        </w:trPr>
        <w:tc>
          <w:tcPr>
            <w:tcW w:w="788" w:type="dxa"/>
          </w:tcPr>
          <w:p>
            <w:pPr>
              <w:pStyle w:val="yTable"/>
              <w:spacing w:before="40" w:after="40"/>
            </w:pPr>
            <w:r>
              <w:t>9.</w:t>
            </w:r>
          </w:p>
        </w:tc>
        <w:tc>
          <w:tcPr>
            <w:tcW w:w="4952" w:type="dxa"/>
          </w:tcPr>
          <w:p>
            <w:pPr>
              <w:pStyle w:val="yTable"/>
              <w:ind w:left="397" w:hanging="397"/>
            </w:pPr>
            <w:r>
              <w:t>3, 4</w:t>
            </w:r>
            <w:r>
              <w:noBreakHyphen/>
              <w:t>METHYLENEDIOXYAMPHETAMINE (MDA)</w:t>
            </w:r>
          </w:p>
        </w:tc>
        <w:tc>
          <w:tcPr>
            <w:tcW w:w="1358" w:type="dxa"/>
          </w:tcPr>
          <w:p>
            <w:pPr>
              <w:pStyle w:val="yTable"/>
              <w:tabs>
                <w:tab w:val="decimal" w:pos="439"/>
              </w:tabs>
              <w:spacing w:before="40" w:after="40"/>
            </w:pPr>
            <w:r>
              <w:br/>
              <w:t>28.0</w:t>
            </w:r>
          </w:p>
        </w:tc>
      </w:tr>
      <w:tr>
        <w:trPr>
          <w:gridBefore w:val="1"/>
          <w:wBefore w:w="13" w:type="dxa"/>
        </w:trPr>
        <w:tc>
          <w:tcPr>
            <w:tcW w:w="788" w:type="dxa"/>
          </w:tcPr>
          <w:p>
            <w:pPr>
              <w:pStyle w:val="yTable"/>
              <w:spacing w:before="40" w:after="40"/>
            </w:pPr>
            <w:r>
              <w:t>10.</w:t>
            </w:r>
          </w:p>
        </w:tc>
        <w:tc>
          <w:tcPr>
            <w:tcW w:w="4952" w:type="dxa"/>
          </w:tcPr>
          <w:p>
            <w:pPr>
              <w:pStyle w:val="yTable"/>
              <w:ind w:left="397" w:hanging="397"/>
            </w:pPr>
            <w:r>
              <w:t>3, 4</w:t>
            </w:r>
            <w:r>
              <w:noBreakHyphen/>
              <w:t>METHYLENEDIOXY</w:t>
            </w:r>
            <w:r>
              <w:noBreakHyphen/>
              <w:t xml:space="preserve">N, </w:t>
            </w:r>
            <w:r>
              <w:rPr>
                <w:rFonts w:cs="Arial"/>
                <w:color w:val="000000"/>
                <w:szCs w:val="22"/>
              </w:rPr>
              <w:t>ALPHA</w:t>
            </w:r>
            <w:r>
              <w:noBreakHyphen/>
              <w:t>DIMETHYLPHENYLETHYLAMINE (MDMA)</w:t>
            </w:r>
          </w:p>
        </w:tc>
        <w:tc>
          <w:tcPr>
            <w:tcW w:w="1358" w:type="dxa"/>
          </w:tcPr>
          <w:p>
            <w:pPr>
              <w:pStyle w:val="yTable"/>
              <w:tabs>
                <w:tab w:val="decimal" w:pos="439"/>
              </w:tabs>
              <w:spacing w:before="40" w:after="40"/>
            </w:pPr>
            <w:r>
              <w:br/>
            </w:r>
            <w:r>
              <w:br/>
              <w:t>28.0</w:t>
            </w:r>
          </w:p>
        </w:tc>
      </w:tr>
      <w:tr>
        <w:trPr>
          <w:gridBefore w:val="1"/>
          <w:wBefore w:w="13" w:type="dxa"/>
        </w:trPr>
        <w:tc>
          <w:tcPr>
            <w:tcW w:w="788" w:type="dxa"/>
          </w:tcPr>
          <w:p>
            <w:pPr>
              <w:pStyle w:val="yTable"/>
              <w:spacing w:before="40" w:after="40"/>
            </w:pPr>
            <w:r>
              <w:t>11A.</w:t>
            </w:r>
          </w:p>
        </w:tc>
        <w:tc>
          <w:tcPr>
            <w:tcW w:w="4952" w:type="dxa"/>
          </w:tcPr>
          <w:p>
            <w:pPr>
              <w:pStyle w:val="yTable"/>
              <w:ind w:left="397" w:hanging="397"/>
            </w:pPr>
            <w:r>
              <w:t>3, 4</w:t>
            </w:r>
            <w:r>
              <w:noBreakHyphen/>
              <w:t>METHYLENEDIOXYPYROVALERONE (MDPV)</w:t>
            </w:r>
          </w:p>
        </w:tc>
        <w:tc>
          <w:tcPr>
            <w:tcW w:w="1358" w:type="dxa"/>
          </w:tcPr>
          <w:p>
            <w:pPr>
              <w:pStyle w:val="yTable"/>
              <w:tabs>
                <w:tab w:val="decimal" w:pos="439"/>
              </w:tabs>
              <w:spacing w:before="40" w:after="40"/>
            </w:pPr>
            <w:r>
              <w:t>28.0</w:t>
            </w:r>
          </w:p>
        </w:tc>
      </w:tr>
      <w:tr>
        <w:trPr>
          <w:gridBefore w:val="1"/>
          <w:wBefore w:w="13" w:type="dxa"/>
        </w:trPr>
        <w:tc>
          <w:tcPr>
            <w:tcW w:w="788" w:type="dxa"/>
          </w:tcPr>
          <w:p>
            <w:pPr>
              <w:pStyle w:val="yTable"/>
              <w:spacing w:before="40" w:after="40"/>
            </w:pPr>
            <w:r>
              <w:t>11.</w:t>
            </w:r>
          </w:p>
        </w:tc>
        <w:tc>
          <w:tcPr>
            <w:tcW w:w="4952" w:type="dxa"/>
          </w:tcPr>
          <w:p>
            <w:pPr>
              <w:pStyle w:val="yTable"/>
            </w:pPr>
            <w:r>
              <w:t>MORPHINE</w:t>
            </w:r>
          </w:p>
        </w:tc>
        <w:tc>
          <w:tcPr>
            <w:tcW w:w="1358" w:type="dxa"/>
          </w:tcPr>
          <w:p>
            <w:pPr>
              <w:pStyle w:val="yTable"/>
              <w:tabs>
                <w:tab w:val="decimal" w:pos="439"/>
              </w:tabs>
              <w:spacing w:before="40" w:after="40"/>
            </w:pPr>
            <w:r>
              <w:t>28.0</w:t>
            </w:r>
          </w:p>
        </w:tc>
      </w:tr>
      <w:tr>
        <w:trPr>
          <w:gridBefore w:val="1"/>
          <w:wBefore w:w="13" w:type="dxa"/>
        </w:trPr>
        <w:tc>
          <w:tcPr>
            <w:tcW w:w="788" w:type="dxa"/>
          </w:tcPr>
          <w:p>
            <w:pPr>
              <w:pStyle w:val="yTable"/>
              <w:spacing w:before="40" w:after="40"/>
            </w:pPr>
            <w:r>
              <w:t>12A.</w:t>
            </w:r>
          </w:p>
        </w:tc>
        <w:tc>
          <w:tcPr>
            <w:tcW w:w="4952" w:type="dxa"/>
          </w:tcPr>
          <w:p>
            <w:pPr>
              <w:pStyle w:val="yTable"/>
              <w:ind w:left="397" w:hanging="397"/>
            </w:pPr>
            <w:r>
              <w:rPr>
                <w:szCs w:val="24"/>
              </w:rPr>
              <w:t>1</w:t>
            </w:r>
            <w:r>
              <w:rPr>
                <w:szCs w:val="24"/>
              </w:rPr>
              <w:noBreakHyphen/>
              <w:t>[2</w:t>
            </w:r>
            <w:r>
              <w:rPr>
                <w:szCs w:val="24"/>
              </w:rPr>
              <w:noBreakHyphen/>
              <w:t>(4</w:t>
            </w:r>
            <w:r>
              <w:rPr>
                <w:szCs w:val="24"/>
              </w:rPr>
              <w:noBreakHyphen/>
            </w:r>
            <w:r>
              <w:t>MORPHOLINYL</w:t>
            </w:r>
            <w:r>
              <w:rPr>
                <w:szCs w:val="24"/>
              </w:rPr>
              <w:t>)ETHYL]</w:t>
            </w:r>
            <w:r>
              <w:rPr>
                <w:szCs w:val="24"/>
              </w:rPr>
              <w:br/>
            </w:r>
            <w:r>
              <w:rPr>
                <w:szCs w:val="24"/>
              </w:rPr>
              <w:noBreakHyphen/>
              <w:t>3</w:t>
            </w:r>
            <w:r>
              <w:rPr>
                <w:szCs w:val="24"/>
              </w:rPr>
              <w:noBreakHyphen/>
              <w:t>(1</w:t>
            </w:r>
            <w:r>
              <w:rPr>
                <w:szCs w:val="24"/>
              </w:rPr>
              <w:noBreakHyphen/>
              <w:t>NAPHTHOYL)INDOLE (JWH – 200)</w:t>
            </w:r>
          </w:p>
        </w:tc>
        <w:tc>
          <w:tcPr>
            <w:tcW w:w="1358" w:type="dxa"/>
          </w:tcPr>
          <w:p>
            <w:pPr>
              <w:pStyle w:val="yTable"/>
              <w:tabs>
                <w:tab w:val="decimal" w:pos="439"/>
              </w:tabs>
              <w:spacing w:before="40" w:after="40"/>
            </w:pPr>
            <w:r>
              <w:br/>
              <w:t>3.0 kg</w:t>
            </w:r>
          </w:p>
        </w:tc>
      </w:tr>
      <w:tr>
        <w:trPr>
          <w:gridBefore w:val="1"/>
          <w:wBefore w:w="13" w:type="dxa"/>
        </w:trPr>
        <w:tc>
          <w:tcPr>
            <w:tcW w:w="788" w:type="dxa"/>
          </w:tcPr>
          <w:p>
            <w:pPr>
              <w:pStyle w:val="yTable"/>
              <w:spacing w:before="40" w:after="40"/>
            </w:pPr>
            <w:r>
              <w:t>12.</w:t>
            </w:r>
          </w:p>
        </w:tc>
        <w:tc>
          <w:tcPr>
            <w:tcW w:w="4952" w:type="dxa"/>
          </w:tcPr>
          <w:p>
            <w:pPr>
              <w:pStyle w:val="yTable"/>
            </w:pPr>
            <w:r>
              <w:t>OPIUM</w:t>
            </w:r>
          </w:p>
        </w:tc>
        <w:tc>
          <w:tcPr>
            <w:tcW w:w="1358" w:type="dxa"/>
          </w:tcPr>
          <w:p>
            <w:pPr>
              <w:pStyle w:val="yTable"/>
              <w:tabs>
                <w:tab w:val="decimal" w:pos="439"/>
              </w:tabs>
              <w:spacing w:before="40" w:after="40"/>
            </w:pPr>
            <w:r>
              <w:t>100.0</w:t>
            </w:r>
          </w:p>
        </w:tc>
      </w:tr>
      <w:tr>
        <w:trPr>
          <w:gridBefore w:val="1"/>
          <w:wBefore w:w="13" w:type="dxa"/>
        </w:trPr>
        <w:tc>
          <w:tcPr>
            <w:tcW w:w="788" w:type="dxa"/>
          </w:tcPr>
          <w:p>
            <w:pPr>
              <w:pStyle w:val="yTable"/>
            </w:pPr>
            <w:r>
              <w:t>13A.</w:t>
            </w:r>
          </w:p>
        </w:tc>
        <w:tc>
          <w:tcPr>
            <w:tcW w:w="4952" w:type="dxa"/>
          </w:tcPr>
          <w:p>
            <w:pPr>
              <w:pStyle w:val="yTable"/>
            </w:pPr>
            <w:r>
              <w:t>1</w:t>
            </w:r>
            <w:r>
              <w:noBreakHyphen/>
              <w:t>PENTYL</w:t>
            </w:r>
            <w:r>
              <w:noBreakHyphen/>
              <w:t>3</w:t>
            </w:r>
            <w:r>
              <w:noBreakHyphen/>
              <w:t>(4</w:t>
            </w:r>
            <w:r>
              <w:noBreakHyphen/>
              <w:t>CHLORO</w:t>
            </w:r>
            <w:r>
              <w:noBreakHyphen/>
              <w:t>1</w:t>
            </w:r>
            <w:r>
              <w:noBreakHyphen/>
            </w:r>
            <w:r>
              <w:br/>
              <w:t>NAPHTHOYL)INDOLE (JWH</w:t>
            </w:r>
            <w:r>
              <w:noBreakHyphen/>
              <w:t>398)</w:t>
            </w:r>
          </w:p>
        </w:tc>
        <w:tc>
          <w:tcPr>
            <w:tcW w:w="1358" w:type="dxa"/>
          </w:tcPr>
          <w:p>
            <w:pPr>
              <w:pStyle w:val="yTable"/>
              <w:tabs>
                <w:tab w:val="decimal" w:pos="439"/>
              </w:tabs>
              <w:spacing w:before="40" w:after="40"/>
            </w:pPr>
            <w:r>
              <w:br/>
              <w:t>3.0 kg</w:t>
            </w:r>
          </w:p>
        </w:tc>
      </w:tr>
      <w:tr>
        <w:trPr>
          <w:gridBefore w:val="1"/>
          <w:wBefore w:w="13" w:type="dxa"/>
        </w:trPr>
        <w:tc>
          <w:tcPr>
            <w:tcW w:w="788" w:type="dxa"/>
          </w:tcPr>
          <w:p>
            <w:pPr>
              <w:pStyle w:val="yTable"/>
            </w:pPr>
            <w:r>
              <w:t>13B.</w:t>
            </w:r>
          </w:p>
        </w:tc>
        <w:tc>
          <w:tcPr>
            <w:tcW w:w="4952" w:type="dxa"/>
          </w:tcPr>
          <w:p>
            <w:pPr>
              <w:pStyle w:val="yTable"/>
            </w:pPr>
            <w:r>
              <w:t>1</w:t>
            </w:r>
            <w:r>
              <w:noBreakHyphen/>
              <w:t>PENTYL</w:t>
            </w:r>
            <w:r>
              <w:noBreakHyphen/>
              <w:t>3</w:t>
            </w:r>
            <w:r>
              <w:noBreakHyphen/>
              <w:t>(2</w:t>
            </w:r>
            <w:r>
              <w:noBreakHyphen/>
            </w:r>
            <w:r>
              <w:br/>
              <w:t>CHLOROPHENYLACETYL)INDOLE (JWH</w:t>
            </w:r>
            <w:r>
              <w:noBreakHyphen/>
              <w:t>203)</w:t>
            </w:r>
          </w:p>
        </w:tc>
        <w:tc>
          <w:tcPr>
            <w:tcW w:w="1358" w:type="dxa"/>
          </w:tcPr>
          <w:p>
            <w:pPr>
              <w:pStyle w:val="yTable"/>
              <w:tabs>
                <w:tab w:val="decimal" w:pos="439"/>
              </w:tabs>
              <w:spacing w:before="40" w:after="40"/>
            </w:pPr>
            <w:r>
              <w:br/>
              <w:t>3.0 kg</w:t>
            </w:r>
          </w:p>
        </w:tc>
      </w:tr>
      <w:tr>
        <w:trPr>
          <w:gridBefore w:val="1"/>
          <w:wBefore w:w="13" w:type="dxa"/>
        </w:trPr>
        <w:tc>
          <w:tcPr>
            <w:tcW w:w="788" w:type="dxa"/>
          </w:tcPr>
          <w:p>
            <w:pPr>
              <w:pStyle w:val="yTable"/>
            </w:pPr>
            <w:r>
              <w:t>13C.</w:t>
            </w:r>
          </w:p>
        </w:tc>
        <w:tc>
          <w:tcPr>
            <w:tcW w:w="4952" w:type="dxa"/>
          </w:tcPr>
          <w:p>
            <w:pPr>
              <w:pStyle w:val="yTable"/>
            </w:pPr>
            <w:r>
              <w:t>1</w:t>
            </w:r>
            <w:r>
              <w:noBreakHyphen/>
              <w:t>PENTYL</w:t>
            </w:r>
            <w:r>
              <w:noBreakHyphen/>
              <w:t>3</w:t>
            </w:r>
            <w:r>
              <w:noBreakHyphen/>
              <w:t>(4</w:t>
            </w:r>
            <w:r>
              <w:noBreakHyphen/>
              <w:t>ETHYL</w:t>
            </w:r>
            <w:r>
              <w:noBreakHyphen/>
              <w:t>1</w:t>
            </w:r>
            <w:r>
              <w:noBreakHyphen/>
            </w:r>
            <w:r>
              <w:br/>
              <w:t>NAPHTHOYL)INDOLE (JWH</w:t>
            </w:r>
            <w:r>
              <w:noBreakHyphen/>
              <w:t>210)</w:t>
            </w:r>
          </w:p>
        </w:tc>
        <w:tc>
          <w:tcPr>
            <w:tcW w:w="1358" w:type="dxa"/>
          </w:tcPr>
          <w:p>
            <w:pPr>
              <w:pStyle w:val="yTable"/>
              <w:tabs>
                <w:tab w:val="decimal" w:pos="439"/>
              </w:tabs>
              <w:spacing w:before="40" w:after="40"/>
            </w:pPr>
            <w:r>
              <w:br/>
              <w:t>3.0 kg</w:t>
            </w:r>
          </w:p>
        </w:tc>
      </w:tr>
      <w:tr>
        <w:trPr>
          <w:gridBefore w:val="1"/>
          <w:wBefore w:w="13" w:type="dxa"/>
        </w:trPr>
        <w:tc>
          <w:tcPr>
            <w:tcW w:w="788" w:type="dxa"/>
          </w:tcPr>
          <w:p>
            <w:pPr>
              <w:pStyle w:val="yTable"/>
            </w:pPr>
            <w:r>
              <w:t>13D.</w:t>
            </w:r>
          </w:p>
        </w:tc>
        <w:tc>
          <w:tcPr>
            <w:tcW w:w="4952" w:type="dxa"/>
          </w:tcPr>
          <w:p>
            <w:pPr>
              <w:pStyle w:val="yTable"/>
            </w:pPr>
            <w:r>
              <w:t>1</w:t>
            </w:r>
            <w:r>
              <w:noBreakHyphen/>
              <w:t>PENTYL</w:t>
            </w:r>
            <w:r>
              <w:noBreakHyphen/>
              <w:t>3</w:t>
            </w:r>
            <w:r>
              <w:noBreakHyphen/>
              <w:t>[(4</w:t>
            </w:r>
            <w:r>
              <w:noBreakHyphen/>
              <w:t>METHOXY)</w:t>
            </w:r>
            <w:r>
              <w:noBreakHyphen/>
            </w:r>
            <w:r>
              <w:br/>
              <w:t>BENZOYL]INDOLE (RCS</w:t>
            </w:r>
            <w:r>
              <w:noBreakHyphen/>
              <w:t>4)</w:t>
            </w:r>
          </w:p>
        </w:tc>
        <w:tc>
          <w:tcPr>
            <w:tcW w:w="1358" w:type="dxa"/>
          </w:tcPr>
          <w:p>
            <w:pPr>
              <w:pStyle w:val="yTable"/>
              <w:tabs>
                <w:tab w:val="decimal" w:pos="439"/>
              </w:tabs>
              <w:spacing w:before="40" w:after="40"/>
            </w:pPr>
            <w:r>
              <w:br/>
              <w:t>3.0 kg</w:t>
            </w:r>
          </w:p>
        </w:tc>
      </w:tr>
      <w:tr>
        <w:trPr>
          <w:gridBefore w:val="1"/>
          <w:wBefore w:w="13" w:type="dxa"/>
        </w:trPr>
        <w:tc>
          <w:tcPr>
            <w:tcW w:w="788" w:type="dxa"/>
          </w:tcPr>
          <w:p>
            <w:pPr>
              <w:pStyle w:val="yTable"/>
            </w:pPr>
            <w:r>
              <w:t>13E.</w:t>
            </w:r>
          </w:p>
        </w:tc>
        <w:tc>
          <w:tcPr>
            <w:tcW w:w="4952" w:type="dxa"/>
          </w:tcPr>
          <w:p>
            <w:pPr>
              <w:pStyle w:val="yTable"/>
            </w:pPr>
            <w:r>
              <w:t>1</w:t>
            </w:r>
            <w:r>
              <w:noBreakHyphen/>
              <w:t>PENTYL</w:t>
            </w:r>
            <w:r>
              <w:noBreakHyphen/>
              <w:t>3</w:t>
            </w:r>
            <w:r>
              <w:noBreakHyphen/>
              <w:t>(4</w:t>
            </w:r>
            <w:r>
              <w:noBreakHyphen/>
              <w:t>METHOXY</w:t>
            </w:r>
            <w:r>
              <w:noBreakHyphen/>
              <w:t>1</w:t>
            </w:r>
            <w:r>
              <w:noBreakHyphen/>
            </w:r>
            <w:r>
              <w:br/>
              <w:t>NAPHTHOYL)INDOLE (JWH</w:t>
            </w:r>
            <w:r>
              <w:noBreakHyphen/>
              <w:t>081)</w:t>
            </w:r>
          </w:p>
        </w:tc>
        <w:tc>
          <w:tcPr>
            <w:tcW w:w="1358" w:type="dxa"/>
          </w:tcPr>
          <w:p>
            <w:pPr>
              <w:pStyle w:val="yTable"/>
              <w:tabs>
                <w:tab w:val="decimal" w:pos="439"/>
              </w:tabs>
              <w:spacing w:before="40" w:after="40"/>
            </w:pPr>
            <w:r>
              <w:br/>
              <w:t>3.0 kg</w:t>
            </w:r>
          </w:p>
        </w:tc>
      </w:tr>
      <w:tr>
        <w:trPr>
          <w:gridBefore w:val="1"/>
          <w:wBefore w:w="13" w:type="dxa"/>
        </w:trPr>
        <w:tc>
          <w:tcPr>
            <w:tcW w:w="788" w:type="dxa"/>
          </w:tcPr>
          <w:p>
            <w:pPr>
              <w:pStyle w:val="yTable"/>
              <w:spacing w:before="40" w:after="40"/>
            </w:pPr>
            <w:r>
              <w:t>13.</w:t>
            </w:r>
          </w:p>
        </w:tc>
        <w:tc>
          <w:tcPr>
            <w:tcW w:w="4952" w:type="dxa"/>
          </w:tcPr>
          <w:p>
            <w:pPr>
              <w:pStyle w:val="yTable"/>
              <w:ind w:left="397" w:hanging="397"/>
            </w:pPr>
            <w:r>
              <w:t>1</w:t>
            </w:r>
            <w:r>
              <w:noBreakHyphen/>
              <w:t>PENTYL</w:t>
            </w:r>
            <w:r>
              <w:noBreakHyphen/>
              <w:t>3</w:t>
            </w:r>
            <w:r>
              <w:noBreakHyphen/>
              <w:t>(1</w:t>
            </w:r>
            <w:r>
              <w:noBreakHyphen/>
              <w:t xml:space="preserve">NAPHTHOYL)INDOLE </w:t>
            </w:r>
            <w:r>
              <w:br/>
              <w:t>(JWH – 018)</w:t>
            </w:r>
          </w:p>
        </w:tc>
        <w:tc>
          <w:tcPr>
            <w:tcW w:w="1358" w:type="dxa"/>
          </w:tcPr>
          <w:p>
            <w:pPr>
              <w:pStyle w:val="yTable"/>
              <w:tabs>
                <w:tab w:val="decimal" w:pos="439"/>
              </w:tabs>
              <w:spacing w:before="40" w:after="40"/>
            </w:pPr>
            <w:r>
              <w:br/>
              <w:t>3.0 kg</w:t>
            </w:r>
          </w:p>
        </w:tc>
      </w:tr>
      <w:tr>
        <w:trPr>
          <w:gridBefore w:val="1"/>
          <w:wBefore w:w="13" w:type="dxa"/>
        </w:trPr>
        <w:tc>
          <w:tcPr>
            <w:tcW w:w="788" w:type="dxa"/>
          </w:tcPr>
          <w:p>
            <w:pPr>
              <w:pStyle w:val="yTable"/>
              <w:spacing w:before="40" w:after="40"/>
            </w:pPr>
            <w:r>
              <w:t>14.</w:t>
            </w:r>
          </w:p>
        </w:tc>
        <w:tc>
          <w:tcPr>
            <w:tcW w:w="4952" w:type="dxa"/>
          </w:tcPr>
          <w:p>
            <w:pPr>
              <w:pStyle w:val="yTable"/>
              <w:ind w:left="397" w:hanging="397"/>
            </w:pPr>
            <w:r>
              <w:t>1</w:t>
            </w:r>
            <w:r>
              <w:noBreakHyphen/>
              <w:t>PENTYL</w:t>
            </w:r>
            <w:r>
              <w:noBreakHyphen/>
              <w:t>3</w:t>
            </w:r>
            <w:r>
              <w:noBreakHyphen/>
              <w:t>(4</w:t>
            </w:r>
            <w:r>
              <w:noBreakHyphen/>
              <w:t>METHYL</w:t>
            </w:r>
            <w:r>
              <w:noBreakHyphen/>
              <w:t>1</w:t>
            </w:r>
            <w:r>
              <w:noBreakHyphen/>
              <w:t>NAPHTHOYL)</w:t>
            </w:r>
            <w:r>
              <w:br/>
              <w:t>INDOLE (JWH – 122)</w:t>
            </w:r>
          </w:p>
        </w:tc>
        <w:tc>
          <w:tcPr>
            <w:tcW w:w="1358" w:type="dxa"/>
          </w:tcPr>
          <w:p>
            <w:pPr>
              <w:pStyle w:val="yTable"/>
              <w:tabs>
                <w:tab w:val="decimal" w:pos="439"/>
              </w:tabs>
              <w:spacing w:before="40" w:after="40"/>
            </w:pPr>
            <w:r>
              <w:br/>
              <w:t>3.0 kg</w:t>
            </w:r>
          </w:p>
        </w:tc>
      </w:tr>
      <w:tr>
        <w:trPr>
          <w:gridBefore w:val="1"/>
          <w:wBefore w:w="13" w:type="dxa"/>
        </w:trPr>
        <w:tc>
          <w:tcPr>
            <w:tcW w:w="788" w:type="dxa"/>
          </w:tcPr>
          <w:p>
            <w:pPr>
              <w:pStyle w:val="yTable"/>
              <w:spacing w:before="40" w:after="40"/>
            </w:pPr>
            <w:r>
              <w:t>15.</w:t>
            </w:r>
          </w:p>
        </w:tc>
        <w:tc>
          <w:tcPr>
            <w:tcW w:w="4952" w:type="dxa"/>
          </w:tcPr>
          <w:p>
            <w:pPr>
              <w:pStyle w:val="yTable"/>
            </w:pPr>
            <w:r>
              <w:t>PRAVADOLINE (WIN 48098)</w:t>
            </w:r>
          </w:p>
        </w:tc>
        <w:tc>
          <w:tcPr>
            <w:tcW w:w="1358" w:type="dxa"/>
          </w:tcPr>
          <w:p>
            <w:pPr>
              <w:pStyle w:val="yTable"/>
              <w:tabs>
                <w:tab w:val="decimal" w:pos="439"/>
              </w:tabs>
              <w:spacing w:before="40" w:after="40"/>
            </w:pPr>
            <w:r>
              <w:t>3.0 kg</w:t>
            </w:r>
          </w:p>
        </w:tc>
      </w:tr>
      <w:tr>
        <w:trPr>
          <w:gridBefore w:val="1"/>
          <w:wBefore w:w="13" w:type="dxa"/>
        </w:trPr>
        <w:tc>
          <w:tcPr>
            <w:tcW w:w="788" w:type="dxa"/>
          </w:tcPr>
          <w:p>
            <w:pPr>
              <w:pStyle w:val="yTable"/>
              <w:spacing w:before="40" w:after="40"/>
            </w:pPr>
            <w:r>
              <w:t>16.</w:t>
            </w:r>
          </w:p>
        </w:tc>
        <w:tc>
          <w:tcPr>
            <w:tcW w:w="4952" w:type="dxa"/>
          </w:tcPr>
          <w:p>
            <w:pPr>
              <w:pStyle w:val="yTable"/>
            </w:pPr>
            <w:r>
              <w:t>1</w:t>
            </w:r>
            <w:r>
              <w:noBreakHyphen/>
              <w:t>PROPYL</w:t>
            </w:r>
            <w:r>
              <w:noBreakHyphen/>
              <w:t>2</w:t>
            </w:r>
            <w:r>
              <w:noBreakHyphen/>
              <w:t>METHYL</w:t>
            </w:r>
            <w:r>
              <w:noBreakHyphen/>
              <w:t>3</w:t>
            </w:r>
            <w:r>
              <w:noBreakHyphen/>
              <w:t>(1</w:t>
            </w:r>
            <w:r>
              <w:noBreakHyphen/>
            </w:r>
            <w:r>
              <w:br/>
              <w:t>NAPHTHOYL)INDOLE (JWH</w:t>
            </w:r>
            <w:r>
              <w:noBreakHyphen/>
              <w:t>015)</w:t>
            </w:r>
          </w:p>
        </w:tc>
        <w:tc>
          <w:tcPr>
            <w:tcW w:w="1358" w:type="dxa"/>
          </w:tcPr>
          <w:p>
            <w:pPr>
              <w:pStyle w:val="yTable"/>
              <w:tabs>
                <w:tab w:val="decimal" w:pos="439"/>
              </w:tabs>
              <w:spacing w:before="40" w:after="40"/>
            </w:pPr>
            <w:r>
              <w:br/>
              <w:t>3.0 kg</w:t>
            </w:r>
          </w:p>
        </w:tc>
      </w:tr>
    </w:tbl>
    <w:p>
      <w:pPr>
        <w:pStyle w:val="yFootnotesection"/>
      </w:pPr>
      <w:r>
        <w:tab/>
        <w:t>[Schedule VII inserted by No. 50 of 1990 s. 6; amended in Gazette 29 Nov 1991 p. 6041; 22 Mar 1994 p. 1245; 29 Apr 2011 p. 1533</w:t>
      </w:r>
      <w:r>
        <w:noBreakHyphen/>
        <w:t>4; 1 Jul 2011 p. 2744</w:t>
      </w:r>
      <w:r>
        <w:noBreakHyphen/>
        <w:t>5; 11 Oct 2011 p. 4319</w:t>
      </w:r>
      <w:r>
        <w:noBreakHyphen/>
        <w:t>20; 13 Apr 2012 p. 1665.]</w:t>
      </w:r>
    </w:p>
    <w:p>
      <w:pPr>
        <w:pStyle w:val="yScheduleHeading"/>
      </w:pPr>
      <w:bookmarkStart w:id="1345" w:name="_Toc535053916"/>
      <w:bookmarkStart w:id="1346" w:name="_Toc109615290"/>
      <w:bookmarkStart w:id="1347" w:name="_Toc139344584"/>
      <w:bookmarkStart w:id="1348" w:name="_Toc139699348"/>
      <w:bookmarkStart w:id="1349" w:name="_Toc147051381"/>
      <w:bookmarkStart w:id="1350" w:name="_Toc147118836"/>
      <w:bookmarkStart w:id="1351" w:name="_Toc148236157"/>
      <w:bookmarkStart w:id="1352" w:name="_Toc158705031"/>
      <w:bookmarkStart w:id="1353" w:name="_Toc165369997"/>
      <w:bookmarkStart w:id="1354" w:name="_Toc177873339"/>
      <w:bookmarkStart w:id="1355" w:name="_Toc177873465"/>
      <w:bookmarkStart w:id="1356" w:name="_Toc184707422"/>
      <w:bookmarkStart w:id="1357" w:name="_Toc189464753"/>
      <w:bookmarkStart w:id="1358" w:name="_Toc190249317"/>
      <w:bookmarkStart w:id="1359" w:name="_Toc191703211"/>
      <w:bookmarkStart w:id="1360" w:name="_Toc193692128"/>
      <w:bookmarkStart w:id="1361" w:name="_Toc199817310"/>
      <w:bookmarkStart w:id="1362" w:name="_Toc215543783"/>
      <w:bookmarkStart w:id="1363" w:name="_Toc215544043"/>
      <w:bookmarkStart w:id="1364" w:name="_Toc248029080"/>
      <w:bookmarkStart w:id="1365" w:name="_Toc256085129"/>
      <w:bookmarkStart w:id="1366" w:name="_Toc256092194"/>
      <w:bookmarkStart w:id="1367" w:name="_Toc268600373"/>
      <w:bookmarkStart w:id="1368" w:name="_Toc272237502"/>
      <w:bookmarkStart w:id="1369" w:name="_Toc275253581"/>
      <w:bookmarkStart w:id="1370" w:name="_Toc283287506"/>
      <w:bookmarkStart w:id="1371" w:name="_Toc290558492"/>
      <w:bookmarkStart w:id="1372" w:name="_Toc290558568"/>
      <w:bookmarkStart w:id="1373" w:name="_Toc291764707"/>
      <w:bookmarkStart w:id="1374" w:name="_Toc291768279"/>
      <w:bookmarkStart w:id="1375" w:name="_Toc297718780"/>
      <w:bookmarkStart w:id="1376" w:name="_Toc297904514"/>
      <w:bookmarkStart w:id="1377" w:name="_Toc297904588"/>
      <w:bookmarkStart w:id="1378" w:name="_Toc299717044"/>
      <w:bookmarkStart w:id="1379" w:name="_Toc299717541"/>
      <w:bookmarkStart w:id="1380" w:name="_Toc301268168"/>
      <w:bookmarkStart w:id="1381" w:name="_Toc301345338"/>
      <w:bookmarkStart w:id="1382" w:name="_Toc303929331"/>
      <w:bookmarkStart w:id="1383" w:name="_Toc306013947"/>
      <w:bookmarkStart w:id="1384" w:name="_Toc306014045"/>
      <w:bookmarkStart w:id="1385" w:name="_Toc306018481"/>
      <w:bookmarkStart w:id="1386" w:name="_Toc309727455"/>
      <w:bookmarkStart w:id="1387" w:name="_Toc309730176"/>
      <w:bookmarkStart w:id="1388" w:name="_Toc320107698"/>
      <w:bookmarkStart w:id="1389" w:name="_Toc320108328"/>
      <w:bookmarkStart w:id="1390" w:name="_Toc320187278"/>
      <w:bookmarkStart w:id="1391" w:name="_Toc322004340"/>
      <w:bookmarkStart w:id="1392" w:name="_Toc322006276"/>
      <w:bookmarkStart w:id="1393" w:name="_Toc325551474"/>
      <w:bookmarkStart w:id="1394" w:name="_Toc325553640"/>
      <w:bookmarkStart w:id="1395" w:name="_Toc325553739"/>
      <w:bookmarkStart w:id="1396" w:name="_Toc325553838"/>
      <w:bookmarkStart w:id="1397" w:name="_Toc325554308"/>
      <w:bookmarkStart w:id="1398" w:name="_Toc336264370"/>
      <w:r>
        <w:rPr>
          <w:rStyle w:val="CharSchNo"/>
        </w:rPr>
        <w:t>Schedule VIII</w:t>
      </w:r>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r>
        <w:t> —</w:t>
      </w:r>
      <w:r>
        <w:rPr>
          <w:rStyle w:val="CharSDivText"/>
        </w:rPr>
        <w:t> </w:t>
      </w:r>
      <w:r>
        <w:rPr>
          <w:rStyle w:val="CharSchText"/>
          <w:bCs/>
        </w:rPr>
        <w:t>Numbers of prohibited plants for purposes of drug trafficking</w:t>
      </w:r>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p>
    <w:p>
      <w:pPr>
        <w:pStyle w:val="yShoulderClause"/>
        <w:rPr>
          <w:snapToGrid w:val="0"/>
        </w:rPr>
      </w:pPr>
      <w:r>
        <w:rPr>
          <w:snapToGrid w:val="0"/>
        </w:rPr>
        <w:t>[s. 32A(1)(b)(ii)]</w:t>
      </w:r>
    </w:p>
    <w:p>
      <w:pPr>
        <w:pStyle w:val="yFootnoteheading"/>
      </w:pPr>
      <w:r>
        <w:tab/>
        <w:t>[Heading amended by No. 19 of 2010 s. 4.]</w:t>
      </w:r>
    </w:p>
    <w:tbl>
      <w:tblPr>
        <w:tblW w:w="0" w:type="auto"/>
        <w:tblInd w:w="322" w:type="dxa"/>
        <w:tblLayout w:type="fixed"/>
        <w:tblCellMar>
          <w:left w:w="142" w:type="dxa"/>
          <w:right w:w="142" w:type="dxa"/>
        </w:tblCellMar>
        <w:tblLook w:val="0000" w:firstRow="0" w:lastRow="0" w:firstColumn="0" w:lastColumn="0" w:noHBand="0" w:noVBand="0"/>
      </w:tblPr>
      <w:tblGrid>
        <w:gridCol w:w="1379"/>
        <w:gridCol w:w="4381"/>
        <w:gridCol w:w="1350"/>
      </w:tblGrid>
      <w:tr>
        <w:tc>
          <w:tcPr>
            <w:tcW w:w="1379" w:type="dxa"/>
          </w:tcPr>
          <w:p>
            <w:pPr>
              <w:pStyle w:val="yTableNAm"/>
              <w:jc w:val="center"/>
              <w:rPr>
                <w:i/>
                <w:iCs/>
              </w:rPr>
            </w:pPr>
            <w:r>
              <w:rPr>
                <w:i/>
                <w:iCs/>
              </w:rPr>
              <w:t>Item</w:t>
            </w:r>
          </w:p>
        </w:tc>
        <w:tc>
          <w:tcPr>
            <w:tcW w:w="4381" w:type="dxa"/>
          </w:tcPr>
          <w:p>
            <w:pPr>
              <w:pStyle w:val="yTableNAm"/>
              <w:jc w:val="center"/>
              <w:rPr>
                <w:i/>
                <w:iCs/>
              </w:rPr>
            </w:pPr>
            <w:r>
              <w:rPr>
                <w:i/>
                <w:iCs/>
              </w:rPr>
              <w:t>Prohibited plants</w:t>
            </w:r>
          </w:p>
        </w:tc>
        <w:tc>
          <w:tcPr>
            <w:tcW w:w="1350" w:type="dxa"/>
          </w:tcPr>
          <w:p>
            <w:pPr>
              <w:pStyle w:val="yTableNAm"/>
              <w:jc w:val="center"/>
              <w:rPr>
                <w:i/>
                <w:iCs/>
              </w:rPr>
            </w:pPr>
            <w:r>
              <w:rPr>
                <w:i/>
                <w:iCs/>
              </w:rPr>
              <w:t>Number</w:t>
            </w:r>
          </w:p>
        </w:tc>
      </w:tr>
      <w:tr>
        <w:tc>
          <w:tcPr>
            <w:tcW w:w="1379" w:type="dxa"/>
          </w:tcPr>
          <w:p>
            <w:pPr>
              <w:pStyle w:val="yTableNAm"/>
              <w:jc w:val="center"/>
            </w:pPr>
            <w:r>
              <w:t>1.</w:t>
            </w:r>
          </w:p>
        </w:tc>
        <w:tc>
          <w:tcPr>
            <w:tcW w:w="4381" w:type="dxa"/>
          </w:tcPr>
          <w:p>
            <w:pPr>
              <w:pStyle w:val="yTableNAm"/>
            </w:pPr>
            <w:r>
              <w:t>Cannabis</w:t>
            </w:r>
          </w:p>
        </w:tc>
        <w:tc>
          <w:tcPr>
            <w:tcW w:w="1350" w:type="dxa"/>
          </w:tcPr>
          <w:p>
            <w:pPr>
              <w:pStyle w:val="yTableNAm"/>
              <w:jc w:val="center"/>
            </w:pPr>
            <w:r>
              <w:t>20</w:t>
            </w:r>
          </w:p>
        </w:tc>
      </w:tr>
    </w:tbl>
    <w:p>
      <w:pPr>
        <w:pStyle w:val="yFootnotesection"/>
      </w:pPr>
      <w:r>
        <w:tab/>
        <w:t>[Schedule VIII inserted by No. 50 of 1990 s. 6; amended in Gazette 15 Apr 2011 p. 1426.]</w:t>
      </w:r>
    </w:p>
    <w:p>
      <w:pPr>
        <w:pStyle w:val="yHeading2"/>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bookmarkStart w:id="1399" w:name="_Toc297816149"/>
      <w:bookmarkStart w:id="1400" w:name="_Toc72912383"/>
      <w:bookmarkStart w:id="1401" w:name="_Toc89162910"/>
      <w:bookmarkStart w:id="1402" w:name="_Toc89571197"/>
      <w:bookmarkStart w:id="1403" w:name="_Toc90092365"/>
      <w:bookmarkStart w:id="1404" w:name="_Toc92603646"/>
      <w:bookmarkStart w:id="1405" w:name="_Toc92797830"/>
      <w:bookmarkStart w:id="1406" w:name="_Toc97018132"/>
      <w:bookmarkStart w:id="1407" w:name="_Toc102387687"/>
      <w:bookmarkStart w:id="1408" w:name="_Toc102905318"/>
      <w:bookmarkStart w:id="1409" w:name="_Toc105219561"/>
      <w:bookmarkStart w:id="1410" w:name="_Toc105220465"/>
      <w:bookmarkStart w:id="1411" w:name="_Toc105220533"/>
      <w:bookmarkStart w:id="1412" w:name="_Toc105909977"/>
      <w:bookmarkStart w:id="1413" w:name="_Toc105910892"/>
      <w:bookmarkStart w:id="1414" w:name="_Toc106600736"/>
    </w:p>
    <w:p>
      <w:pPr>
        <w:pStyle w:val="yScheduleHeading"/>
      </w:pPr>
      <w:bookmarkStart w:id="1415" w:name="_Toc297904515"/>
      <w:bookmarkStart w:id="1416" w:name="_Toc297904589"/>
      <w:bookmarkStart w:id="1417" w:name="_Toc299717045"/>
      <w:bookmarkStart w:id="1418" w:name="_Toc299717542"/>
      <w:bookmarkStart w:id="1419" w:name="_Toc301268169"/>
      <w:bookmarkStart w:id="1420" w:name="_Toc301345339"/>
      <w:bookmarkStart w:id="1421" w:name="_Toc303929332"/>
      <w:bookmarkStart w:id="1422" w:name="_Toc306013948"/>
      <w:bookmarkStart w:id="1423" w:name="_Toc306014046"/>
      <w:bookmarkStart w:id="1424" w:name="_Toc306018482"/>
      <w:bookmarkStart w:id="1425" w:name="_Toc309727456"/>
      <w:bookmarkStart w:id="1426" w:name="_Toc309730177"/>
      <w:bookmarkStart w:id="1427" w:name="_Toc320107699"/>
      <w:bookmarkStart w:id="1428" w:name="_Toc320108329"/>
      <w:bookmarkStart w:id="1429" w:name="_Toc320187279"/>
      <w:bookmarkStart w:id="1430" w:name="_Toc322004341"/>
      <w:bookmarkStart w:id="1431" w:name="_Toc322006277"/>
      <w:bookmarkStart w:id="1432" w:name="_Toc325551475"/>
      <w:bookmarkStart w:id="1433" w:name="_Toc325553641"/>
      <w:bookmarkStart w:id="1434" w:name="_Toc325553740"/>
      <w:bookmarkStart w:id="1435" w:name="_Toc325553839"/>
      <w:bookmarkStart w:id="1436" w:name="_Toc325554309"/>
      <w:bookmarkStart w:id="1437" w:name="_Toc336264371"/>
      <w:r>
        <w:rPr>
          <w:rStyle w:val="CharSchNo"/>
        </w:rPr>
        <w:t>Schedule IX</w:t>
      </w:r>
      <w:r>
        <w:t> — </w:t>
      </w:r>
      <w:r>
        <w:rPr>
          <w:rStyle w:val="CharSchText"/>
          <w:bCs/>
        </w:rPr>
        <w:t>Transitional provisions</w:t>
      </w:r>
      <w:bookmarkEnd w:id="1399"/>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p>
    <w:p>
      <w:pPr>
        <w:pStyle w:val="yShoulderClause"/>
      </w:pPr>
      <w:r>
        <w:t>[s. 48]</w:t>
      </w:r>
    </w:p>
    <w:p>
      <w:pPr>
        <w:pStyle w:val="yFootnoteheading"/>
        <w:spacing w:after="60"/>
      </w:pPr>
      <w:r>
        <w:tab/>
        <w:t>[Heading inserted by No. 44 of 2010 s. 10.]</w:t>
      </w:r>
    </w:p>
    <w:p>
      <w:pPr>
        <w:pStyle w:val="yHeading5"/>
      </w:pPr>
      <w:bookmarkStart w:id="1438" w:name="_Toc297816150"/>
      <w:bookmarkStart w:id="1439" w:name="_Toc336264372"/>
      <w:bookmarkStart w:id="1440" w:name="_Toc325554310"/>
      <w:r>
        <w:rPr>
          <w:rStyle w:val="CharSClsNo"/>
        </w:rPr>
        <w:t>1</w:t>
      </w:r>
      <w:r>
        <w:t>.</w:t>
      </w:r>
      <w:r>
        <w:rPr>
          <w:b w:val="0"/>
        </w:rPr>
        <w:tab/>
      </w:r>
      <w:r>
        <w:t>Property subject to holding orders under repealed s. 28</w:t>
      </w:r>
      <w:bookmarkEnd w:id="1438"/>
      <w:bookmarkEnd w:id="1439"/>
      <w:bookmarkEnd w:id="1440"/>
    </w:p>
    <w:p>
      <w:pPr>
        <w:pStyle w:val="ySubsection"/>
      </w:pPr>
      <w:r>
        <w:tab/>
        <w:t>(1)</w:t>
      </w:r>
      <w:r>
        <w:tab/>
        <w:t>In this clause —</w:t>
      </w:r>
    </w:p>
    <w:p>
      <w:pPr>
        <w:pStyle w:val="yDefstart"/>
      </w:pPr>
      <w:r>
        <w:tab/>
      </w:r>
      <w:r>
        <w:rPr>
          <w:rStyle w:val="CharDefText"/>
        </w:rPr>
        <w:t>repeal day</w:t>
      </w:r>
      <w:r>
        <w:t xml:space="preserve"> means the day on which section 28 is repealed by the </w:t>
      </w:r>
      <w:r>
        <w:rPr>
          <w:i/>
        </w:rPr>
        <w:t>Misuse of Drugs Amendment Act 2010</w:t>
      </w:r>
      <w:r>
        <w:t xml:space="preserve"> section 8.</w:t>
      </w:r>
    </w:p>
    <w:p>
      <w:pPr>
        <w:pStyle w:val="ySubsection"/>
      </w:pPr>
      <w:r>
        <w:tab/>
        <w:t>(2)</w:t>
      </w:r>
      <w:r>
        <w:tab/>
        <w:t>If immediately before repeal day any property is subject to a holding order granted under section 28, then on repeal day —</w:t>
      </w:r>
    </w:p>
    <w:p>
      <w:pPr>
        <w:pStyle w:val="yIndenta"/>
      </w:pPr>
      <w:r>
        <w:tab/>
        <w:t>(a)</w:t>
      </w:r>
      <w:r>
        <w:tab/>
        <w:t>the repealed section 28 ceases to apply to and in respect of the property and the holding order; and</w:t>
      </w:r>
    </w:p>
    <w:p>
      <w:pPr>
        <w:pStyle w:val="yIndenta"/>
      </w:pPr>
      <w:r>
        <w:tab/>
        <w:t>(b)</w:t>
      </w:r>
      <w:r>
        <w:tab/>
        <w:t xml:space="preserve">the property is to be taken to be seized property for the purposes of the </w:t>
      </w:r>
      <w:r>
        <w:rPr>
          <w:i/>
        </w:rPr>
        <w:t>Criminal and Found Property Disposal Act 2006</w:t>
      </w:r>
      <w:r>
        <w:t xml:space="preserve"> and that Act applies to and in respect of it accordingly.</w:t>
      </w:r>
    </w:p>
    <w:p>
      <w:pPr>
        <w:pStyle w:val="yFootnotesection"/>
      </w:pPr>
      <w:r>
        <w:tab/>
        <w:t>[Clause 1 inserted by No. 44 of 2010 s. 10.]</w:t>
      </w:r>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
      <w:pPr>
        <w:sectPr>
          <w:pgSz w:w="11906" w:h="16838" w:code="9"/>
          <w:pgMar w:top="2381" w:right="2409" w:bottom="3543" w:left="2409" w:header="720" w:footer="3380" w:gutter="0"/>
          <w:cols w:space="720"/>
          <w:noEndnote/>
          <w:docGrid w:linePitch="326"/>
        </w:sectPr>
      </w:pPr>
    </w:p>
    <w:p>
      <w:pPr>
        <w:pStyle w:val="nHeading2"/>
      </w:pPr>
      <w:bookmarkStart w:id="1441" w:name="_Toc106601034"/>
      <w:bookmarkStart w:id="1442" w:name="_Toc109615291"/>
      <w:bookmarkStart w:id="1443" w:name="_Toc139344585"/>
      <w:bookmarkStart w:id="1444" w:name="_Toc139699349"/>
      <w:bookmarkStart w:id="1445" w:name="_Toc147051382"/>
      <w:bookmarkStart w:id="1446" w:name="_Toc147118837"/>
      <w:bookmarkStart w:id="1447" w:name="_Toc148236158"/>
      <w:bookmarkStart w:id="1448" w:name="_Toc158705032"/>
      <w:bookmarkStart w:id="1449" w:name="_Toc165369999"/>
      <w:bookmarkStart w:id="1450" w:name="_Toc177873341"/>
      <w:bookmarkStart w:id="1451" w:name="_Toc177873467"/>
      <w:bookmarkStart w:id="1452" w:name="_Toc184707424"/>
      <w:bookmarkStart w:id="1453" w:name="_Toc189464755"/>
      <w:bookmarkStart w:id="1454" w:name="_Toc190249319"/>
      <w:bookmarkStart w:id="1455" w:name="_Toc191703213"/>
      <w:bookmarkStart w:id="1456" w:name="_Toc193692130"/>
      <w:bookmarkStart w:id="1457" w:name="_Toc199817312"/>
      <w:bookmarkStart w:id="1458" w:name="_Toc215543785"/>
      <w:bookmarkStart w:id="1459" w:name="_Toc215544045"/>
      <w:bookmarkStart w:id="1460" w:name="_Toc248029082"/>
      <w:bookmarkStart w:id="1461" w:name="_Toc256085131"/>
      <w:bookmarkStart w:id="1462" w:name="_Toc256092196"/>
      <w:bookmarkStart w:id="1463" w:name="_Toc268600374"/>
      <w:bookmarkStart w:id="1464" w:name="_Toc272237503"/>
      <w:bookmarkStart w:id="1465" w:name="_Toc275253582"/>
      <w:bookmarkStart w:id="1466" w:name="_Toc283287507"/>
      <w:bookmarkStart w:id="1467" w:name="_Toc290558493"/>
      <w:bookmarkStart w:id="1468" w:name="_Toc290558569"/>
      <w:bookmarkStart w:id="1469" w:name="_Toc291764708"/>
      <w:bookmarkStart w:id="1470" w:name="_Toc291768280"/>
      <w:bookmarkStart w:id="1471" w:name="_Toc297718781"/>
      <w:bookmarkStart w:id="1472" w:name="_Toc297904517"/>
      <w:bookmarkStart w:id="1473" w:name="_Toc297904591"/>
      <w:bookmarkStart w:id="1474" w:name="_Toc299717047"/>
      <w:bookmarkStart w:id="1475" w:name="_Toc299717544"/>
      <w:bookmarkStart w:id="1476" w:name="_Toc301268171"/>
      <w:bookmarkStart w:id="1477" w:name="_Toc301345341"/>
      <w:bookmarkStart w:id="1478" w:name="_Toc303929334"/>
      <w:bookmarkStart w:id="1479" w:name="_Toc306013950"/>
      <w:bookmarkStart w:id="1480" w:name="_Toc306014048"/>
      <w:bookmarkStart w:id="1481" w:name="_Toc306018484"/>
      <w:bookmarkStart w:id="1482" w:name="_Toc309727458"/>
      <w:bookmarkStart w:id="1483" w:name="_Toc309730179"/>
      <w:bookmarkStart w:id="1484" w:name="_Toc320107701"/>
      <w:bookmarkStart w:id="1485" w:name="_Toc320108331"/>
      <w:bookmarkStart w:id="1486" w:name="_Toc320187281"/>
      <w:bookmarkStart w:id="1487" w:name="_Toc322004343"/>
      <w:bookmarkStart w:id="1488" w:name="_Toc322006279"/>
      <w:bookmarkStart w:id="1489" w:name="_Toc325551477"/>
      <w:bookmarkStart w:id="1490" w:name="_Toc325553643"/>
      <w:bookmarkStart w:id="1491" w:name="_Toc325553742"/>
      <w:bookmarkStart w:id="1492" w:name="_Toc325553841"/>
      <w:bookmarkStart w:id="1493" w:name="_Toc325554311"/>
      <w:bookmarkStart w:id="1494" w:name="_Toc336264373"/>
      <w:r>
        <w:t>Notes</w:t>
      </w:r>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p>
    <w:p>
      <w:pPr>
        <w:pStyle w:val="nSubsection"/>
        <w:rPr>
          <w:snapToGrid w:val="0"/>
        </w:rPr>
      </w:pPr>
      <w:r>
        <w:rPr>
          <w:snapToGrid w:val="0"/>
          <w:vertAlign w:val="superscript"/>
        </w:rPr>
        <w:t>1</w:t>
      </w:r>
      <w:r>
        <w:rPr>
          <w:snapToGrid w:val="0"/>
        </w:rPr>
        <w:tab/>
        <w:t xml:space="preserve">This is a compilation of the </w:t>
      </w:r>
      <w:r>
        <w:rPr>
          <w:i/>
        </w:rPr>
        <w:t xml:space="preserve">Misuse of Drugs Act 1981 </w:t>
      </w:r>
      <w:r>
        <w:rPr>
          <w:snapToGrid w:val="0"/>
        </w:rPr>
        <w:t>and includes the amendments made by the other written laws referred to in the following table</w:t>
      </w:r>
      <w:r>
        <w:rPr>
          <w:rFonts w:ascii="Times" w:hAnsi="Times"/>
          <w:snapToGrid w:val="0"/>
          <w:vertAlign w:val="superscript"/>
        </w:rPr>
        <w:t> </w:t>
      </w:r>
      <w:r>
        <w:rPr>
          <w:snapToGrid w:val="0"/>
          <w:vertAlign w:val="superscript"/>
        </w:rPr>
        <w:t>1a</w:t>
      </w:r>
      <w:r>
        <w:rPr>
          <w:snapToGrid w:val="0"/>
        </w:rPr>
        <w:t>.  The table also contains information about any reprint.</w:t>
      </w:r>
    </w:p>
    <w:p>
      <w:pPr>
        <w:pStyle w:val="nHeading3"/>
      </w:pPr>
      <w:bookmarkStart w:id="1495" w:name="_Toc215543786"/>
      <w:bookmarkStart w:id="1496" w:name="_Toc336264374"/>
      <w:bookmarkStart w:id="1497" w:name="_Toc325554312"/>
      <w:r>
        <w:t>Compilation table</w:t>
      </w:r>
      <w:bookmarkEnd w:id="1495"/>
      <w:bookmarkEnd w:id="1496"/>
      <w:bookmarkEnd w:id="1497"/>
    </w:p>
    <w:tbl>
      <w:tblPr>
        <w:tblW w:w="0" w:type="auto"/>
        <w:tblInd w:w="28" w:type="dxa"/>
        <w:tblLayout w:type="fixed"/>
        <w:tblCellMar>
          <w:left w:w="56" w:type="dxa"/>
          <w:right w:w="56" w:type="dxa"/>
        </w:tblCellMar>
        <w:tblLook w:val="0000" w:firstRow="0" w:lastRow="0" w:firstColumn="0" w:lastColumn="0" w:noHBand="0" w:noVBand="0"/>
      </w:tblPr>
      <w:tblGrid>
        <w:gridCol w:w="2278"/>
        <w:gridCol w:w="1140"/>
        <w:gridCol w:w="1136"/>
        <w:gridCol w:w="28"/>
        <w:gridCol w:w="2543"/>
      </w:tblGrid>
      <w:tr>
        <w:trPr>
          <w:cantSplit/>
          <w:tblHeader/>
        </w:trPr>
        <w:tc>
          <w:tcPr>
            <w:tcW w:w="227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40"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71"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8" w:type="dxa"/>
            <w:tcBorders>
              <w:top w:val="single" w:sz="8" w:space="0" w:color="auto"/>
            </w:tcBorders>
          </w:tcPr>
          <w:p>
            <w:pPr>
              <w:pStyle w:val="nTable"/>
              <w:spacing w:after="40"/>
              <w:ind w:right="113"/>
              <w:rPr>
                <w:sz w:val="19"/>
              </w:rPr>
            </w:pPr>
            <w:r>
              <w:rPr>
                <w:i/>
                <w:sz w:val="19"/>
              </w:rPr>
              <w:t>Misuse of Drugs Act 1981</w:t>
            </w:r>
          </w:p>
        </w:tc>
        <w:tc>
          <w:tcPr>
            <w:tcW w:w="1140" w:type="dxa"/>
            <w:tcBorders>
              <w:top w:val="single" w:sz="8" w:space="0" w:color="auto"/>
            </w:tcBorders>
          </w:tcPr>
          <w:p>
            <w:pPr>
              <w:pStyle w:val="nTable"/>
              <w:spacing w:after="40"/>
              <w:rPr>
                <w:sz w:val="19"/>
              </w:rPr>
            </w:pPr>
            <w:r>
              <w:rPr>
                <w:sz w:val="19"/>
              </w:rPr>
              <w:t>66 of 1981</w:t>
            </w:r>
          </w:p>
        </w:tc>
        <w:tc>
          <w:tcPr>
            <w:tcW w:w="1136" w:type="dxa"/>
            <w:tcBorders>
              <w:top w:val="single" w:sz="8" w:space="0" w:color="auto"/>
            </w:tcBorders>
          </w:tcPr>
          <w:p>
            <w:pPr>
              <w:pStyle w:val="nTable"/>
              <w:spacing w:after="40"/>
              <w:rPr>
                <w:sz w:val="19"/>
              </w:rPr>
            </w:pPr>
            <w:r>
              <w:rPr>
                <w:sz w:val="19"/>
              </w:rPr>
              <w:t>23 Oct 1981</w:t>
            </w:r>
          </w:p>
        </w:tc>
        <w:tc>
          <w:tcPr>
            <w:tcW w:w="2571" w:type="dxa"/>
            <w:gridSpan w:val="2"/>
            <w:tcBorders>
              <w:top w:val="single" w:sz="8" w:space="0" w:color="auto"/>
            </w:tcBorders>
          </w:tcPr>
          <w:p>
            <w:pPr>
              <w:pStyle w:val="nTable"/>
              <w:spacing w:after="40"/>
              <w:rPr>
                <w:sz w:val="19"/>
              </w:rPr>
            </w:pPr>
            <w:r>
              <w:rPr>
                <w:sz w:val="19"/>
              </w:rPr>
              <w:t xml:space="preserve">1 Sep 1982 (see s. 2 and </w:t>
            </w:r>
            <w:r>
              <w:rPr>
                <w:i/>
                <w:sz w:val="19"/>
              </w:rPr>
              <w:t>Gazette</w:t>
            </w:r>
            <w:r>
              <w:rPr>
                <w:sz w:val="19"/>
              </w:rPr>
              <w:t xml:space="preserve"> 20 Aug 1982 p. 3250)</w:t>
            </w:r>
          </w:p>
        </w:tc>
      </w:tr>
      <w:tr>
        <w:trPr>
          <w:cantSplit/>
        </w:trPr>
        <w:tc>
          <w:tcPr>
            <w:tcW w:w="4554" w:type="dxa"/>
            <w:gridSpan w:val="3"/>
          </w:tcPr>
          <w:p>
            <w:pPr>
              <w:pStyle w:val="nTable"/>
              <w:spacing w:after="40"/>
              <w:rPr>
                <w:sz w:val="19"/>
              </w:rPr>
            </w:pPr>
            <w:r>
              <w:rPr>
                <w:i/>
                <w:sz w:val="19"/>
              </w:rPr>
              <w:t>Misuse of Drugs (Amounts of Prohibited Drugs) Order</w:t>
            </w:r>
            <w:r>
              <w:rPr>
                <w:sz w:val="19"/>
              </w:rPr>
              <w:t> </w:t>
            </w:r>
            <w:r>
              <w:rPr>
                <w:i/>
                <w:sz w:val="19"/>
              </w:rPr>
              <w:t xml:space="preserve">1990 </w:t>
            </w:r>
            <w:r>
              <w:rPr>
                <w:sz w:val="19"/>
              </w:rPr>
              <w:t xml:space="preserve">published in </w:t>
            </w:r>
            <w:r>
              <w:rPr>
                <w:i/>
                <w:sz w:val="19"/>
              </w:rPr>
              <w:t>Gazette</w:t>
            </w:r>
            <w:r>
              <w:rPr>
                <w:sz w:val="19"/>
              </w:rPr>
              <w:t xml:space="preserve"> 30 Nov 1990 p. 5937</w:t>
            </w:r>
          </w:p>
        </w:tc>
        <w:tc>
          <w:tcPr>
            <w:tcW w:w="2571" w:type="dxa"/>
            <w:gridSpan w:val="2"/>
          </w:tcPr>
          <w:p>
            <w:pPr>
              <w:pStyle w:val="nTable"/>
              <w:spacing w:after="40"/>
              <w:rPr>
                <w:sz w:val="19"/>
              </w:rPr>
            </w:pPr>
            <w:r>
              <w:rPr>
                <w:sz w:val="19"/>
              </w:rPr>
              <w:t>30 Nov 1990</w:t>
            </w:r>
          </w:p>
        </w:tc>
      </w:tr>
      <w:tr>
        <w:trPr>
          <w:cantSplit/>
        </w:trPr>
        <w:tc>
          <w:tcPr>
            <w:tcW w:w="2278" w:type="dxa"/>
          </w:tcPr>
          <w:p>
            <w:pPr>
              <w:pStyle w:val="nTable"/>
              <w:spacing w:after="40"/>
              <w:ind w:right="113"/>
              <w:rPr>
                <w:sz w:val="19"/>
              </w:rPr>
            </w:pPr>
            <w:r>
              <w:rPr>
                <w:i/>
                <w:sz w:val="19"/>
              </w:rPr>
              <w:t>Misuse of Drugs Amendment Act 1990</w:t>
            </w:r>
          </w:p>
        </w:tc>
        <w:tc>
          <w:tcPr>
            <w:tcW w:w="1140" w:type="dxa"/>
          </w:tcPr>
          <w:p>
            <w:pPr>
              <w:pStyle w:val="nTable"/>
              <w:spacing w:after="40"/>
              <w:rPr>
                <w:sz w:val="19"/>
              </w:rPr>
            </w:pPr>
            <w:r>
              <w:rPr>
                <w:sz w:val="19"/>
              </w:rPr>
              <w:t>50 of 1990</w:t>
            </w:r>
          </w:p>
        </w:tc>
        <w:tc>
          <w:tcPr>
            <w:tcW w:w="1136" w:type="dxa"/>
          </w:tcPr>
          <w:p>
            <w:pPr>
              <w:pStyle w:val="nTable"/>
              <w:spacing w:after="40"/>
              <w:rPr>
                <w:sz w:val="19"/>
              </w:rPr>
            </w:pPr>
            <w:r>
              <w:rPr>
                <w:sz w:val="19"/>
              </w:rPr>
              <w:t>4 Dec 1990</w:t>
            </w:r>
          </w:p>
        </w:tc>
        <w:tc>
          <w:tcPr>
            <w:tcW w:w="2571" w:type="dxa"/>
            <w:gridSpan w:val="2"/>
          </w:tcPr>
          <w:p>
            <w:pPr>
              <w:pStyle w:val="nTable"/>
              <w:spacing w:after="40"/>
              <w:rPr>
                <w:sz w:val="19"/>
              </w:rPr>
            </w:pPr>
            <w:r>
              <w:rPr>
                <w:sz w:val="19"/>
              </w:rPr>
              <w:t>4 Dec 1990 (see s. 2)</w:t>
            </w:r>
          </w:p>
        </w:tc>
      </w:tr>
      <w:tr>
        <w:trPr>
          <w:cantSplit/>
        </w:trPr>
        <w:tc>
          <w:tcPr>
            <w:tcW w:w="2278" w:type="dxa"/>
          </w:tcPr>
          <w:p>
            <w:pPr>
              <w:pStyle w:val="nTable"/>
              <w:spacing w:after="40"/>
              <w:ind w:right="113"/>
              <w:rPr>
                <w:sz w:val="19"/>
              </w:rPr>
            </w:pPr>
            <w:r>
              <w:rPr>
                <w:i/>
                <w:sz w:val="19"/>
              </w:rPr>
              <w:t xml:space="preserve">Conservation and Land Management Amendment Act 1991 </w:t>
            </w:r>
            <w:r>
              <w:rPr>
                <w:sz w:val="19"/>
              </w:rPr>
              <w:t>s. 57</w:t>
            </w:r>
          </w:p>
        </w:tc>
        <w:tc>
          <w:tcPr>
            <w:tcW w:w="1140" w:type="dxa"/>
          </w:tcPr>
          <w:p>
            <w:pPr>
              <w:pStyle w:val="nTable"/>
              <w:spacing w:after="40"/>
              <w:rPr>
                <w:sz w:val="19"/>
              </w:rPr>
            </w:pPr>
            <w:r>
              <w:rPr>
                <w:sz w:val="19"/>
              </w:rPr>
              <w:t>20 of 1991</w:t>
            </w:r>
          </w:p>
        </w:tc>
        <w:tc>
          <w:tcPr>
            <w:tcW w:w="1136" w:type="dxa"/>
          </w:tcPr>
          <w:p>
            <w:pPr>
              <w:pStyle w:val="nTable"/>
              <w:spacing w:after="40"/>
              <w:rPr>
                <w:sz w:val="19"/>
              </w:rPr>
            </w:pPr>
            <w:r>
              <w:rPr>
                <w:sz w:val="19"/>
              </w:rPr>
              <w:t>25 Jun 1991</w:t>
            </w:r>
          </w:p>
        </w:tc>
        <w:tc>
          <w:tcPr>
            <w:tcW w:w="2571" w:type="dxa"/>
            <w:gridSpan w:val="2"/>
          </w:tcPr>
          <w:p>
            <w:pPr>
              <w:pStyle w:val="nTable"/>
              <w:spacing w:after="40"/>
              <w:rPr>
                <w:sz w:val="19"/>
              </w:rPr>
            </w:pPr>
            <w:r>
              <w:rPr>
                <w:sz w:val="19"/>
              </w:rPr>
              <w:t xml:space="preserve">23 Aug 1991 (see s. 2 and </w:t>
            </w:r>
            <w:r>
              <w:rPr>
                <w:i/>
                <w:sz w:val="19"/>
              </w:rPr>
              <w:t>Gazette</w:t>
            </w:r>
            <w:r>
              <w:rPr>
                <w:sz w:val="19"/>
              </w:rPr>
              <w:t xml:space="preserve"> 23 Aug 1991 p. 4353)</w:t>
            </w:r>
          </w:p>
        </w:tc>
      </w:tr>
      <w:tr>
        <w:trPr>
          <w:cantSplit/>
        </w:trPr>
        <w:tc>
          <w:tcPr>
            <w:tcW w:w="4554" w:type="dxa"/>
            <w:gridSpan w:val="3"/>
          </w:tcPr>
          <w:p>
            <w:pPr>
              <w:pStyle w:val="nTable"/>
              <w:spacing w:after="40"/>
              <w:rPr>
                <w:sz w:val="19"/>
              </w:rPr>
            </w:pPr>
            <w:r>
              <w:rPr>
                <w:i/>
                <w:sz w:val="19"/>
              </w:rPr>
              <w:t>Misuse of Drugs (Amounts of Prohibited Drugs) Order</w:t>
            </w:r>
            <w:r>
              <w:rPr>
                <w:sz w:val="19"/>
              </w:rPr>
              <w:t> </w:t>
            </w:r>
            <w:r>
              <w:rPr>
                <w:i/>
                <w:sz w:val="19"/>
              </w:rPr>
              <w:t xml:space="preserve">1991 </w:t>
            </w:r>
            <w:r>
              <w:rPr>
                <w:sz w:val="19"/>
              </w:rPr>
              <w:t xml:space="preserve">published in </w:t>
            </w:r>
            <w:r>
              <w:rPr>
                <w:i/>
                <w:sz w:val="19"/>
              </w:rPr>
              <w:t>Gazette</w:t>
            </w:r>
            <w:r>
              <w:rPr>
                <w:sz w:val="19"/>
              </w:rPr>
              <w:t xml:space="preserve"> 29 Nov 1991 p. 6040</w:t>
            </w:r>
            <w:r>
              <w:rPr>
                <w:sz w:val="19"/>
              </w:rPr>
              <w:noBreakHyphen/>
              <w:t>1</w:t>
            </w:r>
          </w:p>
        </w:tc>
        <w:tc>
          <w:tcPr>
            <w:tcW w:w="2571" w:type="dxa"/>
            <w:gridSpan w:val="2"/>
          </w:tcPr>
          <w:p>
            <w:pPr>
              <w:pStyle w:val="nTable"/>
              <w:spacing w:after="40"/>
              <w:rPr>
                <w:sz w:val="19"/>
              </w:rPr>
            </w:pPr>
            <w:r>
              <w:rPr>
                <w:sz w:val="19"/>
              </w:rPr>
              <w:t>29 Nov 1991</w:t>
            </w:r>
          </w:p>
        </w:tc>
      </w:tr>
      <w:tr>
        <w:trPr>
          <w:cantSplit/>
        </w:trPr>
        <w:tc>
          <w:tcPr>
            <w:tcW w:w="4554" w:type="dxa"/>
            <w:gridSpan w:val="3"/>
          </w:tcPr>
          <w:p>
            <w:pPr>
              <w:pStyle w:val="nTable"/>
              <w:spacing w:after="40"/>
              <w:rPr>
                <w:sz w:val="19"/>
              </w:rPr>
            </w:pPr>
            <w:r>
              <w:rPr>
                <w:i/>
                <w:sz w:val="19"/>
              </w:rPr>
              <w:t>Misuse of Drugs (Amounts of Prohibited Drugs) Order</w:t>
            </w:r>
            <w:r>
              <w:rPr>
                <w:sz w:val="19"/>
              </w:rPr>
              <w:t> </w:t>
            </w:r>
            <w:r>
              <w:rPr>
                <w:i/>
                <w:sz w:val="19"/>
              </w:rPr>
              <w:t xml:space="preserve">1994 </w:t>
            </w:r>
            <w:r>
              <w:rPr>
                <w:sz w:val="19"/>
              </w:rPr>
              <w:t xml:space="preserve">published in </w:t>
            </w:r>
            <w:r>
              <w:rPr>
                <w:i/>
                <w:sz w:val="19"/>
              </w:rPr>
              <w:t>Gazette</w:t>
            </w:r>
            <w:r>
              <w:rPr>
                <w:sz w:val="19"/>
              </w:rPr>
              <w:t xml:space="preserve"> 22 Mar 1994 p. 1245</w:t>
            </w:r>
          </w:p>
        </w:tc>
        <w:tc>
          <w:tcPr>
            <w:tcW w:w="2571" w:type="dxa"/>
            <w:gridSpan w:val="2"/>
          </w:tcPr>
          <w:p>
            <w:pPr>
              <w:pStyle w:val="nTable"/>
              <w:spacing w:after="40"/>
              <w:rPr>
                <w:sz w:val="19"/>
              </w:rPr>
            </w:pPr>
            <w:r>
              <w:rPr>
                <w:sz w:val="19"/>
              </w:rPr>
              <w:t>22 Mar 1994</w:t>
            </w:r>
          </w:p>
        </w:tc>
      </w:tr>
      <w:tr>
        <w:trPr>
          <w:cantSplit/>
        </w:trPr>
        <w:tc>
          <w:tcPr>
            <w:tcW w:w="2278" w:type="dxa"/>
          </w:tcPr>
          <w:p>
            <w:pPr>
              <w:pStyle w:val="nTable"/>
              <w:spacing w:after="40"/>
              <w:ind w:right="113"/>
              <w:rPr>
                <w:sz w:val="19"/>
              </w:rPr>
            </w:pPr>
            <w:r>
              <w:rPr>
                <w:i/>
                <w:sz w:val="19"/>
              </w:rPr>
              <w:t xml:space="preserve">Poisons Amendment Act 1994 </w:t>
            </w:r>
            <w:r>
              <w:rPr>
                <w:sz w:val="19"/>
              </w:rPr>
              <w:t>s. 11</w:t>
            </w:r>
          </w:p>
        </w:tc>
        <w:tc>
          <w:tcPr>
            <w:tcW w:w="1140" w:type="dxa"/>
          </w:tcPr>
          <w:p>
            <w:pPr>
              <w:pStyle w:val="nTable"/>
              <w:spacing w:after="40"/>
              <w:rPr>
                <w:sz w:val="19"/>
              </w:rPr>
            </w:pPr>
            <w:r>
              <w:rPr>
                <w:sz w:val="19"/>
              </w:rPr>
              <w:t>12 of 1994</w:t>
            </w:r>
          </w:p>
        </w:tc>
        <w:tc>
          <w:tcPr>
            <w:tcW w:w="1136" w:type="dxa"/>
          </w:tcPr>
          <w:p>
            <w:pPr>
              <w:pStyle w:val="nTable"/>
              <w:spacing w:after="40"/>
              <w:rPr>
                <w:sz w:val="19"/>
              </w:rPr>
            </w:pPr>
            <w:r>
              <w:rPr>
                <w:sz w:val="19"/>
              </w:rPr>
              <w:t>15 Apr 1994</w:t>
            </w:r>
          </w:p>
        </w:tc>
        <w:tc>
          <w:tcPr>
            <w:tcW w:w="2571" w:type="dxa"/>
            <w:gridSpan w:val="2"/>
          </w:tcPr>
          <w:p>
            <w:pPr>
              <w:pStyle w:val="nTable"/>
              <w:spacing w:after="40"/>
              <w:rPr>
                <w:sz w:val="19"/>
              </w:rPr>
            </w:pPr>
            <w:r>
              <w:rPr>
                <w:sz w:val="19"/>
              </w:rPr>
              <w:t xml:space="preserve">27 May 1994 (see s. 2 and </w:t>
            </w:r>
            <w:r>
              <w:rPr>
                <w:i/>
                <w:sz w:val="19"/>
              </w:rPr>
              <w:t>Gazette</w:t>
            </w:r>
            <w:r>
              <w:rPr>
                <w:sz w:val="19"/>
              </w:rPr>
              <w:t xml:space="preserve"> 27 May 1994 p. 2205)</w:t>
            </w:r>
          </w:p>
        </w:tc>
      </w:tr>
      <w:tr>
        <w:trPr>
          <w:cantSplit/>
        </w:trPr>
        <w:tc>
          <w:tcPr>
            <w:tcW w:w="2278" w:type="dxa"/>
          </w:tcPr>
          <w:p>
            <w:pPr>
              <w:pStyle w:val="nTable"/>
              <w:spacing w:after="40"/>
              <w:ind w:right="113"/>
              <w:rPr>
                <w:sz w:val="19"/>
              </w:rPr>
            </w:pPr>
            <w:r>
              <w:rPr>
                <w:i/>
                <w:sz w:val="19"/>
              </w:rPr>
              <w:t xml:space="preserve">Acts Amendment (Public Sector Management) Act 1994 </w:t>
            </w:r>
            <w:r>
              <w:rPr>
                <w:sz w:val="19"/>
              </w:rPr>
              <w:t>s. 3(2)</w:t>
            </w:r>
          </w:p>
        </w:tc>
        <w:tc>
          <w:tcPr>
            <w:tcW w:w="1140" w:type="dxa"/>
          </w:tcPr>
          <w:p>
            <w:pPr>
              <w:pStyle w:val="nTable"/>
              <w:spacing w:after="40"/>
              <w:rPr>
                <w:sz w:val="19"/>
              </w:rPr>
            </w:pPr>
            <w:r>
              <w:rPr>
                <w:sz w:val="19"/>
              </w:rPr>
              <w:t>32 of 1994</w:t>
            </w:r>
          </w:p>
        </w:tc>
        <w:tc>
          <w:tcPr>
            <w:tcW w:w="1136" w:type="dxa"/>
          </w:tcPr>
          <w:p>
            <w:pPr>
              <w:pStyle w:val="nTable"/>
              <w:spacing w:after="40"/>
              <w:rPr>
                <w:sz w:val="19"/>
              </w:rPr>
            </w:pPr>
            <w:r>
              <w:rPr>
                <w:sz w:val="19"/>
              </w:rPr>
              <w:t>29 Jun 1994</w:t>
            </w:r>
          </w:p>
        </w:tc>
        <w:tc>
          <w:tcPr>
            <w:tcW w:w="2571"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78" w:type="dxa"/>
          </w:tcPr>
          <w:p>
            <w:pPr>
              <w:pStyle w:val="nTable"/>
              <w:spacing w:after="40"/>
              <w:ind w:right="113"/>
              <w:rPr>
                <w:sz w:val="19"/>
              </w:rPr>
            </w:pPr>
            <w:r>
              <w:rPr>
                <w:i/>
                <w:sz w:val="19"/>
              </w:rPr>
              <w:t xml:space="preserve">Statutes (Repeals and Minor Amendments) Act 1994 </w:t>
            </w:r>
            <w:r>
              <w:rPr>
                <w:sz w:val="19"/>
              </w:rPr>
              <w:t>s. 4</w:t>
            </w:r>
          </w:p>
        </w:tc>
        <w:tc>
          <w:tcPr>
            <w:tcW w:w="1140" w:type="dxa"/>
          </w:tcPr>
          <w:p>
            <w:pPr>
              <w:pStyle w:val="nTable"/>
              <w:spacing w:after="40"/>
              <w:rPr>
                <w:sz w:val="19"/>
              </w:rPr>
            </w:pPr>
            <w:r>
              <w:rPr>
                <w:sz w:val="19"/>
              </w:rPr>
              <w:t>73 of 1994</w:t>
            </w:r>
          </w:p>
        </w:tc>
        <w:tc>
          <w:tcPr>
            <w:tcW w:w="1136" w:type="dxa"/>
          </w:tcPr>
          <w:p>
            <w:pPr>
              <w:pStyle w:val="nTable"/>
              <w:spacing w:after="40"/>
              <w:rPr>
                <w:sz w:val="19"/>
              </w:rPr>
            </w:pPr>
            <w:r>
              <w:rPr>
                <w:sz w:val="19"/>
              </w:rPr>
              <w:t>9 Dec 1994</w:t>
            </w:r>
          </w:p>
        </w:tc>
        <w:tc>
          <w:tcPr>
            <w:tcW w:w="2571" w:type="dxa"/>
            <w:gridSpan w:val="2"/>
          </w:tcPr>
          <w:p>
            <w:pPr>
              <w:pStyle w:val="nTable"/>
              <w:spacing w:after="40"/>
              <w:rPr>
                <w:sz w:val="19"/>
              </w:rPr>
            </w:pPr>
            <w:r>
              <w:rPr>
                <w:sz w:val="19"/>
              </w:rPr>
              <w:t>9 Dec 1994 (see s. 2)</w:t>
            </w:r>
          </w:p>
        </w:tc>
      </w:tr>
      <w:tr>
        <w:trPr>
          <w:cantSplit/>
        </w:trPr>
        <w:tc>
          <w:tcPr>
            <w:tcW w:w="2278" w:type="dxa"/>
          </w:tcPr>
          <w:p>
            <w:pPr>
              <w:pStyle w:val="nTable"/>
              <w:spacing w:after="40"/>
              <w:ind w:right="113"/>
              <w:rPr>
                <w:sz w:val="19"/>
              </w:rPr>
            </w:pPr>
            <w:r>
              <w:rPr>
                <w:i/>
                <w:sz w:val="19"/>
              </w:rPr>
              <w:t xml:space="preserve">Acts Amendment (Fines, Penalties and Infringement Notices) Act 1994 </w:t>
            </w:r>
            <w:r>
              <w:rPr>
                <w:sz w:val="19"/>
              </w:rPr>
              <w:t>Pt. 15</w:t>
            </w:r>
          </w:p>
        </w:tc>
        <w:tc>
          <w:tcPr>
            <w:tcW w:w="1140" w:type="dxa"/>
          </w:tcPr>
          <w:p>
            <w:pPr>
              <w:pStyle w:val="nTable"/>
              <w:spacing w:after="40"/>
              <w:rPr>
                <w:sz w:val="19"/>
              </w:rPr>
            </w:pPr>
            <w:r>
              <w:rPr>
                <w:sz w:val="19"/>
              </w:rPr>
              <w:t>92 of 1994</w:t>
            </w:r>
          </w:p>
        </w:tc>
        <w:tc>
          <w:tcPr>
            <w:tcW w:w="1136" w:type="dxa"/>
          </w:tcPr>
          <w:p>
            <w:pPr>
              <w:pStyle w:val="nTable"/>
              <w:spacing w:after="40"/>
              <w:rPr>
                <w:sz w:val="19"/>
              </w:rPr>
            </w:pPr>
            <w:r>
              <w:rPr>
                <w:sz w:val="19"/>
              </w:rPr>
              <w:t>23 Dec 1994</w:t>
            </w:r>
          </w:p>
        </w:tc>
        <w:tc>
          <w:tcPr>
            <w:tcW w:w="2571" w:type="dxa"/>
            <w:gridSpan w:val="2"/>
          </w:tcPr>
          <w:p>
            <w:pPr>
              <w:pStyle w:val="nTable"/>
              <w:spacing w:after="40"/>
              <w:rPr>
                <w:sz w:val="19"/>
              </w:rPr>
            </w:pPr>
            <w:r>
              <w:rPr>
                <w:sz w:val="19"/>
              </w:rPr>
              <w:t xml:space="preserve">1 Jan 1995 (see s. 2(1) and </w:t>
            </w:r>
            <w:r>
              <w:rPr>
                <w:i/>
                <w:sz w:val="19"/>
              </w:rPr>
              <w:t xml:space="preserve">Gazette </w:t>
            </w:r>
            <w:r>
              <w:rPr>
                <w:sz w:val="19"/>
              </w:rPr>
              <w:t>30 Dec 1994 p. 7211)</w:t>
            </w:r>
          </w:p>
        </w:tc>
      </w:tr>
      <w:tr>
        <w:trPr>
          <w:cantSplit/>
        </w:trPr>
        <w:tc>
          <w:tcPr>
            <w:tcW w:w="2278" w:type="dxa"/>
          </w:tcPr>
          <w:p>
            <w:pPr>
              <w:pStyle w:val="nTable"/>
              <w:keepNext/>
              <w:spacing w:after="40"/>
              <w:ind w:right="113"/>
              <w:rPr>
                <w:sz w:val="19"/>
                <w:vertAlign w:val="superscript"/>
              </w:rPr>
            </w:pPr>
            <w:r>
              <w:rPr>
                <w:i/>
                <w:sz w:val="19"/>
              </w:rPr>
              <w:t>Misuse of Drugs Amendment Act 1995</w:t>
            </w:r>
            <w:r>
              <w:rPr>
                <w:sz w:val="19"/>
                <w:vertAlign w:val="superscript"/>
              </w:rPr>
              <w:t> 3</w:t>
            </w:r>
          </w:p>
        </w:tc>
        <w:tc>
          <w:tcPr>
            <w:tcW w:w="1140" w:type="dxa"/>
          </w:tcPr>
          <w:p>
            <w:pPr>
              <w:pStyle w:val="nTable"/>
              <w:keepNext/>
              <w:spacing w:after="40"/>
              <w:rPr>
                <w:sz w:val="19"/>
              </w:rPr>
            </w:pPr>
            <w:r>
              <w:rPr>
                <w:sz w:val="19"/>
              </w:rPr>
              <w:t>44 of 1995</w:t>
            </w:r>
          </w:p>
        </w:tc>
        <w:tc>
          <w:tcPr>
            <w:tcW w:w="1136" w:type="dxa"/>
          </w:tcPr>
          <w:p>
            <w:pPr>
              <w:pStyle w:val="nTable"/>
              <w:keepNext/>
              <w:spacing w:after="40"/>
              <w:rPr>
                <w:sz w:val="19"/>
              </w:rPr>
            </w:pPr>
            <w:r>
              <w:rPr>
                <w:sz w:val="19"/>
              </w:rPr>
              <w:t>18 Oct 1995</w:t>
            </w:r>
          </w:p>
        </w:tc>
        <w:tc>
          <w:tcPr>
            <w:tcW w:w="2571" w:type="dxa"/>
            <w:gridSpan w:val="2"/>
          </w:tcPr>
          <w:p>
            <w:pPr>
              <w:pStyle w:val="nTable"/>
              <w:keepNext/>
              <w:spacing w:after="40"/>
              <w:rPr>
                <w:sz w:val="19"/>
              </w:rPr>
            </w:pPr>
            <w:r>
              <w:rPr>
                <w:sz w:val="19"/>
              </w:rPr>
              <w:t>s. 1 and 2: 18 Oct 1995;</w:t>
            </w:r>
            <w:r>
              <w:rPr>
                <w:sz w:val="19"/>
              </w:rPr>
              <w:br/>
              <w:t xml:space="preserve">Act other than s. 1 and 2: 16 Aug 1996 (see s. 2 and </w:t>
            </w:r>
            <w:r>
              <w:rPr>
                <w:i/>
                <w:sz w:val="19"/>
              </w:rPr>
              <w:t>Gazette</w:t>
            </w:r>
            <w:r>
              <w:rPr>
                <w:sz w:val="19"/>
              </w:rPr>
              <w:t xml:space="preserve"> 16 Aug 1996 p. 4007)</w:t>
            </w:r>
          </w:p>
        </w:tc>
      </w:tr>
      <w:tr>
        <w:trPr>
          <w:cantSplit/>
        </w:trPr>
        <w:tc>
          <w:tcPr>
            <w:tcW w:w="2278" w:type="dxa"/>
          </w:tcPr>
          <w:p>
            <w:pPr>
              <w:pStyle w:val="nTable"/>
              <w:spacing w:after="40"/>
              <w:ind w:right="113"/>
              <w:rPr>
                <w:sz w:val="19"/>
              </w:rPr>
            </w:pPr>
            <w:r>
              <w:rPr>
                <w:i/>
                <w:sz w:val="19"/>
              </w:rPr>
              <w:t xml:space="preserve">Poisons Amendment Act 1995 </w:t>
            </w:r>
            <w:r>
              <w:rPr>
                <w:sz w:val="19"/>
              </w:rPr>
              <w:t>s. 43</w:t>
            </w:r>
          </w:p>
        </w:tc>
        <w:tc>
          <w:tcPr>
            <w:tcW w:w="1140" w:type="dxa"/>
          </w:tcPr>
          <w:p>
            <w:pPr>
              <w:pStyle w:val="nTable"/>
              <w:spacing w:after="40"/>
              <w:rPr>
                <w:sz w:val="19"/>
              </w:rPr>
            </w:pPr>
            <w:r>
              <w:rPr>
                <w:sz w:val="19"/>
              </w:rPr>
              <w:t>48 of 1995</w:t>
            </w:r>
          </w:p>
        </w:tc>
        <w:tc>
          <w:tcPr>
            <w:tcW w:w="1136" w:type="dxa"/>
          </w:tcPr>
          <w:p>
            <w:pPr>
              <w:pStyle w:val="nTable"/>
              <w:spacing w:after="40"/>
              <w:rPr>
                <w:sz w:val="19"/>
              </w:rPr>
            </w:pPr>
            <w:r>
              <w:rPr>
                <w:sz w:val="19"/>
              </w:rPr>
              <w:t>6 Nov 1995</w:t>
            </w:r>
          </w:p>
        </w:tc>
        <w:tc>
          <w:tcPr>
            <w:tcW w:w="2571" w:type="dxa"/>
            <w:gridSpan w:val="2"/>
          </w:tcPr>
          <w:p>
            <w:pPr>
              <w:pStyle w:val="nTable"/>
              <w:spacing w:after="40"/>
              <w:rPr>
                <w:sz w:val="19"/>
              </w:rPr>
            </w:pPr>
            <w:r>
              <w:rPr>
                <w:sz w:val="19"/>
              </w:rPr>
              <w:t xml:space="preserve">20 Mar 1996 (see s. 2 and </w:t>
            </w:r>
            <w:r>
              <w:rPr>
                <w:i/>
                <w:sz w:val="19"/>
              </w:rPr>
              <w:t>Gazette</w:t>
            </w:r>
            <w:r>
              <w:rPr>
                <w:sz w:val="19"/>
              </w:rPr>
              <w:t xml:space="preserve"> 19 Mar 1996 p. 1203)</w:t>
            </w:r>
          </w:p>
        </w:tc>
      </w:tr>
      <w:tr>
        <w:trPr>
          <w:cantSplit/>
        </w:trPr>
        <w:tc>
          <w:tcPr>
            <w:tcW w:w="7125" w:type="dxa"/>
            <w:gridSpan w:val="5"/>
          </w:tcPr>
          <w:p>
            <w:pPr>
              <w:pStyle w:val="nTable"/>
              <w:spacing w:after="40"/>
              <w:rPr>
                <w:sz w:val="19"/>
              </w:rPr>
            </w:pPr>
            <w:r>
              <w:rPr>
                <w:b/>
                <w:sz w:val="19"/>
              </w:rPr>
              <w:t xml:space="preserve">Reprint of the </w:t>
            </w:r>
            <w:r>
              <w:rPr>
                <w:b/>
                <w:i/>
                <w:sz w:val="19"/>
              </w:rPr>
              <w:t>Misuse of Drugs Act 1981</w:t>
            </w:r>
            <w:r>
              <w:rPr>
                <w:b/>
                <w:sz w:val="19"/>
              </w:rPr>
              <w:t xml:space="preserve"> as at 11 Nov 1996</w:t>
            </w:r>
            <w:r>
              <w:rPr>
                <w:sz w:val="19"/>
              </w:rPr>
              <w:t xml:space="preserve"> (includes amendments listed above)</w:t>
            </w:r>
          </w:p>
        </w:tc>
      </w:tr>
      <w:tr>
        <w:trPr>
          <w:cantSplit/>
        </w:trPr>
        <w:tc>
          <w:tcPr>
            <w:tcW w:w="2278" w:type="dxa"/>
          </w:tcPr>
          <w:p>
            <w:pPr>
              <w:pStyle w:val="nTable"/>
              <w:spacing w:after="40"/>
              <w:ind w:right="113"/>
              <w:rPr>
                <w:sz w:val="19"/>
              </w:rPr>
            </w:pPr>
            <w:r>
              <w:rPr>
                <w:i/>
                <w:sz w:val="19"/>
              </w:rPr>
              <w:t>Misuse of Drugs Amendment Act 1998</w:t>
            </w:r>
          </w:p>
        </w:tc>
        <w:tc>
          <w:tcPr>
            <w:tcW w:w="1140" w:type="dxa"/>
          </w:tcPr>
          <w:p>
            <w:pPr>
              <w:pStyle w:val="nTable"/>
              <w:spacing w:after="40"/>
              <w:rPr>
                <w:sz w:val="19"/>
              </w:rPr>
            </w:pPr>
            <w:r>
              <w:rPr>
                <w:sz w:val="19"/>
              </w:rPr>
              <w:t>3 of 1998</w:t>
            </w:r>
          </w:p>
        </w:tc>
        <w:tc>
          <w:tcPr>
            <w:tcW w:w="1136" w:type="dxa"/>
          </w:tcPr>
          <w:p>
            <w:pPr>
              <w:pStyle w:val="nTable"/>
              <w:spacing w:after="40"/>
              <w:rPr>
                <w:sz w:val="19"/>
              </w:rPr>
            </w:pPr>
            <w:r>
              <w:rPr>
                <w:sz w:val="19"/>
              </w:rPr>
              <w:t>26 Mar 1998</w:t>
            </w:r>
          </w:p>
        </w:tc>
        <w:tc>
          <w:tcPr>
            <w:tcW w:w="2571" w:type="dxa"/>
            <w:gridSpan w:val="2"/>
          </w:tcPr>
          <w:p>
            <w:pPr>
              <w:pStyle w:val="nTable"/>
              <w:spacing w:after="40"/>
              <w:rPr>
                <w:sz w:val="19"/>
              </w:rPr>
            </w:pPr>
            <w:r>
              <w:rPr>
                <w:sz w:val="19"/>
              </w:rPr>
              <w:t>26 Mar 1998 (see s. 2)</w:t>
            </w:r>
          </w:p>
        </w:tc>
      </w:tr>
      <w:tr>
        <w:trPr>
          <w:cantSplit/>
        </w:trPr>
        <w:tc>
          <w:tcPr>
            <w:tcW w:w="2278" w:type="dxa"/>
          </w:tcPr>
          <w:p>
            <w:pPr>
              <w:pStyle w:val="nTable"/>
              <w:spacing w:after="40"/>
              <w:ind w:right="113"/>
              <w:rPr>
                <w:i/>
                <w:sz w:val="19"/>
              </w:rPr>
            </w:pPr>
            <w:r>
              <w:rPr>
                <w:i/>
                <w:sz w:val="19"/>
              </w:rPr>
              <w:t xml:space="preserve">Statutes (Repeals and Minor Amendments) Act 2000 </w:t>
            </w:r>
            <w:r>
              <w:rPr>
                <w:sz w:val="19"/>
              </w:rPr>
              <w:t>s. 27</w:t>
            </w:r>
          </w:p>
        </w:tc>
        <w:tc>
          <w:tcPr>
            <w:tcW w:w="1140" w:type="dxa"/>
          </w:tcPr>
          <w:p>
            <w:pPr>
              <w:pStyle w:val="nTable"/>
              <w:spacing w:after="40"/>
              <w:rPr>
                <w:sz w:val="19"/>
              </w:rPr>
            </w:pPr>
            <w:r>
              <w:rPr>
                <w:sz w:val="19"/>
              </w:rPr>
              <w:t>24 of 2000</w:t>
            </w:r>
          </w:p>
        </w:tc>
        <w:tc>
          <w:tcPr>
            <w:tcW w:w="1136" w:type="dxa"/>
          </w:tcPr>
          <w:p>
            <w:pPr>
              <w:pStyle w:val="nTable"/>
              <w:spacing w:after="40"/>
              <w:rPr>
                <w:sz w:val="19"/>
              </w:rPr>
            </w:pPr>
            <w:r>
              <w:rPr>
                <w:sz w:val="19"/>
              </w:rPr>
              <w:t>4 Jul 2000</w:t>
            </w:r>
          </w:p>
        </w:tc>
        <w:tc>
          <w:tcPr>
            <w:tcW w:w="2571" w:type="dxa"/>
            <w:gridSpan w:val="2"/>
          </w:tcPr>
          <w:p>
            <w:pPr>
              <w:pStyle w:val="nTable"/>
              <w:spacing w:after="40"/>
              <w:rPr>
                <w:sz w:val="19"/>
              </w:rPr>
            </w:pPr>
            <w:r>
              <w:rPr>
                <w:sz w:val="19"/>
              </w:rPr>
              <w:t>4 Jul 2000 (see s. 2)</w:t>
            </w:r>
          </w:p>
        </w:tc>
      </w:tr>
      <w:tr>
        <w:trPr>
          <w:cantSplit/>
        </w:trPr>
        <w:tc>
          <w:tcPr>
            <w:tcW w:w="2278" w:type="dxa"/>
          </w:tcPr>
          <w:p>
            <w:pPr>
              <w:pStyle w:val="nTable"/>
              <w:spacing w:after="40"/>
              <w:ind w:right="113"/>
              <w:rPr>
                <w:sz w:val="19"/>
                <w:vertAlign w:val="superscript"/>
              </w:rPr>
            </w:pPr>
            <w:r>
              <w:rPr>
                <w:i/>
                <w:sz w:val="19"/>
              </w:rPr>
              <w:t xml:space="preserve">Criminal Property Confiscation (Consequential Provisions) Act 2000 </w:t>
            </w:r>
            <w:r>
              <w:rPr>
                <w:sz w:val="19"/>
              </w:rPr>
              <w:t>s. 5</w:t>
            </w:r>
            <w:r>
              <w:rPr>
                <w:sz w:val="19"/>
                <w:vertAlign w:val="superscript"/>
              </w:rPr>
              <w:t> 4</w:t>
            </w:r>
          </w:p>
        </w:tc>
        <w:tc>
          <w:tcPr>
            <w:tcW w:w="1140" w:type="dxa"/>
          </w:tcPr>
          <w:p>
            <w:pPr>
              <w:pStyle w:val="nTable"/>
              <w:spacing w:after="40"/>
              <w:rPr>
                <w:sz w:val="19"/>
              </w:rPr>
            </w:pPr>
            <w:r>
              <w:rPr>
                <w:sz w:val="19"/>
              </w:rPr>
              <w:t>69 of 2000</w:t>
            </w:r>
          </w:p>
        </w:tc>
        <w:tc>
          <w:tcPr>
            <w:tcW w:w="1136" w:type="dxa"/>
          </w:tcPr>
          <w:p>
            <w:pPr>
              <w:pStyle w:val="nTable"/>
              <w:spacing w:after="40"/>
              <w:rPr>
                <w:sz w:val="19"/>
              </w:rPr>
            </w:pPr>
            <w:r>
              <w:rPr>
                <w:sz w:val="19"/>
              </w:rPr>
              <w:t>6 Dec 2000</w:t>
            </w:r>
          </w:p>
        </w:tc>
        <w:tc>
          <w:tcPr>
            <w:tcW w:w="2571" w:type="dxa"/>
            <w:gridSpan w:val="2"/>
          </w:tcPr>
          <w:p>
            <w:pPr>
              <w:pStyle w:val="nTable"/>
              <w:spacing w:after="40"/>
              <w:rPr>
                <w:sz w:val="19"/>
              </w:rPr>
            </w:pPr>
            <w:r>
              <w:rPr>
                <w:sz w:val="19"/>
              </w:rPr>
              <w:t xml:space="preserve">1 Jan 2001 (see s. 2 and </w:t>
            </w:r>
            <w:r>
              <w:rPr>
                <w:i/>
                <w:sz w:val="19"/>
              </w:rPr>
              <w:t>Gazette</w:t>
            </w:r>
            <w:r>
              <w:rPr>
                <w:sz w:val="19"/>
              </w:rPr>
              <w:t> 29 Dec 2000 p. 7903)</w:t>
            </w:r>
          </w:p>
        </w:tc>
      </w:tr>
      <w:tr>
        <w:trPr>
          <w:cantSplit/>
        </w:trPr>
        <w:tc>
          <w:tcPr>
            <w:tcW w:w="7125" w:type="dxa"/>
            <w:gridSpan w:val="5"/>
          </w:tcPr>
          <w:p>
            <w:pPr>
              <w:pStyle w:val="nTable"/>
              <w:spacing w:after="40"/>
              <w:rPr>
                <w:sz w:val="19"/>
              </w:rPr>
            </w:pPr>
            <w:r>
              <w:rPr>
                <w:b/>
                <w:sz w:val="19"/>
              </w:rPr>
              <w:t xml:space="preserve">Reprint of the </w:t>
            </w:r>
            <w:r>
              <w:rPr>
                <w:b/>
                <w:i/>
                <w:sz w:val="19"/>
              </w:rPr>
              <w:t>Misuse of Drugs Act 1981</w:t>
            </w:r>
            <w:r>
              <w:rPr>
                <w:b/>
                <w:sz w:val="19"/>
              </w:rPr>
              <w:t xml:space="preserve"> as at 11 Jan 2002</w:t>
            </w:r>
            <w:r>
              <w:rPr>
                <w:sz w:val="19"/>
              </w:rPr>
              <w:t xml:space="preserve"> (includes amendments listed above)</w:t>
            </w:r>
          </w:p>
        </w:tc>
      </w:tr>
      <w:tr>
        <w:trPr>
          <w:cantSplit/>
        </w:trPr>
        <w:tc>
          <w:tcPr>
            <w:tcW w:w="2278" w:type="dxa"/>
          </w:tcPr>
          <w:p>
            <w:pPr>
              <w:pStyle w:val="nTable"/>
              <w:spacing w:after="40"/>
              <w:rPr>
                <w:sz w:val="19"/>
              </w:rPr>
            </w:pPr>
            <w:r>
              <w:rPr>
                <w:i/>
                <w:sz w:val="19"/>
              </w:rPr>
              <w:t>Nurses Amendment Act 2003</w:t>
            </w:r>
            <w:r>
              <w:rPr>
                <w:sz w:val="19"/>
              </w:rPr>
              <w:t xml:space="preserve"> Pt. 3 Div. 2</w:t>
            </w:r>
          </w:p>
        </w:tc>
        <w:tc>
          <w:tcPr>
            <w:tcW w:w="1140" w:type="dxa"/>
          </w:tcPr>
          <w:p>
            <w:pPr>
              <w:pStyle w:val="nTable"/>
              <w:spacing w:after="40"/>
              <w:rPr>
                <w:sz w:val="19"/>
              </w:rPr>
            </w:pPr>
            <w:r>
              <w:rPr>
                <w:sz w:val="19"/>
              </w:rPr>
              <w:t>9 of 2003</w:t>
            </w:r>
          </w:p>
        </w:tc>
        <w:tc>
          <w:tcPr>
            <w:tcW w:w="1136" w:type="dxa"/>
          </w:tcPr>
          <w:p>
            <w:pPr>
              <w:pStyle w:val="nTable"/>
              <w:spacing w:after="40"/>
              <w:rPr>
                <w:sz w:val="19"/>
              </w:rPr>
            </w:pPr>
            <w:r>
              <w:rPr>
                <w:sz w:val="19"/>
              </w:rPr>
              <w:t>9 Apr 2003</w:t>
            </w:r>
          </w:p>
        </w:tc>
        <w:tc>
          <w:tcPr>
            <w:tcW w:w="2571" w:type="dxa"/>
            <w:gridSpan w:val="2"/>
          </w:tcPr>
          <w:p>
            <w:pPr>
              <w:pStyle w:val="nTable"/>
              <w:spacing w:after="40"/>
              <w:rPr>
                <w:sz w:val="19"/>
              </w:rPr>
            </w:pPr>
            <w:r>
              <w:rPr>
                <w:sz w:val="19"/>
              </w:rPr>
              <w:t>9 Apr 2003 (see s. 2)</w:t>
            </w:r>
          </w:p>
        </w:tc>
      </w:tr>
      <w:tr>
        <w:trPr>
          <w:cantSplit/>
        </w:trPr>
        <w:tc>
          <w:tcPr>
            <w:tcW w:w="2278" w:type="dxa"/>
          </w:tcPr>
          <w:p>
            <w:pPr>
              <w:pStyle w:val="nTable"/>
              <w:spacing w:after="40"/>
              <w:rPr>
                <w:sz w:val="19"/>
              </w:rPr>
            </w:pPr>
            <w:r>
              <w:rPr>
                <w:i/>
                <w:sz w:val="19"/>
              </w:rPr>
              <w:t>Cannabis Control Act 2003</w:t>
            </w:r>
            <w:r>
              <w:rPr>
                <w:sz w:val="19"/>
              </w:rPr>
              <w:t xml:space="preserve"> Pt. 5</w:t>
            </w:r>
          </w:p>
        </w:tc>
        <w:tc>
          <w:tcPr>
            <w:tcW w:w="1140" w:type="dxa"/>
          </w:tcPr>
          <w:p>
            <w:pPr>
              <w:pStyle w:val="nTable"/>
              <w:spacing w:after="40"/>
              <w:rPr>
                <w:sz w:val="19"/>
              </w:rPr>
            </w:pPr>
            <w:r>
              <w:rPr>
                <w:sz w:val="19"/>
              </w:rPr>
              <w:t>52 of 2003</w:t>
            </w:r>
          </w:p>
        </w:tc>
        <w:tc>
          <w:tcPr>
            <w:tcW w:w="1136" w:type="dxa"/>
          </w:tcPr>
          <w:p>
            <w:pPr>
              <w:pStyle w:val="nTable"/>
              <w:spacing w:after="40"/>
              <w:rPr>
                <w:sz w:val="19"/>
              </w:rPr>
            </w:pPr>
            <w:r>
              <w:rPr>
                <w:sz w:val="19"/>
              </w:rPr>
              <w:t>1 Oct 2003</w:t>
            </w:r>
          </w:p>
        </w:tc>
        <w:tc>
          <w:tcPr>
            <w:tcW w:w="2571" w:type="dxa"/>
            <w:gridSpan w:val="2"/>
          </w:tcPr>
          <w:p>
            <w:pPr>
              <w:pStyle w:val="nTable"/>
              <w:spacing w:after="40"/>
              <w:rPr>
                <w:sz w:val="19"/>
              </w:rPr>
            </w:pPr>
            <w:r>
              <w:rPr>
                <w:sz w:val="19"/>
              </w:rPr>
              <w:t xml:space="preserve">22 Mar 2004 (see s. 2 and </w:t>
            </w:r>
            <w:r>
              <w:rPr>
                <w:i/>
                <w:sz w:val="19"/>
              </w:rPr>
              <w:t>Gazette</w:t>
            </w:r>
            <w:r>
              <w:rPr>
                <w:sz w:val="19"/>
              </w:rPr>
              <w:t xml:space="preserve"> 9 Mar 2004 p. 733)</w:t>
            </w:r>
          </w:p>
        </w:tc>
      </w:tr>
      <w:tr>
        <w:trPr>
          <w:cantSplit/>
        </w:trPr>
        <w:tc>
          <w:tcPr>
            <w:tcW w:w="2278" w:type="dxa"/>
          </w:tcPr>
          <w:p>
            <w:pPr>
              <w:pStyle w:val="nTable"/>
              <w:spacing w:after="40"/>
              <w:rPr>
                <w:sz w:val="19"/>
              </w:rPr>
            </w:pPr>
            <w:r>
              <w:rPr>
                <w:i/>
                <w:sz w:val="19"/>
              </w:rPr>
              <w:t>Industrial Hemp Act 2004</w:t>
            </w:r>
            <w:r>
              <w:rPr>
                <w:sz w:val="19"/>
              </w:rPr>
              <w:t xml:space="preserve"> Pt. 7</w:t>
            </w:r>
          </w:p>
        </w:tc>
        <w:tc>
          <w:tcPr>
            <w:tcW w:w="1140" w:type="dxa"/>
          </w:tcPr>
          <w:p>
            <w:pPr>
              <w:pStyle w:val="nTable"/>
              <w:spacing w:after="40"/>
              <w:rPr>
                <w:sz w:val="19"/>
              </w:rPr>
            </w:pPr>
            <w:r>
              <w:rPr>
                <w:sz w:val="19"/>
              </w:rPr>
              <w:t>1 of 2004</w:t>
            </w:r>
          </w:p>
        </w:tc>
        <w:tc>
          <w:tcPr>
            <w:tcW w:w="1136" w:type="dxa"/>
          </w:tcPr>
          <w:p>
            <w:pPr>
              <w:pStyle w:val="nTable"/>
              <w:spacing w:after="40"/>
              <w:rPr>
                <w:sz w:val="19"/>
              </w:rPr>
            </w:pPr>
            <w:r>
              <w:rPr>
                <w:sz w:val="19"/>
              </w:rPr>
              <w:t>12 Mar 2004</w:t>
            </w:r>
          </w:p>
        </w:tc>
        <w:tc>
          <w:tcPr>
            <w:tcW w:w="2571" w:type="dxa"/>
            <w:gridSpan w:val="2"/>
          </w:tcPr>
          <w:p>
            <w:pPr>
              <w:pStyle w:val="nTable"/>
              <w:spacing w:after="40"/>
              <w:rPr>
                <w:sz w:val="19"/>
              </w:rPr>
            </w:pPr>
            <w:r>
              <w:rPr>
                <w:sz w:val="19"/>
              </w:rPr>
              <w:t xml:space="preserve">19 May 2004 (see s. 2 and </w:t>
            </w:r>
            <w:r>
              <w:rPr>
                <w:i/>
                <w:sz w:val="19"/>
              </w:rPr>
              <w:t>Gazette</w:t>
            </w:r>
            <w:r>
              <w:rPr>
                <w:sz w:val="19"/>
              </w:rPr>
              <w:t xml:space="preserve"> 18 May 2004 p. 1561)</w:t>
            </w:r>
          </w:p>
        </w:tc>
      </w:tr>
      <w:tr>
        <w:trPr>
          <w:cantSplit/>
        </w:trPr>
        <w:tc>
          <w:tcPr>
            <w:tcW w:w="2278" w:type="dxa"/>
          </w:tcPr>
          <w:p>
            <w:pPr>
              <w:pStyle w:val="nTable"/>
              <w:spacing w:after="40"/>
              <w:rPr>
                <w:i/>
                <w:sz w:val="19"/>
              </w:rPr>
            </w:pPr>
            <w:r>
              <w:rPr>
                <w:i/>
                <w:noProof/>
                <w:snapToGrid w:val="0"/>
                <w:sz w:val="19"/>
              </w:rPr>
              <w:t xml:space="preserve">Criminal Code Amendment Act 2004 </w:t>
            </w:r>
            <w:r>
              <w:rPr>
                <w:noProof/>
                <w:snapToGrid w:val="0"/>
                <w:sz w:val="19"/>
              </w:rPr>
              <w:t>s. 58</w:t>
            </w:r>
          </w:p>
        </w:tc>
        <w:tc>
          <w:tcPr>
            <w:tcW w:w="1140" w:type="dxa"/>
          </w:tcPr>
          <w:p>
            <w:pPr>
              <w:pStyle w:val="nTable"/>
              <w:spacing w:after="40"/>
              <w:rPr>
                <w:sz w:val="19"/>
              </w:rPr>
            </w:pPr>
            <w:r>
              <w:rPr>
                <w:sz w:val="19"/>
              </w:rPr>
              <w:t>4 of 2004</w:t>
            </w:r>
          </w:p>
        </w:tc>
        <w:tc>
          <w:tcPr>
            <w:tcW w:w="1136" w:type="dxa"/>
          </w:tcPr>
          <w:p>
            <w:pPr>
              <w:pStyle w:val="nTable"/>
              <w:spacing w:after="40"/>
              <w:rPr>
                <w:sz w:val="19"/>
              </w:rPr>
            </w:pPr>
            <w:r>
              <w:rPr>
                <w:sz w:val="19"/>
              </w:rPr>
              <w:t>23 Apr 2004</w:t>
            </w:r>
          </w:p>
        </w:tc>
        <w:tc>
          <w:tcPr>
            <w:tcW w:w="2571" w:type="dxa"/>
            <w:gridSpan w:val="2"/>
          </w:tcPr>
          <w:p>
            <w:pPr>
              <w:pStyle w:val="nTable"/>
              <w:spacing w:after="40"/>
              <w:rPr>
                <w:sz w:val="19"/>
              </w:rPr>
            </w:pPr>
            <w:r>
              <w:rPr>
                <w:sz w:val="19"/>
              </w:rPr>
              <w:t>21 May 2004 (see s. 2)</w:t>
            </w:r>
          </w:p>
        </w:tc>
      </w:tr>
      <w:tr>
        <w:trPr>
          <w:cantSplit/>
        </w:trPr>
        <w:tc>
          <w:tcPr>
            <w:tcW w:w="2278" w:type="dxa"/>
          </w:tcPr>
          <w:p>
            <w:pPr>
              <w:pStyle w:val="nTable"/>
              <w:spacing w:after="40"/>
              <w:rPr>
                <w:i/>
                <w:noProof/>
                <w:snapToGrid w:val="0"/>
                <w:sz w:val="19"/>
              </w:rPr>
            </w:pPr>
            <w:r>
              <w:rPr>
                <w:i/>
                <w:snapToGrid w:val="0"/>
                <w:sz w:val="19"/>
                <w:lang w:val="en-US"/>
              </w:rPr>
              <w:t>Courts Legislation Amendment and Repeal Act 2004</w:t>
            </w:r>
            <w:r>
              <w:rPr>
                <w:snapToGrid w:val="0"/>
                <w:sz w:val="19"/>
                <w:lang w:val="en-US"/>
              </w:rPr>
              <w:t xml:space="preserve"> s. 141</w:t>
            </w:r>
          </w:p>
        </w:tc>
        <w:tc>
          <w:tcPr>
            <w:tcW w:w="1140" w:type="dxa"/>
          </w:tcPr>
          <w:p>
            <w:pPr>
              <w:pStyle w:val="nTable"/>
              <w:spacing w:after="40"/>
              <w:rPr>
                <w:sz w:val="19"/>
              </w:rPr>
            </w:pPr>
            <w:r>
              <w:rPr>
                <w:snapToGrid w:val="0"/>
                <w:sz w:val="19"/>
                <w:lang w:val="en-US"/>
              </w:rPr>
              <w:t>59 of 2004</w:t>
            </w:r>
          </w:p>
        </w:tc>
        <w:tc>
          <w:tcPr>
            <w:tcW w:w="1136" w:type="dxa"/>
          </w:tcPr>
          <w:p>
            <w:pPr>
              <w:pStyle w:val="nTable"/>
              <w:spacing w:after="40"/>
              <w:rPr>
                <w:sz w:val="19"/>
              </w:rPr>
            </w:pPr>
            <w:r>
              <w:rPr>
                <w:sz w:val="19"/>
              </w:rPr>
              <w:t>23 Nov 2004</w:t>
            </w:r>
          </w:p>
        </w:tc>
        <w:tc>
          <w:tcPr>
            <w:tcW w:w="2571" w:type="dxa"/>
            <w:gridSpan w:val="2"/>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78" w:type="dxa"/>
          </w:tcPr>
          <w:p>
            <w:pPr>
              <w:pStyle w:val="nTable"/>
              <w:spacing w:after="40"/>
              <w:rPr>
                <w:noProof/>
                <w:snapToGrid w:val="0"/>
                <w:sz w:val="19"/>
              </w:rPr>
            </w:pPr>
            <w:r>
              <w:rPr>
                <w:i/>
                <w:snapToGrid w:val="0"/>
                <w:sz w:val="19"/>
                <w:lang w:val="en-US"/>
              </w:rPr>
              <w:t>Misuse of Drugs Amendment Act 2004</w:t>
            </w:r>
            <w:r>
              <w:rPr>
                <w:snapToGrid w:val="0"/>
                <w:sz w:val="19"/>
                <w:lang w:val="en-US"/>
              </w:rPr>
              <w:t xml:space="preserve"> </w:t>
            </w:r>
          </w:p>
        </w:tc>
        <w:tc>
          <w:tcPr>
            <w:tcW w:w="1140" w:type="dxa"/>
          </w:tcPr>
          <w:p>
            <w:pPr>
              <w:pStyle w:val="nTable"/>
              <w:spacing w:after="40"/>
              <w:rPr>
                <w:sz w:val="19"/>
              </w:rPr>
            </w:pPr>
            <w:r>
              <w:rPr>
                <w:snapToGrid w:val="0"/>
                <w:sz w:val="19"/>
                <w:lang w:val="en-US"/>
              </w:rPr>
              <w:t>62 of 2004</w:t>
            </w:r>
          </w:p>
        </w:tc>
        <w:tc>
          <w:tcPr>
            <w:tcW w:w="1136" w:type="dxa"/>
          </w:tcPr>
          <w:p>
            <w:pPr>
              <w:pStyle w:val="nTable"/>
              <w:spacing w:after="40"/>
              <w:rPr>
                <w:sz w:val="19"/>
              </w:rPr>
            </w:pPr>
            <w:r>
              <w:rPr>
                <w:sz w:val="19"/>
              </w:rPr>
              <w:t>24 Nov 2004</w:t>
            </w:r>
          </w:p>
        </w:tc>
        <w:tc>
          <w:tcPr>
            <w:tcW w:w="2571" w:type="dxa"/>
            <w:gridSpan w:val="2"/>
          </w:tcPr>
          <w:p>
            <w:pPr>
              <w:pStyle w:val="nTable"/>
              <w:spacing w:after="40"/>
              <w:rPr>
                <w:sz w:val="19"/>
              </w:rPr>
            </w:pPr>
            <w:r>
              <w:rPr>
                <w:sz w:val="19"/>
              </w:rPr>
              <w:t>s. 1 and 2: 24 Nov 2004;</w:t>
            </w:r>
            <w:r>
              <w:rPr>
                <w:sz w:val="19"/>
              </w:rPr>
              <w:br/>
              <w:t xml:space="preserve">Act other than s. 1 and 2: </w:t>
            </w:r>
            <w:r>
              <w:rPr>
                <w:sz w:val="19"/>
              </w:rPr>
              <w:br/>
              <w:t xml:space="preserve">1 Jan 2005 (see s. 2 and </w:t>
            </w:r>
            <w:r>
              <w:rPr>
                <w:i/>
                <w:sz w:val="19"/>
              </w:rPr>
              <w:t xml:space="preserve">Gazette </w:t>
            </w:r>
            <w:r>
              <w:rPr>
                <w:sz w:val="19"/>
              </w:rPr>
              <w:t>10 Dec 2004 p. 5965)</w:t>
            </w:r>
          </w:p>
        </w:tc>
      </w:tr>
      <w:tr>
        <w:trPr>
          <w:cantSplit/>
        </w:trPr>
        <w:tc>
          <w:tcPr>
            <w:tcW w:w="2278"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82</w:t>
            </w:r>
          </w:p>
        </w:tc>
        <w:tc>
          <w:tcPr>
            <w:tcW w:w="1140" w:type="dxa"/>
          </w:tcPr>
          <w:p>
            <w:pPr>
              <w:pStyle w:val="nTable"/>
              <w:spacing w:after="40"/>
              <w:rPr>
                <w:snapToGrid w:val="0"/>
                <w:sz w:val="19"/>
                <w:lang w:val="en-US"/>
              </w:rPr>
            </w:pPr>
            <w:r>
              <w:rPr>
                <w:snapToGrid w:val="0"/>
                <w:sz w:val="19"/>
                <w:lang w:val="en-US"/>
              </w:rPr>
              <w:t>84 of 2004</w:t>
            </w:r>
          </w:p>
        </w:tc>
        <w:tc>
          <w:tcPr>
            <w:tcW w:w="1136" w:type="dxa"/>
          </w:tcPr>
          <w:p>
            <w:pPr>
              <w:pStyle w:val="nTable"/>
              <w:spacing w:after="40"/>
              <w:rPr>
                <w:sz w:val="19"/>
              </w:rPr>
            </w:pPr>
            <w:r>
              <w:rPr>
                <w:sz w:val="19"/>
              </w:rPr>
              <w:t>16 Dec 2004</w:t>
            </w:r>
          </w:p>
        </w:tc>
        <w:tc>
          <w:tcPr>
            <w:tcW w:w="2571" w:type="dxa"/>
            <w:gridSpan w:val="2"/>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125" w:type="dxa"/>
            <w:gridSpan w:val="5"/>
          </w:tcPr>
          <w:p>
            <w:pPr>
              <w:pStyle w:val="nTable"/>
              <w:spacing w:after="40"/>
              <w:rPr>
                <w:snapToGrid w:val="0"/>
                <w:sz w:val="19"/>
                <w:lang w:val="en-US"/>
              </w:rPr>
            </w:pPr>
            <w:r>
              <w:rPr>
                <w:b/>
                <w:sz w:val="19"/>
              </w:rPr>
              <w:t xml:space="preserve">Reprint 3: The </w:t>
            </w:r>
            <w:r>
              <w:rPr>
                <w:b/>
                <w:i/>
                <w:sz w:val="19"/>
              </w:rPr>
              <w:t>Misuse of Drugs Act 1981</w:t>
            </w:r>
            <w:r>
              <w:rPr>
                <w:b/>
                <w:sz w:val="19"/>
              </w:rPr>
              <w:t xml:space="preserve"> as at 1 Jul 2005</w:t>
            </w:r>
            <w:r>
              <w:rPr>
                <w:sz w:val="19"/>
              </w:rPr>
              <w:t xml:space="preserve"> (includes amendments listed above)</w:t>
            </w:r>
          </w:p>
        </w:tc>
      </w:tr>
      <w:tr>
        <w:trPr>
          <w:cantSplit/>
        </w:trPr>
        <w:tc>
          <w:tcPr>
            <w:tcW w:w="2278" w:type="dxa"/>
          </w:tcPr>
          <w:p>
            <w:pPr>
              <w:pStyle w:val="nTable"/>
              <w:spacing w:after="40"/>
              <w:rPr>
                <w:i/>
                <w:snapToGrid w:val="0"/>
                <w:sz w:val="19"/>
                <w:vertAlign w:val="superscript"/>
                <w:lang w:val="en-US"/>
              </w:rPr>
            </w:pPr>
            <w:r>
              <w:rPr>
                <w:i/>
                <w:snapToGrid w:val="0"/>
                <w:sz w:val="19"/>
                <w:lang w:val="en-US"/>
              </w:rPr>
              <w:t xml:space="preserve">Machinery of Government (Miscellaneous Amendments) Act 2006 </w:t>
            </w:r>
            <w:r>
              <w:rPr>
                <w:snapToGrid w:val="0"/>
                <w:sz w:val="19"/>
                <w:lang w:val="en-US"/>
              </w:rPr>
              <w:t>Pt. 14 Div. 2</w:t>
            </w:r>
          </w:p>
        </w:tc>
        <w:tc>
          <w:tcPr>
            <w:tcW w:w="1140" w:type="dxa"/>
          </w:tcPr>
          <w:p>
            <w:pPr>
              <w:pStyle w:val="nTable"/>
              <w:spacing w:after="40"/>
              <w:rPr>
                <w:snapToGrid w:val="0"/>
                <w:sz w:val="19"/>
                <w:lang w:val="en-US"/>
              </w:rPr>
            </w:pPr>
            <w:r>
              <w:rPr>
                <w:snapToGrid w:val="0"/>
                <w:sz w:val="19"/>
                <w:lang w:val="en-US"/>
              </w:rPr>
              <w:t>28 of 2006</w:t>
            </w:r>
          </w:p>
        </w:tc>
        <w:tc>
          <w:tcPr>
            <w:tcW w:w="1136" w:type="dxa"/>
          </w:tcPr>
          <w:p>
            <w:pPr>
              <w:pStyle w:val="nTable"/>
              <w:spacing w:after="40"/>
              <w:rPr>
                <w:sz w:val="19"/>
              </w:rPr>
            </w:pPr>
            <w:r>
              <w:rPr>
                <w:sz w:val="19"/>
              </w:rPr>
              <w:t>26 Jun 2006</w:t>
            </w:r>
          </w:p>
        </w:tc>
        <w:tc>
          <w:tcPr>
            <w:tcW w:w="2571" w:type="dxa"/>
            <w:gridSpan w:val="2"/>
          </w:tcPr>
          <w:p>
            <w:pPr>
              <w:pStyle w:val="nTable"/>
              <w:spacing w:after="40"/>
              <w:rPr>
                <w:sz w:val="19"/>
              </w:rPr>
            </w:pPr>
            <w:r>
              <w:rPr>
                <w:snapToGrid w:val="0"/>
                <w:sz w:val="19"/>
                <w:lang w:val="en-US"/>
              </w:rPr>
              <w:t xml:space="preserve">1 Jul 2006 (see s. 2 and </w:t>
            </w:r>
            <w:r>
              <w:rPr>
                <w:i/>
                <w:snapToGrid w:val="0"/>
                <w:sz w:val="19"/>
                <w:lang w:val="en-US"/>
              </w:rPr>
              <w:t>Gazette</w:t>
            </w:r>
            <w:r>
              <w:rPr>
                <w:snapToGrid w:val="0"/>
                <w:sz w:val="19"/>
                <w:lang w:val="en-US"/>
              </w:rPr>
              <w:t xml:space="preserve"> 27 Jun 2006 p. 2347)</w:t>
            </w:r>
          </w:p>
        </w:tc>
      </w:tr>
      <w:tr>
        <w:trPr>
          <w:cantSplit/>
        </w:trPr>
        <w:tc>
          <w:tcPr>
            <w:tcW w:w="2278" w:type="dxa"/>
          </w:tcPr>
          <w:p>
            <w:pPr>
              <w:pStyle w:val="nTable"/>
              <w:spacing w:after="40"/>
              <w:rPr>
                <w:i/>
                <w:snapToGrid w:val="0"/>
                <w:sz w:val="19"/>
                <w:lang w:val="en-US"/>
              </w:rPr>
            </w:pPr>
            <w:r>
              <w:rPr>
                <w:i/>
                <w:snapToGrid w:val="0"/>
                <w:sz w:val="19"/>
                <w:lang w:val="en-US"/>
              </w:rPr>
              <w:t>Misuse of Drugs Amendment Act 2006</w:t>
            </w:r>
            <w:r>
              <w:rPr>
                <w:snapToGrid w:val="0"/>
                <w:sz w:val="19"/>
                <w:lang w:val="en-US"/>
              </w:rPr>
              <w:t xml:space="preserve"> </w:t>
            </w:r>
          </w:p>
        </w:tc>
        <w:tc>
          <w:tcPr>
            <w:tcW w:w="1140" w:type="dxa"/>
          </w:tcPr>
          <w:p>
            <w:pPr>
              <w:pStyle w:val="nTable"/>
              <w:spacing w:after="40"/>
              <w:rPr>
                <w:snapToGrid w:val="0"/>
                <w:sz w:val="19"/>
                <w:lang w:val="en-US"/>
              </w:rPr>
            </w:pPr>
            <w:r>
              <w:rPr>
                <w:snapToGrid w:val="0"/>
                <w:sz w:val="19"/>
                <w:lang w:val="en-US"/>
              </w:rPr>
              <w:t>40 of 2006</w:t>
            </w:r>
          </w:p>
        </w:tc>
        <w:tc>
          <w:tcPr>
            <w:tcW w:w="1136" w:type="dxa"/>
          </w:tcPr>
          <w:p>
            <w:pPr>
              <w:pStyle w:val="nTable"/>
              <w:spacing w:after="40"/>
              <w:rPr>
                <w:sz w:val="19"/>
              </w:rPr>
            </w:pPr>
            <w:r>
              <w:rPr>
                <w:snapToGrid w:val="0"/>
                <w:sz w:val="19"/>
                <w:lang w:val="en-US"/>
              </w:rPr>
              <w:t>22 Sep 2006</w:t>
            </w:r>
          </w:p>
        </w:tc>
        <w:tc>
          <w:tcPr>
            <w:tcW w:w="2571" w:type="dxa"/>
            <w:gridSpan w:val="2"/>
          </w:tcPr>
          <w:p>
            <w:pPr>
              <w:pStyle w:val="nTable"/>
              <w:spacing w:after="40"/>
              <w:rPr>
                <w:snapToGrid w:val="0"/>
                <w:sz w:val="19"/>
                <w:lang w:val="en-US"/>
              </w:rPr>
            </w:pPr>
            <w:r>
              <w:rPr>
                <w:sz w:val="19"/>
              </w:rPr>
              <w:t>s. 1 and 2: 22 Sep 2006;</w:t>
            </w:r>
            <w:r>
              <w:rPr>
                <w:sz w:val="19"/>
              </w:rPr>
              <w:br/>
              <w:t xml:space="preserve">Act other than s. 1 and 2: </w:t>
            </w:r>
            <w:r>
              <w:rPr>
                <w:sz w:val="19"/>
              </w:rPr>
              <w:br/>
              <w:t xml:space="preserve">28 Apr 2007 (see s. 2 and </w:t>
            </w:r>
            <w:r>
              <w:rPr>
                <w:i/>
                <w:iCs/>
                <w:sz w:val="19"/>
              </w:rPr>
              <w:t>Gazette</w:t>
            </w:r>
            <w:r>
              <w:rPr>
                <w:sz w:val="19"/>
              </w:rPr>
              <w:t xml:space="preserve"> 27 Apr 2007 p. 1775)</w:t>
            </w:r>
          </w:p>
        </w:tc>
      </w:tr>
      <w:tr>
        <w:trPr>
          <w:cantSplit/>
        </w:trPr>
        <w:tc>
          <w:tcPr>
            <w:tcW w:w="2278" w:type="dxa"/>
          </w:tcPr>
          <w:p>
            <w:pPr>
              <w:pStyle w:val="nTable"/>
              <w:spacing w:after="40"/>
              <w:rPr>
                <w:i/>
                <w:snapToGrid w:val="0"/>
                <w:sz w:val="19"/>
                <w:lang w:val="en-US"/>
              </w:rPr>
            </w:pPr>
            <w:r>
              <w:rPr>
                <w:i/>
                <w:snapToGrid w:val="0"/>
                <w:sz w:val="19"/>
                <w:lang w:val="en-US"/>
              </w:rPr>
              <w:t>Nurses and Midwives Act 2006</w:t>
            </w:r>
            <w:r>
              <w:rPr>
                <w:snapToGrid w:val="0"/>
                <w:sz w:val="19"/>
                <w:lang w:val="en-US"/>
              </w:rPr>
              <w:t xml:space="preserve"> Sch. 3 cl. 15</w:t>
            </w:r>
          </w:p>
        </w:tc>
        <w:tc>
          <w:tcPr>
            <w:tcW w:w="1140" w:type="dxa"/>
          </w:tcPr>
          <w:p>
            <w:pPr>
              <w:pStyle w:val="nTable"/>
              <w:spacing w:after="40"/>
              <w:rPr>
                <w:snapToGrid w:val="0"/>
                <w:sz w:val="19"/>
                <w:lang w:val="en-US"/>
              </w:rPr>
            </w:pPr>
            <w:r>
              <w:rPr>
                <w:snapToGrid w:val="0"/>
                <w:sz w:val="19"/>
                <w:lang w:val="en-US"/>
              </w:rPr>
              <w:t>50 of 2006</w:t>
            </w:r>
          </w:p>
        </w:tc>
        <w:tc>
          <w:tcPr>
            <w:tcW w:w="1136" w:type="dxa"/>
          </w:tcPr>
          <w:p>
            <w:pPr>
              <w:pStyle w:val="nTable"/>
              <w:spacing w:after="40"/>
              <w:rPr>
                <w:snapToGrid w:val="0"/>
                <w:sz w:val="19"/>
                <w:lang w:val="en-US"/>
              </w:rPr>
            </w:pPr>
            <w:r>
              <w:rPr>
                <w:snapToGrid w:val="0"/>
                <w:sz w:val="19"/>
                <w:lang w:val="en-US"/>
              </w:rPr>
              <w:t>6 Oct 2006</w:t>
            </w:r>
          </w:p>
        </w:tc>
        <w:tc>
          <w:tcPr>
            <w:tcW w:w="2571" w:type="dxa"/>
            <w:gridSpan w:val="2"/>
          </w:tcPr>
          <w:p>
            <w:pPr>
              <w:pStyle w:val="nTable"/>
              <w:spacing w:after="40"/>
              <w:rPr>
                <w:sz w:val="19"/>
              </w:rPr>
            </w:pPr>
            <w:r>
              <w:rPr>
                <w:sz w:val="19"/>
              </w:rPr>
              <w:t xml:space="preserve">19 Sep 2007 (see s. 2 and </w:t>
            </w:r>
            <w:r>
              <w:rPr>
                <w:i/>
                <w:iCs/>
                <w:sz w:val="19"/>
              </w:rPr>
              <w:t>Gazette</w:t>
            </w:r>
            <w:r>
              <w:rPr>
                <w:sz w:val="19"/>
              </w:rPr>
              <w:t xml:space="preserve"> 18 Sep 2007 p. 4711)</w:t>
            </w:r>
          </w:p>
        </w:tc>
      </w:tr>
      <w:tr>
        <w:trPr>
          <w:cantSplit/>
        </w:trPr>
        <w:tc>
          <w:tcPr>
            <w:tcW w:w="4554" w:type="dxa"/>
            <w:gridSpan w:val="3"/>
          </w:tcPr>
          <w:p>
            <w:pPr>
              <w:pStyle w:val="nTable"/>
              <w:spacing w:after="40"/>
              <w:rPr>
                <w:snapToGrid w:val="0"/>
                <w:sz w:val="19"/>
                <w:lang w:val="en-US"/>
              </w:rPr>
            </w:pPr>
            <w:r>
              <w:rPr>
                <w:i/>
                <w:iCs/>
                <w:snapToGrid w:val="0"/>
                <w:sz w:val="19"/>
                <w:lang w:val="en-US"/>
              </w:rPr>
              <w:t>Misuse of Drugs (Amounts of Prohibited Drugs) Order 2007</w:t>
            </w:r>
            <w:r>
              <w:rPr>
                <w:snapToGrid w:val="0"/>
                <w:sz w:val="19"/>
                <w:lang w:val="en-US"/>
              </w:rPr>
              <w:t xml:space="preserve"> published in </w:t>
            </w:r>
            <w:r>
              <w:rPr>
                <w:i/>
                <w:iCs/>
                <w:snapToGrid w:val="0"/>
                <w:sz w:val="19"/>
                <w:lang w:val="en-US"/>
              </w:rPr>
              <w:t>Gazette</w:t>
            </w:r>
            <w:r>
              <w:rPr>
                <w:snapToGrid w:val="0"/>
                <w:sz w:val="19"/>
                <w:lang w:val="en-US"/>
              </w:rPr>
              <w:t xml:space="preserve"> 7 Dec 2007 p. 5985</w:t>
            </w:r>
          </w:p>
        </w:tc>
        <w:tc>
          <w:tcPr>
            <w:tcW w:w="2571" w:type="dxa"/>
            <w:gridSpan w:val="2"/>
          </w:tcPr>
          <w:p>
            <w:pPr>
              <w:pStyle w:val="nTable"/>
              <w:spacing w:after="40"/>
              <w:rPr>
                <w:sz w:val="19"/>
              </w:rPr>
            </w:pPr>
            <w:r>
              <w:rPr>
                <w:sz w:val="19"/>
              </w:rPr>
              <w:t>cl. 1 and 2: 7 Dec 2007 (see cl. 2(a));</w:t>
            </w:r>
            <w:r>
              <w:rPr>
                <w:sz w:val="19"/>
              </w:rPr>
              <w:br/>
              <w:t>Order other than cl. 1 and 2: 8 Dec 2007 (see cl. 2(b))</w:t>
            </w:r>
          </w:p>
        </w:tc>
      </w:tr>
      <w:tr>
        <w:trPr>
          <w:cantSplit/>
        </w:trPr>
        <w:tc>
          <w:tcPr>
            <w:tcW w:w="7125" w:type="dxa"/>
            <w:gridSpan w:val="5"/>
          </w:tcPr>
          <w:p>
            <w:pPr>
              <w:pStyle w:val="nTable"/>
              <w:spacing w:after="40"/>
              <w:rPr>
                <w:sz w:val="19"/>
              </w:rPr>
            </w:pPr>
            <w:r>
              <w:rPr>
                <w:b/>
                <w:sz w:val="19"/>
              </w:rPr>
              <w:t xml:space="preserve">Reprint 4: The </w:t>
            </w:r>
            <w:r>
              <w:rPr>
                <w:b/>
                <w:i/>
                <w:sz w:val="19"/>
              </w:rPr>
              <w:t>Misuse of Drugs Act 1981</w:t>
            </w:r>
            <w:r>
              <w:rPr>
                <w:b/>
                <w:sz w:val="19"/>
              </w:rPr>
              <w:t xml:space="preserve"> as at 29 Feb 2008</w:t>
            </w:r>
            <w:r>
              <w:rPr>
                <w:sz w:val="19"/>
              </w:rPr>
              <w:t xml:space="preserve"> (includes amendments listed above)</w:t>
            </w:r>
          </w:p>
        </w:tc>
      </w:tr>
      <w:tr>
        <w:tblPrEx>
          <w:tblBorders>
            <w:top w:val="single" w:sz="8" w:space="0" w:color="auto"/>
            <w:bottom w:val="single" w:sz="8" w:space="0" w:color="auto"/>
            <w:insideH w:val="single" w:sz="8" w:space="0" w:color="auto"/>
          </w:tblBorders>
          <w:tblCellMar>
            <w:left w:w="57" w:type="dxa"/>
            <w:right w:w="57" w:type="dxa"/>
          </w:tblCellMar>
        </w:tblPrEx>
        <w:tc>
          <w:tcPr>
            <w:tcW w:w="2278" w:type="dxa"/>
            <w:tcBorders>
              <w:top w:val="nil"/>
              <w:bottom w:val="nil"/>
            </w:tcBorders>
          </w:tcPr>
          <w:p>
            <w:pPr>
              <w:pStyle w:val="nTable"/>
              <w:spacing w:after="40"/>
            </w:pPr>
            <w:r>
              <w:rPr>
                <w:i/>
                <w:snapToGrid w:val="0"/>
              </w:rPr>
              <w:t>Medical Practitioners Act 2008</w:t>
            </w:r>
            <w:r>
              <w:t xml:space="preserve"> Sch. 3 cl. 37</w:t>
            </w:r>
          </w:p>
        </w:tc>
        <w:tc>
          <w:tcPr>
            <w:tcW w:w="1140" w:type="dxa"/>
            <w:tcBorders>
              <w:top w:val="nil"/>
              <w:bottom w:val="nil"/>
            </w:tcBorders>
          </w:tcPr>
          <w:p>
            <w:pPr>
              <w:pStyle w:val="nTable"/>
              <w:spacing w:after="40"/>
              <w:rPr>
                <w:sz w:val="19"/>
              </w:rPr>
            </w:pPr>
            <w:r>
              <w:rPr>
                <w:sz w:val="19"/>
              </w:rPr>
              <w:t>22 of 2008</w:t>
            </w:r>
          </w:p>
        </w:tc>
        <w:tc>
          <w:tcPr>
            <w:tcW w:w="1164" w:type="dxa"/>
            <w:gridSpan w:val="2"/>
            <w:tcBorders>
              <w:top w:val="nil"/>
              <w:bottom w:val="nil"/>
            </w:tcBorders>
          </w:tcPr>
          <w:p>
            <w:pPr>
              <w:pStyle w:val="nTable"/>
              <w:spacing w:after="40"/>
              <w:rPr>
                <w:sz w:val="19"/>
              </w:rPr>
            </w:pPr>
            <w:r>
              <w:rPr>
                <w:sz w:val="19"/>
              </w:rPr>
              <w:t>27 May 2008</w:t>
            </w:r>
          </w:p>
        </w:tc>
        <w:tc>
          <w:tcPr>
            <w:tcW w:w="2543" w:type="dxa"/>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blPrEx>
          <w:tblBorders>
            <w:top w:val="single" w:sz="8" w:space="0" w:color="auto"/>
            <w:bottom w:val="single" w:sz="8" w:space="0" w:color="auto"/>
            <w:insideH w:val="single" w:sz="8" w:space="0" w:color="auto"/>
          </w:tblBorders>
          <w:tblCellMar>
            <w:left w:w="57" w:type="dxa"/>
            <w:right w:w="57" w:type="dxa"/>
          </w:tblCellMar>
        </w:tblPrEx>
        <w:tc>
          <w:tcPr>
            <w:tcW w:w="2278" w:type="dxa"/>
            <w:tcBorders>
              <w:top w:val="nil"/>
              <w:bottom w:val="nil"/>
            </w:tcBorders>
          </w:tcPr>
          <w:p>
            <w:pPr>
              <w:pStyle w:val="nTable"/>
              <w:spacing w:after="40"/>
              <w:rPr>
                <w:i/>
                <w:snapToGrid w:val="0"/>
              </w:rPr>
            </w:pPr>
            <w:r>
              <w:rPr>
                <w:i/>
                <w:snapToGrid w:val="0"/>
                <w:sz w:val="19"/>
              </w:rPr>
              <w:t>Police Amendment Act 2009</w:t>
            </w:r>
            <w:r>
              <w:rPr>
                <w:i/>
                <w:iCs/>
                <w:snapToGrid w:val="0"/>
                <w:sz w:val="19"/>
              </w:rPr>
              <w:t xml:space="preserve"> </w:t>
            </w:r>
            <w:r>
              <w:rPr>
                <w:snapToGrid w:val="0"/>
                <w:sz w:val="19"/>
              </w:rPr>
              <w:t>s. 21</w:t>
            </w:r>
          </w:p>
        </w:tc>
        <w:tc>
          <w:tcPr>
            <w:tcW w:w="1140" w:type="dxa"/>
            <w:tcBorders>
              <w:top w:val="nil"/>
              <w:bottom w:val="nil"/>
            </w:tcBorders>
          </w:tcPr>
          <w:p>
            <w:pPr>
              <w:pStyle w:val="nTable"/>
              <w:spacing w:after="40"/>
              <w:rPr>
                <w:sz w:val="19"/>
              </w:rPr>
            </w:pPr>
            <w:r>
              <w:rPr>
                <w:snapToGrid w:val="0"/>
                <w:sz w:val="19"/>
                <w:lang w:val="en-US"/>
              </w:rPr>
              <w:t>42 of 2009</w:t>
            </w:r>
          </w:p>
        </w:tc>
        <w:tc>
          <w:tcPr>
            <w:tcW w:w="1164" w:type="dxa"/>
            <w:gridSpan w:val="2"/>
            <w:tcBorders>
              <w:top w:val="nil"/>
              <w:bottom w:val="nil"/>
            </w:tcBorders>
          </w:tcPr>
          <w:p>
            <w:pPr>
              <w:pStyle w:val="nTable"/>
              <w:spacing w:after="40"/>
              <w:rPr>
                <w:sz w:val="19"/>
              </w:rPr>
            </w:pPr>
            <w:r>
              <w:rPr>
                <w:snapToGrid w:val="0"/>
                <w:sz w:val="19"/>
                <w:lang w:val="en-US"/>
              </w:rPr>
              <w:t>3 Dec 2009</w:t>
            </w:r>
          </w:p>
        </w:tc>
        <w:tc>
          <w:tcPr>
            <w:tcW w:w="2543" w:type="dxa"/>
            <w:tcBorders>
              <w:top w:val="nil"/>
              <w:bottom w:val="nil"/>
            </w:tcBorders>
          </w:tcPr>
          <w:p>
            <w:pPr>
              <w:pStyle w:val="nTable"/>
              <w:spacing w:after="40"/>
              <w:rPr>
                <w:snapToGrid w:val="0"/>
                <w:sz w:val="19"/>
                <w:lang w:val="en-US"/>
              </w:rPr>
            </w:pPr>
            <w:r>
              <w:rPr>
                <w:snapToGrid w:val="0"/>
                <w:sz w:val="19"/>
                <w:lang w:val="en-US"/>
              </w:rPr>
              <w:t xml:space="preserve">13 Mar 2010 (see s. 2(b) and </w:t>
            </w:r>
            <w:r>
              <w:rPr>
                <w:i/>
                <w:iCs/>
                <w:snapToGrid w:val="0"/>
                <w:sz w:val="19"/>
                <w:lang w:val="en-US"/>
              </w:rPr>
              <w:t>Gazette</w:t>
            </w:r>
            <w:r>
              <w:rPr>
                <w:snapToGrid w:val="0"/>
                <w:sz w:val="19"/>
                <w:lang w:val="en-US"/>
              </w:rPr>
              <w:t xml:space="preserve"> 12 Mar 2010 p. 941)</w:t>
            </w:r>
          </w:p>
        </w:tc>
      </w:tr>
      <w:tr>
        <w:trPr>
          <w:cantSplit/>
        </w:trPr>
        <w:tc>
          <w:tcPr>
            <w:tcW w:w="2278"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40" w:type="dxa"/>
          </w:tcPr>
          <w:p>
            <w:pPr>
              <w:pStyle w:val="nTable"/>
              <w:spacing w:after="40"/>
              <w:rPr>
                <w:snapToGrid w:val="0"/>
                <w:sz w:val="19"/>
                <w:lang w:val="en-US"/>
              </w:rPr>
            </w:pPr>
            <w:r>
              <w:rPr>
                <w:snapToGrid w:val="0"/>
                <w:sz w:val="19"/>
                <w:lang w:val="en-US"/>
              </w:rPr>
              <w:t>19 of 2010</w:t>
            </w:r>
          </w:p>
        </w:tc>
        <w:tc>
          <w:tcPr>
            <w:tcW w:w="1136" w:type="dxa"/>
          </w:tcPr>
          <w:p>
            <w:pPr>
              <w:pStyle w:val="nTable"/>
              <w:spacing w:after="40"/>
              <w:rPr>
                <w:snapToGrid w:val="0"/>
                <w:sz w:val="19"/>
                <w:lang w:val="en-US"/>
              </w:rPr>
            </w:pPr>
            <w:r>
              <w:rPr>
                <w:snapToGrid w:val="0"/>
                <w:sz w:val="19"/>
                <w:lang w:val="en-US"/>
              </w:rPr>
              <w:t>28 Jun 2010</w:t>
            </w:r>
          </w:p>
        </w:tc>
        <w:tc>
          <w:tcPr>
            <w:tcW w:w="2571" w:type="dxa"/>
            <w:gridSpan w:val="2"/>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78" w:type="dxa"/>
          </w:tcPr>
          <w:p>
            <w:pPr>
              <w:pStyle w:val="nTable"/>
              <w:spacing w:after="40"/>
              <w:ind w:right="113"/>
              <w:rPr>
                <w:i/>
                <w:snapToGrid w:val="0"/>
                <w:sz w:val="19"/>
                <w:lang w:val="en-US"/>
              </w:rPr>
            </w:pPr>
            <w:r>
              <w:rPr>
                <w:i/>
                <w:snapToGrid w:val="0"/>
                <w:sz w:val="19"/>
                <w:lang w:val="en-US"/>
              </w:rPr>
              <w:t>Health Practitioner Regulation National Law (WA) Act 2010</w:t>
            </w:r>
            <w:r>
              <w:rPr>
                <w:iCs/>
                <w:snapToGrid w:val="0"/>
                <w:sz w:val="19"/>
                <w:lang w:val="en-US"/>
              </w:rPr>
              <w:t xml:space="preserve"> Pt. 5 Div. 37</w:t>
            </w:r>
          </w:p>
        </w:tc>
        <w:tc>
          <w:tcPr>
            <w:tcW w:w="1140" w:type="dxa"/>
          </w:tcPr>
          <w:p>
            <w:pPr>
              <w:pStyle w:val="nTable"/>
              <w:spacing w:after="40"/>
              <w:rPr>
                <w:snapToGrid w:val="0"/>
                <w:sz w:val="19"/>
                <w:lang w:val="en-US"/>
              </w:rPr>
            </w:pPr>
            <w:r>
              <w:rPr>
                <w:snapToGrid w:val="0"/>
                <w:sz w:val="19"/>
                <w:lang w:val="en-US"/>
              </w:rPr>
              <w:t>35 of 2010</w:t>
            </w:r>
          </w:p>
        </w:tc>
        <w:tc>
          <w:tcPr>
            <w:tcW w:w="1136" w:type="dxa"/>
          </w:tcPr>
          <w:p>
            <w:pPr>
              <w:pStyle w:val="nTable"/>
              <w:spacing w:after="40"/>
              <w:rPr>
                <w:snapToGrid w:val="0"/>
                <w:sz w:val="19"/>
                <w:lang w:val="en-US"/>
              </w:rPr>
            </w:pPr>
            <w:r>
              <w:rPr>
                <w:snapToGrid w:val="0"/>
                <w:sz w:val="19"/>
                <w:lang w:val="en-US"/>
              </w:rPr>
              <w:t>30 Aug 2010</w:t>
            </w:r>
          </w:p>
        </w:tc>
        <w:tc>
          <w:tcPr>
            <w:tcW w:w="2571" w:type="dxa"/>
            <w:gridSpan w:val="2"/>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r>
        <w:trPr>
          <w:cantSplit/>
        </w:trPr>
        <w:tc>
          <w:tcPr>
            <w:tcW w:w="2278" w:type="dxa"/>
          </w:tcPr>
          <w:p>
            <w:pPr>
              <w:pStyle w:val="nTable"/>
              <w:spacing w:after="40"/>
              <w:ind w:right="113"/>
              <w:rPr>
                <w:iCs/>
                <w:snapToGrid w:val="0"/>
                <w:sz w:val="19"/>
                <w:lang w:val="en-US"/>
              </w:rPr>
            </w:pPr>
            <w:r>
              <w:rPr>
                <w:i/>
                <w:snapToGrid w:val="0"/>
                <w:sz w:val="19"/>
                <w:lang w:val="en-US"/>
              </w:rPr>
              <w:t>Misuse of Drugs Amendment Act 2010</w:t>
            </w:r>
            <w:r>
              <w:rPr>
                <w:iCs/>
                <w:snapToGrid w:val="0"/>
                <w:sz w:val="19"/>
                <w:lang w:val="en-US"/>
              </w:rPr>
              <w:t xml:space="preserve"> </w:t>
            </w:r>
          </w:p>
        </w:tc>
        <w:tc>
          <w:tcPr>
            <w:tcW w:w="1140" w:type="dxa"/>
          </w:tcPr>
          <w:p>
            <w:pPr>
              <w:pStyle w:val="nTable"/>
              <w:spacing w:after="40"/>
              <w:rPr>
                <w:snapToGrid w:val="0"/>
                <w:sz w:val="19"/>
                <w:lang w:val="en-US"/>
              </w:rPr>
            </w:pPr>
            <w:r>
              <w:rPr>
                <w:snapToGrid w:val="0"/>
                <w:sz w:val="19"/>
                <w:lang w:val="en-US"/>
              </w:rPr>
              <w:t>44 of 2010</w:t>
            </w:r>
          </w:p>
        </w:tc>
        <w:tc>
          <w:tcPr>
            <w:tcW w:w="1136" w:type="dxa"/>
          </w:tcPr>
          <w:p>
            <w:pPr>
              <w:pStyle w:val="nTable"/>
              <w:spacing w:after="40"/>
              <w:rPr>
                <w:snapToGrid w:val="0"/>
                <w:sz w:val="19"/>
                <w:lang w:val="en-US"/>
              </w:rPr>
            </w:pPr>
            <w:r>
              <w:rPr>
                <w:snapToGrid w:val="0"/>
                <w:sz w:val="19"/>
                <w:lang w:val="en-US"/>
              </w:rPr>
              <w:t>28 Oct 2010</w:t>
            </w:r>
          </w:p>
        </w:tc>
        <w:tc>
          <w:tcPr>
            <w:tcW w:w="2571" w:type="dxa"/>
            <w:gridSpan w:val="2"/>
          </w:tcPr>
          <w:p>
            <w:pPr>
              <w:pStyle w:val="nTable"/>
              <w:spacing w:after="40"/>
              <w:rPr>
                <w:snapToGrid w:val="0"/>
                <w:sz w:val="19"/>
                <w:lang w:val="en-US"/>
              </w:rPr>
            </w:pPr>
            <w:r>
              <w:rPr>
                <w:snapToGrid w:val="0"/>
                <w:sz w:val="19"/>
                <w:lang w:val="en-US"/>
              </w:rPr>
              <w:t>s. 1 and 2: 28 Oct 2010 (see s. 2(a));</w:t>
            </w:r>
            <w:r>
              <w:rPr>
                <w:snapToGrid w:val="0"/>
                <w:sz w:val="19"/>
                <w:lang w:val="en-US"/>
              </w:rPr>
              <w:br/>
              <w:t xml:space="preserve">s. 3, 4 and 7(3) and (4): 22 Jan 2011 (see s. 2(b) and </w:t>
            </w:r>
            <w:r>
              <w:rPr>
                <w:i/>
                <w:iCs/>
                <w:snapToGrid w:val="0"/>
                <w:sz w:val="19"/>
                <w:lang w:val="en-US"/>
              </w:rPr>
              <w:t>Gazette</w:t>
            </w:r>
            <w:r>
              <w:rPr>
                <w:snapToGrid w:val="0"/>
                <w:sz w:val="19"/>
                <w:lang w:val="en-US"/>
              </w:rPr>
              <w:t xml:space="preserve"> 21 Jan 2011 p. 157);</w:t>
            </w:r>
            <w:r>
              <w:rPr>
                <w:snapToGrid w:val="0"/>
                <w:sz w:val="19"/>
                <w:lang w:val="en-US"/>
              </w:rPr>
              <w:br/>
              <w:t>s. 5</w:t>
            </w:r>
            <w:r>
              <w:rPr>
                <w:snapToGrid w:val="0"/>
                <w:sz w:val="19"/>
                <w:lang w:val="en-US"/>
              </w:rPr>
              <w:noBreakHyphen/>
              <w:t>7(1) and (2), 8</w:t>
            </w:r>
            <w:r>
              <w:rPr>
                <w:snapToGrid w:val="0"/>
                <w:sz w:val="19"/>
                <w:lang w:val="en-US"/>
              </w:rPr>
              <w:noBreakHyphen/>
              <w:t xml:space="preserve">10: 9 Jul 2011 (see 2(b) and </w:t>
            </w:r>
            <w:r>
              <w:rPr>
                <w:i/>
                <w:snapToGrid w:val="0"/>
                <w:sz w:val="19"/>
                <w:lang w:val="en-US"/>
              </w:rPr>
              <w:t>Gazette</w:t>
            </w:r>
            <w:r>
              <w:rPr>
                <w:snapToGrid w:val="0"/>
                <w:sz w:val="19"/>
                <w:lang w:val="en-US"/>
              </w:rPr>
              <w:t xml:space="preserve"> 8 Jul 2011 p. 2895)</w:t>
            </w:r>
          </w:p>
        </w:tc>
      </w:tr>
      <w:tr>
        <w:trPr>
          <w:cantSplit/>
        </w:trPr>
        <w:tc>
          <w:tcPr>
            <w:tcW w:w="2278" w:type="dxa"/>
          </w:tcPr>
          <w:p>
            <w:pPr>
              <w:pStyle w:val="nTable"/>
              <w:spacing w:after="40"/>
              <w:ind w:right="113"/>
              <w:rPr>
                <w:i/>
                <w:snapToGrid w:val="0"/>
                <w:sz w:val="19"/>
                <w:lang w:val="en-US"/>
              </w:rPr>
            </w:pPr>
            <w:r>
              <w:rPr>
                <w:i/>
                <w:iCs/>
                <w:snapToGrid w:val="0"/>
                <w:sz w:val="19"/>
                <w:lang w:val="en-US"/>
              </w:rPr>
              <w:t>Cannabis Law Reform Act 2010</w:t>
            </w:r>
            <w:r>
              <w:rPr>
                <w:snapToGrid w:val="0"/>
                <w:sz w:val="19"/>
                <w:lang w:val="en-US"/>
              </w:rPr>
              <w:t xml:space="preserve"> Pt. 3 </w:t>
            </w:r>
          </w:p>
        </w:tc>
        <w:tc>
          <w:tcPr>
            <w:tcW w:w="1140" w:type="dxa"/>
          </w:tcPr>
          <w:p>
            <w:pPr>
              <w:pStyle w:val="nTable"/>
              <w:spacing w:after="40"/>
              <w:rPr>
                <w:snapToGrid w:val="0"/>
                <w:sz w:val="19"/>
                <w:lang w:val="en-US"/>
              </w:rPr>
            </w:pPr>
            <w:r>
              <w:rPr>
                <w:snapToGrid w:val="0"/>
                <w:sz w:val="19"/>
                <w:lang w:val="en-US"/>
              </w:rPr>
              <w:t>45 of 2010</w:t>
            </w:r>
          </w:p>
        </w:tc>
        <w:tc>
          <w:tcPr>
            <w:tcW w:w="1136" w:type="dxa"/>
          </w:tcPr>
          <w:p>
            <w:pPr>
              <w:pStyle w:val="nTable"/>
              <w:spacing w:after="40"/>
              <w:rPr>
                <w:snapToGrid w:val="0"/>
                <w:sz w:val="19"/>
                <w:lang w:val="en-US"/>
              </w:rPr>
            </w:pPr>
            <w:r>
              <w:rPr>
                <w:snapToGrid w:val="0"/>
                <w:sz w:val="19"/>
                <w:lang w:val="en-US"/>
              </w:rPr>
              <w:t>28 Oct 2010</w:t>
            </w:r>
          </w:p>
        </w:tc>
        <w:tc>
          <w:tcPr>
            <w:tcW w:w="2571" w:type="dxa"/>
            <w:gridSpan w:val="2"/>
          </w:tcPr>
          <w:p>
            <w:pPr>
              <w:pStyle w:val="nTable"/>
              <w:spacing w:after="40"/>
              <w:rPr>
                <w:snapToGrid w:val="0"/>
                <w:sz w:val="19"/>
                <w:lang w:val="en-US"/>
              </w:rPr>
            </w:pPr>
            <w:r>
              <w:rPr>
                <w:snapToGrid w:val="0"/>
                <w:sz w:val="19"/>
                <w:lang w:val="en-US"/>
              </w:rPr>
              <w:t xml:space="preserve">1 Aug 2011 (see s. 2(b) and </w:t>
            </w:r>
            <w:r>
              <w:rPr>
                <w:i/>
                <w:snapToGrid w:val="0"/>
                <w:sz w:val="19"/>
                <w:lang w:val="en-US"/>
              </w:rPr>
              <w:t xml:space="preserve">Gazette </w:t>
            </w:r>
            <w:r>
              <w:rPr>
                <w:snapToGrid w:val="0"/>
                <w:sz w:val="19"/>
                <w:lang w:val="en-US"/>
              </w:rPr>
              <w:t>29 Jul 2011 p. 3127)</w:t>
            </w:r>
          </w:p>
        </w:tc>
      </w:tr>
      <w:tr>
        <w:trPr>
          <w:cantSplit/>
        </w:trPr>
        <w:tc>
          <w:tcPr>
            <w:tcW w:w="2278" w:type="dxa"/>
          </w:tcPr>
          <w:p>
            <w:pPr>
              <w:pStyle w:val="nTable"/>
              <w:spacing w:after="40"/>
              <w:ind w:right="113"/>
              <w:rPr>
                <w:i/>
                <w:snapToGrid w:val="0"/>
                <w:sz w:val="19"/>
                <w:lang w:val="en-US"/>
              </w:rPr>
            </w:pPr>
            <w:r>
              <w:rPr>
                <w:i/>
                <w:iCs/>
                <w:snapToGrid w:val="0"/>
                <w:sz w:val="19"/>
                <w:lang w:val="en-US"/>
              </w:rPr>
              <w:t>Misuse of Drugs Amendment Act (No. 2) 2010</w:t>
            </w:r>
            <w:r>
              <w:rPr>
                <w:snapToGrid w:val="0"/>
                <w:sz w:val="19"/>
                <w:lang w:val="en-US"/>
              </w:rPr>
              <w:t xml:space="preserve"> Pt. 2</w:t>
            </w:r>
          </w:p>
        </w:tc>
        <w:tc>
          <w:tcPr>
            <w:tcW w:w="1140" w:type="dxa"/>
          </w:tcPr>
          <w:p>
            <w:pPr>
              <w:pStyle w:val="nTable"/>
              <w:spacing w:after="40"/>
              <w:rPr>
                <w:snapToGrid w:val="0"/>
                <w:sz w:val="19"/>
                <w:lang w:val="en-US"/>
              </w:rPr>
            </w:pPr>
            <w:r>
              <w:rPr>
                <w:snapToGrid w:val="0"/>
                <w:sz w:val="19"/>
                <w:lang w:val="en-US"/>
              </w:rPr>
              <w:t>50 of 2010</w:t>
            </w:r>
          </w:p>
        </w:tc>
        <w:tc>
          <w:tcPr>
            <w:tcW w:w="1136" w:type="dxa"/>
          </w:tcPr>
          <w:p>
            <w:pPr>
              <w:pStyle w:val="nTable"/>
              <w:spacing w:after="40"/>
              <w:rPr>
                <w:snapToGrid w:val="0"/>
                <w:sz w:val="19"/>
                <w:lang w:val="en-US"/>
              </w:rPr>
            </w:pPr>
            <w:r>
              <w:rPr>
                <w:snapToGrid w:val="0"/>
                <w:sz w:val="19"/>
                <w:lang w:val="en-US"/>
              </w:rPr>
              <w:t>24 Nov 2010</w:t>
            </w:r>
          </w:p>
        </w:tc>
        <w:tc>
          <w:tcPr>
            <w:tcW w:w="2571" w:type="dxa"/>
            <w:gridSpan w:val="2"/>
          </w:tcPr>
          <w:p>
            <w:pPr>
              <w:pStyle w:val="nTable"/>
              <w:spacing w:after="40"/>
              <w:rPr>
                <w:snapToGrid w:val="0"/>
                <w:sz w:val="19"/>
                <w:lang w:val="en-US"/>
              </w:rPr>
            </w:pPr>
            <w:r>
              <w:rPr>
                <w:snapToGrid w:val="0"/>
                <w:sz w:val="19"/>
                <w:lang w:val="en-US"/>
              </w:rPr>
              <w:t>25 Nov 2010 (see s. 2(b))</w:t>
            </w:r>
          </w:p>
        </w:tc>
      </w:tr>
      <w:tr>
        <w:trPr>
          <w:cantSplit/>
        </w:trPr>
        <w:tc>
          <w:tcPr>
            <w:tcW w:w="4554" w:type="dxa"/>
            <w:gridSpan w:val="3"/>
          </w:tcPr>
          <w:p>
            <w:pPr>
              <w:pStyle w:val="nTable"/>
              <w:spacing w:after="40"/>
              <w:rPr>
                <w:sz w:val="19"/>
              </w:rPr>
            </w:pPr>
            <w:r>
              <w:rPr>
                <w:i/>
                <w:sz w:val="19"/>
              </w:rPr>
              <w:t xml:space="preserve">Misuse of Drugs (Numbers of Cannabis Plants) Order 2010 </w:t>
            </w:r>
            <w:r>
              <w:rPr>
                <w:sz w:val="19"/>
              </w:rPr>
              <w:t xml:space="preserve">published in </w:t>
            </w:r>
            <w:r>
              <w:rPr>
                <w:i/>
                <w:sz w:val="19"/>
              </w:rPr>
              <w:t>Gazette</w:t>
            </w:r>
            <w:r>
              <w:rPr>
                <w:sz w:val="19"/>
              </w:rPr>
              <w:t xml:space="preserve"> 15 Apr 2011 p. 1425</w:t>
            </w:r>
            <w:r>
              <w:rPr>
                <w:sz w:val="19"/>
              </w:rPr>
              <w:noBreakHyphen/>
              <w:t>6</w:t>
            </w:r>
          </w:p>
        </w:tc>
        <w:tc>
          <w:tcPr>
            <w:tcW w:w="2571" w:type="dxa"/>
            <w:gridSpan w:val="2"/>
          </w:tcPr>
          <w:p>
            <w:pPr>
              <w:pStyle w:val="nTable"/>
              <w:spacing w:after="40"/>
              <w:rPr>
                <w:sz w:val="19"/>
              </w:rPr>
            </w:pPr>
            <w:r>
              <w:rPr>
                <w:sz w:val="19"/>
              </w:rPr>
              <w:t>cl. 1 and 2: 15 Apr 2011 (see cl. 2(a));</w:t>
            </w:r>
            <w:r>
              <w:rPr>
                <w:sz w:val="19"/>
              </w:rPr>
              <w:br/>
              <w:t>Order other than cl. 1 and 2: 16 Apr 2011 (see cl. 2(b))</w:t>
            </w:r>
          </w:p>
        </w:tc>
      </w:tr>
      <w:tr>
        <w:trPr>
          <w:cantSplit/>
        </w:trPr>
        <w:tc>
          <w:tcPr>
            <w:tcW w:w="4554" w:type="dxa"/>
            <w:gridSpan w:val="3"/>
          </w:tcPr>
          <w:p>
            <w:pPr>
              <w:pStyle w:val="nTable"/>
              <w:spacing w:after="40"/>
              <w:rPr>
                <w:i/>
                <w:sz w:val="19"/>
              </w:rPr>
            </w:pPr>
            <w:r>
              <w:rPr>
                <w:i/>
                <w:iCs/>
                <w:snapToGrid w:val="0"/>
                <w:sz w:val="19"/>
                <w:lang w:val="en-US"/>
              </w:rPr>
              <w:t>Misuse of Drugs (Amounts of Prohibited Drugs) Order 2011</w:t>
            </w:r>
            <w:r>
              <w:rPr>
                <w:snapToGrid w:val="0"/>
                <w:sz w:val="19"/>
                <w:lang w:val="en-US"/>
              </w:rPr>
              <w:t xml:space="preserve"> </w:t>
            </w:r>
            <w:r>
              <w:rPr>
                <w:sz w:val="19"/>
              </w:rPr>
              <w:t xml:space="preserve">published in </w:t>
            </w:r>
            <w:r>
              <w:rPr>
                <w:i/>
                <w:sz w:val="19"/>
              </w:rPr>
              <w:t>Gazette</w:t>
            </w:r>
            <w:r>
              <w:rPr>
                <w:sz w:val="19"/>
              </w:rPr>
              <w:t xml:space="preserve"> 29 Apr 2011 p. 1532</w:t>
            </w:r>
            <w:r>
              <w:rPr>
                <w:sz w:val="19"/>
              </w:rPr>
              <w:noBreakHyphen/>
              <w:t>4</w:t>
            </w:r>
          </w:p>
        </w:tc>
        <w:tc>
          <w:tcPr>
            <w:tcW w:w="2571" w:type="dxa"/>
            <w:gridSpan w:val="2"/>
          </w:tcPr>
          <w:p>
            <w:pPr>
              <w:pStyle w:val="nTable"/>
              <w:spacing w:after="40"/>
              <w:rPr>
                <w:sz w:val="19"/>
              </w:rPr>
            </w:pPr>
            <w:r>
              <w:rPr>
                <w:sz w:val="19"/>
              </w:rPr>
              <w:t>cl. 1 and 2: 29 Apr 2011 (see cl. 2(a));</w:t>
            </w:r>
            <w:r>
              <w:rPr>
                <w:sz w:val="19"/>
              </w:rPr>
              <w:br/>
              <w:t>Order other than cl. 1 and 2: 30 Apr 2011 (see cl. 2(b))</w:t>
            </w:r>
          </w:p>
        </w:tc>
      </w:tr>
      <w:tr>
        <w:trPr>
          <w:cantSplit/>
        </w:trPr>
        <w:tc>
          <w:tcPr>
            <w:tcW w:w="4554" w:type="dxa"/>
            <w:gridSpan w:val="3"/>
          </w:tcPr>
          <w:p>
            <w:pPr>
              <w:pStyle w:val="nTable"/>
              <w:spacing w:after="40"/>
              <w:rPr>
                <w:i/>
                <w:iCs/>
                <w:snapToGrid w:val="0"/>
                <w:sz w:val="19"/>
                <w:lang w:val="en-US"/>
              </w:rPr>
            </w:pPr>
            <w:r>
              <w:rPr>
                <w:i/>
                <w:iCs/>
                <w:snapToGrid w:val="0"/>
                <w:sz w:val="19"/>
                <w:lang w:val="en-US"/>
              </w:rPr>
              <w:t>Misuse of Drugs (Amounts of Prohibited Drugs) Order (No. 2) 2011</w:t>
            </w:r>
            <w:r>
              <w:rPr>
                <w:snapToGrid w:val="0"/>
                <w:sz w:val="19"/>
                <w:lang w:val="en-US"/>
              </w:rPr>
              <w:t xml:space="preserve"> </w:t>
            </w:r>
            <w:r>
              <w:rPr>
                <w:sz w:val="19"/>
              </w:rPr>
              <w:t xml:space="preserve">published in </w:t>
            </w:r>
            <w:r>
              <w:rPr>
                <w:i/>
                <w:sz w:val="19"/>
              </w:rPr>
              <w:t>Gazette</w:t>
            </w:r>
            <w:r>
              <w:rPr>
                <w:sz w:val="19"/>
              </w:rPr>
              <w:t xml:space="preserve"> 1 Jul 2011 p. 2742</w:t>
            </w:r>
            <w:r>
              <w:rPr>
                <w:sz w:val="19"/>
              </w:rPr>
              <w:noBreakHyphen/>
              <w:t>5</w:t>
            </w:r>
          </w:p>
        </w:tc>
        <w:tc>
          <w:tcPr>
            <w:tcW w:w="2571" w:type="dxa"/>
            <w:gridSpan w:val="2"/>
          </w:tcPr>
          <w:p>
            <w:pPr>
              <w:pStyle w:val="nTable"/>
              <w:spacing w:after="40"/>
              <w:rPr>
                <w:sz w:val="19"/>
              </w:rPr>
            </w:pPr>
            <w:r>
              <w:rPr>
                <w:sz w:val="19"/>
              </w:rPr>
              <w:t>cl. 1 and 2: 1 Jul 2011 (see cl. 2(a));</w:t>
            </w:r>
            <w:r>
              <w:rPr>
                <w:sz w:val="19"/>
              </w:rPr>
              <w:br/>
              <w:t>Order other than cl. 1 and 2: 2 Jul 2011 (see cl. 2(b))</w:t>
            </w:r>
          </w:p>
        </w:tc>
      </w:tr>
      <w:tr>
        <w:trPr>
          <w:cantSplit/>
        </w:trPr>
        <w:tc>
          <w:tcPr>
            <w:tcW w:w="7125" w:type="dxa"/>
            <w:gridSpan w:val="5"/>
          </w:tcPr>
          <w:p>
            <w:pPr>
              <w:pStyle w:val="nTable"/>
              <w:spacing w:after="40"/>
              <w:rPr>
                <w:sz w:val="19"/>
              </w:rPr>
            </w:pPr>
            <w:r>
              <w:rPr>
                <w:b/>
                <w:sz w:val="19"/>
              </w:rPr>
              <w:t xml:space="preserve">Reprint 5: The </w:t>
            </w:r>
            <w:r>
              <w:rPr>
                <w:b/>
                <w:i/>
                <w:sz w:val="19"/>
              </w:rPr>
              <w:t>Misuse of Drugs Act 1981</w:t>
            </w:r>
            <w:r>
              <w:rPr>
                <w:b/>
                <w:sz w:val="19"/>
              </w:rPr>
              <w:t xml:space="preserve"> as at 16 Sep 2011</w:t>
            </w:r>
            <w:r>
              <w:rPr>
                <w:sz w:val="19"/>
              </w:rPr>
              <w:t xml:space="preserve"> (includes amendments listed above)</w:t>
            </w:r>
          </w:p>
        </w:tc>
      </w:tr>
      <w:tr>
        <w:trPr>
          <w:cantSplit/>
        </w:trPr>
        <w:tc>
          <w:tcPr>
            <w:tcW w:w="4554" w:type="dxa"/>
            <w:gridSpan w:val="3"/>
          </w:tcPr>
          <w:p>
            <w:pPr>
              <w:pStyle w:val="nTable"/>
              <w:spacing w:after="40"/>
              <w:rPr>
                <w:i/>
                <w:iCs/>
                <w:snapToGrid w:val="0"/>
                <w:sz w:val="19"/>
                <w:lang w:val="en-US"/>
              </w:rPr>
            </w:pPr>
            <w:r>
              <w:rPr>
                <w:i/>
                <w:iCs/>
                <w:snapToGrid w:val="0"/>
                <w:sz w:val="19"/>
                <w:lang w:val="en-US"/>
              </w:rPr>
              <w:t>Misuse of Drugs (Amounts of Prohibited Drugs) Order (No. 3) 2011</w:t>
            </w:r>
            <w:r>
              <w:rPr>
                <w:snapToGrid w:val="0"/>
                <w:sz w:val="19"/>
                <w:lang w:val="en-US"/>
              </w:rPr>
              <w:t xml:space="preserve"> </w:t>
            </w:r>
            <w:r>
              <w:rPr>
                <w:sz w:val="19"/>
              </w:rPr>
              <w:t xml:space="preserve">published in </w:t>
            </w:r>
            <w:r>
              <w:rPr>
                <w:i/>
                <w:sz w:val="19"/>
              </w:rPr>
              <w:t>Gazette</w:t>
            </w:r>
            <w:r>
              <w:rPr>
                <w:sz w:val="19"/>
              </w:rPr>
              <w:t xml:space="preserve"> 11 Oct 2011 p. 4316</w:t>
            </w:r>
            <w:r>
              <w:rPr>
                <w:sz w:val="19"/>
              </w:rPr>
              <w:noBreakHyphen/>
              <w:t>20</w:t>
            </w:r>
          </w:p>
        </w:tc>
        <w:tc>
          <w:tcPr>
            <w:tcW w:w="2571" w:type="dxa"/>
            <w:gridSpan w:val="2"/>
          </w:tcPr>
          <w:p>
            <w:pPr>
              <w:pStyle w:val="nTable"/>
              <w:spacing w:after="40"/>
              <w:rPr>
                <w:sz w:val="19"/>
              </w:rPr>
            </w:pPr>
            <w:r>
              <w:rPr>
                <w:sz w:val="19"/>
              </w:rPr>
              <w:t>cl. 1 and 2: 11 Oct 2011 (see cl. 2(a));</w:t>
            </w:r>
            <w:r>
              <w:rPr>
                <w:sz w:val="19"/>
              </w:rPr>
              <w:br/>
              <w:t>Order other than cl. 1 and 2: 12 Oct 2011 (see cl. 2(b))</w:t>
            </w:r>
          </w:p>
        </w:tc>
      </w:tr>
      <w:tr>
        <w:trPr>
          <w:cantSplit/>
        </w:trPr>
        <w:tc>
          <w:tcPr>
            <w:tcW w:w="2278" w:type="dxa"/>
          </w:tcPr>
          <w:p>
            <w:pPr>
              <w:pStyle w:val="nTable"/>
              <w:spacing w:after="40"/>
              <w:ind w:right="113"/>
              <w:rPr>
                <w:i/>
                <w:snapToGrid w:val="0"/>
                <w:sz w:val="19"/>
                <w:szCs w:val="19"/>
                <w:lang w:val="en-US"/>
              </w:rPr>
            </w:pPr>
            <w:r>
              <w:rPr>
                <w:i/>
                <w:snapToGrid w:val="0"/>
                <w:sz w:val="19"/>
                <w:szCs w:val="19"/>
              </w:rPr>
              <w:t>Misuse of Drugs Amendment Act 2011</w:t>
            </w:r>
            <w:r>
              <w:rPr>
                <w:snapToGrid w:val="0"/>
                <w:sz w:val="19"/>
                <w:szCs w:val="19"/>
              </w:rPr>
              <w:t xml:space="preserve"> s. 3, 4 and 9</w:t>
            </w:r>
          </w:p>
        </w:tc>
        <w:tc>
          <w:tcPr>
            <w:tcW w:w="1140" w:type="dxa"/>
          </w:tcPr>
          <w:p>
            <w:pPr>
              <w:pStyle w:val="nTable"/>
              <w:spacing w:after="40"/>
              <w:rPr>
                <w:snapToGrid w:val="0"/>
                <w:sz w:val="19"/>
                <w:lang w:val="en-US"/>
              </w:rPr>
            </w:pPr>
            <w:r>
              <w:rPr>
                <w:snapToGrid w:val="0"/>
                <w:sz w:val="19"/>
                <w:lang w:val="en-US"/>
              </w:rPr>
              <w:t>56 of 2011</w:t>
            </w:r>
          </w:p>
        </w:tc>
        <w:tc>
          <w:tcPr>
            <w:tcW w:w="1136" w:type="dxa"/>
          </w:tcPr>
          <w:p>
            <w:pPr>
              <w:pStyle w:val="nTable"/>
              <w:spacing w:after="40"/>
              <w:rPr>
                <w:snapToGrid w:val="0"/>
                <w:sz w:val="19"/>
                <w:lang w:val="en-US"/>
              </w:rPr>
            </w:pPr>
            <w:r>
              <w:rPr>
                <w:snapToGrid w:val="0"/>
                <w:sz w:val="19"/>
                <w:lang w:val="en-US"/>
              </w:rPr>
              <w:t>21 Nov 2011</w:t>
            </w:r>
          </w:p>
        </w:tc>
        <w:tc>
          <w:tcPr>
            <w:tcW w:w="2571" w:type="dxa"/>
            <w:gridSpan w:val="2"/>
          </w:tcPr>
          <w:p>
            <w:pPr>
              <w:pStyle w:val="nTable"/>
              <w:spacing w:after="40"/>
              <w:rPr>
                <w:snapToGrid w:val="0"/>
                <w:sz w:val="19"/>
                <w:lang w:val="en-US"/>
              </w:rPr>
            </w:pPr>
            <w:r>
              <w:rPr>
                <w:snapToGrid w:val="0"/>
                <w:sz w:val="19"/>
                <w:lang w:val="en-US"/>
              </w:rPr>
              <w:t xml:space="preserve">24 Mar 2012 (see s. 2(b) and </w:t>
            </w:r>
            <w:r>
              <w:rPr>
                <w:i/>
                <w:snapToGrid w:val="0"/>
                <w:sz w:val="19"/>
                <w:lang w:val="en-US"/>
              </w:rPr>
              <w:t xml:space="preserve">Gazette </w:t>
            </w:r>
            <w:r>
              <w:rPr>
                <w:snapToGrid w:val="0"/>
                <w:sz w:val="19"/>
                <w:lang w:val="en-US"/>
              </w:rPr>
              <w:t>23 Mar 2012 p. 1363)</w:t>
            </w:r>
          </w:p>
        </w:tc>
      </w:tr>
      <w:tr>
        <w:trPr>
          <w:cantSplit/>
        </w:trPr>
        <w:tc>
          <w:tcPr>
            <w:tcW w:w="4554" w:type="dxa"/>
            <w:gridSpan w:val="3"/>
          </w:tcPr>
          <w:p>
            <w:pPr>
              <w:pStyle w:val="nTable"/>
              <w:spacing w:after="40"/>
              <w:rPr>
                <w:i/>
                <w:iCs/>
                <w:snapToGrid w:val="0"/>
                <w:sz w:val="19"/>
                <w:lang w:val="en-US"/>
              </w:rPr>
            </w:pPr>
            <w:r>
              <w:rPr>
                <w:i/>
                <w:iCs/>
                <w:snapToGrid w:val="0"/>
                <w:sz w:val="19"/>
                <w:lang w:val="en-US"/>
              </w:rPr>
              <w:t>Misuse of Drugs (Amounts of Prohibited Drugs) Order 2012</w:t>
            </w:r>
            <w:r>
              <w:rPr>
                <w:snapToGrid w:val="0"/>
                <w:sz w:val="19"/>
                <w:lang w:val="en-US"/>
              </w:rPr>
              <w:t xml:space="preserve"> </w:t>
            </w:r>
            <w:r>
              <w:rPr>
                <w:sz w:val="19"/>
              </w:rPr>
              <w:t xml:space="preserve">published in </w:t>
            </w:r>
            <w:r>
              <w:rPr>
                <w:i/>
                <w:sz w:val="19"/>
              </w:rPr>
              <w:t>Gazette</w:t>
            </w:r>
            <w:r>
              <w:rPr>
                <w:sz w:val="19"/>
              </w:rPr>
              <w:t xml:space="preserve"> 13 Apr 2012 p. 1664</w:t>
            </w:r>
            <w:r>
              <w:rPr>
                <w:sz w:val="19"/>
              </w:rPr>
              <w:noBreakHyphen/>
              <w:t>5</w:t>
            </w:r>
          </w:p>
        </w:tc>
        <w:tc>
          <w:tcPr>
            <w:tcW w:w="2571" w:type="dxa"/>
            <w:gridSpan w:val="2"/>
          </w:tcPr>
          <w:p>
            <w:pPr>
              <w:pStyle w:val="nTable"/>
              <w:spacing w:after="40"/>
              <w:rPr>
                <w:sz w:val="19"/>
              </w:rPr>
            </w:pPr>
            <w:r>
              <w:rPr>
                <w:sz w:val="19"/>
              </w:rPr>
              <w:t>cl. 1 and 2: 13 Apr 2012 (see cl. 2(a));</w:t>
            </w:r>
            <w:r>
              <w:rPr>
                <w:sz w:val="19"/>
              </w:rPr>
              <w:br/>
              <w:t>Order other than cl. 1 and 2: 14 Apr 2012 (see cl. 2(b))</w:t>
            </w:r>
          </w:p>
        </w:tc>
      </w:tr>
      <w:tr>
        <w:trPr>
          <w:cantSplit/>
          <w:ins w:id="1498" w:author="svcMRProcess" w:date="2018-09-06T00:44:00Z"/>
        </w:trPr>
        <w:tc>
          <w:tcPr>
            <w:tcW w:w="2278" w:type="dxa"/>
            <w:tcBorders>
              <w:bottom w:val="single" w:sz="4" w:space="0" w:color="auto"/>
            </w:tcBorders>
          </w:tcPr>
          <w:p>
            <w:pPr>
              <w:pStyle w:val="nTable"/>
              <w:spacing w:after="40"/>
              <w:ind w:right="113"/>
              <w:rPr>
                <w:ins w:id="1499" w:author="svcMRProcess" w:date="2018-09-06T00:44:00Z"/>
                <w:i/>
                <w:snapToGrid w:val="0"/>
                <w:sz w:val="19"/>
                <w:szCs w:val="19"/>
                <w:lang w:val="en-US"/>
              </w:rPr>
            </w:pPr>
            <w:ins w:id="1500" w:author="svcMRProcess" w:date="2018-09-06T00:44:00Z">
              <w:r>
                <w:rPr>
                  <w:i/>
                  <w:snapToGrid w:val="0"/>
                  <w:sz w:val="19"/>
                  <w:szCs w:val="19"/>
                </w:rPr>
                <w:t>Criminal Appeals Amendment (Double Jeopardy) Act 2012</w:t>
              </w:r>
              <w:r>
                <w:rPr>
                  <w:snapToGrid w:val="0"/>
                  <w:sz w:val="19"/>
                  <w:szCs w:val="19"/>
                </w:rPr>
                <w:t xml:space="preserve"> s. 10</w:t>
              </w:r>
            </w:ins>
          </w:p>
        </w:tc>
        <w:tc>
          <w:tcPr>
            <w:tcW w:w="1140" w:type="dxa"/>
            <w:tcBorders>
              <w:bottom w:val="single" w:sz="4" w:space="0" w:color="auto"/>
            </w:tcBorders>
          </w:tcPr>
          <w:p>
            <w:pPr>
              <w:pStyle w:val="nTable"/>
              <w:spacing w:after="40"/>
              <w:rPr>
                <w:ins w:id="1501" w:author="svcMRProcess" w:date="2018-09-06T00:44:00Z"/>
                <w:snapToGrid w:val="0"/>
                <w:sz w:val="19"/>
                <w:lang w:val="en-US"/>
              </w:rPr>
            </w:pPr>
            <w:ins w:id="1502" w:author="svcMRProcess" w:date="2018-09-06T00:44:00Z">
              <w:r>
                <w:rPr>
                  <w:snapToGrid w:val="0"/>
                  <w:sz w:val="19"/>
                  <w:lang w:val="en-US"/>
                </w:rPr>
                <w:t>9 of 2012</w:t>
              </w:r>
            </w:ins>
          </w:p>
        </w:tc>
        <w:tc>
          <w:tcPr>
            <w:tcW w:w="1136" w:type="dxa"/>
            <w:tcBorders>
              <w:bottom w:val="single" w:sz="4" w:space="0" w:color="auto"/>
            </w:tcBorders>
          </w:tcPr>
          <w:p>
            <w:pPr>
              <w:pStyle w:val="nTable"/>
              <w:spacing w:after="40"/>
              <w:rPr>
                <w:ins w:id="1503" w:author="svcMRProcess" w:date="2018-09-06T00:44:00Z"/>
                <w:snapToGrid w:val="0"/>
                <w:sz w:val="19"/>
                <w:lang w:val="en-US"/>
              </w:rPr>
            </w:pPr>
            <w:ins w:id="1504" w:author="svcMRProcess" w:date="2018-09-06T00:44:00Z">
              <w:r>
                <w:rPr>
                  <w:sz w:val="19"/>
                </w:rPr>
                <w:t>21 May 2012</w:t>
              </w:r>
            </w:ins>
          </w:p>
        </w:tc>
        <w:tc>
          <w:tcPr>
            <w:tcW w:w="2571" w:type="dxa"/>
            <w:gridSpan w:val="2"/>
            <w:tcBorders>
              <w:bottom w:val="single" w:sz="4" w:space="0" w:color="auto"/>
            </w:tcBorders>
          </w:tcPr>
          <w:p>
            <w:pPr>
              <w:pStyle w:val="nTable"/>
              <w:spacing w:after="40"/>
              <w:rPr>
                <w:ins w:id="1505" w:author="svcMRProcess" w:date="2018-09-06T00:44:00Z"/>
                <w:snapToGrid w:val="0"/>
                <w:sz w:val="19"/>
                <w:lang w:val="en-US"/>
              </w:rPr>
            </w:pPr>
            <w:ins w:id="1506" w:author="svcMRProcess" w:date="2018-09-06T00:44:00Z">
              <w:r>
                <w:rPr>
                  <w:snapToGrid w:val="0"/>
                  <w:sz w:val="19"/>
                  <w:lang w:val="en-US"/>
                </w:rPr>
                <w:t xml:space="preserve">26 Sep 2012 (see s. 2(b) and </w:t>
              </w:r>
              <w:r>
                <w:rPr>
                  <w:i/>
                  <w:snapToGrid w:val="0"/>
                  <w:sz w:val="19"/>
                  <w:lang w:val="en-US"/>
                </w:rPr>
                <w:t>Gazette</w:t>
              </w:r>
              <w:r>
                <w:rPr>
                  <w:snapToGrid w:val="0"/>
                  <w:sz w:val="19"/>
                  <w:lang w:val="en-US"/>
                </w:rPr>
                <w:t xml:space="preserve"> 25 Sep 2012 p. 4499)</w:t>
              </w:r>
            </w:ins>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507" w:name="_Toc534778309"/>
      <w:bookmarkStart w:id="1508" w:name="_Toc7405063"/>
      <w:bookmarkStart w:id="1509" w:name="_Toc296601212"/>
      <w:bookmarkStart w:id="1510" w:name="_Toc336264375"/>
      <w:bookmarkStart w:id="1511" w:name="_Toc325554313"/>
      <w:r>
        <w:rPr>
          <w:snapToGrid w:val="0"/>
        </w:rPr>
        <w:t>Provisions that have not come into operation</w:t>
      </w:r>
      <w:bookmarkEnd w:id="1507"/>
      <w:bookmarkEnd w:id="1508"/>
      <w:bookmarkEnd w:id="1509"/>
      <w:bookmarkEnd w:id="1510"/>
      <w:bookmarkEnd w:id="1511"/>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Borders>
              <w:top w:val="single" w:sz="4" w:space="0" w:color="auto"/>
              <w:bottom w:val="single" w:sz="4" w:space="0" w:color="auto"/>
            </w:tcBorders>
          </w:tcPr>
          <w:p>
            <w:pPr>
              <w:pStyle w:val="nTable"/>
              <w:spacing w:after="40"/>
              <w:rPr>
                <w:b/>
                <w:snapToGrid w:val="0"/>
                <w:sz w:val="19"/>
                <w:lang w:val="en-US"/>
              </w:rPr>
            </w:pPr>
            <w:r>
              <w:rPr>
                <w:b/>
                <w:snapToGrid w:val="0"/>
                <w:sz w:val="19"/>
                <w:lang w:val="en-US"/>
              </w:rPr>
              <w:t>Short title</w:t>
            </w:r>
          </w:p>
        </w:tc>
        <w:tc>
          <w:tcPr>
            <w:tcW w:w="1118" w:type="dxa"/>
            <w:tcBorders>
              <w:top w:val="single" w:sz="4" w:space="0" w:color="auto"/>
              <w:bottom w:val="single" w:sz="4"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4" w:space="0" w:color="auto"/>
              <w:bottom w:val="single" w:sz="4" w:space="0" w:color="auto"/>
            </w:tcBorders>
          </w:tcPr>
          <w:p>
            <w:pPr>
              <w:pStyle w:val="nTable"/>
              <w:spacing w:after="40"/>
              <w:rPr>
                <w:b/>
                <w:snapToGrid w:val="0"/>
                <w:sz w:val="19"/>
                <w:lang w:val="en-US"/>
              </w:rPr>
            </w:pPr>
            <w:r>
              <w:rPr>
                <w:b/>
                <w:snapToGrid w:val="0"/>
                <w:sz w:val="19"/>
                <w:lang w:val="en-US"/>
              </w:rPr>
              <w:t>Assent</w:t>
            </w:r>
          </w:p>
        </w:tc>
        <w:tc>
          <w:tcPr>
            <w:tcW w:w="2552" w:type="dxa"/>
            <w:tcBorders>
              <w:top w:val="single" w:sz="4" w:space="0" w:color="auto"/>
              <w:bottom w:val="single" w:sz="4"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single" w:sz="4" w:space="0" w:color="auto"/>
              <w:bottom w:val="single" w:sz="4" w:space="0" w:color="auto"/>
            </w:tcBorders>
          </w:tcPr>
          <w:p>
            <w:pPr>
              <w:pStyle w:val="nTable"/>
              <w:spacing w:after="40"/>
              <w:rPr>
                <w:snapToGrid w:val="0"/>
                <w:sz w:val="19"/>
                <w:szCs w:val="19"/>
                <w:vertAlign w:val="superscript"/>
                <w:lang w:val="en-US"/>
              </w:rPr>
            </w:pPr>
            <w:r>
              <w:rPr>
                <w:i/>
                <w:snapToGrid w:val="0"/>
                <w:sz w:val="19"/>
                <w:szCs w:val="19"/>
              </w:rPr>
              <w:t>Misuse of Drugs Amendment Act 2011</w:t>
            </w:r>
            <w:r>
              <w:rPr>
                <w:snapToGrid w:val="0"/>
                <w:sz w:val="19"/>
                <w:szCs w:val="19"/>
              </w:rPr>
              <w:t xml:space="preserve"> s. 5-8</w:t>
            </w:r>
            <w:r>
              <w:rPr>
                <w:i/>
                <w:snapToGrid w:val="0"/>
                <w:sz w:val="19"/>
                <w:szCs w:val="19"/>
              </w:rPr>
              <w:t> </w:t>
            </w:r>
            <w:r>
              <w:rPr>
                <w:snapToGrid w:val="0"/>
                <w:sz w:val="19"/>
                <w:szCs w:val="19"/>
                <w:vertAlign w:val="superscript"/>
              </w:rPr>
              <w:t>6</w:t>
            </w:r>
          </w:p>
        </w:tc>
        <w:tc>
          <w:tcPr>
            <w:tcW w:w="1118" w:type="dxa"/>
            <w:tcBorders>
              <w:top w:val="single" w:sz="4" w:space="0" w:color="auto"/>
              <w:bottom w:val="single" w:sz="4" w:space="0" w:color="auto"/>
            </w:tcBorders>
          </w:tcPr>
          <w:p>
            <w:pPr>
              <w:pStyle w:val="nTable"/>
              <w:spacing w:after="40"/>
              <w:rPr>
                <w:snapToGrid w:val="0"/>
                <w:sz w:val="19"/>
                <w:lang w:val="en-US"/>
              </w:rPr>
            </w:pPr>
            <w:r>
              <w:rPr>
                <w:snapToGrid w:val="0"/>
                <w:sz w:val="19"/>
                <w:lang w:val="en-US"/>
              </w:rPr>
              <w:t>56 of 2011</w:t>
            </w:r>
          </w:p>
        </w:tc>
        <w:tc>
          <w:tcPr>
            <w:tcW w:w="1134" w:type="dxa"/>
            <w:tcBorders>
              <w:top w:val="single" w:sz="4" w:space="0" w:color="auto"/>
              <w:bottom w:val="single" w:sz="4" w:space="0" w:color="auto"/>
            </w:tcBorders>
          </w:tcPr>
          <w:p>
            <w:pPr>
              <w:pStyle w:val="nTable"/>
              <w:spacing w:after="40"/>
              <w:rPr>
                <w:snapToGrid w:val="0"/>
                <w:sz w:val="19"/>
                <w:lang w:val="en-US"/>
              </w:rPr>
            </w:pPr>
            <w:r>
              <w:rPr>
                <w:snapToGrid w:val="0"/>
                <w:sz w:val="19"/>
                <w:lang w:val="en-US"/>
              </w:rPr>
              <w:t>21 Nov 2011</w:t>
            </w:r>
          </w:p>
        </w:tc>
        <w:tc>
          <w:tcPr>
            <w:tcW w:w="2552" w:type="dxa"/>
            <w:tcBorders>
              <w:top w:val="single" w:sz="4" w:space="0" w:color="auto"/>
              <w:bottom w:val="single" w:sz="4" w:space="0" w:color="auto"/>
            </w:tcBorders>
          </w:tcPr>
          <w:p>
            <w:pPr>
              <w:pStyle w:val="nTable"/>
              <w:spacing w:after="40"/>
              <w:rPr>
                <w:snapToGrid w:val="0"/>
                <w:sz w:val="19"/>
                <w:lang w:val="en-US"/>
              </w:rPr>
            </w:pPr>
            <w:r>
              <w:rPr>
                <w:snapToGrid w:val="0"/>
                <w:sz w:val="19"/>
                <w:lang w:val="en-US"/>
              </w:rPr>
              <w:t>To be proclaimed (see s. 2(b))</w:t>
            </w:r>
          </w:p>
        </w:tc>
      </w:tr>
      <w:tr>
        <w:trPr>
          <w:del w:id="1512" w:author="svcMRProcess" w:date="2018-09-06T00:44:00Z"/>
        </w:trPr>
        <w:tc>
          <w:tcPr>
            <w:tcW w:w="2268" w:type="dxa"/>
            <w:tcBorders>
              <w:top w:val="nil"/>
            </w:tcBorders>
          </w:tcPr>
          <w:p>
            <w:pPr>
              <w:pStyle w:val="nTable"/>
              <w:spacing w:after="40"/>
              <w:rPr>
                <w:del w:id="1513" w:author="svcMRProcess" w:date="2018-09-06T00:44:00Z"/>
                <w:i/>
                <w:snapToGrid w:val="0"/>
                <w:sz w:val="19"/>
                <w:szCs w:val="19"/>
              </w:rPr>
            </w:pPr>
            <w:del w:id="1514" w:author="svcMRProcess" w:date="2018-09-06T00:44:00Z">
              <w:r>
                <w:rPr>
                  <w:i/>
                  <w:snapToGrid w:val="0"/>
                  <w:sz w:val="19"/>
                  <w:szCs w:val="19"/>
                </w:rPr>
                <w:delText>Criminal Appeals Amendment (Double Jeopardy) Act 2012</w:delText>
              </w:r>
              <w:r>
                <w:rPr>
                  <w:snapToGrid w:val="0"/>
                  <w:sz w:val="19"/>
                  <w:szCs w:val="19"/>
                </w:rPr>
                <w:delText xml:space="preserve"> s. 10</w:delText>
              </w:r>
              <w:r>
                <w:rPr>
                  <w:rFonts w:ascii="Times" w:hAnsi="Times"/>
                  <w:vertAlign w:val="superscript"/>
                </w:rPr>
                <w:delText> </w:delText>
              </w:r>
              <w:r>
                <w:rPr>
                  <w:snapToGrid w:val="0"/>
                  <w:sz w:val="19"/>
                  <w:vertAlign w:val="superscript"/>
                  <w:lang w:val="en-US"/>
                </w:rPr>
                <w:delText>7</w:delText>
              </w:r>
            </w:del>
          </w:p>
        </w:tc>
        <w:tc>
          <w:tcPr>
            <w:tcW w:w="1118" w:type="dxa"/>
            <w:tcBorders>
              <w:top w:val="nil"/>
            </w:tcBorders>
          </w:tcPr>
          <w:p>
            <w:pPr>
              <w:pStyle w:val="nTable"/>
              <w:spacing w:after="40"/>
              <w:rPr>
                <w:del w:id="1515" w:author="svcMRProcess" w:date="2018-09-06T00:44:00Z"/>
                <w:snapToGrid w:val="0"/>
                <w:sz w:val="19"/>
                <w:lang w:val="en-US"/>
              </w:rPr>
            </w:pPr>
            <w:del w:id="1516" w:author="svcMRProcess" w:date="2018-09-06T00:44:00Z">
              <w:r>
                <w:rPr>
                  <w:snapToGrid w:val="0"/>
                  <w:sz w:val="19"/>
                  <w:lang w:val="en-US"/>
                </w:rPr>
                <w:delText>9 of 2012</w:delText>
              </w:r>
            </w:del>
          </w:p>
        </w:tc>
        <w:tc>
          <w:tcPr>
            <w:tcW w:w="1134" w:type="dxa"/>
            <w:tcBorders>
              <w:top w:val="nil"/>
            </w:tcBorders>
          </w:tcPr>
          <w:p>
            <w:pPr>
              <w:pStyle w:val="nTable"/>
              <w:spacing w:after="40"/>
              <w:rPr>
                <w:del w:id="1517" w:author="svcMRProcess" w:date="2018-09-06T00:44:00Z"/>
                <w:snapToGrid w:val="0"/>
                <w:sz w:val="19"/>
                <w:lang w:val="en-US"/>
              </w:rPr>
            </w:pPr>
            <w:del w:id="1518" w:author="svcMRProcess" w:date="2018-09-06T00:44:00Z">
              <w:r>
                <w:rPr>
                  <w:sz w:val="19"/>
                </w:rPr>
                <w:delText>21 May 2012</w:delText>
              </w:r>
            </w:del>
          </w:p>
        </w:tc>
        <w:tc>
          <w:tcPr>
            <w:tcW w:w="2552" w:type="dxa"/>
            <w:tcBorders>
              <w:top w:val="nil"/>
            </w:tcBorders>
          </w:tcPr>
          <w:p>
            <w:pPr>
              <w:pStyle w:val="nTable"/>
              <w:spacing w:after="40"/>
              <w:rPr>
                <w:del w:id="1519" w:author="svcMRProcess" w:date="2018-09-06T00:44:00Z"/>
                <w:snapToGrid w:val="0"/>
                <w:sz w:val="19"/>
                <w:lang w:val="en-US"/>
              </w:rPr>
            </w:pPr>
            <w:del w:id="1520" w:author="svcMRProcess" w:date="2018-09-06T00:44:00Z">
              <w:r>
                <w:rPr>
                  <w:snapToGrid w:val="0"/>
                  <w:sz w:val="19"/>
                  <w:lang w:val="en-US"/>
                </w:rPr>
                <w:delText>To be proclaimed (see s. 2(b))</w:delText>
              </w:r>
            </w:del>
          </w:p>
        </w:tc>
      </w:tr>
    </w:tbl>
    <w:p>
      <w:pPr>
        <w:pStyle w:val="nSubsection"/>
        <w:spacing w:before="160"/>
      </w:pPr>
      <w:r>
        <w:rPr>
          <w:vertAlign w:val="superscript"/>
        </w:rPr>
        <w:t>2</w:t>
      </w:r>
      <w:r>
        <w:tab/>
        <w:t xml:space="preserve">This provision was renumbered under the </w:t>
      </w:r>
      <w:r>
        <w:rPr>
          <w:i/>
        </w:rPr>
        <w:t xml:space="preserve">Reprints Act 1984 </w:t>
      </w:r>
      <w:r>
        <w:t>s. 7(5)(c)(ii).</w:t>
      </w:r>
    </w:p>
    <w:p>
      <w:pPr>
        <w:pStyle w:val="nSubsection"/>
      </w:pPr>
      <w:r>
        <w:rPr>
          <w:snapToGrid w:val="0"/>
          <w:vertAlign w:val="superscript"/>
        </w:rPr>
        <w:t>3</w:t>
      </w:r>
      <w:r>
        <w:rPr>
          <w:snapToGrid w:val="0"/>
        </w:rPr>
        <w:tab/>
        <w:t xml:space="preserve">The </w:t>
      </w:r>
      <w:r>
        <w:rPr>
          <w:i/>
          <w:snapToGrid w:val="0"/>
        </w:rPr>
        <w:t>Misuse of Drugs Amendment Act 1995</w:t>
      </w:r>
      <w:r>
        <w:rPr>
          <w:snapToGrid w:val="0"/>
        </w:rPr>
        <w:t xml:space="preserve"> s. 16 is a transitional provision that is of no </w:t>
      </w:r>
      <w:r>
        <w:t>further</w:t>
      </w:r>
      <w:r>
        <w:rPr>
          <w:snapToGrid w:val="0"/>
        </w:rPr>
        <w:t xml:space="preserve"> effect.</w:t>
      </w:r>
    </w:p>
    <w:p>
      <w:pPr>
        <w:pStyle w:val="nSubsection"/>
        <w:keepNext/>
      </w:pPr>
      <w:r>
        <w:rPr>
          <w:vertAlign w:val="superscript"/>
        </w:rPr>
        <w:t>4</w:t>
      </w:r>
      <w:r>
        <w:tab/>
        <w:t xml:space="preserve">The </w:t>
      </w:r>
      <w:r>
        <w:rPr>
          <w:i/>
        </w:rPr>
        <w:t>Criminal Property Confiscation (Consequential Provisions) Act 2000</w:t>
      </w:r>
      <w:r>
        <w:t xml:space="preserve"> s. 3 and 6</w:t>
      </w:r>
      <w:r>
        <w:noBreakHyphen/>
        <w:t xml:space="preserve">11 read as follows: </w:t>
      </w:r>
    </w:p>
    <w:p>
      <w:pPr>
        <w:pStyle w:val="BlankOpen"/>
      </w:pPr>
    </w:p>
    <w:p>
      <w:pPr>
        <w:pStyle w:val="nzHeading5"/>
      </w:pPr>
      <w:bookmarkStart w:id="1521" w:name="_Toc492865684"/>
      <w:r>
        <w:t>3.</w:t>
      </w:r>
      <w:r>
        <w:tab/>
      </w:r>
      <w:bookmarkStart w:id="1522" w:name="_Toc492865681"/>
      <w:bookmarkStart w:id="1523" w:name="_Toc502733466"/>
      <w:r>
        <w:t>Interpretation</w:t>
      </w:r>
      <w:bookmarkEnd w:id="1522"/>
      <w:bookmarkEnd w:id="1523"/>
    </w:p>
    <w:p>
      <w:pPr>
        <w:pStyle w:val="nzSubsection"/>
        <w:keepNext/>
      </w:pPr>
      <w:r>
        <w:tab/>
      </w:r>
      <w:r>
        <w:tab/>
        <w:t xml:space="preserve">In this Act, unless the contrary intention appears — </w:t>
      </w:r>
    </w:p>
    <w:p>
      <w:pPr>
        <w:pStyle w:val="nzDefstart"/>
      </w:pPr>
      <w:r>
        <w:tab/>
      </w:r>
      <w:r>
        <w:rPr>
          <w:rStyle w:val="CharDefText"/>
          <w:snapToGrid/>
        </w:rPr>
        <w:t>appeal period</w:t>
      </w:r>
      <w:r>
        <w:rPr>
          <w:b/>
          <w:bCs/>
        </w:rPr>
        <w:t xml:space="preserve">, </w:t>
      </w:r>
      <w:r>
        <w:t>in relation to a forfeiture order, has the same meaning as in the repealed Act;</w:t>
      </w:r>
    </w:p>
    <w:p>
      <w:pPr>
        <w:pStyle w:val="nzDefstart"/>
      </w:pPr>
      <w:r>
        <w:tab/>
      </w:r>
      <w:r>
        <w:rPr>
          <w:rStyle w:val="CharDefText"/>
          <w:snapToGrid/>
        </w:rPr>
        <w:t>embargo notice</w:t>
      </w:r>
      <w:r>
        <w:t xml:space="preserve"> has the same meaning as in the repealed Part;</w:t>
      </w:r>
    </w:p>
    <w:p>
      <w:pPr>
        <w:pStyle w:val="nzDefstart"/>
      </w:pPr>
      <w:r>
        <w:tab/>
      </w:r>
      <w:r>
        <w:rPr>
          <w:rStyle w:val="CharDefText"/>
          <w:snapToGrid/>
        </w:rPr>
        <w:t>forfeiture order</w:t>
      </w:r>
      <w:r>
        <w:t xml:space="preserve"> has the same meaning as in the repealed Act;</w:t>
      </w:r>
    </w:p>
    <w:p>
      <w:pPr>
        <w:pStyle w:val="nzDefstart"/>
      </w:pPr>
      <w:r>
        <w:tab/>
      </w:r>
      <w:r>
        <w:rPr>
          <w:rStyle w:val="CharDefText"/>
          <w:snapToGrid/>
        </w:rPr>
        <w:t>holding order</w:t>
      </w:r>
      <w:r>
        <w:rPr>
          <w:b/>
          <w:bCs/>
        </w:rPr>
        <w:t xml:space="preserve"> </w:t>
      </w:r>
      <w:r>
        <w:t>has the same meaning as in the repealed Part;</w:t>
      </w:r>
    </w:p>
    <w:p>
      <w:pPr>
        <w:pStyle w:val="nzDefstart"/>
      </w:pPr>
      <w:r>
        <w:tab/>
      </w:r>
      <w:r>
        <w:rPr>
          <w:rStyle w:val="CharDefText"/>
          <w:snapToGrid/>
        </w:rPr>
        <w:t>interstate forfeiture order</w:t>
      </w:r>
      <w:r>
        <w:t xml:space="preserve"> has the same meaning as in the repealed Act;</w:t>
      </w:r>
    </w:p>
    <w:p>
      <w:pPr>
        <w:pStyle w:val="nzDefstart"/>
      </w:pPr>
      <w:r>
        <w:tab/>
      </w:r>
      <w:r>
        <w:rPr>
          <w:rStyle w:val="CharDefText"/>
          <w:snapToGrid/>
        </w:rPr>
        <w:t>interstate restraining order</w:t>
      </w:r>
      <w:r>
        <w:rPr>
          <w:b/>
          <w:bCs/>
        </w:rPr>
        <w:t xml:space="preserve"> </w:t>
      </w:r>
      <w:r>
        <w:t>has the same meaning as in the repealed Act;</w:t>
      </w:r>
    </w:p>
    <w:p>
      <w:pPr>
        <w:pStyle w:val="nzDefstart"/>
      </w:pPr>
      <w:r>
        <w:tab/>
      </w:r>
      <w:r>
        <w:rPr>
          <w:rStyle w:val="CharDefText"/>
          <w:snapToGrid/>
        </w:rPr>
        <w:t>repealed Act</w:t>
      </w:r>
      <w:r>
        <w:t xml:space="preserve"> means the </w:t>
      </w:r>
      <w:r>
        <w:rPr>
          <w:i/>
          <w:iCs/>
        </w:rPr>
        <w:t xml:space="preserve">Crimes (Confiscation of Profits) Act 1988 </w:t>
      </w:r>
      <w:r>
        <w:t>as in force before its repeal by section </w:t>
      </w:r>
      <w:bookmarkStart w:id="1524" w:name="_Hlt491586115"/>
      <w:r>
        <w:t>4</w:t>
      </w:r>
      <w:bookmarkEnd w:id="1524"/>
      <w:r>
        <w:t>;</w:t>
      </w:r>
    </w:p>
    <w:p>
      <w:pPr>
        <w:pStyle w:val="nzDefstart"/>
      </w:pPr>
      <w:r>
        <w:tab/>
      </w:r>
      <w:r>
        <w:rPr>
          <w:rStyle w:val="CharDefText"/>
          <w:snapToGrid/>
        </w:rPr>
        <w:t>repealed Part</w:t>
      </w:r>
      <w:r>
        <w:t xml:space="preserve"> means Part IV of the </w:t>
      </w:r>
      <w:r>
        <w:rPr>
          <w:i/>
          <w:iCs/>
        </w:rPr>
        <w:t>Misuse of Drugs Act 1981</w:t>
      </w:r>
      <w:r>
        <w:t xml:space="preserve"> as in force before its repeal by section </w:t>
      </w:r>
      <w:bookmarkStart w:id="1525" w:name="_Hlt491586161"/>
      <w:r>
        <w:t>5</w:t>
      </w:r>
      <w:bookmarkEnd w:id="1525"/>
      <w:r>
        <w:t>.</w:t>
      </w:r>
    </w:p>
    <w:p>
      <w:pPr>
        <w:pStyle w:val="nzHeading5"/>
      </w:pPr>
      <w:r>
        <w:t>6.</w:t>
      </w:r>
      <w:r>
        <w:tab/>
        <w:t>Applications to court under repealed law — savings</w:t>
      </w:r>
      <w:bookmarkEnd w:id="1521"/>
    </w:p>
    <w:p>
      <w:pPr>
        <w:pStyle w:val="nzSubsection"/>
      </w:pPr>
      <w:r>
        <w:tab/>
      </w:r>
      <w:r>
        <w:tab/>
        <w:t>If an application made to a court under the repealed Act or the repealed Part was not withdrawn, discontinued or otherwise finally determined before the commencement of this Act, the application may be dealt with on and after that commencement as if the repealed Act or the repealed Part had not been repealed.</w:t>
      </w:r>
    </w:p>
    <w:p>
      <w:pPr>
        <w:pStyle w:val="nzHeading5"/>
      </w:pPr>
      <w:bookmarkStart w:id="1526" w:name="_Toc492865685"/>
      <w:r>
        <w:t>7.</w:t>
      </w:r>
      <w:r>
        <w:tab/>
        <w:t>Court orders under repealed law — savings</w:t>
      </w:r>
      <w:bookmarkEnd w:id="1526"/>
    </w:p>
    <w:p>
      <w:pPr>
        <w:pStyle w:val="nzSubsection"/>
      </w:pPr>
      <w:r>
        <w:tab/>
        <w:t>(1)</w:t>
      </w:r>
      <w:r>
        <w:tab/>
        <w:t>If an order made by a court under the repealed Act or the repealed Part was in force immediately before the commencement of this Act, the order has effect on and after that commencement, and may be executed, varied, discharged, set aside or appealed against, as if the repealed Act or repealed Part had not been repealed.</w:t>
      </w:r>
    </w:p>
    <w:p>
      <w:pPr>
        <w:pStyle w:val="nzSubsection"/>
      </w:pPr>
      <w:r>
        <w:tab/>
        <w:t>(2)</w:t>
      </w:r>
      <w:r>
        <w:tab/>
        <w:t xml:space="preserve">If an interstate forfeiture order or interstate restraining order was registered under the repealed Act, and its registration was not cancelled before the commencement of this Act, Part 10 of the </w:t>
      </w:r>
      <w:r>
        <w:rPr>
          <w:i/>
        </w:rPr>
        <w:t>Criminal Property Confiscation Act 2000</w:t>
      </w:r>
      <w:r>
        <w:t xml:space="preserve"> applies, on and after that commencement, to the order and to any charge created under the repealed Act on the property to which the order relates, as if the order were an interstate confiscation order or interstate freezing order registered under section 118 of the </w:t>
      </w:r>
      <w:r>
        <w:rPr>
          <w:i/>
        </w:rPr>
        <w:t>Criminal Property Confiscation Act 2000</w:t>
      </w:r>
      <w:r>
        <w:t xml:space="preserve"> and as if the charge had been created under section 123 of the </w:t>
      </w:r>
      <w:r>
        <w:rPr>
          <w:i/>
        </w:rPr>
        <w:t>Criminal Property Confiscation Act 2000</w:t>
      </w:r>
      <w:r>
        <w:t>.</w:t>
      </w:r>
    </w:p>
    <w:p>
      <w:pPr>
        <w:pStyle w:val="nzHeading5"/>
      </w:pPr>
      <w:bookmarkStart w:id="1527" w:name="_Toc492865686"/>
      <w:r>
        <w:t>8.</w:t>
      </w:r>
      <w:r>
        <w:tab/>
        <w:t>Holding orders and embargo notices — savings</w:t>
      </w:r>
      <w:bookmarkEnd w:id="1527"/>
    </w:p>
    <w:p>
      <w:pPr>
        <w:pStyle w:val="nzSubsection"/>
      </w:pPr>
      <w:r>
        <w:tab/>
        <w:t>(1)</w:t>
      </w:r>
      <w:r>
        <w:tab/>
        <w:t>If a holding order or an embargo notice was in force under the repealed Part immediately before the commencement of this Act, the holding order or embargo notice has effect on and after that commencement, and the repealed Part continues to apply to the holding order or embargo notice, as if the repealed Part had not been repealed.</w:t>
      </w:r>
    </w:p>
    <w:p>
      <w:pPr>
        <w:pStyle w:val="nzSubsection"/>
      </w:pPr>
      <w:r>
        <w:tab/>
        <w:t>(2)</w:t>
      </w:r>
      <w:r>
        <w:tab/>
        <w:t xml:space="preserve">Without limiting subsection (1), if, immediately before the commencement of this Act, a person was entitled under section 19 of the </w:t>
      </w:r>
      <w:r>
        <w:rPr>
          <w:i/>
        </w:rPr>
        <w:t>Misuse of Drugs Act 1981</w:t>
      </w:r>
      <w:r>
        <w:t xml:space="preserve"> to apply for an order in respect of the property to which a holding order or embargo notice relates, the person may apply for the order after that commencement, and the application may be dealt with, as if the repealed Part had not been repealed.</w:t>
      </w:r>
    </w:p>
    <w:p>
      <w:pPr>
        <w:pStyle w:val="nzSubsection"/>
      </w:pPr>
      <w:r>
        <w:tab/>
        <w:t>(3)</w:t>
      </w:r>
      <w:r>
        <w:tab/>
        <w:t>However, subsection (2) does not entitle the person to apply for the order more than 21 days after the date of the holding order or embargo notice.</w:t>
      </w:r>
    </w:p>
    <w:p>
      <w:pPr>
        <w:pStyle w:val="nzHeading5"/>
      </w:pPr>
      <w:bookmarkStart w:id="1528" w:name="_Toc492865687"/>
      <w:r>
        <w:t>9.</w:t>
      </w:r>
      <w:r>
        <w:tab/>
        <w:t>Warrants issued under repealed law — savings</w:t>
      </w:r>
      <w:bookmarkEnd w:id="1528"/>
    </w:p>
    <w:p>
      <w:pPr>
        <w:pStyle w:val="nzSubsection"/>
      </w:pPr>
      <w:r>
        <w:tab/>
      </w:r>
      <w:r>
        <w:tab/>
        <w:t xml:space="preserve">If, immediately before the commencement of this Act, a warrant issued under the repealed Act or the repealed Part was capable of execution to any extent, then the warrant may be executed on and after that commencement, to that extent, as if the repealed Act or the repealed Part had not been repealed. </w:t>
      </w:r>
    </w:p>
    <w:p>
      <w:pPr>
        <w:pStyle w:val="nzHeading5"/>
      </w:pPr>
      <w:bookmarkStart w:id="1529" w:name="_Toc492865688"/>
      <w:r>
        <w:t>10.</w:t>
      </w:r>
      <w:r>
        <w:tab/>
        <w:t>Property subject to a forfeiture order</w:t>
      </w:r>
      <w:bookmarkEnd w:id="1529"/>
    </w:p>
    <w:p>
      <w:pPr>
        <w:pStyle w:val="nzSubsection"/>
      </w:pPr>
      <w:r>
        <w:tab/>
        <w:t>(1)</w:t>
      </w:r>
      <w:r>
        <w:tab/>
        <w:t xml:space="preserve">This section applies to property for which a forfeiture order was made under the repealed Act if — </w:t>
      </w:r>
    </w:p>
    <w:p>
      <w:pPr>
        <w:pStyle w:val="nzIndenta"/>
      </w:pPr>
      <w:r>
        <w:tab/>
        <w:t>(a)</w:t>
      </w:r>
      <w:r>
        <w:tab/>
        <w:t>the appeal period for the forfeiture order had not ended before the commencement of this Act; or</w:t>
      </w:r>
    </w:p>
    <w:p>
      <w:pPr>
        <w:pStyle w:val="nzIndenta"/>
      </w:pPr>
      <w:r>
        <w:tab/>
        <w:t>(b)</w:t>
      </w:r>
      <w:r>
        <w:tab/>
        <w:t>if the appeal period has ended (whether before or after the commencement of this Act), but the forfeiture order has not been discharged, and the property was not disposed of or otherwise dealt with under section 11(5) of the repealed Act before that commencement.</w:t>
      </w:r>
    </w:p>
    <w:p>
      <w:pPr>
        <w:pStyle w:val="nzSubsection"/>
      </w:pPr>
      <w:r>
        <w:tab/>
        <w:t>(2)</w:t>
      </w:r>
      <w:r>
        <w:tab/>
        <w:t>Sections 11(3), 11(4), 11(6), 12, 13 and 14 of the repealed Act continue to apply in relation to the forfeiture order and the property as if the repealed Act had not been repealed.</w:t>
      </w:r>
    </w:p>
    <w:p>
      <w:pPr>
        <w:pStyle w:val="nzSubsection"/>
      </w:pPr>
      <w:r>
        <w:tab/>
        <w:t>(3)</w:t>
      </w:r>
      <w:r>
        <w:tab/>
        <w:t xml:space="preserve">If the appeal period for the forfeiture order has not ended, sections 89, 90, 92 and 94 of the </w:t>
      </w:r>
      <w:r>
        <w:rPr>
          <w:i/>
        </w:rPr>
        <w:t xml:space="preserve">Criminal Property Confiscation Act 2000 </w:t>
      </w:r>
      <w:r>
        <w:t>apply to the property as if it were subject to a freezing order under that Act.</w:t>
      </w:r>
    </w:p>
    <w:p>
      <w:pPr>
        <w:pStyle w:val="nzSubsection"/>
      </w:pPr>
      <w:r>
        <w:tab/>
        <w:t>(4)</w:t>
      </w:r>
      <w:r>
        <w:tab/>
        <w:t xml:space="preserve">If the appeal period for the forfeiture order has ended, and the order has not been discharged — </w:t>
      </w:r>
    </w:p>
    <w:p>
      <w:pPr>
        <w:pStyle w:val="nzIndenta"/>
      </w:pPr>
      <w:r>
        <w:tab/>
        <w:t>(a)</w:t>
      </w:r>
      <w:r>
        <w:tab/>
        <w:t xml:space="preserve">sections 89, 90, 92 and 94 of the </w:t>
      </w:r>
      <w:r>
        <w:rPr>
          <w:i/>
        </w:rPr>
        <w:t xml:space="preserve">Criminal Property Confiscation Act 2000 </w:t>
      </w:r>
      <w:r>
        <w:t>apply to the property as if it had been confiscated under that Act; and</w:t>
      </w:r>
    </w:p>
    <w:p>
      <w:pPr>
        <w:pStyle w:val="nzIndenta"/>
      </w:pPr>
      <w:r>
        <w:tab/>
        <w:t>(b)</w:t>
      </w:r>
      <w:r>
        <w:tab/>
        <w:t xml:space="preserve">if the property has vested in the Crown, whether under clause 11(3)(b) or under the repealed Act, the property is to be disposed of as if it had been confiscated under the </w:t>
      </w:r>
      <w:r>
        <w:rPr>
          <w:i/>
        </w:rPr>
        <w:t>Criminal Property Confiscation Act 2000</w:t>
      </w:r>
      <w:r>
        <w:t>.</w:t>
      </w:r>
    </w:p>
    <w:p>
      <w:pPr>
        <w:pStyle w:val="nzSubsection"/>
      </w:pPr>
      <w:r>
        <w:tab/>
        <w:t>(5)</w:t>
      </w:r>
      <w:r>
        <w:tab/>
        <w:t>The following are to be paid into the Confiscation Proceeds Account established under section 130 of the</w:t>
      </w:r>
      <w:r>
        <w:rPr>
          <w:i/>
        </w:rPr>
        <w:t xml:space="preserve"> Criminal Property Confiscation Act 2000</w:t>
      </w:r>
      <w:r>
        <w:t xml:space="preserve"> — </w:t>
      </w:r>
    </w:p>
    <w:p>
      <w:pPr>
        <w:pStyle w:val="nzIndenta"/>
      </w:pPr>
      <w:r>
        <w:tab/>
        <w:t>(a)</w:t>
      </w:r>
      <w:r>
        <w:tab/>
        <w:t>subject to section 11(4) of the repealed Act as continued by subsection (2), any money vested in the Crown under section 11 of the repealed Act that has not been disposed of or otherwise dealt with under the repealed Act;</w:t>
      </w:r>
    </w:p>
    <w:p>
      <w:pPr>
        <w:pStyle w:val="nzIndenta"/>
      </w:pPr>
      <w:r>
        <w:tab/>
        <w:t>(b)</w:t>
      </w:r>
      <w:r>
        <w:tab/>
        <w:t>any proceeds obtained by the Crown after the commencement of this Act from the disposal of property under the repealed Act;</w:t>
      </w:r>
    </w:p>
    <w:p>
      <w:pPr>
        <w:pStyle w:val="nzIndenta"/>
      </w:pPr>
      <w:r>
        <w:tab/>
        <w:t>(c)</w:t>
      </w:r>
      <w:r>
        <w:tab/>
        <w:t xml:space="preserve">any proceeds obtained from the disposal of property under subsection (4)(b). </w:t>
      </w:r>
    </w:p>
    <w:p>
      <w:pPr>
        <w:pStyle w:val="nzSubsection"/>
      </w:pPr>
      <w:r>
        <w:tab/>
        <w:t>(6)</w:t>
      </w:r>
      <w:r>
        <w:tab/>
        <w:t>Nothing in this section limits the generality of section 7(1) in its application to a forfeiture order.</w:t>
      </w:r>
    </w:p>
    <w:p>
      <w:pPr>
        <w:pStyle w:val="nzHeading5"/>
      </w:pPr>
      <w:bookmarkStart w:id="1530" w:name="_Toc492865689"/>
      <w:r>
        <w:t>11.</w:t>
      </w:r>
      <w:r>
        <w:tab/>
        <w:t>Real property subject to forfeiture order</w:t>
      </w:r>
      <w:bookmarkEnd w:id="1530"/>
    </w:p>
    <w:p>
      <w:pPr>
        <w:pStyle w:val="nzSubsection"/>
      </w:pPr>
      <w:r>
        <w:tab/>
        <w:t>(1)</w:t>
      </w:r>
      <w:r>
        <w:tab/>
        <w:t xml:space="preserve">If property to which section 10 applies is land registered under the </w:t>
      </w:r>
      <w:r>
        <w:rPr>
          <w:i/>
        </w:rPr>
        <w:t>Transfer of Land Act 1893</w:t>
      </w:r>
      <w:r>
        <w:t>, then, without limiting the application of section 10 to the property, this section also applies to the property.</w:t>
      </w:r>
    </w:p>
    <w:p>
      <w:pPr>
        <w:pStyle w:val="nzSubsection"/>
      </w:pPr>
      <w:r>
        <w:tab/>
        <w:t>(2)</w:t>
      </w:r>
      <w:r>
        <w:tab/>
        <w:t>If the property has not vested in the Crown under section 11 of the repealed Act, the Director of Public Prosecutions may lodge with the Registrar of Titles a memorial of the forfeiture order in a form approved by the Registrar.</w:t>
      </w:r>
    </w:p>
    <w:p>
      <w:pPr>
        <w:pStyle w:val="nzSubsection"/>
      </w:pPr>
      <w:r>
        <w:tab/>
        <w:t>(3)</w:t>
      </w:r>
      <w:r>
        <w:tab/>
        <w:t xml:space="preserve">When a memorial is lodged under subsection (2) — </w:t>
      </w:r>
    </w:p>
    <w:p>
      <w:pPr>
        <w:pStyle w:val="nzIndenta"/>
      </w:pPr>
      <w:r>
        <w:tab/>
        <w:t>(a)</w:t>
      </w:r>
      <w:r>
        <w:tab/>
        <w:t>the Registrar of Titles is to register the memorial;</w:t>
      </w:r>
    </w:p>
    <w:p>
      <w:pPr>
        <w:pStyle w:val="nzIndenta"/>
      </w:pPr>
      <w:r>
        <w:tab/>
        <w:t>(b)</w:t>
      </w:r>
      <w:r>
        <w:tab/>
        <w:t>on the registration of the memorial, the property vests in the State of Western Australia free from all interests, whether registered or not, including trusts, mortgages, charges, obligations and estates (except rights</w:t>
      </w:r>
      <w:r>
        <w:noBreakHyphen/>
        <w:t>of</w:t>
      </w:r>
      <w:r>
        <w:noBreakHyphen/>
        <w:t>way, easements and restrictive covenants);</w:t>
      </w:r>
    </w:p>
    <w:p>
      <w:pPr>
        <w:pStyle w:val="nzIndenta"/>
      </w:pPr>
      <w:r>
        <w:tab/>
        <w:t>(c)</w:t>
      </w:r>
      <w:r>
        <w:tab/>
        <w:t>any caveat in force in relation to the property is taken to have been withdrawn; and</w:t>
      </w:r>
    </w:p>
    <w:p>
      <w:pPr>
        <w:pStyle w:val="nzIndenta"/>
      </w:pPr>
      <w:r>
        <w:tab/>
        <w:t>(d)</w:t>
      </w:r>
      <w:r>
        <w:tab/>
        <w:t>the title in the property passes to the State.</w:t>
      </w:r>
    </w:p>
    <w:p>
      <w:pPr>
        <w:pStyle w:val="nzSubsection"/>
      </w:pPr>
      <w:r>
        <w:tab/>
        <w:t>(4)</w:t>
      </w:r>
      <w:r>
        <w:tab/>
        <w:t xml:space="preserve">When a memorial is lodged under subsection (2) then, in addition to registering the memorial, the Registrar of Titles is to — </w:t>
      </w:r>
    </w:p>
    <w:p>
      <w:pPr>
        <w:pStyle w:val="nzIndenta"/>
      </w:pPr>
      <w:r>
        <w:tab/>
        <w:t>(a)</w:t>
      </w:r>
      <w:r>
        <w:tab/>
        <w:t xml:space="preserve">register the State of </w:t>
      </w:r>
      <w:smartTag w:uri="urn:schemas-microsoft-com:office:smarttags" w:element="place">
        <w:smartTag w:uri="urn:schemas-microsoft-com:office:smarttags" w:element="State">
          <w:r>
            <w:t>Western Australia</w:t>
          </w:r>
        </w:smartTag>
      </w:smartTag>
      <w:r>
        <w:t xml:space="preserve"> as the proprietor of the property; and</w:t>
      </w:r>
    </w:p>
    <w:p>
      <w:pPr>
        <w:pStyle w:val="nzIndenta"/>
      </w:pPr>
      <w:r>
        <w:tab/>
        <w:t>(b)</w:t>
      </w:r>
      <w:r>
        <w:tab/>
        <w:t>endorse the certificate of title of the property to the effect that, when the memorial was registered, the property ceased to be subject to or affected by any interests recorded on the certificate of title, including caveats, mortgages, charges, obligations and estates (except rights</w:t>
      </w:r>
      <w:r>
        <w:noBreakHyphen/>
        <w:t>of</w:t>
      </w:r>
      <w:r>
        <w:noBreakHyphen/>
        <w:t>way, easements and restrictive covenants) to which it was subject immediately before the registration of the memorial, or by which it was affected immediately before the registration of the memorial.</w:t>
      </w:r>
    </w:p>
    <w:p>
      <w:pPr>
        <w:pStyle w:val="nzSubsection"/>
      </w:pPr>
      <w:r>
        <w:tab/>
        <w:t>(5)</w:t>
      </w:r>
      <w:r>
        <w:tab/>
        <w:t xml:space="preserve">The Registrar of Titles may dispense with the production of any duplicate certificate of title or any duplicate instrument for the purposes of entering on the duplicate certificate or duplicate instrument any memorandum that would, but for this subsection, be required to be entered under the </w:t>
      </w:r>
      <w:r>
        <w:rPr>
          <w:i/>
        </w:rPr>
        <w:t>Transfer of Land Act 1893</w:t>
      </w:r>
      <w:r>
        <w:t xml:space="preserve"> as a result of registering a memorial under subsection (3) or of doing anything else required or permitted by this section.</w:t>
      </w:r>
    </w:p>
    <w:p>
      <w:pPr>
        <w:pStyle w:val="nzSubsection"/>
      </w:pPr>
      <w:r>
        <w:tab/>
        <w:t>(6)</w:t>
      </w:r>
      <w:r>
        <w:tab/>
        <w:t xml:space="preserve">If, under subsection (5), the Registrar of Titles dispenses with the production of a duplicate certificate of title or duplicate instrument — </w:t>
      </w:r>
    </w:p>
    <w:p>
      <w:pPr>
        <w:pStyle w:val="nzIndenta"/>
      </w:pPr>
      <w:r>
        <w:tab/>
        <w:t>(a)</w:t>
      </w:r>
      <w:r>
        <w:tab/>
        <w:t>the Registrar must endorse the certificate of title to the effect that the memorandum concerned has not been entered on the duplicate certificate of title or the duplicate instrument; and</w:t>
      </w:r>
    </w:p>
    <w:p>
      <w:pPr>
        <w:pStyle w:val="nzIndenta"/>
      </w:pPr>
      <w:r>
        <w:tab/>
        <w:t>(b)</w:t>
      </w:r>
      <w:r>
        <w:tab/>
        <w:t>any subsequent dealing in the property has effect as if the memorandum had been entered on the duplicate certificate of title or the duplicate instrument.</w:t>
      </w:r>
    </w:p>
    <w:p>
      <w:pPr>
        <w:pStyle w:val="nzSubsection"/>
      </w:pPr>
      <w:r>
        <w:tab/>
        <w:t>(7)</w:t>
      </w:r>
      <w:r>
        <w:tab/>
        <w:t>If, under subsection (5), the Registrar of Titles dispenses with the production of a duplicate certificate of title, then, on the application of the registered proprietor, the Registrar may cancel the certificate of title for which the duplicate was issued, and create and register a new certificate of title for the property.</w:t>
      </w:r>
    </w:p>
    <w:p>
      <w:pPr>
        <w:pStyle w:val="nzSubsection"/>
      </w:pPr>
      <w:r>
        <w:tab/>
        <w:t>(8)</w:t>
      </w:r>
      <w:r>
        <w:tab/>
        <w:t>The Registrar of Titles is not required to obtain the consent or direction of the Commissioner of Titles to perform a function conferred on the Registrar under this section.</w:t>
      </w:r>
    </w:p>
    <w:p>
      <w:pPr>
        <w:pStyle w:val="nzSubsection"/>
      </w:pPr>
      <w:r>
        <w:tab/>
        <w:t>(9)</w:t>
      </w:r>
      <w:r>
        <w:tab/>
        <w:t xml:space="preserve">To the extent that a provision of this section relating to any property is inconsistent with the </w:t>
      </w:r>
      <w:r>
        <w:rPr>
          <w:i/>
        </w:rPr>
        <w:t>Transfer of Land Act 1983</w:t>
      </w:r>
      <w:r>
        <w:rPr>
          <w:i/>
          <w:vertAlign w:val="superscript"/>
        </w:rPr>
        <w:t> </w:t>
      </w:r>
      <w:r>
        <w:rPr>
          <w:iCs/>
          <w:vertAlign w:val="superscript"/>
        </w:rPr>
        <w:t>5</w:t>
      </w:r>
      <w:r>
        <w:rPr>
          <w:iCs/>
        </w:rPr>
        <w:t>,</w:t>
      </w:r>
      <w:r>
        <w:t xml:space="preserve"> the provision prevails, but this section does not otherwise affect the operation of that Act in relation to the property. </w:t>
      </w:r>
    </w:p>
    <w:p>
      <w:pPr>
        <w:pStyle w:val="BlankClose"/>
      </w:pPr>
    </w:p>
    <w:p>
      <w:pPr>
        <w:pStyle w:val="nSubsection"/>
      </w:pPr>
      <w:r>
        <w:rPr>
          <w:vertAlign w:val="superscript"/>
        </w:rPr>
        <w:t>5</w:t>
      </w:r>
      <w:r>
        <w:tab/>
        <w:t>This should read “</w:t>
      </w:r>
      <w:r>
        <w:rPr>
          <w:i/>
          <w:iCs/>
        </w:rPr>
        <w:t>1893</w:t>
      </w:r>
      <w:r>
        <w:t>”.</w:t>
      </w:r>
    </w:p>
    <w:p>
      <w:pPr>
        <w:pStyle w:val="nSubsection"/>
        <w:keepNext/>
        <w:ind w:left="480" w:hanging="480"/>
        <w:rPr>
          <w:snapToGrid w:val="0"/>
        </w:rPr>
      </w:pPr>
      <w:bookmarkStart w:id="1531" w:name="_Toc106600738"/>
      <w:r>
        <w:rPr>
          <w:snapToGrid w:val="0"/>
          <w:vertAlign w:val="superscript"/>
        </w:rPr>
        <w:t>6</w:t>
      </w:r>
      <w:r>
        <w:rPr>
          <w:snapToGrid w:val="0"/>
        </w:rPr>
        <w:tab/>
      </w:r>
      <w:r>
        <w:t xml:space="preserve">On the date as at which this compilation was prepared, </w:t>
      </w:r>
      <w:r>
        <w:rPr>
          <w:snapToGrid w:val="0"/>
        </w:rPr>
        <w:t xml:space="preserve">the </w:t>
      </w:r>
      <w:r>
        <w:rPr>
          <w:i/>
          <w:snapToGrid w:val="0"/>
        </w:rPr>
        <w:t>Misuse of Drugs Amendment Act 2011</w:t>
      </w:r>
      <w:r>
        <w:rPr>
          <w:snapToGrid w:val="0"/>
        </w:rPr>
        <w:t xml:space="preserve"> s. 5-8 had not come into operation.  They read as follows:</w:t>
      </w:r>
    </w:p>
    <w:p>
      <w:pPr>
        <w:pStyle w:val="BlankOpen"/>
      </w:pPr>
    </w:p>
    <w:p>
      <w:pPr>
        <w:pStyle w:val="nzHeading2"/>
      </w:pPr>
      <w:bookmarkStart w:id="1532" w:name="_Toc301276551"/>
      <w:bookmarkStart w:id="1533" w:name="_Toc301276572"/>
      <w:bookmarkStart w:id="1534" w:name="_Toc301341031"/>
      <w:bookmarkStart w:id="1535" w:name="_Toc304417018"/>
      <w:bookmarkStart w:id="1536" w:name="_Toc304417039"/>
      <w:bookmarkStart w:id="1537" w:name="_Toc304417272"/>
      <w:bookmarkStart w:id="1538" w:name="_Toc304417293"/>
      <w:bookmarkStart w:id="1539" w:name="_Toc304453084"/>
      <w:bookmarkStart w:id="1540" w:name="_Toc304453105"/>
      <w:bookmarkStart w:id="1541" w:name="_Toc308705118"/>
      <w:bookmarkStart w:id="1542" w:name="_Toc308705139"/>
      <w:bookmarkStart w:id="1543" w:name="_Toc309058364"/>
      <w:bookmarkStart w:id="1544" w:name="_Toc309113238"/>
      <w:bookmarkStart w:id="1545" w:name="_Toc309113313"/>
      <w:bookmarkStart w:id="1546" w:name="_Toc309194702"/>
      <w:bookmarkStart w:id="1547" w:name="_Toc309194726"/>
      <w:bookmarkStart w:id="1548" w:name="_Toc309717647"/>
      <w:bookmarkStart w:id="1549" w:name="_Toc309719426"/>
      <w:bookmarkStart w:id="1550" w:name="_Toc309719466"/>
      <w:r>
        <w:rPr>
          <w:rStyle w:val="CharPartNo"/>
        </w:rPr>
        <w:t>Part 2</w:t>
      </w:r>
      <w:r>
        <w:rPr>
          <w:rStyle w:val="CharDivNo"/>
        </w:rPr>
        <w:t> </w:t>
      </w:r>
      <w:r>
        <w:t>—</w:t>
      </w:r>
      <w:r>
        <w:rPr>
          <w:rStyle w:val="CharDivText"/>
        </w:rPr>
        <w:t> </w:t>
      </w:r>
      <w:r>
        <w:rPr>
          <w:rStyle w:val="CharPartText"/>
          <w:i/>
        </w:rPr>
        <w:t>Misuse of Drugs Act 1981</w:t>
      </w:r>
      <w:r>
        <w:rPr>
          <w:rStyle w:val="CharPartText"/>
        </w:rPr>
        <w:t xml:space="preserve"> amended</w:t>
      </w:r>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p>
    <w:p>
      <w:pPr>
        <w:pStyle w:val="nzHeading5"/>
      </w:pPr>
      <w:bookmarkStart w:id="1551" w:name="_Toc309719429"/>
      <w:bookmarkStart w:id="1552" w:name="_Toc309719469"/>
      <w:r>
        <w:rPr>
          <w:rStyle w:val="CharSectno"/>
        </w:rPr>
        <w:t>5</w:t>
      </w:r>
      <w:r>
        <w:t>.</w:t>
      </w:r>
      <w:r>
        <w:tab/>
        <w:t>Section 5 amended</w:t>
      </w:r>
      <w:bookmarkEnd w:id="1551"/>
      <w:bookmarkEnd w:id="1552"/>
    </w:p>
    <w:p>
      <w:pPr>
        <w:pStyle w:val="nzSubsection"/>
      </w:pPr>
      <w:r>
        <w:tab/>
        <w:t>(1)</w:t>
      </w:r>
      <w:r>
        <w:tab/>
        <w:t>Delete section 5(1)(d).</w:t>
      </w:r>
    </w:p>
    <w:p>
      <w:pPr>
        <w:pStyle w:val="nzSubsection"/>
      </w:pPr>
      <w:r>
        <w:tab/>
        <w:t>(2)</w:t>
      </w:r>
      <w:r>
        <w:tab/>
        <w:t>Delete section 5(3).</w:t>
      </w:r>
    </w:p>
    <w:p>
      <w:pPr>
        <w:pStyle w:val="nzHeading5"/>
      </w:pPr>
      <w:bookmarkStart w:id="1553" w:name="_Toc309719430"/>
      <w:bookmarkStart w:id="1554" w:name="_Toc309719470"/>
      <w:r>
        <w:rPr>
          <w:rStyle w:val="CharSectno"/>
        </w:rPr>
        <w:t>6</w:t>
      </w:r>
      <w:r>
        <w:t>.</w:t>
      </w:r>
      <w:r>
        <w:tab/>
        <w:t>Section 7B inserted</w:t>
      </w:r>
      <w:bookmarkEnd w:id="1553"/>
      <w:bookmarkEnd w:id="1554"/>
    </w:p>
    <w:p>
      <w:pPr>
        <w:pStyle w:val="nzSubsection"/>
      </w:pPr>
      <w:r>
        <w:tab/>
      </w:r>
      <w:r>
        <w:tab/>
        <w:t>After section 7A insert:</w:t>
      </w:r>
    </w:p>
    <w:p>
      <w:pPr>
        <w:pStyle w:val="BlankOpen"/>
      </w:pPr>
    </w:p>
    <w:p>
      <w:pPr>
        <w:pStyle w:val="nzHeading5"/>
      </w:pPr>
      <w:bookmarkStart w:id="1555" w:name="_Toc309719431"/>
      <w:bookmarkStart w:id="1556" w:name="_Toc309719471"/>
      <w:r>
        <w:t>7B.</w:t>
      </w:r>
      <w:r>
        <w:tab/>
        <w:t>Drug paraphernalia, offences as to</w:t>
      </w:r>
      <w:bookmarkEnd w:id="1555"/>
      <w:bookmarkEnd w:id="1556"/>
    </w:p>
    <w:p>
      <w:pPr>
        <w:pStyle w:val="nzSubsection"/>
      </w:pPr>
      <w:r>
        <w:tab/>
        <w:t>(1)</w:t>
      </w:r>
      <w:r>
        <w:tab/>
        <w:t>In this section —</w:t>
      </w:r>
    </w:p>
    <w:p>
      <w:pPr>
        <w:pStyle w:val="nzDefstart"/>
      </w:pPr>
      <w:r>
        <w:tab/>
      </w:r>
      <w:r>
        <w:rPr>
          <w:rStyle w:val="CharDefText"/>
        </w:rPr>
        <w:t>display</w:t>
      </w:r>
      <w:r>
        <w:t>, in relation to drug paraphernalia, includes to authorise or allow drug paraphernalia to be displayed;</w:t>
      </w:r>
    </w:p>
    <w:p>
      <w:pPr>
        <w:pStyle w:val="nzDefstart"/>
      </w:pPr>
      <w:r>
        <w:tab/>
      </w:r>
      <w:r>
        <w:rPr>
          <w:rStyle w:val="CharDefText"/>
        </w:rPr>
        <w:t>drug paraphernalia</w:t>
      </w:r>
      <w:r>
        <w:t xml:space="preserve"> means —</w:t>
      </w:r>
    </w:p>
    <w:p>
      <w:pPr>
        <w:pStyle w:val="nzDefpara"/>
      </w:pPr>
      <w:r>
        <w:tab/>
        <w:t>(a)</w:t>
      </w:r>
      <w:r>
        <w:tab/>
        <w:t>any thing made or modified to be used in connection with manufacturing or preparing a prohibited drug or a prohibited plant —</w:t>
      </w:r>
    </w:p>
    <w:p>
      <w:pPr>
        <w:pStyle w:val="nzDefsubpara"/>
      </w:pPr>
      <w:r>
        <w:tab/>
        <w:t>(i)</w:t>
      </w:r>
      <w:r>
        <w:tab/>
        <w:t>for administration to a person; or</w:t>
      </w:r>
    </w:p>
    <w:p>
      <w:pPr>
        <w:pStyle w:val="nzDefsubpara"/>
      </w:pPr>
      <w:r>
        <w:tab/>
        <w:t>(ii)</w:t>
      </w:r>
      <w:r>
        <w:tab/>
        <w:t>for smoking, inhaling or ingesting by a person; or</w:t>
      </w:r>
    </w:p>
    <w:p>
      <w:pPr>
        <w:pStyle w:val="nzDefsubpara"/>
      </w:pPr>
      <w:r>
        <w:tab/>
        <w:t>(iii)</w:t>
      </w:r>
      <w:r>
        <w:tab/>
        <w:t>to be burned or heated so its smoke or fumes can be smoked or inhaled by a person;</w:t>
      </w:r>
    </w:p>
    <w:p>
      <w:pPr>
        <w:pStyle w:val="nzDefpara"/>
      </w:pPr>
      <w:r>
        <w:tab/>
      </w:r>
      <w:r>
        <w:tab/>
        <w:t>or</w:t>
      </w:r>
    </w:p>
    <w:p>
      <w:pPr>
        <w:pStyle w:val="nzDefpara"/>
      </w:pPr>
      <w:r>
        <w:tab/>
        <w:t>(b)</w:t>
      </w:r>
      <w:r>
        <w:tab/>
        <w:t>any thing made or modified to be used by a person —</w:t>
      </w:r>
    </w:p>
    <w:p>
      <w:pPr>
        <w:pStyle w:val="nzDefsubpara"/>
      </w:pPr>
      <w:r>
        <w:tab/>
        <w:t>(i)</w:t>
      </w:r>
      <w:r>
        <w:tab/>
        <w:t>to administer a prohibited drug or a prohibited plant to a person; or</w:t>
      </w:r>
    </w:p>
    <w:p>
      <w:pPr>
        <w:pStyle w:val="nzDefsubpara"/>
      </w:pPr>
      <w:r>
        <w:tab/>
        <w:t>(ii)</w:t>
      </w:r>
      <w:r>
        <w:tab/>
        <w:t>to smoke, inhale or ingest a prohibited drug or a prohibited plant; or</w:t>
      </w:r>
    </w:p>
    <w:p>
      <w:pPr>
        <w:pStyle w:val="nzDefsubpara"/>
      </w:pPr>
      <w:r>
        <w:tab/>
        <w:t>(iii)</w:t>
      </w:r>
      <w:r>
        <w:tab/>
        <w:t>to smoke or inhale the smoke or fumes resulting from burning or heating a prohibited drug or a prohibited plant.</w:t>
      </w:r>
    </w:p>
    <w:p>
      <w:pPr>
        <w:pStyle w:val="nzSubsection"/>
      </w:pPr>
      <w:r>
        <w:tab/>
        <w:t>(2)</w:t>
      </w:r>
      <w:r>
        <w:tab/>
        <w:t>A person who displays any drug paraphernalia for sale in a retail outlet commits a simple offence.</w:t>
      </w:r>
    </w:p>
    <w:p>
      <w:pPr>
        <w:pStyle w:val="nzPenstart"/>
      </w:pPr>
      <w:r>
        <w:tab/>
        <w:t>Penalty: a fine of $10 000.</w:t>
      </w:r>
    </w:p>
    <w:p>
      <w:pPr>
        <w:pStyle w:val="nzSubsection"/>
      </w:pPr>
      <w:r>
        <w:tab/>
        <w:t>(3)</w:t>
      </w:r>
      <w:r>
        <w:tab/>
        <w:t>A person who sells any drug paraphernalia to an adult commits a simple offence.</w:t>
      </w:r>
    </w:p>
    <w:p>
      <w:pPr>
        <w:pStyle w:val="nzPenstart"/>
      </w:pPr>
      <w:r>
        <w:tab/>
        <w:t>Penalty: a fine of $10 000.</w:t>
      </w:r>
    </w:p>
    <w:p>
      <w:pPr>
        <w:pStyle w:val="nzSubsection"/>
      </w:pPr>
      <w:r>
        <w:tab/>
        <w:t>(4)</w:t>
      </w:r>
      <w:r>
        <w:tab/>
        <w:t>A person who sells any drug paraphernalia to a child commits a simple offence.</w:t>
      </w:r>
    </w:p>
    <w:p>
      <w:pPr>
        <w:pStyle w:val="nzPenstart"/>
      </w:pPr>
      <w:r>
        <w:tab/>
        <w:t>Penalty: a fine of $24 000 or imprisonment for 2 years or both.</w:t>
      </w:r>
    </w:p>
    <w:p>
      <w:pPr>
        <w:pStyle w:val="nzSubsection"/>
      </w:pPr>
      <w:r>
        <w:tab/>
        <w:t>(5)</w:t>
      </w:r>
      <w:r>
        <w:tab/>
        <w:t>It is a defence to a charge of an offence under subsection (2), (3) or (4) to prove —</w:t>
      </w:r>
    </w:p>
    <w:p>
      <w:pPr>
        <w:pStyle w:val="nzIndenta"/>
      </w:pPr>
      <w:r>
        <w:tab/>
        <w:t>(a)</w:t>
      </w:r>
      <w:r>
        <w:tab/>
        <w:t>the accused was a person prescribed; or</w:t>
      </w:r>
    </w:p>
    <w:p>
      <w:pPr>
        <w:pStyle w:val="nzIndenta"/>
      </w:pPr>
      <w:r>
        <w:tab/>
        <w:t>(b)</w:t>
      </w:r>
      <w:r>
        <w:tab/>
        <w:t>the drug paraphernalia displayed or sold was a thing prescribed or of a class prescribed; or</w:t>
      </w:r>
    </w:p>
    <w:p>
      <w:pPr>
        <w:pStyle w:val="nzIndenta"/>
      </w:pPr>
      <w:r>
        <w:tab/>
        <w:t>(c)</w:t>
      </w:r>
      <w:r>
        <w:tab/>
        <w:t>the display or sale occurred in circumstances prescribed,</w:t>
      </w:r>
    </w:p>
    <w:p>
      <w:pPr>
        <w:pStyle w:val="nzSubsection"/>
      </w:pPr>
      <w:r>
        <w:tab/>
      </w:r>
      <w:r>
        <w:tab/>
        <w:t>for the purposes of that subsection.</w:t>
      </w:r>
    </w:p>
    <w:p>
      <w:pPr>
        <w:pStyle w:val="nzSubsection"/>
      </w:pPr>
      <w:r>
        <w:tab/>
        <w:t>(6)</w:t>
      </w:r>
      <w:r>
        <w:tab/>
        <w:t>A person who is in possession of any drug paraphernalia in or on which there is a prohibited drug or a prohibited plant commits a simple offence.</w:t>
      </w:r>
    </w:p>
    <w:p>
      <w:pPr>
        <w:pStyle w:val="nzPenstart"/>
      </w:pPr>
      <w:r>
        <w:tab/>
        <w:t>Penalty: a fine of $36 000 or imprisonment for 3 years or both.</w:t>
      </w:r>
    </w:p>
    <w:p>
      <w:pPr>
        <w:pStyle w:val="nzSubsection"/>
      </w:pPr>
      <w:r>
        <w:tab/>
        <w:t>(7)</w:t>
      </w:r>
      <w:r>
        <w:tab/>
        <w:t>It is a defence to a charge of an offence under subsection (6) to prove —</w:t>
      </w:r>
    </w:p>
    <w:p>
      <w:pPr>
        <w:pStyle w:val="nzIndenta"/>
      </w:pPr>
      <w:r>
        <w:tab/>
        <w:t>(a)</w:t>
      </w:r>
      <w:r>
        <w:tab/>
        <w:t xml:space="preserve">the accused was authorised by or under this Act or the </w:t>
      </w:r>
      <w:r>
        <w:rPr>
          <w:i/>
        </w:rPr>
        <w:t>Poisons Act 1964</w:t>
      </w:r>
      <w:r>
        <w:t xml:space="preserve"> to possess the prohibited drug or prohibited plant; or</w:t>
      </w:r>
    </w:p>
    <w:p>
      <w:pPr>
        <w:pStyle w:val="nzIndenta"/>
      </w:pPr>
      <w:r>
        <w:tab/>
        <w:t>(b)</w:t>
      </w:r>
      <w:r>
        <w:tab/>
        <w:t>the accused had possession of the drug paraphernalia —</w:t>
      </w:r>
    </w:p>
    <w:p>
      <w:pPr>
        <w:pStyle w:val="nzIndenti"/>
      </w:pPr>
      <w:r>
        <w:tab/>
        <w:t>(i)</w:t>
      </w:r>
      <w:r>
        <w:tab/>
        <w:t xml:space="preserve">only for the purpose of delivering it to a person authorised under this Act or the </w:t>
      </w:r>
      <w:r>
        <w:rPr>
          <w:i/>
        </w:rPr>
        <w:t>Poisons Act 1964</w:t>
      </w:r>
      <w:r>
        <w:t xml:space="preserve"> to have possession of any prohibited drug or prohibited plant in or on it; and</w:t>
      </w:r>
    </w:p>
    <w:p>
      <w:pPr>
        <w:pStyle w:val="nzIndenti"/>
      </w:pPr>
      <w:r>
        <w:tab/>
        <w:t>(ii)</w:t>
      </w:r>
      <w:r>
        <w:tab/>
        <w:t>in accordance with the authority in writing of the person so authorised,</w:t>
      </w:r>
    </w:p>
    <w:p>
      <w:pPr>
        <w:pStyle w:val="nzIndenta"/>
      </w:pPr>
      <w:r>
        <w:tab/>
      </w:r>
      <w:r>
        <w:tab/>
        <w:t>and that, after taking possession of the drug paraphernalia, the accused took all such steps as were reasonably open to the accused to deliver it into the possession of that person; or</w:t>
      </w:r>
    </w:p>
    <w:p>
      <w:pPr>
        <w:pStyle w:val="nzIndenta"/>
      </w:pPr>
      <w:r>
        <w:tab/>
        <w:t>(c)</w:t>
      </w:r>
      <w:r>
        <w:tab/>
        <w:t>the accused had possession of the drug paraphernalia only for the purpose of analysing material in or on it, examining it or otherwise dealing with it for the purposes of this Act in his or her capacity as an analyst, botanist or other expert.</w:t>
      </w:r>
    </w:p>
    <w:p>
      <w:pPr>
        <w:pStyle w:val="BlankClose"/>
      </w:pPr>
    </w:p>
    <w:p>
      <w:pPr>
        <w:pStyle w:val="nzHeading5"/>
      </w:pPr>
      <w:bookmarkStart w:id="1557" w:name="_Toc309719432"/>
      <w:bookmarkStart w:id="1558" w:name="_Toc309719472"/>
      <w:r>
        <w:rPr>
          <w:rStyle w:val="CharSectno"/>
        </w:rPr>
        <w:t>7</w:t>
      </w:r>
      <w:r>
        <w:t>.</w:t>
      </w:r>
      <w:r>
        <w:tab/>
        <w:t>Section 8B amended</w:t>
      </w:r>
      <w:bookmarkEnd w:id="1557"/>
      <w:bookmarkEnd w:id="1558"/>
    </w:p>
    <w:p>
      <w:pPr>
        <w:pStyle w:val="nzSubsection"/>
      </w:pPr>
      <w:r>
        <w:tab/>
      </w:r>
      <w:r>
        <w:tab/>
        <w:t xml:space="preserve">In section 8B(1) in the definition of </w:t>
      </w:r>
      <w:r>
        <w:rPr>
          <w:b/>
          <w:i/>
        </w:rPr>
        <w:t xml:space="preserve">minor cannabis related offence </w:t>
      </w:r>
      <w:r>
        <w:t>paragraph (a) after “section 5(1)(d)(i)” insert:</w:t>
      </w:r>
    </w:p>
    <w:p>
      <w:pPr>
        <w:pStyle w:val="BlankOpen"/>
      </w:pPr>
    </w:p>
    <w:p>
      <w:pPr>
        <w:pStyle w:val="nzSubsection"/>
      </w:pPr>
      <w:r>
        <w:tab/>
      </w:r>
      <w:r>
        <w:tab/>
        <w:t>or 7B(6)</w:t>
      </w:r>
    </w:p>
    <w:p>
      <w:pPr>
        <w:pStyle w:val="BlankClose"/>
      </w:pPr>
    </w:p>
    <w:p>
      <w:pPr>
        <w:pStyle w:val="nzHeading5"/>
      </w:pPr>
      <w:bookmarkStart w:id="1559" w:name="_Toc309719433"/>
      <w:bookmarkStart w:id="1560" w:name="_Toc309719473"/>
      <w:r>
        <w:rPr>
          <w:rStyle w:val="CharSectno"/>
        </w:rPr>
        <w:t>8</w:t>
      </w:r>
      <w:r>
        <w:t>.</w:t>
      </w:r>
      <w:r>
        <w:tab/>
        <w:t>Sections 19A and 19B deleted</w:t>
      </w:r>
      <w:bookmarkEnd w:id="1559"/>
      <w:bookmarkEnd w:id="1560"/>
    </w:p>
    <w:p>
      <w:pPr>
        <w:pStyle w:val="nzSubsection"/>
      </w:pPr>
      <w:r>
        <w:tab/>
      </w:r>
      <w:r>
        <w:tab/>
        <w:t>Delete sections 19A and 19B.</w:t>
      </w:r>
    </w:p>
    <w:p>
      <w:pPr>
        <w:pStyle w:val="BlankClose"/>
      </w:pPr>
    </w:p>
    <w:p>
      <w:pPr>
        <w:pStyle w:val="BlankClose"/>
      </w:pPr>
    </w:p>
    <w:p>
      <w:pPr>
        <w:pStyle w:val="nSubsection"/>
        <w:keepLines/>
        <w:spacing w:before="0"/>
        <w:rPr>
          <w:del w:id="1561" w:author="svcMRProcess" w:date="2018-09-06T00:44:00Z"/>
          <w:snapToGrid w:val="0"/>
        </w:rPr>
      </w:pPr>
      <w:del w:id="1562" w:author="svcMRProcess" w:date="2018-09-06T00:44:00Z">
        <w:r>
          <w:rPr>
            <w:snapToGrid w:val="0"/>
            <w:vertAlign w:val="superscript"/>
          </w:rPr>
          <w:delText>7</w:delText>
        </w:r>
        <w:r>
          <w:rPr>
            <w:snapToGrid w:val="0"/>
          </w:rPr>
          <w:tab/>
        </w:r>
        <w:r>
          <w:delText xml:space="preserve">On the date as at which this compilation was prepared, </w:delText>
        </w:r>
        <w:r>
          <w:rPr>
            <w:snapToGrid w:val="0"/>
          </w:rPr>
          <w:delText xml:space="preserve">the </w:delText>
        </w:r>
        <w:r>
          <w:rPr>
            <w:i/>
            <w:snapToGrid w:val="0"/>
          </w:rPr>
          <w:delText>Criminal Appeals Amendment (Double Jeopardy) Act 2012</w:delText>
        </w:r>
        <w:r>
          <w:rPr>
            <w:snapToGrid w:val="0"/>
          </w:rPr>
          <w:delText xml:space="preserve"> s. 10 had not come into operation.  It reads as follows:</w:delText>
        </w:r>
      </w:del>
    </w:p>
    <w:p>
      <w:pPr>
        <w:pStyle w:val="BlankOpen"/>
        <w:rPr>
          <w:del w:id="1563" w:author="svcMRProcess" w:date="2018-09-06T00:44:00Z"/>
          <w:snapToGrid w:val="0"/>
        </w:rPr>
      </w:pPr>
    </w:p>
    <w:p>
      <w:pPr>
        <w:pStyle w:val="nzHeading5"/>
        <w:rPr>
          <w:del w:id="1564" w:author="svcMRProcess" w:date="2018-09-06T00:44:00Z"/>
        </w:rPr>
      </w:pPr>
      <w:bookmarkStart w:id="1565" w:name="_Toc325381991"/>
      <w:bookmarkStart w:id="1566" w:name="_Toc325382027"/>
      <w:del w:id="1567" w:author="svcMRProcess" w:date="2018-09-06T00:44:00Z">
        <w:r>
          <w:rPr>
            <w:rStyle w:val="CharSectno"/>
          </w:rPr>
          <w:delText>10</w:delText>
        </w:r>
        <w:r>
          <w:delText>.</w:delText>
        </w:r>
        <w:r>
          <w:tab/>
        </w:r>
        <w:r>
          <w:rPr>
            <w:i/>
          </w:rPr>
          <w:delText xml:space="preserve">Misuse of Drugs Act 1981 </w:delText>
        </w:r>
        <w:r>
          <w:delText>amended</w:delText>
        </w:r>
        <w:bookmarkEnd w:id="1565"/>
        <w:bookmarkEnd w:id="1566"/>
      </w:del>
    </w:p>
    <w:p>
      <w:pPr>
        <w:pStyle w:val="nzSubsection"/>
        <w:rPr>
          <w:del w:id="1568" w:author="svcMRProcess" w:date="2018-09-06T00:44:00Z"/>
        </w:rPr>
      </w:pPr>
      <w:del w:id="1569" w:author="svcMRProcess" w:date="2018-09-06T00:44:00Z">
        <w:r>
          <w:tab/>
          <w:delText>(1)</w:delText>
        </w:r>
        <w:r>
          <w:tab/>
          <w:delText xml:space="preserve">This section amends the </w:delText>
        </w:r>
        <w:r>
          <w:rPr>
            <w:i/>
          </w:rPr>
          <w:delText>Misuse of Drugs Act 1981</w:delText>
        </w:r>
        <w:r>
          <w:delText>.</w:delText>
        </w:r>
      </w:del>
    </w:p>
    <w:p>
      <w:pPr>
        <w:pStyle w:val="nzSubsection"/>
        <w:rPr>
          <w:del w:id="1570" w:author="svcMRProcess" w:date="2018-09-06T00:44:00Z"/>
        </w:rPr>
      </w:pPr>
      <w:del w:id="1571" w:author="svcMRProcess" w:date="2018-09-06T00:44:00Z">
        <w:r>
          <w:tab/>
          <w:delText>(2)</w:delText>
        </w:r>
        <w:r>
          <w:tab/>
          <w:delText>At the end of Part 1 insert:</w:delText>
        </w:r>
      </w:del>
    </w:p>
    <w:p>
      <w:pPr>
        <w:pStyle w:val="BlankOpen"/>
        <w:rPr>
          <w:del w:id="1572" w:author="svcMRProcess" w:date="2018-09-06T00:44:00Z"/>
        </w:rPr>
      </w:pPr>
    </w:p>
    <w:p>
      <w:pPr>
        <w:pStyle w:val="nzHeading5"/>
        <w:rPr>
          <w:del w:id="1573" w:author="svcMRProcess" w:date="2018-09-06T00:44:00Z"/>
        </w:rPr>
      </w:pPr>
      <w:bookmarkStart w:id="1574" w:name="_Toc325381992"/>
      <w:bookmarkStart w:id="1575" w:name="_Toc325382028"/>
      <w:del w:id="1576" w:author="svcMRProcess" w:date="2018-09-06T00:44:00Z">
        <w:r>
          <w:delText>5A.</w:delText>
        </w:r>
        <w:r>
          <w:tab/>
          <w:delText>Authority required for some investigations</w:delText>
        </w:r>
        <w:bookmarkEnd w:id="1574"/>
        <w:bookmarkEnd w:id="1575"/>
      </w:del>
    </w:p>
    <w:p>
      <w:pPr>
        <w:pStyle w:val="nzSubsection"/>
        <w:rPr>
          <w:del w:id="1577" w:author="svcMRProcess" w:date="2018-09-06T00:44:00Z"/>
        </w:rPr>
      </w:pPr>
      <w:del w:id="1578" w:author="svcMRProcess" w:date="2018-09-06T00:44:00Z">
        <w:r>
          <w:tab/>
        </w:r>
        <w:r>
          <w:tab/>
          <w:delText xml:space="preserve">This Act is subject to the </w:delText>
        </w:r>
        <w:r>
          <w:rPr>
            <w:i/>
          </w:rPr>
          <w:delText>Criminal Appeals Act 2004</w:delText>
        </w:r>
        <w:r>
          <w:delText xml:space="preserve"> section 46C.</w:delText>
        </w:r>
      </w:del>
    </w:p>
    <w:p>
      <w:pPr>
        <w:pStyle w:val="BlankClose"/>
        <w:rPr>
          <w:del w:id="1579" w:author="svcMRProcess" w:date="2018-09-06T00:44:00Z"/>
        </w:rPr>
      </w:pPr>
    </w:p>
    <w:p>
      <w:pPr>
        <w:pStyle w:val="BlankClose"/>
        <w:rPr>
          <w:del w:id="1580" w:author="svcMRProcess" w:date="2018-09-06T00:44:00Z"/>
        </w:rPr>
      </w:pPr>
    </w:p>
    <w:p/>
    <w:p>
      <w:pPr>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bookmarkEnd w:id="1531"/>
    <w:p/>
    <w:sectPr>
      <w:headerReference w:type="even" r:id="rId28"/>
      <w:headerReference w:type="default" r:id="rId29"/>
      <w:footerReference w:type="even" r:id="rId30"/>
      <w:footerReference w:type="default" r:id="rId31"/>
      <w:headerReference w:type="first" r:id="rId32"/>
      <w:footerReference w:type="first" r:id="rId33"/>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Sep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05-g0-01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Sep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Sep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102</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Misuse of Drugs Act 1981</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Misuse of Drugs Act 1981</w:t>
            </w:r>
          </w:fldSimple>
        </w:p>
      </w:tc>
    </w:tr>
    <w:tr>
      <w:tc>
        <w:tcPr>
          <w:tcW w:w="5985" w:type="dxa"/>
          <w:vAlign w:val="bottom"/>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vAlign w:val="bottom"/>
        </w:tcPr>
        <w:p>
          <w:pPr>
            <w:pStyle w:val="HeaderTextRight"/>
          </w:pPr>
          <w:r>
            <w:fldChar w:fldCharType="begin"/>
          </w:r>
          <w:r>
            <w:instrText xml:space="preserve"> styleref CharDivText </w:instrText>
          </w:r>
          <w:r>
            <w:rPr>
              <w:noProof/>
            </w:rPr>
            <w:fldChar w:fldCharType="end"/>
          </w:r>
        </w:p>
      </w:tc>
      <w:tc>
        <w:tcPr>
          <w:tcW w:w="1327" w:type="dxa"/>
        </w:tcPr>
        <w:p>
          <w:pPr>
            <w:pStyle w:val="HeaderNumberRight"/>
          </w:pPr>
          <w:r>
            <w:fldChar w:fldCharType="begin"/>
          </w:r>
          <w:r>
            <w:instrText xml:space="preserve"> styleref CharDivNo </w:instrText>
          </w:r>
          <w:r>
            <w:rPr>
              <w:noProof/>
            </w:rP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ActNameLeft"/>
          </w:pPr>
          <w:fldSimple w:instr=" Styleref &quot;Name of Act/Reg&quot; ">
            <w:r>
              <w:rPr>
                <w:noProof/>
              </w:rPr>
              <w:t>Misuse of Drugs Act 1981</w:t>
            </w:r>
          </w:fldSimple>
        </w:p>
      </w:tc>
    </w:tr>
    <w:tr>
      <w:tc>
        <w:tcPr>
          <w:tcW w:w="1490" w:type="dxa"/>
        </w:tcPr>
        <w:p>
          <w:pPr>
            <w:pStyle w:val="HeaderNumberLeft"/>
            <w:rPr>
              <w:b w:val="0"/>
            </w:rPr>
          </w:pPr>
          <w:r>
            <w:fldChar w:fldCharType="begin"/>
          </w:r>
          <w:r>
            <w:instrText xml:space="preserve"> STYLEREF CharSchNo \* MERGEFORMAT </w:instrText>
          </w:r>
          <w:r>
            <w:rPr>
              <w:noProof/>
            </w:rPr>
            <w:fldChar w:fldCharType="end"/>
          </w:r>
        </w:p>
      </w:tc>
      <w:tc>
        <w:tcPr>
          <w:tcW w:w="5773" w:type="dxa"/>
          <w:vAlign w:val="bottom"/>
        </w:tcPr>
        <w:p>
          <w:pPr>
            <w:pStyle w:val="HeaderTextLeft"/>
          </w:pPr>
          <w:r>
            <w:fldChar w:fldCharType="begin"/>
          </w:r>
          <w:r>
            <w:instrText xml:space="preserve"> STYLEREF CharSchText \* MERGEFORMAT </w:instrText>
          </w:r>
          <w:r>
            <w:rPr>
              <w:noProof/>
            </w:rPr>
            <w:fldChar w:fldCharType="end"/>
          </w: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p>
      </w:tc>
      <w:tc>
        <w:tcPr>
          <w:tcW w:w="5773" w:type="dxa"/>
          <w:vAlign w:val="bottom"/>
        </w:tcPr>
        <w:p>
          <w:pPr>
            <w:pStyle w:val="HeaderSectionRight"/>
            <w:ind w:right="17"/>
            <w:jc w:val="left"/>
            <w:rPr>
              <w:b w:val="0"/>
            </w:rPr>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Misuse of Drugs Act 1981</w:t>
            </w:r>
          </w:fldSimple>
        </w:p>
      </w:tc>
    </w:tr>
    <w:tr>
      <w:tc>
        <w:tcPr>
          <w:tcW w:w="5742" w:type="dxa"/>
          <w:vAlign w:val="bottom"/>
        </w:tcPr>
        <w:p>
          <w:pPr>
            <w:pStyle w:val="HeaderTextRight"/>
          </w:pPr>
          <w:r>
            <w:fldChar w:fldCharType="begin"/>
          </w:r>
          <w:r>
            <w:instrText xml:space="preserve"> STYLEREF CharSchText \* MERGEFORMAT </w:instrText>
          </w:r>
          <w:r>
            <w:rPr>
              <w:noProof/>
            </w:rPr>
            <w:fldChar w:fldCharType="end"/>
          </w:r>
        </w:p>
      </w:tc>
      <w:tc>
        <w:tcPr>
          <w:tcW w:w="1521" w:type="dxa"/>
        </w:tcPr>
        <w:p>
          <w:pPr>
            <w:pStyle w:val="HeaderNumberRight"/>
            <w:ind w:right="17"/>
          </w:pPr>
          <w:r>
            <w:fldChar w:fldCharType="begin"/>
          </w:r>
          <w:r>
            <w:instrText xml:space="preserve"> STYLEREF CharSchNo \* MERGEFORMAT </w:instrText>
          </w:r>
          <w:r>
            <w:rPr>
              <w:noProof/>
            </w:rPr>
            <w:fldChar w:fldCharType="end"/>
          </w:r>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SectionRight"/>
            <w:ind w:right="17"/>
            <w:rPr>
              <w:b w:val="0"/>
            </w:rPr>
          </w:pPr>
        </w:p>
      </w:tc>
      <w:tc>
        <w:tcPr>
          <w:tcW w:w="1521" w:type="dxa"/>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Misuse of Drugs Act 1981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ind w:firstLine="5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Misuse of Drugs Act 1981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Misuse of Drugs Act 1981</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38" w:type="dxa"/>
      <w:tblLayout w:type="fixed"/>
      <w:tblLook w:val="0000" w:firstRow="0" w:lastRow="0" w:firstColumn="0" w:lastColumn="0" w:noHBand="0" w:noVBand="0"/>
    </w:tblPr>
    <w:tblGrid>
      <w:gridCol w:w="5758"/>
      <w:gridCol w:w="1423"/>
    </w:tblGrid>
    <w:tr>
      <w:trPr>
        <w:cantSplit/>
      </w:trPr>
      <w:tc>
        <w:tcPr>
          <w:tcW w:w="7181" w:type="dxa"/>
          <w:gridSpan w:val="2"/>
        </w:tcPr>
        <w:p>
          <w:pPr>
            <w:pStyle w:val="HeaderActNameRight"/>
          </w:pPr>
          <w:fldSimple w:instr=" Styleref &quot;Name of Act/Reg&quot; ">
            <w:r>
              <w:rPr>
                <w:noProof/>
              </w:rPr>
              <w:t>Misuse of Drugs Act 1981</w:t>
            </w:r>
          </w:fldSimple>
        </w:p>
      </w:tc>
    </w:tr>
    <w:tr>
      <w:tblPrEx>
        <w:tblCellMar>
          <w:left w:w="72" w:type="dxa"/>
          <w:right w:w="72" w:type="dxa"/>
        </w:tblCellMar>
      </w:tblPrEx>
      <w:tc>
        <w:tcPr>
          <w:tcW w:w="5758" w:type="dxa"/>
        </w:tcPr>
        <w:p>
          <w:pPr>
            <w:pStyle w:val="HeaderTextRight"/>
          </w:pPr>
        </w:p>
      </w:tc>
      <w:tc>
        <w:tcPr>
          <w:tcW w:w="1423" w:type="dxa"/>
        </w:tcPr>
        <w:p>
          <w:pPr>
            <w:pStyle w:val="HeaderNumberRight"/>
          </w:pPr>
        </w:p>
      </w:tc>
    </w:tr>
    <w:tr>
      <w:tblPrEx>
        <w:tblCellMar>
          <w:left w:w="72" w:type="dxa"/>
          <w:right w:w="72" w:type="dxa"/>
        </w:tblCellMar>
      </w:tblPrEx>
      <w:tc>
        <w:tcPr>
          <w:tcW w:w="5758" w:type="dxa"/>
        </w:tcPr>
        <w:p>
          <w:pPr>
            <w:pStyle w:val="HeaderTextRight"/>
          </w:pPr>
        </w:p>
      </w:tc>
      <w:tc>
        <w:tcPr>
          <w:tcW w:w="1423" w:type="dxa"/>
        </w:tcPr>
        <w:p>
          <w:pPr>
            <w:pStyle w:val="HeaderNumberRight"/>
          </w:pPr>
        </w:p>
      </w:tc>
    </w:tr>
    <w:tr>
      <w:trPr>
        <w:cantSplit/>
      </w:trPr>
      <w:tc>
        <w:tcPr>
          <w:tcW w:w="7181"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A78FED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3087B5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A9E63E8"/>
    <w:lvl w:ilvl="0">
      <w:start w:val="1"/>
      <w:numFmt w:val="decimal"/>
      <w:pStyle w:val="ListNumber3"/>
      <w:lvlText w:val="%1."/>
      <w:lvlJc w:val="left"/>
      <w:pPr>
        <w:tabs>
          <w:tab w:val="num" w:pos="926"/>
        </w:tabs>
        <w:ind w:left="926" w:hanging="360"/>
      </w:pPr>
    </w:lvl>
  </w:abstractNum>
  <w:abstractNum w:abstractNumId="3">
    <w:nsid w:val="FFFFFF7F"/>
    <w:multiLevelType w:val="singleLevel"/>
    <w:tmpl w:val="01D24B0E"/>
    <w:lvl w:ilvl="0">
      <w:start w:val="1"/>
      <w:numFmt w:val="decimal"/>
      <w:pStyle w:val="ListNumber2"/>
      <w:lvlText w:val="%1."/>
      <w:lvlJc w:val="left"/>
      <w:pPr>
        <w:tabs>
          <w:tab w:val="num" w:pos="643"/>
        </w:tabs>
        <w:ind w:left="643" w:hanging="360"/>
      </w:pPr>
    </w:lvl>
  </w:abstractNum>
  <w:abstractNum w:abstractNumId="4">
    <w:nsid w:val="FFFFFF80"/>
    <w:multiLevelType w:val="singleLevel"/>
    <w:tmpl w:val="8384FE0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EA06A7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622E09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63A009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8EC7AE4"/>
    <w:lvl w:ilvl="0">
      <w:start w:val="1"/>
      <w:numFmt w:val="decimal"/>
      <w:pStyle w:val="ListNumber"/>
      <w:lvlText w:val="%1."/>
      <w:lvlJc w:val="left"/>
      <w:pPr>
        <w:tabs>
          <w:tab w:val="num" w:pos="360"/>
        </w:tabs>
        <w:ind w:left="360" w:hanging="360"/>
      </w:pPr>
    </w:lvl>
  </w:abstractNum>
  <w:abstractNum w:abstractNumId="9">
    <w:nsid w:val="FFFFFF89"/>
    <w:multiLevelType w:val="singleLevel"/>
    <w:tmpl w:val="7F1A9B0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47DC293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EC5E674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 w:numId="14">
    <w:abstractNumId w:val="24"/>
  </w:num>
  <w:num w:numId="15">
    <w:abstractNumId w:val="2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yEdnotesection">
    <w:name w:val="yEdnote(section)"/>
    <w:basedOn w:val="Ednotesection"/>
    <w:pPr>
      <w:spacing w:line="240" w:lineRule="auto"/>
      <w:ind w:left="890" w:hanging="890"/>
    </w:pPr>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rmula">
    <w:name w:val="Formula"/>
    <w:basedOn w:val="Normal"/>
    <w:pPr>
      <w:ind w:left="1134"/>
    </w:p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yEdnotesection">
    <w:name w:val="yEdnote(section)"/>
    <w:basedOn w:val="Ednotesection"/>
    <w:pPr>
      <w:spacing w:line="240" w:lineRule="auto"/>
      <w:ind w:left="890" w:hanging="890"/>
    </w:pPr>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rmula">
    <w:name w:val="Formula"/>
    <w:basedOn w:val="Normal"/>
    <w:pPr>
      <w:ind w:left="1134"/>
    </w:p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21432</Words>
  <Characters>103308</Characters>
  <Application>Microsoft Office Word</Application>
  <DocSecurity>0</DocSecurity>
  <Lines>3973</Lines>
  <Paragraphs>2834</Paragraphs>
  <ScaleCrop>false</ScaleCrop>
  <HeadingPairs>
    <vt:vector size="2" baseType="variant">
      <vt:variant>
        <vt:lpstr>Title</vt:lpstr>
      </vt:variant>
      <vt:variant>
        <vt:i4>1</vt:i4>
      </vt:variant>
    </vt:vector>
  </HeadingPairs>
  <TitlesOfParts>
    <vt:vector size="1" baseType="lpstr">
      <vt:lpstr>Misuse Of Drugs Act 1981</vt:lpstr>
    </vt:vector>
  </TitlesOfParts>
  <Manager/>
  <Company/>
  <LinksUpToDate>false</LinksUpToDate>
  <CharactersWithSpaces>121906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Misuse of Drugs Act 1981 05-f0-01 - 05-g0-01</dc:title>
  <dc:subject/>
  <dc:creator/>
  <cp:keywords/>
  <dc:description/>
  <cp:lastModifiedBy>svcMRProcess</cp:lastModifiedBy>
  <cp:revision>2</cp:revision>
  <cp:lastPrinted>2011-09-26T06:15:00Z</cp:lastPrinted>
  <dcterms:created xsi:type="dcterms:W3CDTF">2018-09-05T16:44:00Z</dcterms:created>
  <dcterms:modified xsi:type="dcterms:W3CDTF">2018-09-05T16:44:00Z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66 of 1981</vt:lpwstr>
  </property>
  <property fmtid="{D5CDD505-2E9C-101B-9397-08002B2CF9AE}" pid="3" name="CommencementDate">
    <vt:lpwstr>20120926</vt:lpwstr>
  </property>
  <property fmtid="{D5CDD505-2E9C-101B-9397-08002B2CF9AE}" pid="4" name="DocumentType">
    <vt:lpwstr>Act</vt:lpwstr>
  </property>
  <property fmtid="{D5CDD505-2E9C-101B-9397-08002B2CF9AE}" pid="5" name="OwlsUID">
    <vt:i4>522</vt:i4>
  </property>
  <property fmtid="{D5CDD505-2E9C-101B-9397-08002B2CF9AE}" pid="6" name="ReprintNo">
    <vt:lpwstr>5</vt:lpwstr>
  </property>
  <property fmtid="{D5CDD505-2E9C-101B-9397-08002B2CF9AE}" pid="7" name="ReprintedAsAt">
    <vt:filetime>2011-09-15T16:00:00Z</vt:filetime>
  </property>
  <property fmtid="{D5CDD505-2E9C-101B-9397-08002B2CF9AE}" pid="8" name="FromSuffix">
    <vt:lpwstr>05-f0-01</vt:lpwstr>
  </property>
  <property fmtid="{D5CDD505-2E9C-101B-9397-08002B2CF9AE}" pid="9" name="FromAsAtDate">
    <vt:lpwstr>21 May 2012</vt:lpwstr>
  </property>
  <property fmtid="{D5CDD505-2E9C-101B-9397-08002B2CF9AE}" pid="10" name="ToSuffix">
    <vt:lpwstr>05-g0-01</vt:lpwstr>
  </property>
  <property fmtid="{D5CDD505-2E9C-101B-9397-08002B2CF9AE}" pid="11" name="ToAsAtDate">
    <vt:lpwstr>26 Sep 2012</vt:lpwstr>
  </property>
</Properties>
</file>