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Trans-Tasman Mutual Recognition (Western Australia) (Temporary Exemptions)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2012</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30 Jan 2013</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Trans</w:t>
      </w:r>
      <w:r>
        <w:noBreakHyphen/>
        <w:t>Tasman Mutual Recognition (</w:t>
      </w:r>
      <w:smartTag w:uri="urn:schemas-microsoft-com:office:smarttags" w:element="place">
        <w:smartTag w:uri="urn:schemas-microsoft-com:office:smarttags" w:element="State">
          <w:r>
            <w:t>Western Australia</w:t>
          </w:r>
        </w:smartTag>
      </w:smartTag>
      <w:r>
        <w:t>) Act 2007</w:t>
      </w:r>
    </w:p>
    <w:p>
      <w:pPr>
        <w:pStyle w:val="NameofActReg"/>
      </w:pPr>
      <w:r>
        <w:t>Trans</w:t>
      </w:r>
      <w:r>
        <w:noBreakHyphen/>
        <w:t>Tasman Mutual Recognition (</w:t>
      </w:r>
      <w:smartTag w:uri="urn:schemas-microsoft-com:office:smarttags" w:element="State">
        <w:smartTag w:uri="urn:schemas-microsoft-com:office:smarttags" w:element="place">
          <w:r>
            <w:t>Western Australia</w:t>
          </w:r>
        </w:smartTag>
      </w:smartTag>
      <w:r>
        <w:t>) (Temporary Exemptions) Regulations 2012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47310707"/>
      <w:bookmarkStart w:id="8" w:name="_Toc340830203"/>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(Temporary Exemptions) Regulations 2012</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47310708"/>
      <w:bookmarkStart w:id="19" w:name="_Toc340830204"/>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Misuse of Drugs Amendment Act 2011</w:t>
      </w:r>
      <w:r>
        <w:t xml:space="preserve"> section 6 comes into operation.</w:t>
      </w:r>
    </w:p>
    <w:p>
      <w:pPr>
        <w:pStyle w:val="Footnotesection"/>
        <w:rPr>
          <w:del w:id="20" w:author="Master Repository Process" w:date="2021-09-18T10:52:00Z"/>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bookmarkStart w:id="21" w:name="_Toc347310709"/>
      <w:bookmarkStart w:id="22" w:name="_Toc423332724"/>
      <w:bookmarkStart w:id="23" w:name="_Toc425219443"/>
      <w:bookmarkStart w:id="24" w:name="_Toc426249310"/>
      <w:bookmarkStart w:id="25" w:name="_Toc449924706"/>
      <w:bookmarkStart w:id="26" w:name="_Toc449947724"/>
      <w:bookmarkStart w:id="27" w:name="_Toc454185715"/>
      <w:bookmarkStart w:id="28" w:name="_Toc515958688"/>
      <w:del w:id="29" w:author="Master Repository Process" w:date="2021-09-18T10:52:00Z">
        <w:r>
          <w:delText>[</w:delText>
        </w:r>
        <w:r>
          <w:rPr>
            <w:b/>
          </w:rPr>
          <w:delText>3,4.</w:delText>
        </w:r>
        <w:r>
          <w:tab/>
          <w:delText>Have not come into operation</w:delText>
        </w:r>
        <w:r>
          <w:rPr>
            <w:vertAlign w:val="superscript"/>
          </w:rPr>
          <w:delText> 2</w:delText>
        </w:r>
        <w:r>
          <w:delText>.]</w:delText>
        </w:r>
        <w:r>
          <w:rPr>
            <w:rStyle w:val="CharDivText"/>
          </w:rPr>
          <w:delText xml:space="preserve"> </w:delText>
        </w:r>
      </w:del>
    </w:p>
    <w:p>
      <w:pPr>
        <w:pStyle w:val="nHeading2"/>
        <w:rPr>
          <w:del w:id="30" w:author="Master Repository Process" w:date="2021-09-18T10:52:00Z"/>
        </w:rPr>
      </w:pPr>
      <w:del w:id="31" w:author="Master Repository Process" w:date="2021-09-18T10:52:00Z">
        <w:r>
          <w:delText>Notes</w:delText>
        </w:r>
      </w:del>
    </w:p>
    <w:p>
      <w:pPr>
        <w:pStyle w:val="nSubsection"/>
        <w:rPr>
          <w:del w:id="32" w:author="Master Repository Process" w:date="2021-09-18T10:52:00Z"/>
          <w:snapToGrid w:val="0"/>
        </w:rPr>
      </w:pPr>
      <w:del w:id="33" w:author="Master Repository Process" w:date="2021-09-18T10:52:00Z">
        <w:r>
          <w:rPr>
            <w:snapToGrid w:val="0"/>
            <w:vertAlign w:val="superscript"/>
          </w:rPr>
          <w:delText>1</w:delText>
        </w:r>
        <w:r>
          <w:rPr>
            <w:snapToGrid w:val="0"/>
          </w:rPr>
          <w:tab/>
          <w:delText xml:space="preserve">This is a compilation of the </w:delText>
        </w:r>
        <w:r>
          <w:rPr>
            <w:i/>
            <w:noProof/>
            <w:snapToGrid w:val="0"/>
          </w:rPr>
          <w:delText>Trans-Tasman Mutual Recognition (WA) (Temporary Exemptions) Regulations 2012</w:delText>
        </w:r>
        <w:r>
          <w:rPr>
            <w:noProof/>
            <w:snapToGrid w:val="0"/>
          </w:rPr>
          <w:delText>. The following table contains information about those regulations</w:delText>
        </w:r>
        <w:r>
          <w:rPr>
            <w:snapToGrid w:val="0"/>
            <w:vertAlign w:val="superscript"/>
          </w:rPr>
          <w:delText> 1a</w:delText>
        </w:r>
        <w:r>
          <w:rPr>
            <w:snapToGrid w:val="0"/>
          </w:rPr>
          <w:delText>.</w:delText>
        </w:r>
      </w:del>
    </w:p>
    <w:p>
      <w:pPr>
        <w:pStyle w:val="nHeading3"/>
        <w:rPr>
          <w:del w:id="34" w:author="Master Repository Process" w:date="2021-09-18T10:52:00Z"/>
        </w:rPr>
      </w:pPr>
      <w:bookmarkStart w:id="35" w:name="_Toc340830206"/>
      <w:del w:id="36" w:author="Master Repository Process" w:date="2021-09-18T10:52:00Z">
        <w:r>
          <w:delText>Compilation table</w:delText>
        </w:r>
        <w:bookmarkEnd w:id="35"/>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37" w:author="Master Repository Process" w:date="2021-09-18T10:52:00Z"/>
        </w:trPr>
        <w:tc>
          <w:tcPr>
            <w:tcW w:w="3119" w:type="dxa"/>
            <w:tcBorders>
              <w:top w:val="single" w:sz="8" w:space="0" w:color="auto"/>
              <w:bottom w:val="single" w:sz="8" w:space="0" w:color="auto"/>
            </w:tcBorders>
          </w:tcPr>
          <w:p>
            <w:pPr>
              <w:pStyle w:val="nTable"/>
              <w:spacing w:after="40"/>
              <w:ind w:right="113"/>
              <w:rPr>
                <w:del w:id="38" w:author="Master Repository Process" w:date="2021-09-18T10:52:00Z"/>
                <w:b/>
                <w:sz w:val="19"/>
              </w:rPr>
            </w:pPr>
            <w:del w:id="39" w:author="Master Repository Process" w:date="2021-09-18T10:52:00Z">
              <w:r>
                <w:rPr>
                  <w:b/>
                  <w:sz w:val="19"/>
                </w:rPr>
                <w:delText>Citation</w:delText>
              </w:r>
            </w:del>
          </w:p>
        </w:tc>
        <w:tc>
          <w:tcPr>
            <w:tcW w:w="1276" w:type="dxa"/>
            <w:tcBorders>
              <w:top w:val="single" w:sz="8" w:space="0" w:color="auto"/>
              <w:bottom w:val="single" w:sz="8" w:space="0" w:color="auto"/>
            </w:tcBorders>
          </w:tcPr>
          <w:p>
            <w:pPr>
              <w:pStyle w:val="nTable"/>
              <w:spacing w:after="40"/>
              <w:rPr>
                <w:del w:id="40" w:author="Master Repository Process" w:date="2021-09-18T10:52:00Z"/>
                <w:b/>
                <w:sz w:val="19"/>
              </w:rPr>
            </w:pPr>
            <w:del w:id="41" w:author="Master Repository Process" w:date="2021-09-18T10:52:00Z">
              <w:r>
                <w:rPr>
                  <w:b/>
                  <w:sz w:val="19"/>
                </w:rPr>
                <w:delText>Gazettal</w:delText>
              </w:r>
            </w:del>
          </w:p>
        </w:tc>
        <w:tc>
          <w:tcPr>
            <w:tcW w:w="2693" w:type="dxa"/>
            <w:tcBorders>
              <w:top w:val="single" w:sz="8" w:space="0" w:color="auto"/>
              <w:bottom w:val="single" w:sz="8" w:space="0" w:color="auto"/>
            </w:tcBorders>
          </w:tcPr>
          <w:p>
            <w:pPr>
              <w:pStyle w:val="nTable"/>
              <w:spacing w:after="40"/>
              <w:rPr>
                <w:del w:id="42" w:author="Master Repository Process" w:date="2021-09-18T10:52:00Z"/>
                <w:b/>
                <w:sz w:val="19"/>
              </w:rPr>
            </w:pPr>
            <w:del w:id="43" w:author="Master Repository Process" w:date="2021-09-18T10:52:00Z">
              <w:r>
                <w:rPr>
                  <w:b/>
                  <w:sz w:val="19"/>
                </w:rPr>
                <w:delText>Commencement</w:delText>
              </w:r>
            </w:del>
          </w:p>
        </w:tc>
      </w:tr>
      <w:tr>
        <w:trPr>
          <w:cantSplit/>
          <w:del w:id="44" w:author="Master Repository Process" w:date="2021-09-18T10:52:00Z"/>
        </w:trPr>
        <w:tc>
          <w:tcPr>
            <w:tcW w:w="3119" w:type="dxa"/>
            <w:tcBorders>
              <w:top w:val="single" w:sz="8" w:space="0" w:color="auto"/>
              <w:bottom w:val="single" w:sz="8" w:space="0" w:color="auto"/>
            </w:tcBorders>
          </w:tcPr>
          <w:p>
            <w:pPr>
              <w:pStyle w:val="nTable"/>
              <w:spacing w:after="40"/>
              <w:ind w:right="113"/>
              <w:rPr>
                <w:del w:id="45" w:author="Master Repository Process" w:date="2021-09-18T10:52:00Z"/>
              </w:rPr>
            </w:pPr>
            <w:del w:id="46" w:author="Master Repository Process" w:date="2021-09-18T10:52:00Z">
              <w:r>
                <w:rPr>
                  <w:i/>
                  <w:sz w:val="19"/>
                </w:rPr>
                <w:delText>Trans-Tasman Mutual Recognition (WA) (Temporary Exemptions) Regulations 2012</w:delText>
              </w:r>
              <w:r>
                <w:delText xml:space="preserve"> r. 1-2</w:delText>
              </w:r>
            </w:del>
          </w:p>
        </w:tc>
        <w:tc>
          <w:tcPr>
            <w:tcW w:w="1276" w:type="dxa"/>
            <w:tcBorders>
              <w:top w:val="single" w:sz="8" w:space="0" w:color="auto"/>
              <w:bottom w:val="single" w:sz="8" w:space="0" w:color="auto"/>
            </w:tcBorders>
          </w:tcPr>
          <w:p>
            <w:pPr>
              <w:pStyle w:val="nTable"/>
              <w:spacing w:after="40"/>
              <w:rPr>
                <w:del w:id="47" w:author="Master Repository Process" w:date="2021-09-18T10:52:00Z"/>
                <w:sz w:val="19"/>
              </w:rPr>
            </w:pPr>
            <w:del w:id="48" w:author="Master Repository Process" w:date="2021-09-18T10:52:00Z">
              <w:r>
                <w:rPr>
                  <w:sz w:val="19"/>
                </w:rPr>
                <w:delText>16 Nov 2012 p. 5644-5</w:delText>
              </w:r>
            </w:del>
          </w:p>
        </w:tc>
        <w:tc>
          <w:tcPr>
            <w:tcW w:w="2693" w:type="dxa"/>
            <w:tcBorders>
              <w:top w:val="single" w:sz="8" w:space="0" w:color="auto"/>
              <w:bottom w:val="single" w:sz="8" w:space="0" w:color="auto"/>
            </w:tcBorders>
          </w:tcPr>
          <w:p>
            <w:pPr>
              <w:pStyle w:val="nTable"/>
              <w:spacing w:after="40"/>
              <w:rPr>
                <w:del w:id="49" w:author="Master Repository Process" w:date="2021-09-18T10:52:00Z"/>
                <w:sz w:val="19"/>
              </w:rPr>
            </w:pPr>
            <w:del w:id="50" w:author="Master Repository Process" w:date="2021-09-18T10:52:00Z">
              <w:r>
                <w:rPr>
                  <w:sz w:val="19"/>
                </w:rPr>
                <w:delText>16 Nov 2012 (see r. 2(a))</w:delText>
              </w:r>
            </w:del>
          </w:p>
        </w:tc>
      </w:tr>
    </w:tbl>
    <w:p>
      <w:pPr>
        <w:pStyle w:val="nSubsection"/>
        <w:tabs>
          <w:tab w:val="clear" w:pos="454"/>
          <w:tab w:val="left" w:pos="567"/>
        </w:tabs>
        <w:spacing w:before="120"/>
        <w:ind w:left="567" w:hanging="567"/>
        <w:rPr>
          <w:del w:id="51" w:author="Master Repository Process" w:date="2021-09-18T10:52:00Z"/>
          <w:snapToGrid w:val="0"/>
        </w:rPr>
      </w:pPr>
      <w:del w:id="52" w:author="Master Repository Process" w:date="2021-09-18T10: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3" w:author="Master Repository Process" w:date="2021-09-18T10:52:00Z"/>
        </w:rPr>
      </w:pPr>
      <w:bookmarkStart w:id="54" w:name="_Toc7405065"/>
      <w:bookmarkStart w:id="55" w:name="_Toc340825246"/>
      <w:bookmarkStart w:id="56" w:name="_Toc340830207"/>
      <w:del w:id="57" w:author="Master Repository Process" w:date="2021-09-18T10:52:00Z">
        <w:r>
          <w:delText>Provisions that have not come into operation</w:delText>
        </w:r>
        <w:bookmarkEnd w:id="54"/>
        <w:bookmarkEnd w:id="55"/>
        <w:bookmarkEnd w:id="56"/>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58" w:author="Master Repository Process" w:date="2021-09-18T10:52:00Z"/>
        </w:trPr>
        <w:tc>
          <w:tcPr>
            <w:tcW w:w="3119" w:type="dxa"/>
            <w:tcBorders>
              <w:top w:val="single" w:sz="8" w:space="0" w:color="auto"/>
              <w:bottom w:val="single" w:sz="8" w:space="0" w:color="auto"/>
            </w:tcBorders>
          </w:tcPr>
          <w:p>
            <w:pPr>
              <w:pStyle w:val="nTable"/>
              <w:spacing w:after="40"/>
              <w:ind w:right="113"/>
              <w:rPr>
                <w:del w:id="59" w:author="Master Repository Process" w:date="2021-09-18T10:52:00Z"/>
                <w:b/>
                <w:sz w:val="19"/>
              </w:rPr>
            </w:pPr>
            <w:del w:id="60" w:author="Master Repository Process" w:date="2021-09-18T10:52:00Z">
              <w:r>
                <w:rPr>
                  <w:b/>
                  <w:sz w:val="19"/>
                </w:rPr>
                <w:delText>Citation</w:delText>
              </w:r>
            </w:del>
          </w:p>
        </w:tc>
        <w:tc>
          <w:tcPr>
            <w:tcW w:w="1276" w:type="dxa"/>
            <w:tcBorders>
              <w:top w:val="single" w:sz="8" w:space="0" w:color="auto"/>
              <w:bottom w:val="single" w:sz="8" w:space="0" w:color="auto"/>
            </w:tcBorders>
          </w:tcPr>
          <w:p>
            <w:pPr>
              <w:pStyle w:val="nTable"/>
              <w:spacing w:after="40"/>
              <w:rPr>
                <w:del w:id="61" w:author="Master Repository Process" w:date="2021-09-18T10:52:00Z"/>
                <w:b/>
                <w:sz w:val="19"/>
              </w:rPr>
            </w:pPr>
            <w:del w:id="62" w:author="Master Repository Process" w:date="2021-09-18T10:52:00Z">
              <w:r>
                <w:rPr>
                  <w:b/>
                  <w:sz w:val="19"/>
                </w:rPr>
                <w:delText>Gazettal</w:delText>
              </w:r>
            </w:del>
          </w:p>
        </w:tc>
        <w:tc>
          <w:tcPr>
            <w:tcW w:w="2693" w:type="dxa"/>
            <w:tcBorders>
              <w:top w:val="single" w:sz="8" w:space="0" w:color="auto"/>
              <w:bottom w:val="single" w:sz="8" w:space="0" w:color="auto"/>
            </w:tcBorders>
          </w:tcPr>
          <w:p>
            <w:pPr>
              <w:pStyle w:val="nTable"/>
              <w:spacing w:after="40"/>
              <w:rPr>
                <w:del w:id="63" w:author="Master Repository Process" w:date="2021-09-18T10:52:00Z"/>
                <w:b/>
                <w:sz w:val="19"/>
              </w:rPr>
            </w:pPr>
            <w:del w:id="64" w:author="Master Repository Process" w:date="2021-09-18T10:52:00Z">
              <w:r>
                <w:rPr>
                  <w:b/>
                  <w:sz w:val="19"/>
                </w:rPr>
                <w:delText>Commencement</w:delText>
              </w:r>
            </w:del>
          </w:p>
        </w:tc>
      </w:tr>
      <w:tr>
        <w:trPr>
          <w:cantSplit/>
          <w:del w:id="65" w:author="Master Repository Process" w:date="2021-09-18T10:52:00Z"/>
        </w:trPr>
        <w:tc>
          <w:tcPr>
            <w:tcW w:w="3119" w:type="dxa"/>
            <w:tcBorders>
              <w:top w:val="single" w:sz="8" w:space="0" w:color="auto"/>
              <w:bottom w:val="single" w:sz="8" w:space="0" w:color="auto"/>
            </w:tcBorders>
          </w:tcPr>
          <w:p>
            <w:pPr>
              <w:pStyle w:val="nTable"/>
              <w:spacing w:after="40"/>
              <w:ind w:right="113"/>
              <w:rPr>
                <w:del w:id="66" w:author="Master Repository Process" w:date="2021-09-18T10:52:00Z"/>
              </w:rPr>
            </w:pPr>
            <w:del w:id="67" w:author="Master Repository Process" w:date="2021-09-18T10:52:00Z">
              <w:r>
                <w:rPr>
                  <w:i/>
                  <w:sz w:val="19"/>
                </w:rPr>
                <w:delText>Trans-Tasman Mutual Recognition (WA) (Temporary Exemptions) Regulations 2012</w:delText>
              </w:r>
              <w:r>
                <w:delText xml:space="preserve"> r. 3-4</w:delText>
              </w:r>
              <w:r>
                <w:rPr>
                  <w:vertAlign w:val="superscript"/>
                </w:rPr>
                <w:delText> 2</w:delText>
              </w:r>
            </w:del>
          </w:p>
        </w:tc>
        <w:tc>
          <w:tcPr>
            <w:tcW w:w="1276" w:type="dxa"/>
            <w:tcBorders>
              <w:top w:val="single" w:sz="8" w:space="0" w:color="auto"/>
              <w:bottom w:val="single" w:sz="8" w:space="0" w:color="auto"/>
            </w:tcBorders>
          </w:tcPr>
          <w:p>
            <w:pPr>
              <w:pStyle w:val="nTable"/>
              <w:spacing w:after="40"/>
              <w:rPr>
                <w:del w:id="68" w:author="Master Repository Process" w:date="2021-09-18T10:52:00Z"/>
                <w:sz w:val="19"/>
              </w:rPr>
            </w:pPr>
            <w:del w:id="69" w:author="Master Repository Process" w:date="2021-09-18T10:52:00Z">
              <w:r>
                <w:rPr>
                  <w:sz w:val="19"/>
                </w:rPr>
                <w:delText>16 Nov 2012 p. 5644-5</w:delText>
              </w:r>
            </w:del>
          </w:p>
        </w:tc>
        <w:tc>
          <w:tcPr>
            <w:tcW w:w="2693" w:type="dxa"/>
            <w:tcBorders>
              <w:top w:val="single" w:sz="8" w:space="0" w:color="auto"/>
              <w:bottom w:val="single" w:sz="8" w:space="0" w:color="auto"/>
            </w:tcBorders>
          </w:tcPr>
          <w:p>
            <w:pPr>
              <w:pStyle w:val="nTable"/>
              <w:spacing w:after="40"/>
              <w:rPr>
                <w:del w:id="70" w:author="Master Repository Process" w:date="2021-09-18T10:52:00Z"/>
                <w:sz w:val="19"/>
              </w:rPr>
            </w:pPr>
            <w:del w:id="71" w:author="Master Repository Process" w:date="2021-09-18T10:52:00Z">
              <w:r>
                <w:rPr>
                  <w:sz w:val="19"/>
                </w:rPr>
                <w:delText xml:space="preserve">Operative on commencement of the </w:delText>
              </w:r>
              <w:r>
                <w:rPr>
                  <w:i/>
                  <w:sz w:val="19"/>
                </w:rPr>
                <w:delText>Misuse of Drugs Amendment Act 2011</w:delText>
              </w:r>
              <w:r>
                <w:rPr>
                  <w:sz w:val="19"/>
                </w:rPr>
                <w:delText xml:space="preserve"> s. 6 (see r. 2(b))</w:delText>
              </w:r>
            </w:del>
          </w:p>
        </w:tc>
      </w:tr>
    </w:tbl>
    <w:p>
      <w:pPr>
        <w:pStyle w:val="nSubsection"/>
        <w:spacing w:before="200"/>
        <w:rPr>
          <w:del w:id="72" w:author="Master Repository Process" w:date="2021-09-18T10:52:00Z"/>
          <w:snapToGrid w:val="0"/>
        </w:rPr>
      </w:pPr>
      <w:del w:id="73" w:author="Master Repository Process" w:date="2021-09-18T10:52:00Z">
        <w:r>
          <w:rPr>
            <w:snapToGrid w:val="0"/>
            <w:vertAlign w:val="superscript"/>
          </w:rPr>
          <w:delText>3</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Trans-Tasman Mutual Recognition (WA) (Temporary Exemptions) Regulations 2012 </w:delText>
        </w:r>
        <w:r>
          <w:rPr>
            <w:snapToGrid w:val="0"/>
          </w:rPr>
          <w:delText>r. 3-4 had not come into operation.  It reads as follows:</w:delText>
        </w:r>
      </w:del>
    </w:p>
    <w:p>
      <w:pPr>
        <w:pStyle w:val="BlankOpen"/>
        <w:rPr>
          <w:del w:id="74" w:author="Master Repository Process" w:date="2021-09-18T10:52:00Z"/>
          <w:snapToGrid w:val="0"/>
        </w:rPr>
      </w:pPr>
    </w:p>
    <w:p>
      <w:pPr>
        <w:pStyle w:val="Heading5"/>
      </w:pPr>
      <w:r>
        <w:rPr>
          <w:rStyle w:val="CharSectno"/>
        </w:rPr>
        <w:t>3</w:t>
      </w:r>
      <w:r>
        <w:rPr>
          <w:snapToGrid w:val="0"/>
        </w:rPr>
        <w:t>.</w:t>
      </w:r>
      <w:r>
        <w:rPr>
          <w:snapToGrid w:val="0"/>
        </w:rPr>
        <w:tab/>
        <w:t xml:space="preserve">Temporary exemption — law relating to </w:t>
      </w:r>
      <w:r>
        <w:t>drug paraphernalia</w:t>
      </w:r>
      <w:bookmarkEnd w:id="21"/>
    </w:p>
    <w:p>
      <w:pPr>
        <w:pStyle w:val="Subsection"/>
        <w:rPr>
          <w:spacing w:val="-2"/>
        </w:rPr>
      </w:pPr>
      <w:r>
        <w:tab/>
      </w:r>
      <w:r>
        <w:tab/>
      </w:r>
      <w:r>
        <w:rPr>
          <w:spacing w:val="-2"/>
        </w:rPr>
        <w:t xml:space="preserve">For the purposes of section 5 of the Act and the Commonwealth Act section 46, the </w:t>
      </w:r>
      <w:r>
        <w:rPr>
          <w:i/>
          <w:spacing w:val="-2"/>
        </w:rPr>
        <w:t>Misuse of Drugs Act 1981</w:t>
      </w:r>
      <w:r>
        <w:rPr>
          <w:spacing w:val="-2"/>
        </w:rPr>
        <w:t xml:space="preserve"> section 7B is declared to be exempt from the operation of the Commonwealth Act.</w:t>
      </w:r>
    </w:p>
    <w:p>
      <w:pPr>
        <w:pStyle w:val="Heading5"/>
      </w:pPr>
      <w:bookmarkStart w:id="75" w:name="_Toc347310710"/>
      <w:r>
        <w:rPr>
          <w:rStyle w:val="CharSectno"/>
        </w:rPr>
        <w:t>4</w:t>
      </w:r>
      <w:r>
        <w:t>.</w:t>
      </w:r>
      <w:r>
        <w:tab/>
        <w:t>Expiry of regulations</w:t>
      </w:r>
      <w:bookmarkEnd w:id="75"/>
    </w:p>
    <w:p>
      <w:pPr>
        <w:pStyle w:val="Subsection"/>
      </w:pPr>
      <w:r>
        <w:tab/>
      </w:r>
      <w:r>
        <w:tab/>
        <w:t>Unless sooner repealed, these regulations expire at the end of the period of 12 months beginning on the day on which regulation 3 comes into operation.</w:t>
      </w:r>
    </w:p>
    <w:p>
      <w:pPr>
        <w:pStyle w:val="BlankClose"/>
        <w:rPr>
          <w:del w:id="76" w:author="Master Repository Process" w:date="2021-09-18T10:52:00Z"/>
        </w:rPr>
      </w:pPr>
    </w:p>
    <w:p>
      <w:pPr>
        <w:pStyle w:val="Footnotesection"/>
        <w:rPr>
          <w:ins w:id="77" w:author="Master Repository Process" w:date="2021-09-18T10:52:00Z"/>
          <w:rStyle w:val="CharDivText"/>
        </w:rPr>
        <w:sectPr>
          <w:headerReference w:type="even" r:id="rId20"/>
          <w:headerReference w:type="default" r:id="rId21"/>
          <w:headerReference w:type="first" r:id="rId22"/>
          <w:pgSz w:w="11906" w:h="16838" w:code="9"/>
          <w:pgMar w:top="2381" w:right="2409" w:bottom="3543" w:left="2409" w:header="720" w:footer="3380" w:gutter="0"/>
          <w:pgNumType w:start="1"/>
          <w:cols w:space="720"/>
          <w:noEndnote/>
          <w:titlePg/>
          <w:docGrid w:linePitch="326"/>
        </w:sectPr>
      </w:pPr>
    </w:p>
    <w:p>
      <w:pPr>
        <w:pStyle w:val="nHeading2"/>
        <w:rPr>
          <w:ins w:id="78" w:author="Master Repository Process" w:date="2021-09-18T10:52:00Z"/>
        </w:rPr>
      </w:pPr>
      <w:bookmarkStart w:id="79" w:name="_Toc77066848"/>
      <w:bookmarkStart w:id="80" w:name="_Toc91479281"/>
      <w:bookmarkStart w:id="81" w:name="_Toc92427346"/>
      <w:bookmarkStart w:id="82" w:name="_Toc100974800"/>
      <w:bookmarkStart w:id="83" w:name="_Toc100975120"/>
      <w:bookmarkStart w:id="84" w:name="_Toc100977254"/>
      <w:bookmarkStart w:id="85" w:name="_Toc101064678"/>
      <w:bookmarkStart w:id="86" w:name="_Toc101081038"/>
      <w:bookmarkStart w:id="87" w:name="_Toc101774553"/>
      <w:bookmarkStart w:id="88" w:name="_Toc101774629"/>
      <w:bookmarkStart w:id="89" w:name="_Toc101774732"/>
      <w:bookmarkStart w:id="90" w:name="_Toc105391581"/>
      <w:bookmarkStart w:id="91" w:name="_Toc105577865"/>
      <w:bookmarkStart w:id="92" w:name="_Toc116984351"/>
      <w:bookmarkStart w:id="93" w:name="_Toc116986523"/>
      <w:bookmarkStart w:id="94" w:name="_Toc123708475"/>
      <w:bookmarkStart w:id="95" w:name="_Toc133903585"/>
      <w:bookmarkStart w:id="96" w:name="_Toc133903679"/>
      <w:bookmarkStart w:id="97" w:name="_Toc133921028"/>
      <w:bookmarkStart w:id="98" w:name="_Toc141162279"/>
      <w:bookmarkStart w:id="99" w:name="_Toc141173868"/>
      <w:bookmarkStart w:id="100" w:name="_Toc148256490"/>
      <w:bookmarkStart w:id="101" w:name="_Toc151192493"/>
      <w:bookmarkStart w:id="102" w:name="_Toc151260862"/>
      <w:bookmarkStart w:id="103" w:name="_Toc155062696"/>
      <w:bookmarkStart w:id="104" w:name="_Toc155080021"/>
      <w:bookmarkStart w:id="105" w:name="_Toc171737796"/>
      <w:bookmarkStart w:id="106" w:name="_Toc172087355"/>
      <w:bookmarkStart w:id="107" w:name="_Toc172087600"/>
      <w:bookmarkStart w:id="108" w:name="_Toc172087862"/>
      <w:bookmarkStart w:id="109" w:name="_Toc173915937"/>
      <w:bookmarkStart w:id="110" w:name="_Toc175536942"/>
      <w:bookmarkStart w:id="111" w:name="_Toc175629443"/>
      <w:bookmarkStart w:id="112" w:name="_Toc177792457"/>
      <w:bookmarkStart w:id="113" w:name="_Toc177877492"/>
      <w:bookmarkStart w:id="114" w:name="_Toc179704125"/>
      <w:bookmarkStart w:id="115" w:name="_Toc185647306"/>
      <w:bookmarkStart w:id="116" w:name="_Toc212947038"/>
      <w:bookmarkStart w:id="117" w:name="_Toc218325424"/>
      <w:bookmarkStart w:id="118" w:name="_Toc218325540"/>
      <w:bookmarkStart w:id="119" w:name="_Toc218400263"/>
      <w:bookmarkStart w:id="120" w:name="_Toc241566841"/>
      <w:bookmarkStart w:id="121" w:name="_Toc241566956"/>
      <w:bookmarkStart w:id="122" w:name="_Toc241571184"/>
      <w:bookmarkStart w:id="123" w:name="_Toc244662186"/>
      <w:bookmarkStart w:id="124" w:name="_Toc249261018"/>
      <w:bookmarkStart w:id="125" w:name="_Toc250704766"/>
      <w:bookmarkStart w:id="126" w:name="_Toc255544189"/>
      <w:bookmarkStart w:id="127" w:name="_Toc255552692"/>
      <w:bookmarkStart w:id="128" w:name="_Toc257636644"/>
      <w:bookmarkStart w:id="129" w:name="_Toc257705952"/>
      <w:bookmarkStart w:id="130" w:name="_Toc281461386"/>
      <w:bookmarkStart w:id="131" w:name="_Toc308095419"/>
      <w:bookmarkStart w:id="132" w:name="_Toc308162905"/>
      <w:bookmarkStart w:id="133" w:name="_Toc312827130"/>
      <w:bookmarkStart w:id="134" w:name="_Toc340825224"/>
      <w:bookmarkStart w:id="135" w:name="_Toc340825244"/>
      <w:bookmarkStart w:id="136" w:name="_Toc340825622"/>
      <w:bookmarkStart w:id="137" w:name="_Toc340830205"/>
      <w:bookmarkStart w:id="138" w:name="_Toc347308176"/>
      <w:bookmarkStart w:id="139" w:name="_Toc347310711"/>
      <w:ins w:id="140" w:author="Master Repository Process" w:date="2021-09-18T10:52:00Z">
        <w:r>
          <w:t>Notes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ins>
    </w:p>
    <w:p>
      <w:pPr>
        <w:pStyle w:val="nSubsection"/>
        <w:rPr>
          <w:ins w:id="141" w:author="Master Repository Process" w:date="2021-09-18T10:52:00Z"/>
          <w:snapToGrid w:val="0"/>
        </w:rPr>
      </w:pPr>
      <w:ins w:id="142" w:author="Master Repository Process" w:date="2021-09-18T10:52:00Z">
        <w:r>
          <w:rPr>
            <w:snapToGrid w:val="0"/>
            <w:vertAlign w:val="superscript"/>
          </w:rPr>
          <w:t>1</w:t>
        </w:r>
        <w:r>
          <w:rPr>
            <w:snapToGrid w:val="0"/>
          </w:rPr>
          <w:tab/>
          <w:t xml:space="preserve">This is a compilation of the </w:t>
        </w:r>
        <w:r>
          <w:rPr>
            <w:i/>
            <w:noProof/>
            <w:snapToGrid w:val="0"/>
          </w:rPr>
          <w:t>Trans-Tasman Mutual Recognition (WA) (Temporary Exemptions) Regulations 2012</w:t>
        </w:r>
        <w:r>
          <w:rPr>
            <w:noProof/>
            <w:snapToGrid w:val="0"/>
          </w:rPr>
          <w:t>. The following table contains information about those regulations</w:t>
        </w:r>
        <w:r>
          <w:rPr>
            <w:snapToGrid w:val="0"/>
          </w:rPr>
          <w:t>.</w:t>
        </w:r>
      </w:ins>
    </w:p>
    <w:p>
      <w:pPr>
        <w:pStyle w:val="nHeading3"/>
        <w:rPr>
          <w:ins w:id="143" w:author="Master Repository Process" w:date="2021-09-18T10:52:00Z"/>
        </w:rPr>
      </w:pPr>
      <w:bookmarkStart w:id="144" w:name="_Toc312827131"/>
      <w:bookmarkStart w:id="145" w:name="_Toc340825245"/>
      <w:bookmarkStart w:id="146" w:name="_Toc347310712"/>
      <w:ins w:id="147" w:author="Master Repository Process" w:date="2021-09-18T10:52:00Z">
        <w:r>
          <w:t>Compilation table</w:t>
        </w:r>
        <w:bookmarkEnd w:id="144"/>
        <w:bookmarkEnd w:id="145"/>
        <w:bookmarkEnd w:id="146"/>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48" w:author="Master Repository Process" w:date="2021-09-18T10:52:00Z"/>
        </w:trPr>
        <w:tc>
          <w:tcPr>
            <w:tcW w:w="3119" w:type="dxa"/>
            <w:tcBorders>
              <w:top w:val="single" w:sz="8" w:space="0" w:color="auto"/>
              <w:bottom w:val="single" w:sz="8" w:space="0" w:color="auto"/>
            </w:tcBorders>
          </w:tcPr>
          <w:p>
            <w:pPr>
              <w:pStyle w:val="nTable"/>
              <w:spacing w:after="40"/>
              <w:ind w:right="113"/>
              <w:rPr>
                <w:ins w:id="149" w:author="Master Repository Process" w:date="2021-09-18T10:52:00Z"/>
                <w:b/>
                <w:sz w:val="19"/>
              </w:rPr>
            </w:pPr>
            <w:ins w:id="150" w:author="Master Repository Process" w:date="2021-09-18T10:52:00Z">
              <w:r>
                <w:rPr>
                  <w:b/>
                  <w:sz w:val="19"/>
                </w:rPr>
                <w:t>Citation</w:t>
              </w:r>
            </w:ins>
          </w:p>
        </w:tc>
        <w:tc>
          <w:tcPr>
            <w:tcW w:w="1276" w:type="dxa"/>
            <w:tcBorders>
              <w:top w:val="single" w:sz="8" w:space="0" w:color="auto"/>
              <w:bottom w:val="single" w:sz="8" w:space="0" w:color="auto"/>
            </w:tcBorders>
          </w:tcPr>
          <w:p>
            <w:pPr>
              <w:pStyle w:val="nTable"/>
              <w:spacing w:after="40"/>
              <w:rPr>
                <w:ins w:id="151" w:author="Master Repository Process" w:date="2021-09-18T10:52:00Z"/>
                <w:b/>
                <w:sz w:val="19"/>
              </w:rPr>
            </w:pPr>
            <w:ins w:id="152" w:author="Master Repository Process" w:date="2021-09-18T10:52:00Z">
              <w:r>
                <w:rPr>
                  <w:b/>
                  <w:sz w:val="19"/>
                </w:rPr>
                <w:t>Gazettal</w:t>
              </w:r>
            </w:ins>
          </w:p>
        </w:tc>
        <w:tc>
          <w:tcPr>
            <w:tcW w:w="2693" w:type="dxa"/>
            <w:tcBorders>
              <w:top w:val="single" w:sz="8" w:space="0" w:color="auto"/>
              <w:bottom w:val="single" w:sz="8" w:space="0" w:color="auto"/>
            </w:tcBorders>
          </w:tcPr>
          <w:p>
            <w:pPr>
              <w:pStyle w:val="nTable"/>
              <w:spacing w:after="40"/>
              <w:rPr>
                <w:ins w:id="153" w:author="Master Repository Process" w:date="2021-09-18T10:52:00Z"/>
                <w:b/>
                <w:sz w:val="19"/>
              </w:rPr>
            </w:pPr>
            <w:ins w:id="154" w:author="Master Repository Process" w:date="2021-09-18T10:52:00Z">
              <w:r>
                <w:rPr>
                  <w:b/>
                  <w:sz w:val="19"/>
                </w:rPr>
                <w:t>Commencement</w:t>
              </w:r>
            </w:ins>
          </w:p>
        </w:tc>
      </w:tr>
      <w:tr>
        <w:trPr>
          <w:cantSplit/>
          <w:ins w:id="155" w:author="Master Repository Process" w:date="2021-09-18T10:52:00Z"/>
        </w:trPr>
        <w:tc>
          <w:tcPr>
            <w:tcW w:w="3119" w:type="dxa"/>
            <w:tcBorders>
              <w:top w:val="single" w:sz="8" w:space="0" w:color="auto"/>
              <w:bottom w:val="single" w:sz="8" w:space="0" w:color="auto"/>
            </w:tcBorders>
          </w:tcPr>
          <w:p>
            <w:pPr>
              <w:pStyle w:val="nTable"/>
              <w:spacing w:after="40"/>
              <w:ind w:right="113"/>
              <w:rPr>
                <w:ins w:id="156" w:author="Master Repository Process" w:date="2021-09-18T10:52:00Z"/>
              </w:rPr>
            </w:pPr>
            <w:ins w:id="157" w:author="Master Repository Process" w:date="2021-09-18T10:52:00Z">
              <w:r>
                <w:rPr>
                  <w:i/>
                  <w:sz w:val="19"/>
                </w:rPr>
                <w:t>Trans-Tasman Mutual Recognition (WA) (Temporary Exemptions) Regulations 2012</w:t>
              </w:r>
              <w:r>
                <w:t xml:space="preserve"> </w:t>
              </w:r>
            </w:ins>
          </w:p>
        </w:tc>
        <w:tc>
          <w:tcPr>
            <w:tcW w:w="1276" w:type="dxa"/>
            <w:tcBorders>
              <w:top w:val="single" w:sz="8" w:space="0" w:color="auto"/>
              <w:bottom w:val="single" w:sz="8" w:space="0" w:color="auto"/>
            </w:tcBorders>
          </w:tcPr>
          <w:p>
            <w:pPr>
              <w:pStyle w:val="nTable"/>
              <w:spacing w:after="40"/>
              <w:rPr>
                <w:ins w:id="158" w:author="Master Repository Process" w:date="2021-09-18T10:52:00Z"/>
                <w:sz w:val="19"/>
              </w:rPr>
            </w:pPr>
            <w:ins w:id="159" w:author="Master Repository Process" w:date="2021-09-18T10:52:00Z">
              <w:r>
                <w:rPr>
                  <w:sz w:val="19"/>
                </w:rPr>
                <w:t>16 Nov 2012 p. 5644-5</w:t>
              </w:r>
            </w:ins>
          </w:p>
        </w:tc>
        <w:tc>
          <w:tcPr>
            <w:tcW w:w="2693" w:type="dxa"/>
            <w:tcBorders>
              <w:top w:val="single" w:sz="8" w:space="0" w:color="auto"/>
              <w:bottom w:val="single" w:sz="8" w:space="0" w:color="auto"/>
            </w:tcBorders>
          </w:tcPr>
          <w:p>
            <w:pPr>
              <w:pStyle w:val="nTable"/>
              <w:spacing w:after="40"/>
              <w:rPr>
                <w:ins w:id="160" w:author="Master Repository Process" w:date="2021-09-18T10:52:00Z"/>
                <w:sz w:val="19"/>
              </w:rPr>
            </w:pPr>
            <w:ins w:id="161" w:author="Master Repository Process" w:date="2021-09-18T10:52:00Z">
              <w:r>
                <w:rPr>
                  <w:sz w:val="19"/>
                </w:rPr>
                <w:t>r. 1 and 2: 16 Nov 2012 (see r. 2(a));</w:t>
              </w:r>
              <w:r>
                <w:rPr>
                  <w:sz w:val="19"/>
                </w:rPr>
                <w:br/>
              </w:r>
              <w:r>
                <w:rPr>
                  <w:rFonts w:ascii="Times" w:hAnsi="Times"/>
                  <w:snapToGrid w:val="0"/>
                  <w:sz w:val="19"/>
                </w:rPr>
                <w:t xml:space="preserve">Regulations other than r. 1 and 2: </w:t>
              </w:r>
              <w:r>
                <w:rPr>
                  <w:rFonts w:ascii="Times" w:hAnsi="Times"/>
                  <w:snapToGrid w:val="0"/>
                  <w:sz w:val="19"/>
                  <w:lang w:val="en-US"/>
                </w:rPr>
                <w:t xml:space="preserve">30 Jan 2013 (see r. 2(b) and </w:t>
              </w:r>
              <w:r>
                <w:rPr>
                  <w:rFonts w:ascii="Times" w:hAnsi="Times"/>
                  <w:i/>
                  <w:snapToGrid w:val="0"/>
                  <w:sz w:val="19"/>
                  <w:lang w:val="en-US"/>
                </w:rPr>
                <w:t xml:space="preserve">Gazette </w:t>
              </w:r>
              <w:r>
                <w:rPr>
                  <w:rFonts w:ascii="Times" w:hAnsi="Times"/>
                  <w:snapToGrid w:val="0"/>
                  <w:sz w:val="19"/>
                  <w:lang w:val="en-US"/>
                </w:rPr>
                <w:t>29 Jan 2013 p. 324</w:t>
              </w:r>
              <w:r>
                <w:rPr>
                  <w:rFonts w:ascii="Times" w:hAnsi="Times"/>
                  <w:snapToGrid w:val="0"/>
                  <w:sz w:val="19"/>
                  <w:lang w:val="en-US"/>
                </w:rPr>
                <w:noBreakHyphen/>
                <w:t>5)</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bookmarkEnd w:id="22"/>
    <w:bookmarkEnd w:id="23"/>
    <w:bookmarkEnd w:id="24"/>
    <w:bookmarkEnd w:id="25"/>
    <w:bookmarkEnd w:id="26"/>
    <w:bookmarkEnd w:id="27"/>
    <w:bookmarkEnd w:id="28"/>
    <w:p/>
    <w:sectPr>
      <w:headerReference w:type="even" r:id="rId26"/>
      <w:endnotePr>
        <w:numFmt w:val="decimal"/>
      </w:endnotePr>
      <w:type w:val="continuous"/>
      <w:pgSz w:w="11906" w:h="16838" w:code="9"/>
      <w:pgMar w:top="2381" w:right="2410" w:bottom="3544" w:left="2410" w:header="720" w:footer="3379" w:gutter="0"/>
      <w:pgNumType w:start="1"/>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Trans-Tasman Mutual Recognition (Western Australia) (Temporary Exemptions) Regulations 2012</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Trans-Tasman Mutual Recognition (Western Australia) (Temporary Exemptions) Regulations 2012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w:r>
              <w:rPr>
                <w:noProof/>
              </w:rPr>
              <w:t>Trans-Tasman Mutual Recognition (Western Australia) (Temporary Exemptions) Regulations 2012</w:t>
            </w:r>
          </w:fldSimple>
        </w:p>
      </w:tc>
    </w:tr>
    <w:tr>
      <w:tc>
        <w:tcPr>
          <w:tcW w:w="1392" w:type="dxa"/>
        </w:tcPr>
        <w:p>
          <w:pPr>
            <w:pStyle w:val="HeaderNumberLeft"/>
          </w:pPr>
          <w:r>
            <w:fldChar w:fldCharType="begin"/>
          </w:r>
          <w:r>
            <w:instrText xml:space="preserve"> styleref CharPartNo </w:instrText>
          </w:r>
          <w:r>
            <w:fldChar w:fldCharType="end"/>
          </w:r>
        </w:p>
      </w:tc>
      <w:tc>
        <w:tcPr>
          <w:tcW w:w="5871" w:type="dxa"/>
          <w:vAlign w:val="bottom"/>
        </w:tcPr>
        <w:p>
          <w:pPr>
            <w:pStyle w:val="HeaderTextLeft"/>
          </w:pPr>
          <w:r>
            <w:fldChar w:fldCharType="begin"/>
          </w:r>
          <w:r>
            <w:instrText xml:space="preserve"> styleref CharPartText </w:instrText>
          </w:r>
          <w:r>
            <w:fldChar w:fldCharType="end"/>
          </w:r>
        </w:p>
      </w:tc>
    </w:tr>
    <w:tr>
      <w:tc>
        <w:tcPr>
          <w:tcW w:w="1392" w:type="dxa"/>
        </w:tcPr>
        <w:p>
          <w:pPr>
            <w:pStyle w:val="HeaderNumberLeft"/>
          </w:pPr>
          <w:r>
            <w:fldChar w:fldCharType="begin"/>
          </w:r>
          <w:r>
            <w:instrText xml:space="preserve"> styleref CharDivNo </w:instrText>
          </w:r>
          <w:r>
            <w:fldChar w:fldCharType="end"/>
          </w:r>
        </w:p>
      </w:tc>
      <w:tc>
        <w:tcPr>
          <w:tcW w:w="5871"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952"/>
      <w:gridCol w:w="1311"/>
    </w:tblGrid>
    <w:tr>
      <w:trPr>
        <w:cantSplit/>
      </w:trPr>
      <w:tc>
        <w:tcPr>
          <w:tcW w:w="7263" w:type="dxa"/>
          <w:gridSpan w:val="2"/>
        </w:tcPr>
        <w:p>
          <w:pPr>
            <w:pStyle w:val="HeaderActNameRight"/>
            <w:ind w:right="17"/>
          </w:pPr>
          <w:fldSimple w:instr=" Styleref &quot;Name of Act/Reg&quot; ">
            <w:r>
              <w:rPr>
                <w:noProof/>
              </w:rPr>
              <w:t>Trans-Tasman Mutual Recognition (Western Australia) (Temporary Exemptions) Regulations 2012</w:t>
            </w:r>
          </w:fldSimple>
        </w:p>
      </w:tc>
    </w:tr>
    <w:tr>
      <w:tc>
        <w:tcPr>
          <w:tcW w:w="5952" w:type="dxa"/>
          <w:vAlign w:val="bottom"/>
        </w:tcPr>
        <w:p>
          <w:pPr>
            <w:pStyle w:val="HeaderTextRight"/>
          </w:pPr>
          <w:r>
            <w:fldChar w:fldCharType="begin"/>
          </w:r>
          <w:r>
            <w:instrText xml:space="preserve"> styleref CharPartText </w:instrText>
          </w:r>
          <w:r>
            <w:fldChar w:fldCharType="end"/>
          </w:r>
        </w:p>
      </w:tc>
      <w:tc>
        <w:tcPr>
          <w:tcW w:w="1311" w:type="dxa"/>
        </w:tcPr>
        <w:p>
          <w:pPr>
            <w:pStyle w:val="HeaderNumberRight"/>
            <w:ind w:right="17"/>
          </w:pPr>
          <w:r>
            <w:fldChar w:fldCharType="begin"/>
          </w:r>
          <w:r>
            <w:instrText xml:space="preserve"> styleref CharPartNo </w:instrText>
          </w:r>
          <w:r>
            <w:fldChar w:fldCharType="end"/>
          </w:r>
        </w:p>
      </w:tc>
    </w:tr>
    <w:tr>
      <w:tc>
        <w:tcPr>
          <w:tcW w:w="5952" w:type="dxa"/>
          <w:vAlign w:val="bottom"/>
        </w:tcPr>
        <w:p>
          <w:pPr>
            <w:pStyle w:val="HeaderTextRight"/>
          </w:pPr>
          <w:r>
            <w:fldChar w:fldCharType="begin"/>
          </w:r>
          <w:r>
            <w:instrText xml:space="preserve"> styleref CharDivText </w:instrText>
          </w:r>
          <w:r>
            <w:fldChar w:fldCharType="end"/>
          </w:r>
        </w:p>
      </w:tc>
      <w:tc>
        <w:tcPr>
          <w:tcW w:w="1311"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w:r>
              <w:rPr>
                <w:noProof/>
              </w:rPr>
              <w:t>Trans-Tasman Mutual Recognition (Western Australia) (Temporary Exemptions) Regulations 2012</w:t>
            </w:r>
          </w:fldSimple>
        </w:p>
      </w:tc>
    </w:tr>
    <w:tr>
      <w:tc>
        <w:tcPr>
          <w:tcW w:w="1392" w:type="dxa"/>
        </w:tcPr>
        <w:p>
          <w:pPr>
            <w:pStyle w:val="HeaderNumberLeft"/>
          </w:pPr>
          <w:r>
            <w:fldChar w:fldCharType="begin"/>
          </w:r>
          <w:r>
            <w:instrText xml:space="preserve"> styleref CharPartNo </w:instrText>
          </w:r>
          <w:r>
            <w:fldChar w:fldCharType="end"/>
          </w:r>
        </w:p>
      </w:tc>
      <w:tc>
        <w:tcPr>
          <w:tcW w:w="5871" w:type="dxa"/>
          <w:vAlign w:val="bottom"/>
        </w:tcPr>
        <w:p>
          <w:pPr>
            <w:pStyle w:val="HeaderTextLeft"/>
          </w:pPr>
          <w:r>
            <w:fldChar w:fldCharType="begin"/>
          </w:r>
          <w:r>
            <w:instrText xml:space="preserve"> styleref CharPartText </w:instrText>
          </w:r>
          <w:r>
            <w:fldChar w:fldCharType="end"/>
          </w:r>
        </w:p>
      </w:tc>
    </w:tr>
    <w:tr>
      <w:tc>
        <w:tcPr>
          <w:tcW w:w="1392" w:type="dxa"/>
        </w:tcPr>
        <w:p>
          <w:pPr>
            <w:pStyle w:val="HeaderNumberLeft"/>
          </w:pPr>
          <w:r>
            <w:fldChar w:fldCharType="begin"/>
          </w:r>
          <w:r>
            <w:instrText xml:space="preserve"> styleref CharDivNo </w:instrText>
          </w:r>
          <w:r>
            <w:fldChar w:fldCharType="end"/>
          </w:r>
        </w:p>
      </w:tc>
      <w:tc>
        <w:tcPr>
          <w:tcW w:w="5871"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952"/>
      <w:gridCol w:w="1311"/>
    </w:tblGrid>
    <w:tr>
      <w:trPr>
        <w:cantSplit/>
      </w:trPr>
      <w:tc>
        <w:tcPr>
          <w:tcW w:w="7263" w:type="dxa"/>
          <w:gridSpan w:val="2"/>
        </w:tcPr>
        <w:p>
          <w:pPr>
            <w:pStyle w:val="HeaderActNameRight"/>
            <w:ind w:right="17"/>
          </w:pPr>
          <w:fldSimple w:instr=" Styleref &quot;Name of Act/Reg&quot; ">
            <w:r>
              <w:rPr>
                <w:noProof/>
              </w:rPr>
              <w:t>Trans-Tasman Mutual Recognition (Western Australia) (Temporary Exemptions) Regulations 2012</w:t>
            </w:r>
          </w:fldSimple>
        </w:p>
      </w:tc>
    </w:tr>
    <w:tr>
      <w:tc>
        <w:tcPr>
          <w:tcW w:w="5952" w:type="dxa"/>
          <w:vAlign w:val="bottom"/>
        </w:tcPr>
        <w:p>
          <w:pPr>
            <w:pStyle w:val="HeaderTextRight"/>
          </w:pPr>
          <w:r>
            <w:fldChar w:fldCharType="begin"/>
          </w:r>
          <w:r>
            <w:instrText xml:space="preserve"> styleref CharPartText </w:instrText>
          </w:r>
          <w:r>
            <w:fldChar w:fldCharType="end"/>
          </w:r>
        </w:p>
      </w:tc>
      <w:tc>
        <w:tcPr>
          <w:tcW w:w="1311" w:type="dxa"/>
        </w:tcPr>
        <w:p>
          <w:pPr>
            <w:pStyle w:val="HeaderNumberRight"/>
            <w:ind w:right="17"/>
          </w:pPr>
          <w:r>
            <w:fldChar w:fldCharType="begin"/>
          </w:r>
          <w:r>
            <w:instrText xml:space="preserve"> styleref CharPartNo </w:instrText>
          </w:r>
          <w:r>
            <w:fldChar w:fldCharType="end"/>
          </w:r>
        </w:p>
      </w:tc>
    </w:tr>
    <w:tr>
      <w:tc>
        <w:tcPr>
          <w:tcW w:w="5952" w:type="dxa"/>
          <w:vAlign w:val="bottom"/>
        </w:tcPr>
        <w:p>
          <w:pPr>
            <w:pStyle w:val="HeaderTextRight"/>
          </w:pPr>
          <w:r>
            <w:fldChar w:fldCharType="begin"/>
          </w:r>
          <w:r>
            <w:instrText xml:space="preserve"> styleref CharDivText </w:instrText>
          </w:r>
          <w:r>
            <w:fldChar w:fldCharType="end"/>
          </w:r>
        </w:p>
      </w:tc>
      <w:tc>
        <w:tcPr>
          <w:tcW w:w="1311"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CE17576B-CAEF-4F08-B0B9-7E3A72BF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451</Words>
  <Characters>2490</Characters>
  <Application>Microsoft Office Word</Application>
  <DocSecurity>0</DocSecurity>
  <Lines>118</Lines>
  <Paragraphs>54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Western Australia</vt:lpstr>
      <vt:lpstr>Trans-Tasman Mutual Recognition (Western Australia) (Temporary Exemptions) Regul</vt:lpstr>
      <vt:lpstr>    Notes</vt:lpstr>
    </vt:vector>
  </TitlesOfParts>
  <Manager/>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Exemptions) Regulations 2012 00-a0-01 - 00-b0-01</dc:title>
  <dc:subject/>
  <dc:creator/>
  <cp:keywords/>
  <dc:description/>
  <cp:lastModifiedBy>Master Repository Process</cp:lastModifiedBy>
  <cp:revision>2</cp:revision>
  <cp:lastPrinted>2012-10-18T03:28:00Z</cp:lastPrinted>
  <dcterms:created xsi:type="dcterms:W3CDTF">2021-09-18T02:52:00Z</dcterms:created>
  <dcterms:modified xsi:type="dcterms:W3CDTF">2021-09-18T02:52:00Z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5644-5</vt:lpwstr>
  </property>
  <property fmtid="{D5CDD505-2E9C-101B-9397-08002B2CF9AE}" pid="3" name="CommencementDate">
    <vt:lpwstr>20130130</vt:lpwstr>
  </property>
  <property fmtid="{D5CDD505-2E9C-101B-9397-08002B2CF9AE}" pid="4" name="DocumentType">
    <vt:lpwstr>Reg</vt:lpwstr>
  </property>
  <property fmtid="{D5CDD505-2E9C-101B-9397-08002B2CF9AE}" pid="5" name="FromSuffix">
    <vt:lpwstr>00-a0-01</vt:lpwstr>
  </property>
  <property fmtid="{D5CDD505-2E9C-101B-9397-08002B2CF9AE}" pid="6" name="FromAsAtDate">
    <vt:lpwstr>16 Nov 2012</vt:lpwstr>
  </property>
  <property fmtid="{D5CDD505-2E9C-101B-9397-08002B2CF9AE}" pid="7" name="ToSuffix">
    <vt:lpwstr>00-b0-01</vt:lpwstr>
  </property>
  <property fmtid="{D5CDD505-2E9C-101B-9397-08002B2CF9AE}" pid="8" name="ToAsAtDate">
    <vt:lpwstr>30 Jan 2013</vt:lpwstr>
  </property>
</Properties>
</file>