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 Care Services (Outside School Hours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Jan 2012</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06 Mar 2013</w:t>
      </w:r>
      <w:r>
        <w:fldChar w:fldCharType="end"/>
      </w:r>
      <w:r>
        <w:t xml:space="preserve">, </w:t>
      </w:r>
      <w:r>
        <w:fldChar w:fldCharType="begin"/>
      </w:r>
      <w:r>
        <w:instrText xml:space="preserve"> DocProperty ToSuffix</w:instrText>
      </w:r>
      <w:r>
        <w:fldChar w:fldCharType="separate"/>
      </w:r>
      <w:r>
        <w:t>02-c0-04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vertAlign w:val="superscript"/>
        </w:rPr>
      </w:pPr>
      <w:r>
        <w:t xml:space="preserve">Child Care </w:t>
      </w:r>
      <w:r>
        <w:rPr>
          <w:snapToGrid w:val="0"/>
        </w:rPr>
        <w:t>Services</w:t>
      </w:r>
      <w:r>
        <w:t xml:space="preserve"> Act 2007 </w:t>
      </w:r>
      <w:r>
        <w:rPr>
          <w:vertAlign w:val="superscript"/>
        </w:rPr>
        <w:t>2</w:t>
      </w:r>
    </w:p>
    <w:p>
      <w:pPr>
        <w:pStyle w:val="NameofActReg"/>
        <w:spacing w:before="600"/>
      </w:pPr>
      <w:r>
        <w:t>Child Care Services (</w:t>
      </w:r>
      <w:smartTag w:uri="urn:schemas-microsoft-com:office:smarttags" w:element="place">
        <w:smartTag w:uri="urn:schemas-microsoft-com:office:smarttags" w:element="PlaceName">
          <w:r>
            <w:t>Outside</w:t>
          </w:r>
        </w:smartTag>
        <w:r>
          <w:t xml:space="preserve"> </w:t>
        </w:r>
        <w:smartTag w:uri="urn:schemas-microsoft-com:office:smarttags" w:element="PlaceType">
          <w:r>
            <w:t>School</w:t>
          </w:r>
        </w:smartTag>
      </w:smartTag>
      <w:r>
        <w:t xml:space="preserve"> Hours Care) Regulations 2006</w:t>
      </w:r>
    </w:p>
    <w:p>
      <w:pPr>
        <w:pStyle w:val="Heading2"/>
        <w:pageBreakBefore w:val="0"/>
      </w:pPr>
      <w:bookmarkStart w:id="1" w:name="_Toc378075828"/>
      <w:bookmarkStart w:id="2" w:name="_Toc425777492"/>
      <w:bookmarkStart w:id="3" w:name="_Toc425777600"/>
      <w:bookmarkStart w:id="4" w:name="_Toc111608516"/>
      <w:bookmarkStart w:id="5" w:name="_Toc111608647"/>
      <w:bookmarkStart w:id="6" w:name="_Toc111609163"/>
      <w:bookmarkStart w:id="7" w:name="_Toc111609956"/>
      <w:bookmarkStart w:id="8" w:name="_Toc112573403"/>
      <w:bookmarkStart w:id="9" w:name="_Toc112636804"/>
      <w:bookmarkStart w:id="10" w:name="_Toc113263161"/>
      <w:bookmarkStart w:id="11" w:name="_Toc113264543"/>
      <w:bookmarkStart w:id="12" w:name="_Toc113335383"/>
      <w:bookmarkStart w:id="13" w:name="_Toc113335561"/>
      <w:bookmarkStart w:id="14" w:name="_Toc113338433"/>
      <w:bookmarkStart w:id="15" w:name="_Toc113343815"/>
      <w:bookmarkStart w:id="16" w:name="_Toc113345020"/>
      <w:bookmarkStart w:id="17" w:name="_Toc113345421"/>
      <w:bookmarkStart w:id="18" w:name="_Toc113345613"/>
      <w:bookmarkStart w:id="19" w:name="_Toc113346291"/>
      <w:bookmarkStart w:id="20" w:name="_Toc113351311"/>
      <w:bookmarkStart w:id="21" w:name="_Toc113427855"/>
      <w:bookmarkStart w:id="22" w:name="_Toc113429937"/>
      <w:bookmarkStart w:id="23" w:name="_Toc114278379"/>
      <w:bookmarkStart w:id="24" w:name="_Toc114301405"/>
      <w:bookmarkStart w:id="25" w:name="_Toc114534947"/>
      <w:bookmarkStart w:id="26" w:name="_Toc114984107"/>
      <w:bookmarkStart w:id="27" w:name="_Toc115058200"/>
      <w:bookmarkStart w:id="28" w:name="_Toc115059272"/>
      <w:bookmarkStart w:id="29" w:name="_Toc115061032"/>
      <w:bookmarkStart w:id="30" w:name="_Toc115072285"/>
      <w:bookmarkStart w:id="31" w:name="_Toc115072552"/>
      <w:bookmarkStart w:id="32" w:name="_Toc115073942"/>
      <w:bookmarkStart w:id="33" w:name="_Toc115074665"/>
      <w:bookmarkStart w:id="34" w:name="_Toc115075960"/>
      <w:bookmarkStart w:id="35" w:name="_Toc115076884"/>
      <w:bookmarkStart w:id="36" w:name="_Toc115076998"/>
      <w:bookmarkStart w:id="37" w:name="_Toc115140167"/>
      <w:bookmarkStart w:id="38" w:name="_Toc115141099"/>
      <w:bookmarkStart w:id="39" w:name="_Toc115141322"/>
      <w:bookmarkStart w:id="40" w:name="_Toc115144365"/>
      <w:bookmarkStart w:id="41" w:name="_Toc115144671"/>
      <w:bookmarkStart w:id="42" w:name="_Toc115149687"/>
      <w:bookmarkStart w:id="43" w:name="_Toc115244730"/>
      <w:bookmarkStart w:id="44" w:name="_Toc116794051"/>
      <w:bookmarkStart w:id="45" w:name="_Toc116794430"/>
      <w:bookmarkStart w:id="46" w:name="_Toc116869163"/>
      <w:bookmarkStart w:id="47" w:name="_Toc116874768"/>
      <w:bookmarkStart w:id="48" w:name="_Toc116960570"/>
      <w:bookmarkStart w:id="49" w:name="_Toc116961233"/>
      <w:bookmarkStart w:id="50" w:name="_Toc116961351"/>
      <w:bookmarkStart w:id="51" w:name="_Toc116961469"/>
      <w:bookmarkStart w:id="52" w:name="_Toc116961587"/>
      <w:bookmarkStart w:id="53" w:name="_Toc116961705"/>
      <w:bookmarkStart w:id="54" w:name="_Toc116961823"/>
      <w:bookmarkStart w:id="55" w:name="_Toc116961941"/>
      <w:bookmarkStart w:id="56" w:name="_Toc116962059"/>
      <w:bookmarkStart w:id="57" w:name="_Toc116962177"/>
      <w:bookmarkStart w:id="58" w:name="_Toc116962295"/>
      <w:bookmarkStart w:id="59" w:name="_Toc116962413"/>
      <w:bookmarkStart w:id="60" w:name="_Toc116962536"/>
      <w:bookmarkStart w:id="61" w:name="_Toc116962654"/>
      <w:bookmarkStart w:id="62" w:name="_Toc116962823"/>
      <w:bookmarkStart w:id="63" w:name="_Toc116971064"/>
      <w:bookmarkStart w:id="64" w:name="_Toc116979883"/>
      <w:bookmarkStart w:id="65" w:name="_Toc117040536"/>
      <w:bookmarkStart w:id="66" w:name="_Toc117040684"/>
      <w:bookmarkStart w:id="67" w:name="_Toc117045579"/>
      <w:bookmarkStart w:id="68" w:name="_Toc117472357"/>
      <w:bookmarkStart w:id="69" w:name="_Toc117989116"/>
      <w:bookmarkStart w:id="70" w:name="_Toc118016920"/>
      <w:bookmarkStart w:id="71" w:name="_Toc118098810"/>
      <w:bookmarkStart w:id="72" w:name="_Toc118100545"/>
      <w:bookmarkStart w:id="73" w:name="_Toc118102191"/>
      <w:bookmarkStart w:id="74" w:name="_Toc118103110"/>
      <w:bookmarkStart w:id="75" w:name="_Toc118168675"/>
      <w:bookmarkStart w:id="76" w:name="_Toc118171059"/>
      <w:bookmarkStart w:id="77" w:name="_Toc118171631"/>
      <w:bookmarkStart w:id="78" w:name="_Toc118172628"/>
      <w:bookmarkStart w:id="79" w:name="_Toc118173679"/>
      <w:bookmarkStart w:id="80" w:name="_Toc118175923"/>
      <w:bookmarkStart w:id="81" w:name="_Toc118176151"/>
      <w:bookmarkStart w:id="82" w:name="_Toc118184917"/>
      <w:bookmarkStart w:id="83" w:name="_Toc118185033"/>
      <w:bookmarkStart w:id="84" w:name="_Toc118185149"/>
      <w:bookmarkStart w:id="85" w:name="_Toc118192633"/>
      <w:bookmarkStart w:id="86" w:name="_Toc118263426"/>
      <w:bookmarkStart w:id="87" w:name="_Toc118268311"/>
      <w:bookmarkStart w:id="88" w:name="_Toc118523261"/>
      <w:bookmarkStart w:id="89" w:name="_Toc118525686"/>
      <w:bookmarkStart w:id="90" w:name="_Toc118527810"/>
      <w:bookmarkStart w:id="91" w:name="_Toc118528008"/>
      <w:bookmarkStart w:id="92" w:name="_Toc118786117"/>
      <w:bookmarkStart w:id="93" w:name="_Toc119723047"/>
      <w:bookmarkStart w:id="94" w:name="_Toc119725770"/>
      <w:bookmarkStart w:id="95" w:name="_Toc119726087"/>
      <w:bookmarkStart w:id="96" w:name="_Toc119726338"/>
      <w:bookmarkStart w:id="97" w:name="_Toc119726692"/>
      <w:bookmarkStart w:id="98" w:name="_Toc119727493"/>
      <w:bookmarkStart w:id="99" w:name="_Toc119727809"/>
      <w:bookmarkStart w:id="100" w:name="_Toc119727925"/>
      <w:bookmarkStart w:id="101" w:name="_Toc119830224"/>
      <w:bookmarkStart w:id="102" w:name="_Toc119902207"/>
      <w:bookmarkStart w:id="103" w:name="_Toc119904673"/>
      <w:bookmarkStart w:id="104" w:name="_Toc119909176"/>
      <w:bookmarkStart w:id="105" w:name="_Toc119912834"/>
      <w:bookmarkStart w:id="106" w:name="_Toc119917285"/>
      <w:bookmarkStart w:id="107" w:name="_Toc119982487"/>
      <w:bookmarkStart w:id="108" w:name="_Toc119986797"/>
      <w:bookmarkStart w:id="109" w:name="_Toc120087323"/>
      <w:bookmarkStart w:id="110" w:name="_Toc120689357"/>
      <w:bookmarkStart w:id="111" w:name="_Toc120694473"/>
      <w:bookmarkStart w:id="112" w:name="_Toc120928515"/>
      <w:bookmarkStart w:id="113" w:name="_Toc120928633"/>
      <w:bookmarkStart w:id="114" w:name="_Toc120928884"/>
      <w:bookmarkStart w:id="115" w:name="_Toc120929581"/>
      <w:bookmarkStart w:id="116" w:name="_Toc120931048"/>
      <w:bookmarkStart w:id="117" w:name="_Toc120935443"/>
      <w:bookmarkStart w:id="118" w:name="_Toc120935561"/>
      <w:bookmarkStart w:id="119" w:name="_Toc120938124"/>
      <w:bookmarkStart w:id="120" w:name="_Toc121018152"/>
      <w:bookmarkStart w:id="121" w:name="_Toc121019033"/>
      <w:bookmarkStart w:id="122" w:name="_Toc121024461"/>
      <w:bookmarkStart w:id="123" w:name="_Toc121024579"/>
      <w:bookmarkStart w:id="124" w:name="_Toc121272098"/>
      <w:bookmarkStart w:id="125" w:name="_Toc121276666"/>
      <w:bookmarkStart w:id="126" w:name="_Toc122151468"/>
      <w:bookmarkStart w:id="127" w:name="_Toc122151986"/>
      <w:bookmarkStart w:id="128" w:name="_Toc122155341"/>
      <w:bookmarkStart w:id="129" w:name="_Toc122155535"/>
      <w:bookmarkStart w:id="130" w:name="_Toc122156346"/>
      <w:bookmarkStart w:id="131" w:name="_Toc122156724"/>
      <w:bookmarkStart w:id="132" w:name="_Toc122157100"/>
      <w:bookmarkStart w:id="133" w:name="_Toc122159337"/>
      <w:bookmarkStart w:id="134" w:name="_Toc122310981"/>
      <w:bookmarkStart w:id="135" w:name="_Toc122314952"/>
      <w:bookmarkStart w:id="136" w:name="_Toc122397348"/>
      <w:bookmarkStart w:id="137" w:name="_Toc122397475"/>
      <w:bookmarkStart w:id="138" w:name="_Toc122399401"/>
      <w:bookmarkStart w:id="139" w:name="_Toc122399518"/>
      <w:bookmarkStart w:id="140" w:name="_Toc122417211"/>
      <w:bookmarkStart w:id="141" w:name="_Toc122417509"/>
      <w:bookmarkStart w:id="142" w:name="_Toc122494718"/>
      <w:bookmarkStart w:id="143" w:name="_Toc122495103"/>
      <w:bookmarkStart w:id="144" w:name="_Toc122768649"/>
      <w:bookmarkStart w:id="145" w:name="_Toc122768766"/>
      <w:bookmarkStart w:id="146" w:name="_Toc122769224"/>
      <w:bookmarkStart w:id="147" w:name="_Toc122827516"/>
      <w:bookmarkStart w:id="148" w:name="_Toc122839286"/>
      <w:bookmarkStart w:id="149" w:name="_Toc122839403"/>
      <w:bookmarkStart w:id="150" w:name="_Toc122844605"/>
      <w:bookmarkStart w:id="151" w:name="_Toc122854782"/>
      <w:bookmarkStart w:id="152" w:name="_Toc122854899"/>
      <w:bookmarkStart w:id="153" w:name="_Toc122924227"/>
      <w:bookmarkStart w:id="154" w:name="_Toc123108804"/>
      <w:bookmarkStart w:id="155" w:name="_Toc123108921"/>
      <w:bookmarkStart w:id="156" w:name="_Toc123553649"/>
      <w:bookmarkStart w:id="157" w:name="_Toc123553939"/>
      <w:bookmarkStart w:id="158" w:name="_Toc123554473"/>
      <w:bookmarkStart w:id="159" w:name="_Toc123614270"/>
      <w:bookmarkStart w:id="160" w:name="_Toc123615473"/>
      <w:bookmarkStart w:id="161" w:name="_Toc124061111"/>
      <w:bookmarkStart w:id="162" w:name="_Toc124061544"/>
      <w:bookmarkStart w:id="163" w:name="_Toc124064203"/>
      <w:bookmarkStart w:id="164" w:name="_Toc124212086"/>
      <w:bookmarkStart w:id="165" w:name="_Toc124213745"/>
      <w:bookmarkStart w:id="166" w:name="_Toc124214614"/>
      <w:bookmarkStart w:id="167" w:name="_Toc124214732"/>
      <w:bookmarkStart w:id="168" w:name="_Toc124224239"/>
      <w:bookmarkStart w:id="169" w:name="_Toc124224357"/>
      <w:bookmarkStart w:id="170" w:name="_Toc124240789"/>
      <w:bookmarkStart w:id="171" w:name="_Toc124242916"/>
      <w:bookmarkStart w:id="172" w:name="_Toc124298583"/>
      <w:bookmarkStart w:id="173" w:name="_Toc125426050"/>
      <w:bookmarkStart w:id="174" w:name="_Toc125426121"/>
      <w:bookmarkStart w:id="175" w:name="_Toc125431242"/>
      <w:bookmarkStart w:id="176" w:name="_Toc128287417"/>
      <w:bookmarkStart w:id="177" w:name="_Toc128361369"/>
      <w:bookmarkStart w:id="178" w:name="_Toc129055528"/>
      <w:bookmarkStart w:id="179" w:name="_Toc129062585"/>
      <w:bookmarkStart w:id="180" w:name="_Toc153260773"/>
      <w:bookmarkStart w:id="181" w:name="_Toc153264589"/>
      <w:bookmarkStart w:id="182" w:name="_Toc155681690"/>
      <w:bookmarkStart w:id="183" w:name="_Toc155684165"/>
      <w:bookmarkStart w:id="184" w:name="_Toc156613307"/>
      <w:bookmarkStart w:id="185" w:name="_Toc156797543"/>
      <w:bookmarkStart w:id="186" w:name="_Toc158026342"/>
      <w:bookmarkStart w:id="187" w:name="_Toc174345176"/>
      <w:bookmarkStart w:id="188" w:name="_Toc174423622"/>
      <w:bookmarkStart w:id="189" w:name="_Toc177373474"/>
      <w:bookmarkStart w:id="190" w:name="_Toc177437152"/>
      <w:bookmarkStart w:id="191" w:name="_Toc177886263"/>
      <w:bookmarkStart w:id="192" w:name="_Toc179695238"/>
      <w:bookmarkStart w:id="193" w:name="_Toc180393827"/>
      <w:bookmarkStart w:id="194" w:name="_Toc180398114"/>
      <w:bookmarkStart w:id="195" w:name="_Toc313528023"/>
      <w:bookmarkStart w:id="196" w:name="_Toc313528132"/>
      <w:r>
        <w:rPr>
          <w:rStyle w:val="CharPartNo"/>
        </w:rPr>
        <w:t>P</w:t>
      </w:r>
      <w:bookmarkStart w:id="197" w:name="_GoBack"/>
      <w:bookmarkEnd w:id="19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8" w:name="_Toc378075829"/>
      <w:bookmarkStart w:id="199" w:name="_Toc425777601"/>
      <w:bookmarkStart w:id="200" w:name="_Toc423332722"/>
      <w:bookmarkStart w:id="201" w:name="_Toc425219441"/>
      <w:bookmarkStart w:id="202" w:name="_Toc426249308"/>
      <w:bookmarkStart w:id="203" w:name="_Toc449924704"/>
      <w:bookmarkStart w:id="204" w:name="_Toc449947722"/>
      <w:bookmarkStart w:id="205" w:name="_Toc454185713"/>
      <w:bookmarkStart w:id="206" w:name="_Toc515958686"/>
      <w:bookmarkStart w:id="207" w:name="_Toc124298584"/>
      <w:bookmarkStart w:id="208" w:name="_Toc313528133"/>
      <w:r>
        <w:rPr>
          <w:rStyle w:val="CharSectno"/>
        </w:rPr>
        <w:t>1</w:t>
      </w:r>
      <w:r>
        <w:t>.</w:t>
      </w:r>
      <w:r>
        <w:tab/>
        <w:t>Citation</w:t>
      </w:r>
      <w:bookmarkEnd w:id="198"/>
      <w:bookmarkEnd w:id="199"/>
      <w:bookmarkEnd w:id="200"/>
      <w:bookmarkEnd w:id="201"/>
      <w:bookmarkEnd w:id="202"/>
      <w:bookmarkEnd w:id="203"/>
      <w:bookmarkEnd w:id="204"/>
      <w:bookmarkEnd w:id="205"/>
      <w:bookmarkEnd w:id="206"/>
      <w:bookmarkEnd w:id="207"/>
      <w:bookmarkEnd w:id="208"/>
    </w:p>
    <w:p>
      <w:pPr>
        <w:pStyle w:val="Subsection"/>
      </w:pPr>
      <w:r>
        <w:tab/>
      </w:r>
      <w:r>
        <w:tab/>
      </w:r>
      <w:r>
        <w:rPr>
          <w:spacing w:val="-2"/>
        </w:rPr>
        <w:t>These</w:t>
      </w:r>
      <w:r>
        <w:t xml:space="preserve"> </w:t>
      </w:r>
      <w:r>
        <w:rPr>
          <w:spacing w:val="-2"/>
        </w:rPr>
        <w:t>regulations</w:t>
      </w:r>
      <w:r>
        <w:t xml:space="preserve"> are the </w:t>
      </w:r>
      <w:r>
        <w:rPr>
          <w:i/>
        </w:rPr>
        <w:t>Child Care Services (</w:t>
      </w:r>
      <w:smartTag w:uri="urn:schemas-microsoft-com:office:smarttags" w:element="place">
        <w:smartTag w:uri="urn:schemas-microsoft-com:office:smarttags" w:element="PlaceName">
          <w:r>
            <w:rPr>
              <w:i/>
            </w:rPr>
            <w:t>Outside</w:t>
          </w:r>
        </w:smartTag>
        <w:r>
          <w:rPr>
            <w:i/>
          </w:rPr>
          <w:t xml:space="preserve"> </w:t>
        </w:r>
        <w:smartTag w:uri="urn:schemas-microsoft-com:office:smarttags" w:element="PlaceType">
          <w:r>
            <w:rPr>
              <w:i/>
            </w:rPr>
            <w:t>School</w:t>
          </w:r>
        </w:smartTag>
      </w:smartTag>
      <w:r>
        <w:rPr>
          <w:i/>
        </w:rPr>
        <w:t xml:space="preserve"> Hours Care) Regulations 2006</w:t>
      </w:r>
      <w:r>
        <w:rPr>
          <w:iCs/>
          <w:vertAlign w:val="superscript"/>
        </w:rPr>
        <w:t> 1</w:t>
      </w:r>
      <w:r>
        <w:t>.</w:t>
      </w:r>
    </w:p>
    <w:p>
      <w:pPr>
        <w:pStyle w:val="Footnotesection"/>
        <w:rPr>
          <w:i w:val="0"/>
        </w:rPr>
      </w:pPr>
      <w:r>
        <w:tab/>
        <w:t>[Regulation 1 amended in Gazette 7 Aug 2007 p. 4037.]</w:t>
      </w:r>
    </w:p>
    <w:p>
      <w:pPr>
        <w:pStyle w:val="Heading5"/>
        <w:rPr>
          <w:spacing w:val="-2"/>
        </w:rPr>
      </w:pPr>
      <w:bookmarkStart w:id="209" w:name="_Toc378075830"/>
      <w:bookmarkStart w:id="210" w:name="_Toc425777602"/>
      <w:bookmarkStart w:id="211" w:name="_Toc423332723"/>
      <w:bookmarkStart w:id="212" w:name="_Toc425219442"/>
      <w:bookmarkStart w:id="213" w:name="_Toc426249309"/>
      <w:bookmarkStart w:id="214" w:name="_Toc449924705"/>
      <w:bookmarkStart w:id="215" w:name="_Toc449947723"/>
      <w:bookmarkStart w:id="216" w:name="_Toc454185714"/>
      <w:bookmarkStart w:id="217" w:name="_Toc515958687"/>
      <w:bookmarkStart w:id="218" w:name="_Toc124298585"/>
      <w:bookmarkStart w:id="219" w:name="_Toc313528134"/>
      <w:r>
        <w:rPr>
          <w:rStyle w:val="CharSectno"/>
        </w:rPr>
        <w:t>2</w:t>
      </w:r>
      <w:r>
        <w:rPr>
          <w:spacing w:val="-2"/>
        </w:rPr>
        <w:t>.</w:t>
      </w:r>
      <w:r>
        <w:rPr>
          <w:spacing w:val="-2"/>
        </w:rPr>
        <w:tab/>
        <w:t>Commencement</w:t>
      </w:r>
      <w:bookmarkEnd w:id="209"/>
      <w:bookmarkEnd w:id="210"/>
      <w:bookmarkEnd w:id="211"/>
      <w:bookmarkEnd w:id="212"/>
      <w:bookmarkEnd w:id="213"/>
      <w:bookmarkEnd w:id="214"/>
      <w:bookmarkEnd w:id="215"/>
      <w:bookmarkEnd w:id="216"/>
      <w:bookmarkEnd w:id="217"/>
      <w:bookmarkEnd w:id="218"/>
      <w:bookmarkEnd w:id="219"/>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iCs/>
          <w:vertAlign w:val="superscript"/>
        </w:rPr>
        <w:t> 1</w:t>
      </w:r>
      <w:r>
        <w:rPr>
          <w:rFonts w:ascii="Times" w:hAnsi="Times"/>
        </w:rPr>
        <w:t>.</w:t>
      </w:r>
    </w:p>
    <w:p>
      <w:pPr>
        <w:pStyle w:val="Heading5"/>
      </w:pPr>
      <w:bookmarkStart w:id="220" w:name="_Toc378075831"/>
      <w:bookmarkStart w:id="221" w:name="_Toc425777603"/>
      <w:bookmarkStart w:id="222" w:name="_Toc313528135"/>
      <w:r>
        <w:rPr>
          <w:rStyle w:val="CharSectno"/>
        </w:rPr>
        <w:t>3</w:t>
      </w:r>
      <w:r>
        <w:t>.</w:t>
      </w:r>
      <w:r>
        <w:tab/>
        <w:t>Terms used in these regulations</w:t>
      </w:r>
      <w:bookmarkEnd w:id="220"/>
      <w:bookmarkEnd w:id="221"/>
      <w:bookmarkEnd w:id="222"/>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an outside school hours care service;</w:t>
      </w:r>
    </w:p>
    <w:p>
      <w:pPr>
        <w:pStyle w:val="Defstart"/>
      </w:pPr>
      <w:r>
        <w:rPr>
          <w:b/>
        </w:rPr>
        <w:tab/>
      </w:r>
      <w:r>
        <w:rPr>
          <w:rStyle w:val="CharDefText"/>
        </w:rPr>
        <w:t>challenging activity</w:t>
      </w:r>
      <w:r>
        <w:t xml:space="preserve"> means any activity (except a water activity) that requires special skills or poses increased risks, and includes — </w:t>
      </w:r>
    </w:p>
    <w:p>
      <w:pPr>
        <w:pStyle w:val="Defpara"/>
      </w:pPr>
      <w:r>
        <w:tab/>
        <w:t>(a)</w:t>
      </w:r>
      <w:r>
        <w:tab/>
        <w:t>abseiling;</w:t>
      </w:r>
    </w:p>
    <w:p>
      <w:pPr>
        <w:pStyle w:val="Defpara"/>
      </w:pPr>
      <w:r>
        <w:tab/>
        <w:t>(b)</w:t>
      </w:r>
      <w:r>
        <w:tab/>
        <w:t>archery;</w:t>
      </w:r>
    </w:p>
    <w:p>
      <w:pPr>
        <w:pStyle w:val="Defpara"/>
      </w:pPr>
      <w:r>
        <w:tab/>
        <w:t>(c)</w:t>
      </w:r>
      <w:r>
        <w:tab/>
        <w:t>bush walking;</w:t>
      </w:r>
    </w:p>
    <w:p>
      <w:pPr>
        <w:pStyle w:val="Defpara"/>
      </w:pPr>
      <w:r>
        <w:lastRenderedPageBreak/>
        <w:tab/>
        <w:t>(d)</w:t>
      </w:r>
      <w:r>
        <w:tab/>
        <w:t>caving; and</w:t>
      </w:r>
    </w:p>
    <w:p>
      <w:pPr>
        <w:pStyle w:val="Defpara"/>
      </w:pPr>
      <w:r>
        <w:tab/>
        <w:t>(e)</w:t>
      </w:r>
      <w:r>
        <w:tab/>
        <w:t>horse riding;</w:t>
      </w:r>
    </w:p>
    <w:p>
      <w:pPr>
        <w:pStyle w:val="Defstart"/>
      </w:pPr>
      <w:r>
        <w:rPr>
          <w:b/>
        </w:rPr>
        <w:tab/>
      </w:r>
      <w:r>
        <w:rPr>
          <w:rStyle w:val="CharDefText"/>
        </w:rPr>
        <w:t>contact staff member</w:t>
      </w:r>
      <w:r>
        <w:t xml:space="preserve"> — </w:t>
      </w:r>
    </w:p>
    <w:p>
      <w:pPr>
        <w:pStyle w:val="Defpara"/>
      </w:pPr>
      <w:r>
        <w:tab/>
        <w:t>(a)</w:t>
      </w:r>
      <w:r>
        <w:tab/>
        <w:t xml:space="preserve">means a person employed by the licensee to take direct care of enrolled children; </w:t>
      </w:r>
    </w:p>
    <w:p>
      <w:pPr>
        <w:pStyle w:val="Defpara"/>
      </w:pPr>
      <w:r>
        <w:tab/>
        <w:t>(b)</w:t>
      </w:r>
      <w:r>
        <w:tab/>
        <w:t>when the licensee is personally taking direct care of enrolled children, includes the licensee; and</w:t>
      </w:r>
    </w:p>
    <w:p>
      <w:pPr>
        <w:pStyle w:val="Defpara"/>
      </w:pPr>
      <w:r>
        <w:tab/>
        <w:t>(c)</w:t>
      </w:r>
      <w:r>
        <w:tab/>
        <w:t>when a supervising officer is personally taking direct care of enrolled children, includes the supervising officer;</w:t>
      </w:r>
    </w:p>
    <w:p>
      <w:pPr>
        <w:pStyle w:val="Defstart"/>
      </w:pPr>
      <w:r>
        <w:rPr>
          <w:b/>
        </w:rPr>
        <w:tab/>
      </w:r>
      <w:r>
        <w:rPr>
          <w:rStyle w:val="CharDefText"/>
        </w:rPr>
        <w:t>current criminal record check</w:t>
      </w:r>
      <w:r>
        <w:t xml:space="preserve"> means a criminal record check issued not more than 2 years before the material time;</w:t>
      </w:r>
    </w:p>
    <w:p>
      <w:pPr>
        <w:pStyle w:val="Defstart"/>
      </w:pPr>
      <w:r>
        <w:rPr>
          <w:b/>
        </w:rPr>
        <w:tab/>
      </w:r>
      <w:r>
        <w:rPr>
          <w:rStyle w:val="CharDefText"/>
        </w:rPr>
        <w:t>enrolled child</w:t>
      </w:r>
      <w:r>
        <w:rPr>
          <w:bCs/>
        </w:rPr>
        <w:t>,</w:t>
      </w:r>
      <w:r>
        <w:t xml:space="preserve"> in relation to an outside school hours care service, means a child for whom the service is provided;</w:t>
      </w:r>
    </w:p>
    <w:p>
      <w:pPr>
        <w:pStyle w:val="Defstart"/>
      </w:pPr>
      <w:r>
        <w:tab/>
      </w:r>
      <w:r>
        <w:rPr>
          <w:rStyle w:val="CharDefText"/>
        </w:rPr>
        <w:t>first aid qualification</w:t>
      </w:r>
      <w:r>
        <w:t xml:space="preserve"> means a certificate or other document evidencing the successful completion of an approved first aid training course;</w:t>
      </w:r>
    </w:p>
    <w:p>
      <w:pPr>
        <w:pStyle w:val="Defstart"/>
        <w:keepNext/>
        <w:keepLines/>
      </w:pPr>
      <w:r>
        <w:rPr>
          <w:b/>
        </w:rPr>
        <w:tab/>
      </w:r>
      <w:r>
        <w:rPr>
          <w:rStyle w:val="CharDefText"/>
        </w:rPr>
        <w:t>kindergarten child</w:t>
      </w:r>
      <w:r>
        <w:t xml:space="preserve"> means — </w:t>
      </w:r>
    </w:p>
    <w:p>
      <w:pPr>
        <w:pStyle w:val="Defpara"/>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the second year of a pre</w:t>
      </w:r>
      <w:r>
        <w:noBreakHyphen/>
        <w:t>compulsory education programme;</w:t>
      </w:r>
    </w:p>
    <w:p>
      <w:pPr>
        <w:pStyle w:val="Defstart"/>
      </w:pPr>
      <w:r>
        <w:rPr>
          <w:b/>
        </w:rPr>
        <w:tab/>
      </w:r>
      <w:r>
        <w:rPr>
          <w:rStyle w:val="CharDefText"/>
        </w:rPr>
        <w:t>licence</w:t>
      </w:r>
      <w:r>
        <w:t xml:space="preserve"> means an outside school hours care licence;</w:t>
      </w:r>
    </w:p>
    <w:p>
      <w:pPr>
        <w:pStyle w:val="Defstart"/>
      </w:pPr>
      <w:r>
        <w:rPr>
          <w:b/>
        </w:rPr>
        <w:tab/>
      </w:r>
      <w:r>
        <w:rPr>
          <w:rStyle w:val="CharDefText"/>
        </w:rPr>
        <w:t>licensee</w:t>
      </w:r>
      <w:r>
        <w:t xml:space="preserve"> means the holder of a licence;</w:t>
      </w:r>
    </w:p>
    <w:p>
      <w:pPr>
        <w:pStyle w:val="Defstart"/>
      </w:pPr>
      <w:r>
        <w:rPr>
          <w:b/>
        </w:rPr>
        <w:tab/>
      </w:r>
      <w:r>
        <w:rPr>
          <w:rStyle w:val="CharDefText"/>
        </w:rPr>
        <w:t>low risk water activity</w:t>
      </w:r>
      <w:r>
        <w:t xml:space="preserve"> means a water activity assessed as low risk under regulation 79(1)(a);</w:t>
      </w:r>
    </w:p>
    <w:p>
      <w:pPr>
        <w:pStyle w:val="Defstart"/>
      </w:pPr>
      <w:r>
        <w:rPr>
          <w:b/>
        </w:rPr>
        <w:tab/>
      </w:r>
      <w:r>
        <w:rPr>
          <w:rStyle w:val="CharDefText"/>
        </w:rPr>
        <w:t>lunch period</w:t>
      </w:r>
      <w:r>
        <w:t xml:space="preserve"> means an unbroken period of not more than 2 hours between the hours of 11.30 a.m. and 2.30 p.m. on any day;</w:t>
      </w:r>
    </w:p>
    <w:p>
      <w:pPr>
        <w:pStyle w:val="Defstart"/>
      </w:pPr>
      <w:r>
        <w:rPr>
          <w:b/>
        </w:rPr>
        <w:tab/>
      </w:r>
      <w:r>
        <w:rPr>
          <w:rStyle w:val="CharDefText"/>
        </w:rPr>
        <w:t>medium risk water activity</w:t>
      </w:r>
      <w:r>
        <w:t xml:space="preserve"> means a water activity assessed as medium risk under regulation 79(1)(a);</w:t>
      </w:r>
    </w:p>
    <w:p>
      <w:pPr>
        <w:pStyle w:val="Defstart"/>
      </w:pPr>
      <w:r>
        <w:rPr>
          <w:b/>
        </w:rPr>
        <w:tab/>
      </w:r>
      <w:r>
        <w:rPr>
          <w:rStyle w:val="CharDefText"/>
        </w:rPr>
        <w:t>on duty</w:t>
      </w:r>
      <w:r>
        <w:t xml:space="preserve"> has the meaning given to that term in regulation 5;</w:t>
      </w:r>
    </w:p>
    <w:p>
      <w:pPr>
        <w:pStyle w:val="Defstart"/>
      </w:pPr>
      <w:r>
        <w:rPr>
          <w:b/>
        </w:rPr>
        <w:tab/>
      </w:r>
      <w:r>
        <w:rPr>
          <w:rStyle w:val="CharDefText"/>
        </w:rPr>
        <w:t>outside school hours care licence</w:t>
      </w:r>
      <w:r>
        <w:t xml:space="preserve"> means a licence granted under section 13 authorising the provision of an outside school hours care service;</w:t>
      </w:r>
    </w:p>
    <w:p>
      <w:pPr>
        <w:pStyle w:val="Defstart"/>
      </w:pPr>
      <w:r>
        <w:rPr>
          <w:b/>
        </w:rPr>
        <w:tab/>
      </w:r>
      <w:r>
        <w:rPr>
          <w:rStyle w:val="CharDefText"/>
        </w:rPr>
        <w:t>outside school hours care service</w:t>
      </w:r>
      <w:r>
        <w:t xml:space="preserve"> means a child care service provided outside school hours for children of school age or kindergarten children but does not include an outside school hours family day care service as defined in the </w:t>
      </w:r>
      <w:r>
        <w:rPr>
          <w:i/>
        </w:rPr>
        <w:t>Child Care Services (Outside School Hours Family Day Care) Regulations 2006</w:t>
      </w:r>
      <w:r>
        <w:rPr>
          <w:vertAlign w:val="superscript"/>
        </w:rPr>
        <w:t> 3</w:t>
      </w:r>
      <w:r>
        <w:t xml:space="preserve"> regulation 3;</w:t>
      </w:r>
    </w:p>
    <w:p>
      <w:pPr>
        <w:pStyle w:val="Defstart"/>
        <w:keepNext/>
      </w:pPr>
      <w:r>
        <w:rPr>
          <w:b/>
        </w:rPr>
        <w:tab/>
      </w:r>
      <w:r>
        <w:rPr>
          <w:rStyle w:val="CharDefText"/>
        </w:rPr>
        <w:t>place</w:t>
      </w:r>
      <w:r>
        <w:rPr>
          <w:bCs/>
        </w:rPr>
        <w:t xml:space="preserve"> means</w:t>
      </w:r>
      <w:r>
        <w:t xml:space="preserve"> — </w:t>
      </w:r>
    </w:p>
    <w:p>
      <w:pPr>
        <w:pStyle w:val="Defpara"/>
        <w:spacing w:before="60"/>
      </w:pPr>
      <w:r>
        <w:tab/>
        <w:t>(a)</w:t>
      </w:r>
      <w:r>
        <w:tab/>
        <w:t>the place specified in a licence as the place at which an outside school hours care service is authorised to be provided; and</w:t>
      </w:r>
    </w:p>
    <w:p>
      <w:pPr>
        <w:pStyle w:val="Defpara"/>
      </w:pPr>
      <w:r>
        <w:tab/>
        <w:t>(b)</w:t>
      </w:r>
      <w:r>
        <w:tab/>
        <w:t>in relation to a licence application, the place at which the licence applicant proposes to operate the outside school hours service to which the application relates;</w:t>
      </w:r>
    </w:p>
    <w:p>
      <w:pPr>
        <w:pStyle w:val="Defstart"/>
      </w:pPr>
      <w:r>
        <w:rPr>
          <w:b/>
        </w:rPr>
        <w:tab/>
      </w:r>
      <w:r>
        <w:rPr>
          <w:rStyle w:val="CharDefText"/>
        </w:rPr>
        <w:t>qualified care giver</w:t>
      </w:r>
      <w:r>
        <w:t xml:space="preserve"> means a person who holds — </w:t>
      </w:r>
    </w:p>
    <w:p>
      <w:pPr>
        <w:pStyle w:val="Defpara"/>
      </w:pPr>
      <w:r>
        <w:tab/>
        <w:t>(a)</w:t>
      </w:r>
      <w:r>
        <w:tab/>
        <w:t>a Certificate IV in children’s studies covering the age range of 4</w:t>
      </w:r>
      <w:r>
        <w:noBreakHyphen/>
        <w:t>14 years under the Australian Qualifications Framework;</w:t>
      </w:r>
    </w:p>
    <w:p>
      <w:pPr>
        <w:pStyle w:val="Defpara"/>
      </w:pPr>
      <w:r>
        <w:tab/>
        <w:t>(b)</w:t>
      </w:r>
      <w:r>
        <w:tab/>
        <w:t>a degree or diploma in education, recreation, sport science, leisure studies or children’s studies covering the age range of 4</w:t>
      </w:r>
      <w:r>
        <w:noBreakHyphen/>
        <w:t>14 years from an Australian university or other tertiary institution; or</w:t>
      </w:r>
    </w:p>
    <w:p>
      <w:pPr>
        <w:pStyle w:val="Defpara"/>
      </w:pPr>
      <w:r>
        <w:tab/>
        <w:t>(c)</w:t>
      </w:r>
      <w:r>
        <w:tab/>
        <w:t>a qualification that is, in the opinion of the CEO, equivalent to a qualification referred to in paragraph (a) or (b);</w:t>
      </w:r>
    </w:p>
    <w:p>
      <w:pPr>
        <w:pStyle w:val="Defstart"/>
      </w:pPr>
      <w:r>
        <w:rPr>
          <w:b/>
        </w:rPr>
        <w:tab/>
      </w:r>
      <w:r>
        <w:rPr>
          <w:rStyle w:val="CharDefText"/>
        </w:rPr>
        <w:t>qualified rescuer</w:t>
      </w:r>
      <w:r>
        <w:t xml:space="preserve"> has the meaning given to that term in regulation 6;</w:t>
      </w:r>
    </w:p>
    <w:p>
      <w:pPr>
        <w:pStyle w:val="Defstart"/>
      </w:pPr>
      <w:r>
        <w:rPr>
          <w:b/>
        </w:rPr>
        <w:tab/>
      </w:r>
      <w:r>
        <w:rPr>
          <w:rStyle w:val="CharDefText"/>
        </w:rPr>
        <w:t>RLSSA</w:t>
      </w:r>
      <w:r>
        <w:t xml:space="preserve"> means the Royal Life Saving Society — Australia, Western Australia Branch Inc.;</w:t>
      </w:r>
    </w:p>
    <w:p>
      <w:pPr>
        <w:pStyle w:val="Defstart"/>
      </w:pPr>
      <w:r>
        <w:rPr>
          <w:b/>
        </w:rPr>
        <w:tab/>
      </w:r>
      <w:r>
        <w:rPr>
          <w:rStyle w:val="CharDefText"/>
        </w:rPr>
        <w:t>school age</w:t>
      </w:r>
      <w:r>
        <w:t>, in relation to a child, has the meaning given to that term in regulation 4;</w:t>
      </w:r>
    </w:p>
    <w:p>
      <w:pPr>
        <w:pStyle w:val="Defstart"/>
      </w:pPr>
      <w:r>
        <w:rPr>
          <w:b/>
        </w:rPr>
        <w:tab/>
      </w:r>
      <w:r>
        <w:rPr>
          <w:rStyle w:val="CharDefText"/>
        </w:rPr>
        <w:t>section</w:t>
      </w:r>
      <w:r>
        <w:t xml:space="preserve"> means a section of the Act;</w:t>
      </w:r>
    </w:p>
    <w:p>
      <w:pPr>
        <w:pStyle w:val="Defstart"/>
      </w:pPr>
      <w:r>
        <w:rPr>
          <w:b/>
        </w:rPr>
        <w:tab/>
      </w:r>
      <w:r>
        <w:rPr>
          <w:rStyle w:val="CharDefText"/>
        </w:rPr>
        <w:t>SLSWA</w:t>
      </w:r>
      <w:r>
        <w:t xml:space="preserve"> means Surf Life Saving Western Australia Incorporated;</w:t>
      </w:r>
    </w:p>
    <w:p>
      <w:pPr>
        <w:pStyle w:val="Defstart"/>
      </w:pPr>
      <w:r>
        <w:rPr>
          <w:b/>
        </w:rPr>
        <w:tab/>
      </w:r>
      <w:r>
        <w:rPr>
          <w:rStyle w:val="CharDefText"/>
        </w:rPr>
        <w:t>staff member</w:t>
      </w:r>
      <w:r>
        <w:t xml:space="preserve"> means a member of the staff of an outside school hours care service;</w:t>
      </w:r>
    </w:p>
    <w:p>
      <w:pPr>
        <w:pStyle w:val="Defstart"/>
      </w:pPr>
      <w:r>
        <w:rPr>
          <w:b/>
        </w:rPr>
        <w:tab/>
      </w:r>
      <w:r>
        <w:rPr>
          <w:rStyle w:val="CharDefText"/>
        </w:rPr>
        <w:t>volunteer</w:t>
      </w:r>
      <w:r>
        <w:t xml:space="preserve"> means a person who is not a contact staff member and who has reached 16 years of age;</w:t>
      </w:r>
    </w:p>
    <w:p>
      <w:pPr>
        <w:pStyle w:val="Defstart"/>
      </w:pPr>
      <w:r>
        <w:rPr>
          <w:b/>
        </w:rPr>
        <w:tab/>
      </w:r>
      <w:r>
        <w:rPr>
          <w:rStyle w:val="CharDefText"/>
        </w:rPr>
        <w:t>water activity</w:t>
      </w:r>
      <w:r>
        <w:t xml:space="preserve"> means swimming or any other activity in a body of water;</w:t>
      </w:r>
    </w:p>
    <w:p>
      <w:pPr>
        <w:pStyle w:val="Defstart"/>
        <w:keepNext/>
        <w:keepLines/>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925; 8 Dec 2006 p. 5382; 7 Aug 2007 p. 4038; 6 Jan 2012 p. 29.]</w:t>
      </w:r>
    </w:p>
    <w:p>
      <w:pPr>
        <w:pStyle w:val="Heading5"/>
      </w:pPr>
      <w:bookmarkStart w:id="223" w:name="_Toc378075832"/>
      <w:bookmarkStart w:id="224" w:name="_Toc425777604"/>
      <w:bookmarkStart w:id="225" w:name="_Toc313528136"/>
      <w:r>
        <w:rPr>
          <w:rStyle w:val="CharSectno"/>
        </w:rPr>
        <w:t>4</w:t>
      </w:r>
      <w:r>
        <w:t>.</w:t>
      </w:r>
      <w:r>
        <w:tab/>
        <w:t>Meaning of “school age”</w:t>
      </w:r>
      <w:bookmarkEnd w:id="223"/>
      <w:bookmarkEnd w:id="224"/>
      <w:bookmarkEnd w:id="225"/>
    </w:p>
    <w:p>
      <w:pPr>
        <w:pStyle w:val="Subsection"/>
      </w:pPr>
      <w:r>
        <w:tab/>
      </w:r>
      <w:r>
        <w:tab/>
        <w:t xml:space="preserve">A child is of </w:t>
      </w:r>
      <w:r>
        <w:rPr>
          <w:rStyle w:val="CharDefText"/>
        </w:rPr>
        <w:t>school age</w:t>
      </w:r>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is under 15 years and 6 months of age.</w:t>
      </w:r>
    </w:p>
    <w:p>
      <w:pPr>
        <w:pStyle w:val="Footnotesection"/>
      </w:pPr>
      <w:r>
        <w:tab/>
        <w:t>[Regulation 4 inserted in Gazette 1 Mar 2006 p. 926.]</w:t>
      </w:r>
    </w:p>
    <w:p>
      <w:pPr>
        <w:pStyle w:val="Heading5"/>
      </w:pPr>
      <w:bookmarkStart w:id="226" w:name="_Toc378075833"/>
      <w:bookmarkStart w:id="227" w:name="_Toc425777605"/>
      <w:bookmarkStart w:id="228" w:name="_Toc313528137"/>
      <w:r>
        <w:rPr>
          <w:rStyle w:val="CharSectno"/>
        </w:rPr>
        <w:t>5</w:t>
      </w:r>
      <w:r>
        <w:t>.</w:t>
      </w:r>
      <w:r>
        <w:tab/>
        <w:t>Meaning of “on duty”</w:t>
      </w:r>
      <w:bookmarkEnd w:id="226"/>
      <w:bookmarkEnd w:id="227"/>
      <w:bookmarkEnd w:id="228"/>
    </w:p>
    <w:p>
      <w:pPr>
        <w:pStyle w:val="Subsection"/>
      </w:pPr>
      <w:r>
        <w:tab/>
        <w:t>(1)</w:t>
      </w:r>
      <w:r>
        <w:tab/>
        <w:t xml:space="preserve">A contact staff member is </w:t>
      </w:r>
      <w:r>
        <w:rPr>
          <w:rStyle w:val="CharDefText"/>
        </w:rPr>
        <w:t>on duty</w:t>
      </w:r>
      <w:r>
        <w:t xml:space="preserve"> if he or she is directly engaged in caring for enrolled children, but not if engaged in cleaning the place or in administrative or other duties.</w:t>
      </w:r>
    </w:p>
    <w:p>
      <w:pPr>
        <w:pStyle w:val="Subsection"/>
      </w:pPr>
      <w:r>
        <w:tab/>
        <w:t>(2)</w:t>
      </w:r>
      <w:r>
        <w:tab/>
        <w:t>Subregulation (1) does not prevent a contact staff member who is on duty from undertaking minor incidental duties such as marking the roll for a care session or carrying out minor cleaning duties arising directly from the care of a particular child.</w:t>
      </w:r>
    </w:p>
    <w:p>
      <w:pPr>
        <w:pStyle w:val="Heading5"/>
      </w:pPr>
      <w:bookmarkStart w:id="229" w:name="_Toc378075834"/>
      <w:bookmarkStart w:id="230" w:name="_Toc425777606"/>
      <w:bookmarkStart w:id="231" w:name="_Toc313528138"/>
      <w:r>
        <w:rPr>
          <w:rStyle w:val="CharSectno"/>
        </w:rPr>
        <w:t>6</w:t>
      </w:r>
      <w:r>
        <w:t>.</w:t>
      </w:r>
      <w:r>
        <w:tab/>
        <w:t>Meaning of “qualified rescuer”</w:t>
      </w:r>
      <w:bookmarkEnd w:id="229"/>
      <w:bookmarkEnd w:id="230"/>
      <w:bookmarkEnd w:id="231"/>
    </w:p>
    <w:p>
      <w:pPr>
        <w:pStyle w:val="Subsection"/>
      </w:pPr>
      <w:r>
        <w:tab/>
        <w:t>(1)</w:t>
      </w:r>
      <w:r>
        <w:tab/>
        <w:t xml:space="preserve">A person is a </w:t>
      </w:r>
      <w:r>
        <w:rPr>
          <w:rStyle w:val="CharDefText"/>
        </w:rPr>
        <w:t>qualified rescuer</w:t>
      </w:r>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r>
        <w:rPr>
          <w:rStyle w:val="CharDefText"/>
        </w:rPr>
        <w:t>qualified rescuer</w:t>
      </w:r>
      <w:r>
        <w:t xml:space="preserve"> in relation to a medium risk water activity in a pool environment or other still water if the person holds a minimum of one of the following qualifications — </w:t>
      </w:r>
    </w:p>
    <w:p>
      <w:pPr>
        <w:pStyle w:val="Indenta"/>
      </w:pPr>
      <w:r>
        <w:tab/>
        <w:t>(a)</w:t>
      </w:r>
      <w:r>
        <w:tab/>
        <w:t xml:space="preserve">an RLSSA Bronze medallion; </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r>
        <w:rPr>
          <w:rStyle w:val="CharDefText"/>
        </w:rPr>
        <w:t>qualified rescuer</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 xml:space="preserve">an SLSWA Surf Rescue certificate; </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r>
        <w:rPr>
          <w:rStyle w:val="CharDefText"/>
        </w:rPr>
        <w:t>qualified rescuer</w:t>
      </w:r>
      <w:r>
        <w:t xml:space="preserve"> in relation to a medium risk water activity in the sea if the person holds a minimum of one of the following qualifications — </w:t>
      </w:r>
    </w:p>
    <w:p>
      <w:pPr>
        <w:pStyle w:val="Indenta"/>
      </w:pPr>
      <w:r>
        <w:tab/>
        <w:t>(a)</w:t>
      </w:r>
      <w:r>
        <w:tab/>
        <w:t xml:space="preserve">an SLSWA Bronze medallion; </w:t>
      </w:r>
    </w:p>
    <w:p>
      <w:pPr>
        <w:pStyle w:val="Indenta"/>
      </w:pPr>
      <w:r>
        <w:tab/>
        <w:t>(b)</w:t>
      </w:r>
      <w:r>
        <w:tab/>
        <w:t>a qualification that is, in the opinion of the CEO, equivalent to the qualification referred to in paragraph (a).</w:t>
      </w:r>
    </w:p>
    <w:p>
      <w:pPr>
        <w:pStyle w:val="Heading5"/>
      </w:pPr>
      <w:bookmarkStart w:id="232" w:name="_Toc378075835"/>
      <w:bookmarkStart w:id="233" w:name="_Toc425777607"/>
      <w:bookmarkStart w:id="234" w:name="_Toc313528139"/>
      <w:r>
        <w:rPr>
          <w:rStyle w:val="CharSectno"/>
        </w:rPr>
        <w:t>7</w:t>
      </w:r>
      <w:r>
        <w:t>.</w:t>
      </w:r>
      <w:r>
        <w:tab/>
        <w:t>Outside school hours care service prescribed</w:t>
      </w:r>
      <w:bookmarkEnd w:id="232"/>
      <w:bookmarkEnd w:id="233"/>
      <w:bookmarkEnd w:id="234"/>
    </w:p>
    <w:p>
      <w:pPr>
        <w:pStyle w:val="Subsection"/>
      </w:pPr>
      <w:r>
        <w:tab/>
      </w:r>
      <w:r>
        <w:tab/>
        <w:t>An outside school hours care service is prescribed as a type of child care service.</w:t>
      </w:r>
    </w:p>
    <w:p>
      <w:pPr>
        <w:pStyle w:val="Footnotesection"/>
      </w:pPr>
      <w:r>
        <w:tab/>
        <w:t>[Regulation 7 amended in Gazette 7 Aug 2007 p. 4038.]</w:t>
      </w:r>
    </w:p>
    <w:p>
      <w:pPr>
        <w:pStyle w:val="Heading2"/>
      </w:pPr>
      <w:bookmarkStart w:id="235" w:name="_Toc378075836"/>
      <w:bookmarkStart w:id="236" w:name="_Toc425777500"/>
      <w:bookmarkStart w:id="237" w:name="_Toc425777608"/>
      <w:bookmarkStart w:id="238" w:name="_Toc128287425"/>
      <w:bookmarkStart w:id="239" w:name="_Toc128361377"/>
      <w:bookmarkStart w:id="240" w:name="_Toc129055537"/>
      <w:bookmarkStart w:id="241" w:name="_Toc129062593"/>
      <w:bookmarkStart w:id="242" w:name="_Toc153260781"/>
      <w:bookmarkStart w:id="243" w:name="_Toc153264597"/>
      <w:bookmarkStart w:id="244" w:name="_Toc155681698"/>
      <w:bookmarkStart w:id="245" w:name="_Toc155684173"/>
      <w:bookmarkStart w:id="246" w:name="_Toc156613315"/>
      <w:bookmarkStart w:id="247" w:name="_Toc156797551"/>
      <w:bookmarkStart w:id="248" w:name="_Toc158026350"/>
      <w:bookmarkStart w:id="249" w:name="_Toc174345184"/>
      <w:bookmarkStart w:id="250" w:name="_Toc174423630"/>
      <w:bookmarkStart w:id="251" w:name="_Toc177373482"/>
      <w:bookmarkStart w:id="252" w:name="_Toc177437160"/>
      <w:bookmarkStart w:id="253" w:name="_Toc177886271"/>
      <w:bookmarkStart w:id="254" w:name="_Toc179695246"/>
      <w:bookmarkStart w:id="255" w:name="_Toc180393835"/>
      <w:bookmarkStart w:id="256" w:name="_Toc180398122"/>
      <w:bookmarkStart w:id="257" w:name="_Toc313528031"/>
      <w:bookmarkStart w:id="258" w:name="_Toc313528140"/>
      <w:r>
        <w:rPr>
          <w:rStyle w:val="CharPartNo"/>
        </w:rPr>
        <w:t>Part 2</w:t>
      </w:r>
      <w:r>
        <w:t> — </w:t>
      </w:r>
      <w:r>
        <w:rPr>
          <w:rStyle w:val="CharPartText"/>
        </w:rPr>
        <w:t>Licences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3"/>
      </w:pPr>
      <w:bookmarkStart w:id="259" w:name="_Toc378075837"/>
      <w:bookmarkStart w:id="260" w:name="_Toc425777501"/>
      <w:bookmarkStart w:id="261" w:name="_Toc425777609"/>
      <w:bookmarkStart w:id="262" w:name="_Toc128287426"/>
      <w:bookmarkStart w:id="263" w:name="_Toc128361378"/>
      <w:bookmarkStart w:id="264" w:name="_Toc129055538"/>
      <w:bookmarkStart w:id="265" w:name="_Toc129062594"/>
      <w:bookmarkStart w:id="266" w:name="_Toc153260782"/>
      <w:bookmarkStart w:id="267" w:name="_Toc153264598"/>
      <w:bookmarkStart w:id="268" w:name="_Toc155681699"/>
      <w:bookmarkStart w:id="269" w:name="_Toc155684174"/>
      <w:bookmarkStart w:id="270" w:name="_Toc156613316"/>
      <w:bookmarkStart w:id="271" w:name="_Toc156797552"/>
      <w:bookmarkStart w:id="272" w:name="_Toc158026351"/>
      <w:bookmarkStart w:id="273" w:name="_Toc174345185"/>
      <w:bookmarkStart w:id="274" w:name="_Toc174423631"/>
      <w:bookmarkStart w:id="275" w:name="_Toc177373483"/>
      <w:bookmarkStart w:id="276" w:name="_Toc177437161"/>
      <w:bookmarkStart w:id="277" w:name="_Toc177886272"/>
      <w:bookmarkStart w:id="278" w:name="_Toc179695247"/>
      <w:bookmarkStart w:id="279" w:name="_Toc180393836"/>
      <w:bookmarkStart w:id="280" w:name="_Toc180398123"/>
      <w:bookmarkStart w:id="281" w:name="_Toc313528032"/>
      <w:bookmarkStart w:id="282" w:name="_Toc313528141"/>
      <w:r>
        <w:rPr>
          <w:rStyle w:val="CharDivNo"/>
        </w:rPr>
        <w:t>Division 1</w:t>
      </w:r>
      <w:r>
        <w:t> — </w:t>
      </w:r>
      <w:r>
        <w:rPr>
          <w:rStyle w:val="CharDivText"/>
        </w:rPr>
        <w:t>Prescribed matters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Heading5"/>
      </w:pPr>
      <w:bookmarkStart w:id="283" w:name="_Toc378075838"/>
      <w:bookmarkStart w:id="284" w:name="_Toc425777610"/>
      <w:bookmarkStart w:id="285" w:name="_Toc313528142"/>
      <w:r>
        <w:rPr>
          <w:rStyle w:val="CharSectno"/>
        </w:rPr>
        <w:t>8</w:t>
      </w:r>
      <w:r>
        <w:t>.</w:t>
      </w:r>
      <w:r>
        <w:tab/>
        <w:t>Prescribed qualifications: section 12(2)(c)</w:t>
      </w:r>
      <w:bookmarkEnd w:id="283"/>
      <w:bookmarkEnd w:id="284"/>
      <w:bookmarkEnd w:id="285"/>
    </w:p>
    <w:p>
      <w:pPr>
        <w:pStyle w:val="Subsection"/>
      </w:pPr>
      <w:r>
        <w:tab/>
        <w:t>(1)</w:t>
      </w:r>
      <w:r>
        <w:tab/>
        <w:t>For the purposes of section 12(2)(c), the following qualifications are prescribed as a qualification for an individual applicant —</w:t>
      </w:r>
    </w:p>
    <w:p>
      <w:pPr>
        <w:pStyle w:val="Indenta"/>
      </w:pPr>
      <w:r>
        <w:tab/>
        <w:t>(a)</w:t>
      </w:r>
      <w:r>
        <w:tab/>
        <w:t>a Certificate IV in children’s studies covering the age range of 4</w:t>
      </w:r>
      <w:r>
        <w:noBreakHyphen/>
        <w:t>14 years under the Australian Qualifications Framework;</w:t>
      </w:r>
    </w:p>
    <w:p>
      <w:pPr>
        <w:pStyle w:val="Indenta"/>
      </w:pPr>
      <w:r>
        <w:tab/>
        <w:t>(b)</w:t>
      </w:r>
      <w:r>
        <w:tab/>
        <w:t>a degree or diploma in education, recreation, sport science, leisure studies, social and behavioural science or nursing or a degree or diploma in children’s studies covering the age range of 4</w:t>
      </w:r>
      <w:r>
        <w:noBreakHyphen/>
        <w:t>14 years under the Australian Qualifications Framework;</w:t>
      </w:r>
    </w:p>
    <w:p>
      <w:pPr>
        <w:pStyle w:val="Indenta"/>
      </w:pPr>
      <w:r>
        <w:tab/>
        <w:t>(c)</w:t>
      </w:r>
      <w:r>
        <w:tab/>
        <w:t>a first aid qualification.</w:t>
      </w:r>
    </w:p>
    <w:p>
      <w:pPr>
        <w:pStyle w:val="Ednotesubsection"/>
      </w:pPr>
      <w:r>
        <w:tab/>
        <w:t>[(2)</w:t>
      </w:r>
      <w:r>
        <w:tab/>
        <w:t>deleted]</w:t>
      </w:r>
    </w:p>
    <w:p>
      <w:pPr>
        <w:pStyle w:val="Footnotesection"/>
      </w:pPr>
      <w:r>
        <w:tab/>
        <w:t>[Regulation 8 amended in Gazette 7 Aug 2007 p. 4038; 6 Jan 2012 p. 29.]</w:t>
      </w:r>
    </w:p>
    <w:p>
      <w:pPr>
        <w:pStyle w:val="Heading5"/>
      </w:pPr>
      <w:bookmarkStart w:id="286" w:name="_Toc378075839"/>
      <w:bookmarkStart w:id="287" w:name="_Toc425777611"/>
      <w:bookmarkStart w:id="288" w:name="_Toc313528143"/>
      <w:r>
        <w:rPr>
          <w:rStyle w:val="CharSectno"/>
        </w:rPr>
        <w:t>9</w:t>
      </w:r>
      <w:r>
        <w:t>.</w:t>
      </w:r>
      <w:r>
        <w:tab/>
        <w:t>Prescribed details: section 33</w:t>
      </w:r>
      <w:bookmarkEnd w:id="286"/>
      <w:bookmarkEnd w:id="287"/>
      <w:bookmarkEnd w:id="288"/>
    </w:p>
    <w:p>
      <w:pPr>
        <w:pStyle w:val="Subsection"/>
        <w:keepNext/>
      </w:pPr>
      <w:r>
        <w:tab/>
      </w:r>
      <w:r>
        <w:tab/>
        <w:t xml:space="preserve">For the purposes of section 33, the following details are prescribed — </w:t>
      </w:r>
    </w:p>
    <w:p>
      <w:pPr>
        <w:pStyle w:val="Indenta"/>
      </w:pPr>
      <w:r>
        <w:tab/>
        <w:t>(a)</w:t>
      </w:r>
      <w:r>
        <w:tab/>
        <w:t>the name of the licensee;</w:t>
      </w:r>
    </w:p>
    <w:p>
      <w:pPr>
        <w:pStyle w:val="Indenta"/>
      </w:pPr>
      <w:r>
        <w:tab/>
        <w:t>(b)</w:t>
      </w:r>
      <w:r>
        <w:tab/>
        <w:t>the name of the outside school hours care service;</w:t>
      </w:r>
    </w:p>
    <w:p>
      <w:pPr>
        <w:pStyle w:val="Indenta"/>
      </w:pPr>
      <w:r>
        <w:tab/>
        <w:t>(c)</w:t>
      </w:r>
      <w:r>
        <w:tab/>
        <w:t>the location of the place at which the outside school hours care service is authorised to be provided;</w:t>
      </w:r>
    </w:p>
    <w:p>
      <w:pPr>
        <w:pStyle w:val="Indenta"/>
      </w:pPr>
      <w:r>
        <w:tab/>
        <w:t>(d)</w:t>
      </w:r>
      <w:r>
        <w:tab/>
        <w:t>the period for which the licence has effect;</w:t>
      </w:r>
    </w:p>
    <w:p>
      <w:pPr>
        <w:pStyle w:val="Indenta"/>
      </w:pPr>
      <w:r>
        <w:tab/>
        <w:t>(e)</w:t>
      </w:r>
      <w:r>
        <w:tab/>
        <w:t>the maximum number of children who may attend a care session and any other conditions to which the licence is subject under section 19(1).</w:t>
      </w:r>
    </w:p>
    <w:p>
      <w:pPr>
        <w:pStyle w:val="Footnotesection"/>
      </w:pPr>
      <w:r>
        <w:tab/>
        <w:t>[Regulation 9 amended in Gazette 7 Aug 2007 p. 4038.]</w:t>
      </w:r>
    </w:p>
    <w:p>
      <w:pPr>
        <w:pStyle w:val="Heading3"/>
      </w:pPr>
      <w:bookmarkStart w:id="289" w:name="_Toc378075840"/>
      <w:bookmarkStart w:id="290" w:name="_Toc425777504"/>
      <w:bookmarkStart w:id="291" w:name="_Toc425777612"/>
      <w:bookmarkStart w:id="292" w:name="_Toc313528035"/>
      <w:bookmarkStart w:id="293" w:name="_Toc313528144"/>
      <w:bookmarkStart w:id="294" w:name="_Toc128287429"/>
      <w:bookmarkStart w:id="295" w:name="_Toc128361381"/>
      <w:bookmarkStart w:id="296" w:name="_Toc129055541"/>
      <w:bookmarkStart w:id="297" w:name="_Toc129062597"/>
      <w:bookmarkStart w:id="298" w:name="_Toc153260785"/>
      <w:bookmarkStart w:id="299" w:name="_Toc153264601"/>
      <w:bookmarkStart w:id="300" w:name="_Toc155681702"/>
      <w:bookmarkStart w:id="301" w:name="_Toc155684177"/>
      <w:bookmarkStart w:id="302" w:name="_Toc156613319"/>
      <w:bookmarkStart w:id="303" w:name="_Toc156797555"/>
      <w:bookmarkStart w:id="304" w:name="_Toc158026354"/>
      <w:bookmarkStart w:id="305" w:name="_Toc174345188"/>
      <w:bookmarkStart w:id="306" w:name="_Toc174423634"/>
      <w:bookmarkStart w:id="307" w:name="_Toc177373486"/>
      <w:bookmarkStart w:id="308" w:name="_Toc177437164"/>
      <w:bookmarkStart w:id="309" w:name="_Toc177886275"/>
      <w:bookmarkStart w:id="310" w:name="_Toc179695250"/>
      <w:bookmarkStart w:id="311" w:name="_Toc180393839"/>
      <w:bookmarkStart w:id="312" w:name="_Toc180398126"/>
      <w:r>
        <w:rPr>
          <w:rStyle w:val="CharDivNo"/>
        </w:rPr>
        <w:t>Division 2</w:t>
      </w:r>
      <w:r>
        <w:t> — </w:t>
      </w:r>
      <w:r>
        <w:rPr>
          <w:rStyle w:val="CharDivText"/>
        </w:rPr>
        <w:t>Licence applications and renewal applications</w:t>
      </w:r>
      <w:bookmarkEnd w:id="289"/>
      <w:bookmarkEnd w:id="290"/>
      <w:bookmarkEnd w:id="291"/>
      <w:bookmarkEnd w:id="292"/>
      <w:bookmarkEnd w:id="293"/>
    </w:p>
    <w:p>
      <w:pPr>
        <w:pStyle w:val="Footnoteheading"/>
      </w:pPr>
      <w:r>
        <w:tab/>
        <w:t>[Heading inserted in Gazette 6 Jan 2012 p. 30.]</w:t>
      </w:r>
    </w:p>
    <w:p>
      <w:pPr>
        <w:pStyle w:val="Heading5"/>
      </w:pPr>
      <w:bookmarkStart w:id="313" w:name="_Toc378075841"/>
      <w:bookmarkStart w:id="314" w:name="_Toc425777613"/>
      <w:bookmarkStart w:id="315" w:name="_Toc313528145"/>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Sectno"/>
        </w:rPr>
        <w:t>10</w:t>
      </w:r>
      <w:r>
        <w:t>.</w:t>
      </w:r>
      <w:r>
        <w:tab/>
        <w:t>Prescribed time for renewal applications</w:t>
      </w:r>
      <w:bookmarkEnd w:id="313"/>
      <w:bookmarkEnd w:id="314"/>
      <w:bookmarkEnd w:id="315"/>
    </w:p>
    <w:p>
      <w:pPr>
        <w:pStyle w:val="Subsection"/>
      </w:pPr>
      <w:r>
        <w:tab/>
      </w:r>
      <w:r>
        <w:tab/>
        <w:t>For the purposes of section 22(2)(b), the prescribed time is not less than 60 days before the licence expires.</w:t>
      </w:r>
    </w:p>
    <w:p>
      <w:pPr>
        <w:pStyle w:val="Footnotesection"/>
      </w:pPr>
      <w:r>
        <w:tab/>
        <w:t>[Regulation 10 amended in Gazette 7 Aug 2007 p. 4038.]</w:t>
      </w:r>
    </w:p>
    <w:p>
      <w:pPr>
        <w:pStyle w:val="Heading5"/>
      </w:pPr>
      <w:bookmarkStart w:id="316" w:name="_Toc378075842"/>
      <w:bookmarkStart w:id="317" w:name="_Toc425777614"/>
      <w:bookmarkStart w:id="318" w:name="_Toc313528146"/>
      <w:r>
        <w:rPr>
          <w:rStyle w:val="CharSectno"/>
        </w:rPr>
        <w:t>11</w:t>
      </w:r>
      <w:r>
        <w:t>.</w:t>
      </w:r>
      <w:r>
        <w:tab/>
        <w:t>Documents and information to accompany licence application</w:t>
      </w:r>
      <w:bookmarkEnd w:id="316"/>
      <w:bookmarkEnd w:id="317"/>
      <w:bookmarkEnd w:id="318"/>
    </w:p>
    <w:p>
      <w:pPr>
        <w:pStyle w:val="Subsection"/>
      </w:pPr>
      <w:r>
        <w:tab/>
        <w:t>(1)</w:t>
      </w:r>
      <w:r>
        <w:tab/>
        <w:t xml:space="preserve">For the purposes of section 11(b) the following documents and information are prescribed — </w:t>
      </w:r>
    </w:p>
    <w:p>
      <w:pPr>
        <w:pStyle w:val="Indenta"/>
      </w:pPr>
      <w:r>
        <w:tab/>
        <w:t>(a)</w:t>
      </w:r>
      <w:r>
        <w:tab/>
        <w:t xml:space="preserve">in the case of an individual applicant — </w:t>
      </w:r>
    </w:p>
    <w:p>
      <w:pPr>
        <w:pStyle w:val="Indenti"/>
      </w:pPr>
      <w:r>
        <w:tab/>
        <w:t>(i)</w:t>
      </w:r>
      <w:r>
        <w:tab/>
        <w:t>a criminal record check on the applicant issued not more than 6 months before the date of the licence application; and</w:t>
      </w:r>
    </w:p>
    <w:p>
      <w:pPr>
        <w:pStyle w:val="Indenti"/>
      </w:pPr>
      <w:r>
        <w:tab/>
        <w:t>(ii)</w:t>
      </w:r>
      <w:r>
        <w:tab/>
        <w:t>a copy of each qualification prescribed in regulation 8(1) that is held by the applicant; and</w:t>
      </w:r>
    </w:p>
    <w:p>
      <w:pPr>
        <w:pStyle w:val="Indenti"/>
      </w:pPr>
      <w:r>
        <w:tab/>
        <w:t>(iii)</w:t>
      </w:r>
      <w:r>
        <w:tab/>
        <w:t>information about the time spent by the applicant engaged in children’s or education services or in child development, administration and staff management;</w:t>
      </w:r>
    </w:p>
    <w:p>
      <w:pPr>
        <w:pStyle w:val="Indenta"/>
      </w:pPr>
      <w:r>
        <w:tab/>
        <w:t>(b)</w:t>
      </w:r>
      <w:r>
        <w:tab/>
        <w:t>in the case of a corporate applicant, a criminal record check on each managerial officer of the applicant issued not more than 6 months before the date of the licence application;</w:t>
      </w:r>
    </w:p>
    <w:p>
      <w:pPr>
        <w:pStyle w:val="Indenta"/>
      </w:pPr>
      <w:r>
        <w:tab/>
        <w:t>(c)</w:t>
      </w:r>
      <w:r>
        <w:tab/>
        <w:t>a financial assessment in the approved form;</w:t>
      </w:r>
    </w:p>
    <w:p>
      <w:pPr>
        <w:pStyle w:val="Indenta"/>
      </w:pPr>
      <w:r>
        <w:tab/>
        <w:t>(d)</w:t>
      </w:r>
      <w:r>
        <w:tab/>
        <w:t>if the licence applicant is a company, a printout from the national database kept by the Australian Securities and Investments Commission containing up</w:t>
      </w:r>
      <w:r>
        <w:noBreakHyphen/>
        <w:t>to</w:t>
      </w:r>
      <w:r>
        <w:noBreakHyphen/>
        <w:t>date information obtained by the Commission about the company;</w:t>
      </w:r>
    </w:p>
    <w:p>
      <w:pPr>
        <w:pStyle w:val="Indenta"/>
      </w:pPr>
      <w:r>
        <w:tab/>
        <w:t>(e)</w:t>
      </w:r>
      <w:r>
        <w:tab/>
        <w:t>if the licence applicant is an incorporated association, a copy of the certificate of incorporation of the association;</w:t>
      </w:r>
    </w:p>
    <w:p>
      <w:pPr>
        <w:pStyle w:val="Indenta"/>
      </w:pPr>
      <w:r>
        <w:tab/>
        <w:t>(f)</w:t>
      </w:r>
      <w:r>
        <w:tab/>
        <w:t>a site plan, drawn to a scale of not less than 1:500, showing the location of each building on the land comprising the place where the service is to be provided;</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 place has not previously been used for a child care service, any current certificate of classification relating to the place issued under the </w:t>
      </w:r>
      <w:r>
        <w:rPr>
          <w:i/>
        </w:rPr>
        <w:t>Building Regulations 1989</w:t>
      </w:r>
      <w:r>
        <w:t xml:space="preserve"> Part 5.</w:t>
      </w:r>
    </w:p>
    <w:p>
      <w:pPr>
        <w:pStyle w:val="Subsection"/>
      </w:pPr>
      <w:r>
        <w:tab/>
        <w:t>(2)</w:t>
      </w:r>
      <w:r>
        <w:tab/>
        <w:t>Subregulation (1)(h) does not apply to a place that is owned by a public authority.</w:t>
      </w:r>
    </w:p>
    <w:p>
      <w:pPr>
        <w:pStyle w:val="Footnotesection"/>
      </w:pPr>
      <w:r>
        <w:tab/>
        <w:t>[Regulation 11 inserted in Gazette 6 Jan 2012 p. 30-1.]</w:t>
      </w:r>
    </w:p>
    <w:p>
      <w:pPr>
        <w:pStyle w:val="Heading5"/>
      </w:pPr>
      <w:bookmarkStart w:id="319" w:name="_Toc378075843"/>
      <w:bookmarkStart w:id="320" w:name="_Toc425777615"/>
      <w:bookmarkStart w:id="321" w:name="_Toc313528147"/>
      <w:r>
        <w:rPr>
          <w:rStyle w:val="CharSectno"/>
        </w:rPr>
        <w:t>12</w:t>
      </w:r>
      <w:r>
        <w:t>.</w:t>
      </w:r>
      <w:r>
        <w:tab/>
        <w:t>Documents and information to accompany renewal application</w:t>
      </w:r>
      <w:bookmarkEnd w:id="319"/>
      <w:bookmarkEnd w:id="320"/>
      <w:bookmarkEnd w:id="321"/>
    </w:p>
    <w:p>
      <w:pPr>
        <w:pStyle w:val="Subsection"/>
      </w:pPr>
      <w:r>
        <w:tab/>
        <w:t>(1)</w:t>
      </w:r>
      <w:r>
        <w:tab/>
        <w:t xml:space="preserve">In this regulation — </w:t>
      </w:r>
    </w:p>
    <w:p>
      <w:pPr>
        <w:pStyle w:val="Defstart"/>
      </w:pPr>
      <w:r>
        <w:tab/>
      </w:r>
      <w:r>
        <w:rPr>
          <w:rStyle w:val="CharDefText"/>
        </w:rPr>
        <w:t>relevant period</w:t>
      </w:r>
      <w:r>
        <w:t xml:space="preserve"> means — </w:t>
      </w:r>
    </w:p>
    <w:p>
      <w:pPr>
        <w:pStyle w:val="Defpara"/>
      </w:pPr>
      <w:r>
        <w:tab/>
        <w:t>(a)</w:t>
      </w:r>
      <w:r>
        <w:tab/>
        <w:t>if the renewal application is the first renewal application in respect of the licence, the period since the licence was granted;</w:t>
      </w:r>
    </w:p>
    <w:p>
      <w:pPr>
        <w:pStyle w:val="Defpara"/>
      </w:pPr>
      <w:r>
        <w:tab/>
        <w:t>(b)</w:t>
      </w:r>
      <w:r>
        <w:tab/>
        <w:t>in any other case, the period since the licence was last renewed.</w:t>
      </w:r>
    </w:p>
    <w:p>
      <w:pPr>
        <w:pStyle w:val="Subsection"/>
      </w:pPr>
      <w:r>
        <w:tab/>
        <w:t>(2)</w:t>
      </w:r>
      <w:r>
        <w:tab/>
        <w:t xml:space="preserve">For the purposes of section 22(2)(c) the following documents and information are prescribed — </w:t>
      </w:r>
    </w:p>
    <w:p>
      <w:pPr>
        <w:pStyle w:val="Indenta"/>
      </w:pPr>
      <w:r>
        <w:tab/>
        <w:t>(a)</w:t>
      </w:r>
      <w:r>
        <w:tab/>
        <w:t xml:space="preserve">in the case of a renewal application by an individual — </w:t>
      </w:r>
    </w:p>
    <w:p>
      <w:pPr>
        <w:pStyle w:val="Indenti"/>
      </w:pPr>
      <w:r>
        <w:tab/>
        <w:t>(i)</w:t>
      </w:r>
      <w:r>
        <w:tab/>
        <w:t>a criminal record check on the renewal applicant issued not more than 6 months before the date of the application or evidence that a criminal record check has been applied for; and</w:t>
      </w:r>
    </w:p>
    <w:p>
      <w:pPr>
        <w:pStyle w:val="Indenti"/>
      </w:pPr>
      <w:r>
        <w:tab/>
        <w:t>(ii)</w:t>
      </w:r>
      <w:r>
        <w:tab/>
        <w:t>a copy of each qualification prescribed in regulation 8(1) that is held by the renewal applicant unless the qualifications held by the renewal applicant have not changed in the relevant period and the application is accompanied by a statement to that effect;</w:t>
      </w:r>
    </w:p>
    <w:p>
      <w:pPr>
        <w:pStyle w:val="Indenta"/>
      </w:pPr>
      <w:r>
        <w:tab/>
        <w:t>(b)</w:t>
      </w:r>
      <w:r>
        <w:tab/>
        <w:t>in the case of a renewal application by a body corporate that is not a public authority, a criminal record check on each managerial officer of the renewal applicant issued not more than 6 months before the date of the application or evidence that a criminal record check has been applied for;</w:t>
      </w:r>
    </w:p>
    <w:p>
      <w:pPr>
        <w:pStyle w:val="Indenta"/>
      </w:pPr>
      <w:r>
        <w:tab/>
        <w:t>(c)</w:t>
      </w:r>
      <w:r>
        <w:tab/>
        <w:t>a financial assessment in the approved form;</w:t>
      </w:r>
    </w:p>
    <w:p>
      <w:pPr>
        <w:pStyle w:val="Indenta"/>
      </w:pPr>
      <w:r>
        <w:tab/>
        <w:t>(d)</w:t>
      </w:r>
      <w:r>
        <w:tab/>
        <w:t>if the renewal applicant is a company, a printout from the national database kept by the Australian Securities and Investments Commission containing up</w:t>
      </w:r>
      <w:r>
        <w:noBreakHyphen/>
        <w:t>to</w:t>
      </w:r>
      <w:r>
        <w:noBreakHyphen/>
        <w:t>date information obtained by the Commission about the company unless that information has not changed in the relevant period and the renewal application is accompanied by a statement to that effect;</w:t>
      </w:r>
    </w:p>
    <w:p>
      <w:pPr>
        <w:pStyle w:val="Indenta"/>
      </w:pPr>
      <w:r>
        <w:tab/>
        <w:t>(e)</w:t>
      </w:r>
      <w:r>
        <w:tab/>
        <w:t>if the renewal applicant is an incorporated association, a copy of the certificate of incorporation of the association unless that certificate has not changed in the relevant period and the renewal application is accompanied by a statement to that effect.</w:t>
      </w:r>
    </w:p>
    <w:p>
      <w:pPr>
        <w:pStyle w:val="Footnotesection"/>
      </w:pPr>
      <w:r>
        <w:tab/>
        <w:t>[Regulation 12 inserted in Gazette 6 Jan 2012 p. 31-2.]</w:t>
      </w:r>
    </w:p>
    <w:p>
      <w:pPr>
        <w:pStyle w:val="Ednotesection"/>
      </w:pPr>
      <w:r>
        <w:t>[</w:t>
      </w:r>
      <w:r>
        <w:rPr>
          <w:b/>
        </w:rPr>
        <w:t>13.</w:t>
      </w:r>
      <w:r>
        <w:tab/>
        <w:t>Deleted in Gazette 6 Jan 2012 p. 30.]</w:t>
      </w:r>
    </w:p>
    <w:p>
      <w:pPr>
        <w:pStyle w:val="Heading3"/>
      </w:pPr>
      <w:bookmarkStart w:id="322" w:name="_Toc378075844"/>
      <w:bookmarkStart w:id="323" w:name="_Toc425777508"/>
      <w:bookmarkStart w:id="324" w:name="_Toc425777616"/>
      <w:bookmarkStart w:id="325" w:name="_Toc128287434"/>
      <w:bookmarkStart w:id="326" w:name="_Toc128361386"/>
      <w:bookmarkStart w:id="327" w:name="_Toc129055546"/>
      <w:bookmarkStart w:id="328" w:name="_Toc129062602"/>
      <w:bookmarkStart w:id="329" w:name="_Toc153260790"/>
      <w:bookmarkStart w:id="330" w:name="_Toc153264606"/>
      <w:bookmarkStart w:id="331" w:name="_Toc155681707"/>
      <w:bookmarkStart w:id="332" w:name="_Toc155684182"/>
      <w:bookmarkStart w:id="333" w:name="_Toc156613324"/>
      <w:bookmarkStart w:id="334" w:name="_Toc156797560"/>
      <w:bookmarkStart w:id="335" w:name="_Toc158026359"/>
      <w:bookmarkStart w:id="336" w:name="_Toc174345193"/>
      <w:bookmarkStart w:id="337" w:name="_Toc174423639"/>
      <w:bookmarkStart w:id="338" w:name="_Toc177373491"/>
      <w:bookmarkStart w:id="339" w:name="_Toc177437169"/>
      <w:bookmarkStart w:id="340" w:name="_Toc177886280"/>
      <w:bookmarkStart w:id="341" w:name="_Toc179695255"/>
      <w:bookmarkStart w:id="342" w:name="_Toc180393844"/>
      <w:bookmarkStart w:id="343" w:name="_Toc180398131"/>
      <w:bookmarkStart w:id="344" w:name="_Toc313528039"/>
      <w:bookmarkStart w:id="345" w:name="_Toc313528148"/>
      <w:r>
        <w:rPr>
          <w:rStyle w:val="CharDivNo"/>
        </w:rPr>
        <w:t>Division 3</w:t>
      </w:r>
      <w:r>
        <w:t> — </w:t>
      </w:r>
      <w:r>
        <w:rPr>
          <w:rStyle w:val="CharDivText"/>
        </w:rPr>
        <w:t>Matters ancillary to licence applications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heading"/>
      </w:pPr>
      <w:r>
        <w:tab/>
        <w:t>[Heading amended in Gazette 6 Jan 2012 p. 32.]</w:t>
      </w:r>
    </w:p>
    <w:p>
      <w:pPr>
        <w:pStyle w:val="Heading5"/>
      </w:pPr>
      <w:bookmarkStart w:id="346" w:name="_Toc378075845"/>
      <w:bookmarkStart w:id="347" w:name="_Toc425777617"/>
      <w:bookmarkStart w:id="348" w:name="_Toc313528149"/>
      <w:r>
        <w:rPr>
          <w:rStyle w:val="CharSectno"/>
        </w:rPr>
        <w:t>14</w:t>
      </w:r>
      <w:r>
        <w:t>.</w:t>
      </w:r>
      <w:r>
        <w:tab/>
        <w:t>Referees</w:t>
      </w:r>
      <w:bookmarkEnd w:id="346"/>
      <w:bookmarkEnd w:id="347"/>
      <w:bookmarkEnd w:id="348"/>
    </w:p>
    <w:p>
      <w:pPr>
        <w:pStyle w:val="Subsection"/>
      </w:pPr>
      <w:r>
        <w:tab/>
        <w:t>(1)</w:t>
      </w:r>
      <w:r>
        <w:tab/>
        <w:t xml:space="preserve">If a licence application nominates referees for the licence applicant, those referees must include — </w:t>
      </w:r>
    </w:p>
    <w:p>
      <w:pPr>
        <w:pStyle w:val="Indenta"/>
      </w:pPr>
      <w:r>
        <w:tab/>
        <w:t>(a)</w:t>
      </w:r>
      <w:r>
        <w:tab/>
        <w:t>a referee who knows the licence applicant and who has had experience in children’s, educational, recreational or human services; and</w:t>
      </w:r>
    </w:p>
    <w:p>
      <w:pPr>
        <w:pStyle w:val="Indenta"/>
      </w:pPr>
      <w:r>
        <w:tab/>
        <w:t>(b)</w:t>
      </w:r>
      <w:r>
        <w:tab/>
        <w:t>a referee who is a previous employer of the licence applicant or who has worked with the licence applicant in a paid or unpaid capacity.</w:t>
      </w:r>
    </w:p>
    <w:p>
      <w:pPr>
        <w:pStyle w:val="Subsection"/>
      </w:pPr>
      <w:r>
        <w:tab/>
        <w:t>(2)</w:t>
      </w:r>
      <w:r>
        <w:tab/>
        <w:t xml:space="preserve">A person is not eligible to act as a referee for a licence applicant if the person is — </w:t>
      </w:r>
    </w:p>
    <w:p>
      <w:pPr>
        <w:pStyle w:val="Indenta"/>
      </w:pPr>
      <w:r>
        <w:tab/>
        <w:t>(a)</w:t>
      </w:r>
      <w:r>
        <w:tab/>
        <w:t>an employee of the licence applicant; or</w:t>
      </w:r>
    </w:p>
    <w:p>
      <w:pPr>
        <w:pStyle w:val="Indenta"/>
      </w:pPr>
      <w:r>
        <w:tab/>
        <w:t>(b)</w:t>
      </w:r>
      <w:r>
        <w:tab/>
        <w:t>married, or related (including by marriage), to the licence applicant; or</w:t>
      </w:r>
    </w:p>
    <w:p>
      <w:pPr>
        <w:pStyle w:val="Indenta"/>
      </w:pPr>
      <w:r>
        <w:tab/>
        <w:t>(c)</w:t>
      </w:r>
      <w:r>
        <w:tab/>
        <w:t>a de facto partner of the licence applicant; or</w:t>
      </w:r>
    </w:p>
    <w:p>
      <w:pPr>
        <w:pStyle w:val="Indenta"/>
      </w:pPr>
      <w:r>
        <w:tab/>
        <w:t>(d)</w:t>
      </w:r>
      <w:r>
        <w:tab/>
        <w:t xml:space="preserve">another licence applicant or an applicant for an approval under the </w:t>
      </w:r>
      <w:r>
        <w:rPr>
          <w:i/>
        </w:rPr>
        <w:t>Child Care Services Regulations 2007</w:t>
      </w:r>
      <w:r>
        <w:t xml:space="preserve"> Part 3A.</w:t>
      </w:r>
    </w:p>
    <w:p>
      <w:pPr>
        <w:pStyle w:val="Footnotesection"/>
      </w:pPr>
      <w:r>
        <w:tab/>
        <w:t>[Regulation 14 inserted in Gazette 6 Jan 2012 p. 32.]</w:t>
      </w:r>
    </w:p>
    <w:p>
      <w:pPr>
        <w:pStyle w:val="Ednotesection"/>
      </w:pPr>
      <w:r>
        <w:t>[</w:t>
      </w:r>
      <w:r>
        <w:rPr>
          <w:b/>
        </w:rPr>
        <w:t>15.</w:t>
      </w:r>
      <w:r>
        <w:tab/>
        <w:t>Deleted in Gazette 6 Jan 2012 p. 32.]</w:t>
      </w:r>
    </w:p>
    <w:p>
      <w:pPr>
        <w:pStyle w:val="Ednotesection"/>
      </w:pPr>
      <w:r>
        <w:t>[</w:t>
      </w:r>
      <w:r>
        <w:rPr>
          <w:b/>
          <w:bCs/>
        </w:rPr>
        <w:t>16.</w:t>
      </w:r>
      <w:r>
        <w:tab/>
        <w:t>Deleted in Gazette 8 Dec 2006 p. 5383.]</w:t>
      </w:r>
    </w:p>
    <w:p>
      <w:pPr>
        <w:pStyle w:val="Ednotesection"/>
      </w:pPr>
      <w:r>
        <w:t>[</w:t>
      </w:r>
      <w:r>
        <w:rPr>
          <w:b/>
        </w:rPr>
        <w:t>17.</w:t>
      </w:r>
      <w:r>
        <w:tab/>
        <w:t>Deleted in Gazette 6 Jan 2012 p. 32.]</w:t>
      </w:r>
    </w:p>
    <w:p>
      <w:pPr>
        <w:pStyle w:val="Heading3"/>
      </w:pPr>
      <w:bookmarkStart w:id="349" w:name="_Toc378075846"/>
      <w:bookmarkStart w:id="350" w:name="_Toc425777510"/>
      <w:bookmarkStart w:id="351" w:name="_Toc425777618"/>
      <w:bookmarkStart w:id="352" w:name="_Toc128287439"/>
      <w:bookmarkStart w:id="353" w:name="_Toc128361391"/>
      <w:bookmarkStart w:id="354" w:name="_Toc129055551"/>
      <w:bookmarkStart w:id="355" w:name="_Toc129062607"/>
      <w:bookmarkStart w:id="356" w:name="_Toc153260795"/>
      <w:bookmarkStart w:id="357" w:name="_Toc153264610"/>
      <w:bookmarkStart w:id="358" w:name="_Toc155681711"/>
      <w:bookmarkStart w:id="359" w:name="_Toc155684186"/>
      <w:bookmarkStart w:id="360" w:name="_Toc156613328"/>
      <w:bookmarkStart w:id="361" w:name="_Toc156797564"/>
      <w:bookmarkStart w:id="362" w:name="_Toc158026363"/>
      <w:bookmarkStart w:id="363" w:name="_Toc174345197"/>
      <w:bookmarkStart w:id="364" w:name="_Toc174423643"/>
      <w:bookmarkStart w:id="365" w:name="_Toc177373495"/>
      <w:bookmarkStart w:id="366" w:name="_Toc177437173"/>
      <w:bookmarkStart w:id="367" w:name="_Toc177886284"/>
      <w:bookmarkStart w:id="368" w:name="_Toc179695259"/>
      <w:bookmarkStart w:id="369" w:name="_Toc180393848"/>
      <w:bookmarkStart w:id="370" w:name="_Toc180398135"/>
      <w:bookmarkStart w:id="371" w:name="_Toc313528041"/>
      <w:bookmarkStart w:id="372" w:name="_Toc313528150"/>
      <w:r>
        <w:rPr>
          <w:rStyle w:val="CharDivNo"/>
        </w:rPr>
        <w:t>Division 4</w:t>
      </w:r>
      <w:r>
        <w:t> — </w:t>
      </w:r>
      <w:r>
        <w:rPr>
          <w:rStyle w:val="CharDivText"/>
        </w:rPr>
        <w:t>Surrenders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378075847"/>
      <w:bookmarkStart w:id="374" w:name="_Toc425777619"/>
      <w:bookmarkStart w:id="375" w:name="_Toc313528151"/>
      <w:r>
        <w:rPr>
          <w:rStyle w:val="CharSectno"/>
        </w:rPr>
        <w:t>18</w:t>
      </w:r>
      <w:r>
        <w:t>.</w:t>
      </w:r>
      <w:r>
        <w:tab/>
        <w:t>Surrender of licences</w:t>
      </w:r>
      <w:bookmarkEnd w:id="373"/>
      <w:bookmarkEnd w:id="374"/>
      <w:bookmarkEnd w:id="375"/>
    </w:p>
    <w:p>
      <w:pPr>
        <w:pStyle w:val="Subsection"/>
      </w:pPr>
      <w:r>
        <w:tab/>
        <w:t>(1)</w:t>
      </w:r>
      <w:r>
        <w:tab/>
        <w:t>A licensee may at any time by notice in writing to the CEO surrender the licence.</w:t>
      </w:r>
    </w:p>
    <w:p>
      <w:pPr>
        <w:pStyle w:val="Ednotesubsection"/>
      </w:pPr>
      <w:r>
        <w:tab/>
        <w:t>[(2)</w:t>
      </w:r>
      <w:r>
        <w:tab/>
        <w:t>deleted]</w:t>
      </w:r>
    </w:p>
    <w:p>
      <w:pPr>
        <w:pStyle w:val="Footnotesection"/>
      </w:pPr>
      <w:r>
        <w:tab/>
        <w:t>[Regulation 18 amended in Gazette 7 Aug 2007 p. 4039; 6 Jan 2012 p. 33.]</w:t>
      </w:r>
    </w:p>
    <w:p>
      <w:pPr>
        <w:pStyle w:val="Heading2"/>
      </w:pPr>
      <w:bookmarkStart w:id="376" w:name="_Toc378075848"/>
      <w:bookmarkStart w:id="377" w:name="_Toc425777512"/>
      <w:bookmarkStart w:id="378" w:name="_Toc425777620"/>
      <w:bookmarkStart w:id="379" w:name="_Toc128287441"/>
      <w:bookmarkStart w:id="380" w:name="_Toc128361393"/>
      <w:bookmarkStart w:id="381" w:name="_Toc129055553"/>
      <w:bookmarkStart w:id="382" w:name="_Toc129062609"/>
      <w:bookmarkStart w:id="383" w:name="_Toc153260797"/>
      <w:bookmarkStart w:id="384" w:name="_Toc153264612"/>
      <w:bookmarkStart w:id="385" w:name="_Toc155681713"/>
      <w:bookmarkStart w:id="386" w:name="_Toc155684188"/>
      <w:bookmarkStart w:id="387" w:name="_Toc156613330"/>
      <w:bookmarkStart w:id="388" w:name="_Toc156797566"/>
      <w:bookmarkStart w:id="389" w:name="_Toc158026365"/>
      <w:bookmarkStart w:id="390" w:name="_Toc174345199"/>
      <w:bookmarkStart w:id="391" w:name="_Toc174423645"/>
      <w:bookmarkStart w:id="392" w:name="_Toc177373497"/>
      <w:bookmarkStart w:id="393" w:name="_Toc177437175"/>
      <w:bookmarkStart w:id="394" w:name="_Toc177886286"/>
      <w:bookmarkStart w:id="395" w:name="_Toc179695261"/>
      <w:bookmarkStart w:id="396" w:name="_Toc180393850"/>
      <w:bookmarkStart w:id="397" w:name="_Toc180398137"/>
      <w:bookmarkStart w:id="398" w:name="_Toc313528043"/>
      <w:bookmarkStart w:id="399" w:name="_Toc313528152"/>
      <w:r>
        <w:rPr>
          <w:rStyle w:val="CharPartNo"/>
        </w:rPr>
        <w:t>Part 3</w:t>
      </w:r>
      <w:r>
        <w:t> — </w:t>
      </w:r>
      <w:r>
        <w:rPr>
          <w:rStyle w:val="CharPartText"/>
        </w:rPr>
        <w:t>Obligations of licensee</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3"/>
      </w:pPr>
      <w:bookmarkStart w:id="400" w:name="_Toc378075849"/>
      <w:bookmarkStart w:id="401" w:name="_Toc425777513"/>
      <w:bookmarkStart w:id="402" w:name="_Toc425777621"/>
      <w:bookmarkStart w:id="403" w:name="_Toc128287442"/>
      <w:bookmarkStart w:id="404" w:name="_Toc128361394"/>
      <w:bookmarkStart w:id="405" w:name="_Toc129055554"/>
      <w:bookmarkStart w:id="406" w:name="_Toc129062610"/>
      <w:bookmarkStart w:id="407" w:name="_Toc153260798"/>
      <w:bookmarkStart w:id="408" w:name="_Toc153264613"/>
      <w:bookmarkStart w:id="409" w:name="_Toc155681714"/>
      <w:bookmarkStart w:id="410" w:name="_Toc155684189"/>
      <w:bookmarkStart w:id="411" w:name="_Toc156613331"/>
      <w:bookmarkStart w:id="412" w:name="_Toc156797567"/>
      <w:bookmarkStart w:id="413" w:name="_Toc158026366"/>
      <w:bookmarkStart w:id="414" w:name="_Toc174345200"/>
      <w:bookmarkStart w:id="415" w:name="_Toc174423646"/>
      <w:bookmarkStart w:id="416" w:name="_Toc177373498"/>
      <w:bookmarkStart w:id="417" w:name="_Toc177437176"/>
      <w:bookmarkStart w:id="418" w:name="_Toc177886287"/>
      <w:bookmarkStart w:id="419" w:name="_Toc179695262"/>
      <w:bookmarkStart w:id="420" w:name="_Toc180393851"/>
      <w:bookmarkStart w:id="421" w:name="_Toc180398138"/>
      <w:bookmarkStart w:id="422" w:name="_Toc313528044"/>
      <w:bookmarkStart w:id="423" w:name="_Toc313528153"/>
      <w:r>
        <w:rPr>
          <w:rStyle w:val="CharDivNo"/>
        </w:rPr>
        <w:t>Division 1</w:t>
      </w:r>
      <w:r>
        <w:t> — </w:t>
      </w:r>
      <w:r>
        <w:rPr>
          <w:rStyle w:val="CharDivText"/>
        </w:rPr>
        <w:t>General obligations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Heading5"/>
      </w:pPr>
      <w:bookmarkStart w:id="424" w:name="_Toc378075850"/>
      <w:bookmarkStart w:id="425" w:name="_Toc425777622"/>
      <w:bookmarkStart w:id="426" w:name="_Toc313528154"/>
      <w:r>
        <w:rPr>
          <w:rStyle w:val="CharSectno"/>
        </w:rPr>
        <w:t>19</w:t>
      </w:r>
      <w:r>
        <w:t>.</w:t>
      </w:r>
      <w:r>
        <w:tab/>
        <w:t>Exemptions</w:t>
      </w:r>
      <w:bookmarkEnd w:id="424"/>
      <w:bookmarkEnd w:id="425"/>
      <w:bookmarkEnd w:id="426"/>
    </w:p>
    <w:p>
      <w:pPr>
        <w:pStyle w:val="Subsection"/>
        <w:spacing w:before="12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2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12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120"/>
      </w:pPr>
      <w:r>
        <w:tab/>
        <w:t>(4)</w:t>
      </w:r>
      <w:r>
        <w:tab/>
        <w:t>The CEO may renew or revoke an exemption.</w:t>
      </w:r>
    </w:p>
    <w:p>
      <w:pPr>
        <w:pStyle w:val="Subsection"/>
        <w:spacing w:before="120"/>
      </w:pPr>
      <w:r>
        <w:tab/>
        <w:t>(5)</w:t>
      </w:r>
      <w:r>
        <w:tab/>
        <w:t>An exemption stops being in force at the end of the period specified in it under subregulation (2)(c) unless it is sooner revoked.</w:t>
      </w:r>
    </w:p>
    <w:p>
      <w:pPr>
        <w:pStyle w:val="Subsection"/>
        <w:spacing w:before="12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spacing w:before="180"/>
      </w:pPr>
      <w:bookmarkStart w:id="427" w:name="_Toc378075851"/>
      <w:bookmarkStart w:id="428" w:name="_Toc425777623"/>
      <w:bookmarkStart w:id="429" w:name="_Toc313528155"/>
      <w:r>
        <w:rPr>
          <w:rStyle w:val="CharSectno"/>
        </w:rPr>
        <w:t>20</w:t>
      </w:r>
      <w:r>
        <w:t>.</w:t>
      </w:r>
      <w:r>
        <w:tab/>
        <w:t>Notification of change of circumstances</w:t>
      </w:r>
      <w:bookmarkEnd w:id="427"/>
      <w:bookmarkEnd w:id="428"/>
      <w:bookmarkEnd w:id="429"/>
    </w:p>
    <w:p>
      <w:pPr>
        <w:pStyle w:val="Subsection"/>
        <w:keepNext/>
        <w:spacing w:before="120"/>
      </w:pPr>
      <w:r>
        <w:tab/>
        <w:t>(1)</w:t>
      </w:r>
      <w:r>
        <w:tab/>
        <w:t xml:space="preserve">A licensee must immediately notify the CEO in writing if any of the following happens — </w:t>
      </w:r>
    </w:p>
    <w:p>
      <w:pPr>
        <w:pStyle w:val="Indenta"/>
        <w:spacing w:before="60"/>
      </w:pPr>
      <w:r>
        <w:tab/>
        <w:t>(a)</w:t>
      </w:r>
      <w:r>
        <w:tab/>
        <w:t>the licensee ceases to occupy the place specified in the licence;</w:t>
      </w:r>
    </w:p>
    <w:p>
      <w:pPr>
        <w:pStyle w:val="Indenta"/>
      </w:pPr>
      <w:r>
        <w:tab/>
        <w:t>(b)</w:t>
      </w:r>
      <w:r>
        <w:tab/>
        <w:t>if the licensee is an individual, the licensee is or will for any reason be unable for more than 30 consecutive working days to supervise and control on a day</w:t>
      </w:r>
      <w:r>
        <w:noBreakHyphen/>
        <w:t>to</w:t>
      </w:r>
      <w:r>
        <w:noBreakHyphen/>
        <w:t>day basis the provision of the outside school hours care service;</w:t>
      </w:r>
    </w:p>
    <w:p>
      <w:pPr>
        <w:pStyle w:val="Indenta"/>
      </w:pPr>
      <w:r>
        <w:tab/>
        <w:t>(c)</w:t>
      </w:r>
      <w:r>
        <w:tab/>
        <w:t>if the licensee is a body corporate or public authority, the supervising officer dies, is dismissed, resigns, retires or becomes incapable of being responsible for the supervision and control of the outside school hours care service;</w:t>
      </w:r>
    </w:p>
    <w:p>
      <w:pPr>
        <w:pStyle w:val="Indenta"/>
      </w:pPr>
      <w:r>
        <w:tab/>
        <w:t>(d)</w:t>
      </w:r>
      <w:r>
        <w:tab/>
        <w:t>if the licensee is a body corporate or public authority, the supervising officer is or will for any reason be unable for more than 30 consecutive working days to supervise and control on a day</w:t>
      </w:r>
      <w:r>
        <w:noBreakHyphen/>
        <w:t>to</w:t>
      </w:r>
      <w:r>
        <w:noBreakHyphen/>
        <w:t>day basis the provision of the outside school hours care service;</w:t>
      </w:r>
    </w:p>
    <w:p>
      <w:pPr>
        <w:pStyle w:val="Indenta"/>
      </w:pPr>
      <w:r>
        <w:tab/>
        <w:t>(e)</w:t>
      </w:r>
      <w:r>
        <w:tab/>
        <w:t>if the licensee is a body corporate, there is a change in the managerial officers of the body corporate;</w:t>
      </w:r>
    </w:p>
    <w:p>
      <w:pPr>
        <w:pStyle w:val="Ednotepara"/>
      </w:pPr>
      <w:r>
        <w:tab/>
        <w:t>[(f)</w:t>
      </w:r>
      <w:r>
        <w:tab/>
        <w:t>deleted]</w:t>
      </w:r>
    </w:p>
    <w:p>
      <w:pPr>
        <w:pStyle w:val="Indenta"/>
      </w:pPr>
      <w:r>
        <w:tab/>
        <w:t>(g)</w:t>
      </w:r>
      <w:r>
        <w:tab/>
        <w:t>the licensee becomes aware of any change to any other fact or circumstance relating to or affecting the provision of the outside school hours care service.</w:t>
      </w:r>
    </w:p>
    <w:p>
      <w:pPr>
        <w:pStyle w:val="Subsection"/>
      </w:pPr>
      <w:r>
        <w:tab/>
        <w:t>(2)</w:t>
      </w:r>
      <w:r>
        <w:tab/>
        <w:t>The notice must include particulars of the change of circumstances, including, where relevant, the name and address of the new managerial officer.</w:t>
      </w:r>
    </w:p>
    <w:p>
      <w:pPr>
        <w:pStyle w:val="Subsection"/>
      </w:pPr>
      <w:r>
        <w:tab/>
        <w:t>(3)</w:t>
      </w:r>
      <w:r>
        <w:tab/>
        <w:t xml:space="preserve">A new managerial officer referred to in subregulation (2) must, within 30 days of the date of the change — </w:t>
      </w:r>
    </w:p>
    <w:p>
      <w:pPr>
        <w:pStyle w:val="Indenta"/>
      </w:pPr>
      <w:r>
        <w:tab/>
        <w:t>(a)</w:t>
      </w:r>
      <w:r>
        <w:tab/>
        <w:t>complete a form approved by the CEO and give it to the CEO; and</w:t>
      </w:r>
    </w:p>
    <w:p>
      <w:pPr>
        <w:pStyle w:val="Indenta"/>
      </w:pPr>
      <w:r>
        <w:tab/>
        <w:t>(b)</w:t>
      </w:r>
      <w:r>
        <w:tab/>
        <w:t>give the CEO a current criminal record check on or relating to the officer.</w:t>
      </w:r>
    </w:p>
    <w:p>
      <w:pPr>
        <w:pStyle w:val="Ednotepara"/>
      </w:pPr>
      <w:r>
        <w:tab/>
        <w:t>[(c)</w:t>
      </w:r>
      <w:r>
        <w:tab/>
        <w:t>deleted]</w:t>
      </w:r>
    </w:p>
    <w:p>
      <w:pPr>
        <w:pStyle w:val="Penstart"/>
      </w:pPr>
      <w:r>
        <w:tab/>
        <w:t>Penalty: a fine of $2 000.</w:t>
      </w:r>
    </w:p>
    <w:p>
      <w:pPr>
        <w:pStyle w:val="Footnotesection"/>
      </w:pPr>
      <w:r>
        <w:tab/>
        <w:t>[Regulation 20 amended in Gazette 8 Dec 2006 p. 5383; 6 Jan 2012 p. 33.]</w:t>
      </w:r>
    </w:p>
    <w:p>
      <w:pPr>
        <w:pStyle w:val="Heading5"/>
      </w:pPr>
      <w:bookmarkStart w:id="430" w:name="_Toc378075852"/>
      <w:bookmarkStart w:id="431" w:name="_Toc425777624"/>
      <w:bookmarkStart w:id="432" w:name="_Toc313528156"/>
      <w:r>
        <w:rPr>
          <w:rStyle w:val="CharSectno"/>
        </w:rPr>
        <w:t>21</w:t>
      </w:r>
      <w:r>
        <w:t>.</w:t>
      </w:r>
      <w:r>
        <w:tab/>
        <w:t>Notification of harm to enrolled child</w:t>
      </w:r>
      <w:bookmarkEnd w:id="430"/>
      <w:bookmarkEnd w:id="431"/>
      <w:bookmarkEnd w:id="432"/>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managerial officer of the licensee, a staff member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pPr>
      <w:r>
        <w:tab/>
        <w:t>[Regulation 21 amended in Gazette 7 Aug 2007 p. 4039</w:t>
      </w:r>
      <w:r>
        <w:noBreakHyphen/>
        <w:t>40.]</w:t>
      </w:r>
    </w:p>
    <w:p>
      <w:pPr>
        <w:pStyle w:val="Heading5"/>
      </w:pPr>
      <w:bookmarkStart w:id="433" w:name="_Toc378075853"/>
      <w:bookmarkStart w:id="434" w:name="_Toc425777625"/>
      <w:bookmarkStart w:id="435" w:name="_Toc313528157"/>
      <w:r>
        <w:rPr>
          <w:rStyle w:val="CharSectno"/>
        </w:rPr>
        <w:t>22</w:t>
      </w:r>
      <w:r>
        <w:t>.</w:t>
      </w:r>
      <w:r>
        <w:tab/>
        <w:t>Visual images of enrolled child</w:t>
      </w:r>
      <w:bookmarkEnd w:id="433"/>
      <w:bookmarkEnd w:id="434"/>
      <w:bookmarkEnd w:id="435"/>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or staff member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22 amended in Gazette 8 Dec 2006 p. 5383</w:t>
      </w:r>
      <w:r>
        <w:noBreakHyphen/>
        <w:t>4.]</w:t>
      </w:r>
    </w:p>
    <w:p>
      <w:pPr>
        <w:pStyle w:val="Heading3"/>
      </w:pPr>
      <w:bookmarkStart w:id="436" w:name="_Toc378075854"/>
      <w:bookmarkStart w:id="437" w:name="_Toc425777518"/>
      <w:bookmarkStart w:id="438" w:name="_Toc425777626"/>
      <w:bookmarkStart w:id="439" w:name="_Toc128287447"/>
      <w:bookmarkStart w:id="440" w:name="_Toc128361399"/>
      <w:bookmarkStart w:id="441" w:name="_Toc129055559"/>
      <w:bookmarkStart w:id="442" w:name="_Toc129062615"/>
      <w:bookmarkStart w:id="443" w:name="_Toc153260803"/>
      <w:bookmarkStart w:id="444" w:name="_Toc153264618"/>
      <w:bookmarkStart w:id="445" w:name="_Toc155681719"/>
      <w:bookmarkStart w:id="446" w:name="_Toc155684194"/>
      <w:bookmarkStart w:id="447" w:name="_Toc156613336"/>
      <w:bookmarkStart w:id="448" w:name="_Toc156797572"/>
      <w:bookmarkStart w:id="449" w:name="_Toc158026371"/>
      <w:bookmarkStart w:id="450" w:name="_Toc174345205"/>
      <w:bookmarkStart w:id="451" w:name="_Toc174423651"/>
      <w:bookmarkStart w:id="452" w:name="_Toc177373503"/>
      <w:bookmarkStart w:id="453" w:name="_Toc177437181"/>
      <w:bookmarkStart w:id="454" w:name="_Toc177886292"/>
      <w:bookmarkStart w:id="455" w:name="_Toc179695267"/>
      <w:bookmarkStart w:id="456" w:name="_Toc180393856"/>
      <w:bookmarkStart w:id="457" w:name="_Toc180398143"/>
      <w:bookmarkStart w:id="458" w:name="_Toc313528049"/>
      <w:bookmarkStart w:id="459" w:name="_Toc313528158"/>
      <w:r>
        <w:rPr>
          <w:rStyle w:val="CharDivNo"/>
        </w:rPr>
        <w:t>Division 2</w:t>
      </w:r>
      <w:r>
        <w:t> — </w:t>
      </w:r>
      <w:r>
        <w:rPr>
          <w:rStyle w:val="CharDivText"/>
        </w:rPr>
        <w:t>Staffing requirements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Heading5"/>
      </w:pPr>
      <w:bookmarkStart w:id="460" w:name="_Toc378075855"/>
      <w:bookmarkStart w:id="461" w:name="_Toc425777627"/>
      <w:bookmarkStart w:id="462" w:name="_Toc313528159"/>
      <w:r>
        <w:rPr>
          <w:rStyle w:val="CharSectno"/>
        </w:rPr>
        <w:t>23</w:t>
      </w:r>
      <w:r>
        <w:t>.</w:t>
      </w:r>
      <w:r>
        <w:tab/>
        <w:t>Presence of supervising officer at place</w:t>
      </w:r>
      <w:bookmarkEnd w:id="460"/>
      <w:bookmarkEnd w:id="461"/>
      <w:bookmarkEnd w:id="462"/>
    </w:p>
    <w:p>
      <w:pPr>
        <w:pStyle w:val="Subsection"/>
      </w:pPr>
      <w:r>
        <w:tab/>
        <w:t>(1)</w:t>
      </w:r>
      <w:r>
        <w:tab/>
        <w:t xml:space="preserve">For the purposes of section 18, the supervising officer may be absent from the place at which the outside school hours care service is provided at the times when the service is provided — </w:t>
      </w:r>
    </w:p>
    <w:p>
      <w:pPr>
        <w:pStyle w:val="Indenta"/>
      </w:pPr>
      <w:r>
        <w:tab/>
        <w:t>(a)</w:t>
      </w:r>
      <w:r>
        <w:tab/>
        <w:t>to accompany enrolled children on an excursion;</w:t>
      </w:r>
    </w:p>
    <w:p>
      <w:pPr>
        <w:pStyle w:val="Indenta"/>
      </w:pPr>
      <w:r>
        <w:tab/>
        <w:t>(b)</w:t>
      </w:r>
      <w:r>
        <w:tab/>
        <w:t>for not more than 2 consecutive days if the absence is due to illness or injury;</w:t>
      </w:r>
    </w:p>
    <w:p>
      <w:pPr>
        <w:pStyle w:val="Indenta"/>
      </w:pPr>
      <w:r>
        <w:tab/>
        <w:t>(c)</w:t>
      </w:r>
      <w:r>
        <w:tab/>
        <w:t>in an emergency situation;</w:t>
      </w:r>
    </w:p>
    <w:p>
      <w:pPr>
        <w:pStyle w:val="Indenta"/>
      </w:pPr>
      <w:r>
        <w:tab/>
        <w:t>(d)</w:t>
      </w:r>
      <w:r>
        <w:tab/>
        <w:t>to undertake continuing professional development in matters relating to child care;</w:t>
      </w:r>
    </w:p>
    <w:p>
      <w:pPr>
        <w:pStyle w:val="Indenta"/>
      </w:pPr>
      <w:r>
        <w:tab/>
        <w:t>(e)</w:t>
      </w:r>
      <w:r>
        <w:tab/>
        <w:t>to attend a meeting or other event that is relevant to the supervision and control of the service;</w:t>
      </w:r>
    </w:p>
    <w:p>
      <w:pPr>
        <w:pStyle w:val="Indenta"/>
      </w:pPr>
      <w:r>
        <w:tab/>
        <w:t>(f)</w:t>
      </w:r>
      <w:r>
        <w:tab/>
        <w:t>to obtain or eat a meal; or</w:t>
      </w:r>
    </w:p>
    <w:p>
      <w:pPr>
        <w:pStyle w:val="Indenta"/>
      </w:pPr>
      <w:r>
        <w:tab/>
        <w:t>(g)</w:t>
      </w:r>
      <w:r>
        <w:tab/>
        <w:t>to attend to other duties relevant to the provision of a child care service such as banking and shopping for food or drinks.</w:t>
      </w:r>
    </w:p>
    <w:p>
      <w:pPr>
        <w:pStyle w:val="Subsection"/>
      </w:pPr>
      <w:r>
        <w:tab/>
        <w:t>(2)</w:t>
      </w:r>
      <w:r>
        <w:tab/>
        <w:t>Despite the supervising officer for an outside school hours care service being absent from the place at which the service is provided for a reason referred to in subregulation (1), the supervising officer must be present at the place for —</w:t>
      </w:r>
    </w:p>
    <w:p>
      <w:pPr>
        <w:pStyle w:val="Indenta"/>
      </w:pPr>
      <w:r>
        <w:tab/>
        <w:t>(a)</w:t>
      </w:r>
      <w:r>
        <w:tab/>
        <w:t>not less than 25 hours in any week during which the service is provided; or</w:t>
      </w:r>
    </w:p>
    <w:p>
      <w:pPr>
        <w:pStyle w:val="Indenta"/>
      </w:pPr>
      <w:r>
        <w:tab/>
        <w:t>(b)</w:t>
      </w:r>
      <w:r>
        <w:tab/>
        <w:t>70% of the time for which the service is provided during a week,</w:t>
      </w:r>
    </w:p>
    <w:p>
      <w:pPr>
        <w:pStyle w:val="Subsection"/>
      </w:pPr>
      <w:r>
        <w:tab/>
      </w:r>
      <w:r>
        <w:tab/>
        <w:t>whichever is the lesser.</w:t>
      </w:r>
    </w:p>
    <w:p>
      <w:pPr>
        <w:pStyle w:val="Footnotesection"/>
      </w:pPr>
      <w:r>
        <w:tab/>
        <w:t>[Regulation 23 amended in Gazette 7 Aug 2007 p. 4040.]</w:t>
      </w:r>
    </w:p>
    <w:p>
      <w:pPr>
        <w:pStyle w:val="Heading5"/>
      </w:pPr>
      <w:bookmarkStart w:id="463" w:name="_Toc378075856"/>
      <w:bookmarkStart w:id="464" w:name="_Toc425777628"/>
      <w:bookmarkStart w:id="465" w:name="_Toc313528160"/>
      <w:r>
        <w:rPr>
          <w:rStyle w:val="CharSectno"/>
        </w:rPr>
        <w:t>24</w:t>
      </w:r>
      <w:r>
        <w:t>.</w:t>
      </w:r>
      <w:r>
        <w:tab/>
        <w:t>Staff supervision of enrolled children</w:t>
      </w:r>
      <w:bookmarkEnd w:id="463"/>
      <w:bookmarkEnd w:id="464"/>
      <w:bookmarkEnd w:id="465"/>
    </w:p>
    <w:p>
      <w:pPr>
        <w:pStyle w:val="Subsection"/>
      </w:pPr>
      <w:r>
        <w:tab/>
        <w:t>(1)</w:t>
      </w:r>
      <w:r>
        <w:tab/>
        <w:t xml:space="preserve">A licensee must ensure that contact staff members on duty supervise enrolled children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contact staff member.</w:t>
      </w:r>
    </w:p>
    <w:p>
      <w:pPr>
        <w:pStyle w:val="Penstart"/>
      </w:pPr>
      <w:r>
        <w:tab/>
        <w:t>Penalty: a fine of $6 000.</w:t>
      </w:r>
    </w:p>
    <w:p>
      <w:pPr>
        <w:pStyle w:val="Heading5"/>
      </w:pPr>
      <w:bookmarkStart w:id="466" w:name="_Toc378075857"/>
      <w:bookmarkStart w:id="467" w:name="_Toc425777629"/>
      <w:bookmarkStart w:id="468" w:name="_Toc313528161"/>
      <w:r>
        <w:rPr>
          <w:rStyle w:val="CharSectno"/>
        </w:rPr>
        <w:t>25</w:t>
      </w:r>
      <w:r>
        <w:t>.</w:t>
      </w:r>
      <w:r>
        <w:tab/>
        <w:t>Additional staff</w:t>
      </w:r>
      <w:bookmarkEnd w:id="466"/>
      <w:bookmarkEnd w:id="467"/>
      <w:bookmarkEnd w:id="468"/>
    </w:p>
    <w:p>
      <w:pPr>
        <w:pStyle w:val="Subsection"/>
      </w:pPr>
      <w:r>
        <w:tab/>
        <w:t>(1)</w:t>
      </w:r>
      <w:r>
        <w:tab/>
        <w:t>The CEO may require a licensee to employ contact staff for a care session in addition to those required under regulation 62 where the special needs of one or more children attending the outside school hours care service during the care session require the additional staff.</w:t>
      </w:r>
    </w:p>
    <w:p>
      <w:pPr>
        <w:pStyle w:val="Subsection"/>
      </w:pPr>
      <w:r>
        <w:tab/>
        <w:t>(2)</w:t>
      </w:r>
      <w:r>
        <w:tab/>
        <w:t>A licensee must comply with a requirement under subregulation (1).</w:t>
      </w:r>
    </w:p>
    <w:p>
      <w:pPr>
        <w:pStyle w:val="Penstart"/>
      </w:pPr>
      <w:r>
        <w:tab/>
        <w:t>Penalty: a fine of $2 000.</w:t>
      </w:r>
    </w:p>
    <w:p>
      <w:pPr>
        <w:pStyle w:val="Heading5"/>
      </w:pPr>
      <w:bookmarkStart w:id="469" w:name="_Toc378075858"/>
      <w:bookmarkStart w:id="470" w:name="_Toc425777630"/>
      <w:bookmarkStart w:id="471" w:name="_Toc313528162"/>
      <w:r>
        <w:rPr>
          <w:rStyle w:val="CharSectno"/>
        </w:rPr>
        <w:t>26</w:t>
      </w:r>
      <w:r>
        <w:t>.</w:t>
      </w:r>
      <w:r>
        <w:tab/>
        <w:t>Absent or indisposed staff</w:t>
      </w:r>
      <w:bookmarkEnd w:id="469"/>
      <w:bookmarkEnd w:id="470"/>
      <w:bookmarkEnd w:id="471"/>
    </w:p>
    <w:p>
      <w:pPr>
        <w:pStyle w:val="Subsection"/>
      </w:pPr>
      <w:r>
        <w:tab/>
      </w:r>
      <w:r>
        <w:tab/>
        <w:t>A licensee must develop and set down in writing appropriate procedures to be followed by contact staff members for dealing with the situation where a contact staff member fails to report for duty, becomes ill or injured, or is otherwise required to leave the place at short notice.</w:t>
      </w:r>
    </w:p>
    <w:p>
      <w:pPr>
        <w:pStyle w:val="Penstart"/>
      </w:pPr>
      <w:r>
        <w:tab/>
        <w:t>Penalty: a fine of $2 000.</w:t>
      </w:r>
    </w:p>
    <w:p>
      <w:pPr>
        <w:pStyle w:val="Ednotesection"/>
      </w:pPr>
      <w:r>
        <w:t>[</w:t>
      </w:r>
      <w:r>
        <w:rPr>
          <w:b/>
        </w:rPr>
        <w:t>27, 28.</w:t>
      </w:r>
      <w:r>
        <w:tab/>
        <w:t>Deleted in Gazette 6 Jan 2012 p. 33.]</w:t>
      </w:r>
    </w:p>
    <w:p>
      <w:pPr>
        <w:pStyle w:val="Heading3"/>
        <w:ind w:left="284" w:right="282"/>
      </w:pPr>
      <w:bookmarkStart w:id="472" w:name="_Toc378075859"/>
      <w:bookmarkStart w:id="473" w:name="_Toc425777523"/>
      <w:bookmarkStart w:id="474" w:name="_Toc425777631"/>
      <w:bookmarkStart w:id="475" w:name="_Toc128287454"/>
      <w:bookmarkStart w:id="476" w:name="_Toc128361406"/>
      <w:bookmarkStart w:id="477" w:name="_Toc129055566"/>
      <w:bookmarkStart w:id="478" w:name="_Toc129062622"/>
      <w:bookmarkStart w:id="479" w:name="_Toc153260810"/>
      <w:bookmarkStart w:id="480" w:name="_Toc153264625"/>
      <w:bookmarkStart w:id="481" w:name="_Toc155681726"/>
      <w:bookmarkStart w:id="482" w:name="_Toc155684201"/>
      <w:bookmarkStart w:id="483" w:name="_Toc156613343"/>
      <w:bookmarkStart w:id="484" w:name="_Toc156797579"/>
      <w:bookmarkStart w:id="485" w:name="_Toc158026378"/>
      <w:bookmarkStart w:id="486" w:name="_Toc174345212"/>
      <w:bookmarkStart w:id="487" w:name="_Toc174423658"/>
      <w:bookmarkStart w:id="488" w:name="_Toc177373510"/>
      <w:bookmarkStart w:id="489" w:name="_Toc177437188"/>
      <w:bookmarkStart w:id="490" w:name="_Toc177886299"/>
      <w:bookmarkStart w:id="491" w:name="_Toc179695274"/>
      <w:bookmarkStart w:id="492" w:name="_Toc180393863"/>
      <w:bookmarkStart w:id="493" w:name="_Toc180398150"/>
      <w:bookmarkStart w:id="494" w:name="_Toc313528054"/>
      <w:bookmarkStart w:id="495" w:name="_Toc313528163"/>
      <w:r>
        <w:rPr>
          <w:rStyle w:val="CharDivNo"/>
        </w:rPr>
        <w:t>Division 3</w:t>
      </w:r>
      <w:r>
        <w:t> — </w:t>
      </w:r>
      <w:r>
        <w:rPr>
          <w:rStyle w:val="CharDivText"/>
        </w:rPr>
        <w:t>Requirements for place or obligations relating to place</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pPr>
      <w:bookmarkStart w:id="496" w:name="_Toc378075860"/>
      <w:bookmarkStart w:id="497" w:name="_Toc425777632"/>
      <w:bookmarkStart w:id="498" w:name="_Toc313528164"/>
      <w:r>
        <w:rPr>
          <w:rStyle w:val="CharSectno"/>
        </w:rPr>
        <w:t>29</w:t>
      </w:r>
      <w:r>
        <w:t>.</w:t>
      </w:r>
      <w:r>
        <w:tab/>
        <w:t>Play areas on place</w:t>
      </w:r>
      <w:bookmarkEnd w:id="496"/>
      <w:bookmarkEnd w:id="497"/>
      <w:bookmarkEnd w:id="498"/>
    </w:p>
    <w:p>
      <w:pPr>
        <w:pStyle w:val="Subsection"/>
      </w:pPr>
      <w:r>
        <w:tab/>
        <w:t>(1)</w:t>
      </w:r>
      <w:r>
        <w:tab/>
        <w:t xml:space="preserve">A licensee must ensure that the place has — </w:t>
      </w:r>
    </w:p>
    <w:p>
      <w:pPr>
        <w:pStyle w:val="Indenta"/>
      </w:pPr>
      <w:r>
        <w:tab/>
        <w:t>(a)</w:t>
      </w:r>
      <w:r>
        <w:tab/>
        <w:t>an area of indoor space suitable for children’s play of at least 3.25 m</w:t>
      </w:r>
      <w:r>
        <w:rPr>
          <w:vertAlign w:val="superscript"/>
        </w:rPr>
        <w:t>2</w:t>
      </w:r>
      <w:r>
        <w:t xml:space="preserve"> multiplied by the number equal to the number of children specified in the licence; and</w:t>
      </w:r>
    </w:p>
    <w:p>
      <w:pPr>
        <w:pStyle w:val="Indenta"/>
      </w:pPr>
      <w:r>
        <w:tab/>
        <w:t>(b)</w:t>
      </w:r>
      <w:r>
        <w:tab/>
        <w:t>an area of outdoor space suitable for children’s play of at least 9.3 m</w:t>
      </w:r>
      <w:r>
        <w:rPr>
          <w:vertAlign w:val="superscript"/>
        </w:rPr>
        <w:t>2</w:t>
      </w:r>
      <w:r>
        <w:t xml:space="preserve"> multiplied by the number equal to the number of children specified in the licence.</w:t>
      </w:r>
    </w:p>
    <w:p>
      <w:pPr>
        <w:pStyle w:val="Subsection"/>
      </w:pPr>
      <w:r>
        <w:tab/>
        <w:t>(2)</w:t>
      </w:r>
      <w:r>
        <w:tab/>
        <w:t>When calculating the area of indoor space for the purposes of subregulation (1)(a) the area of any built</w:t>
      </w:r>
      <w:r>
        <w:noBreakHyphen/>
        <w:t>in cupboard, bench, passageway, thoroughfare, bathroom, toilet or shower is not to be taken into account.</w:t>
      </w:r>
    </w:p>
    <w:p>
      <w:pPr>
        <w:pStyle w:val="Subsection"/>
      </w:pPr>
      <w:r>
        <w:tab/>
        <w:t>(3)</w:t>
      </w:r>
      <w:r>
        <w:tab/>
        <w:t xml:space="preserve">The CEO may waive or vary the outdoor space requirement under subregulation (1)(b) if — </w:t>
      </w:r>
    </w:p>
    <w:p>
      <w:pPr>
        <w:pStyle w:val="Indenta"/>
      </w:pPr>
      <w:r>
        <w:tab/>
        <w:t>(a)</w:t>
      </w:r>
      <w:r>
        <w:tab/>
        <w:t>there is an equivalent area of playing space within walking distance for the enrolled children; or</w:t>
      </w:r>
    </w:p>
    <w:p>
      <w:pPr>
        <w:pStyle w:val="Indenta"/>
      </w:pPr>
      <w:r>
        <w:tab/>
        <w:t>(b)</w:t>
      </w:r>
      <w:r>
        <w:tab/>
        <w:t>the outdoor space available is augmented by a larger indoor space suitable for children’s play.</w:t>
      </w:r>
    </w:p>
    <w:p>
      <w:pPr>
        <w:pStyle w:val="Subsection"/>
      </w:pPr>
      <w:r>
        <w:tab/>
        <w:t>(4)</w:t>
      </w:r>
      <w:r>
        <w:tab/>
        <w:t>A licensee must ensure that indoor and outdoor play areas are clearly defined and identifiable.</w:t>
      </w:r>
    </w:p>
    <w:p>
      <w:pPr>
        <w:pStyle w:val="Subsection"/>
      </w:pPr>
      <w:r>
        <w:tab/>
        <w:t>(5)</w:t>
      </w:r>
      <w:r>
        <w:tab/>
        <w:t>A licensee must ensure that indoor play areas include a separate and clearly defined space suitable for relaxation or quieter activities such as reading and homework.</w:t>
      </w:r>
    </w:p>
    <w:p>
      <w:pPr>
        <w:pStyle w:val="Penstart"/>
      </w:pPr>
      <w:r>
        <w:tab/>
        <w:t>Penalty: a fine of $3 000.</w:t>
      </w:r>
    </w:p>
    <w:p>
      <w:pPr>
        <w:pStyle w:val="Heading5"/>
      </w:pPr>
      <w:bookmarkStart w:id="499" w:name="_Toc378075861"/>
      <w:bookmarkStart w:id="500" w:name="_Toc425777633"/>
      <w:bookmarkStart w:id="501" w:name="_Toc313528165"/>
      <w:r>
        <w:rPr>
          <w:rStyle w:val="CharSectno"/>
        </w:rPr>
        <w:t>30</w:t>
      </w:r>
      <w:r>
        <w:t>.</w:t>
      </w:r>
      <w:r>
        <w:tab/>
        <w:t>Display of licence</w:t>
      </w:r>
      <w:bookmarkEnd w:id="499"/>
      <w:bookmarkEnd w:id="500"/>
      <w:bookmarkEnd w:id="501"/>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502" w:name="_Toc378075862"/>
      <w:bookmarkStart w:id="503" w:name="_Toc425777634"/>
      <w:bookmarkStart w:id="504" w:name="_Toc313528166"/>
      <w:r>
        <w:rPr>
          <w:rStyle w:val="CharSectno"/>
        </w:rPr>
        <w:t>31</w:t>
      </w:r>
      <w:r>
        <w:t>.</w:t>
      </w:r>
      <w:r>
        <w:tab/>
        <w:t>Telephone</w:t>
      </w:r>
      <w:bookmarkEnd w:id="502"/>
      <w:bookmarkEnd w:id="503"/>
      <w:bookmarkEnd w:id="504"/>
    </w:p>
    <w:p>
      <w:pPr>
        <w:pStyle w:val="Subsection"/>
      </w:pPr>
      <w:r>
        <w:tab/>
      </w:r>
      <w:r>
        <w:tab/>
        <w:t>A licensee must ensure that a telephone service is connected to the place.</w:t>
      </w:r>
    </w:p>
    <w:p>
      <w:pPr>
        <w:pStyle w:val="Penstart"/>
      </w:pPr>
      <w:r>
        <w:tab/>
        <w:t>Penalty: a fine of $2 000.</w:t>
      </w:r>
    </w:p>
    <w:p>
      <w:pPr>
        <w:pStyle w:val="Heading5"/>
      </w:pPr>
      <w:bookmarkStart w:id="505" w:name="_Toc378075863"/>
      <w:bookmarkStart w:id="506" w:name="_Toc425777635"/>
      <w:bookmarkStart w:id="507" w:name="_Toc313528167"/>
      <w:r>
        <w:rPr>
          <w:rStyle w:val="CharSectno"/>
        </w:rPr>
        <w:t>32</w:t>
      </w:r>
      <w:r>
        <w:t>.</w:t>
      </w:r>
      <w:r>
        <w:tab/>
        <w:t>Boundaries to place and play areas</w:t>
      </w:r>
      <w:bookmarkEnd w:id="505"/>
      <w:bookmarkEnd w:id="506"/>
      <w:bookmarkEnd w:id="507"/>
    </w:p>
    <w:p>
      <w:pPr>
        <w:pStyle w:val="Subsection"/>
      </w:pPr>
      <w:r>
        <w:tab/>
      </w:r>
      <w:r>
        <w:tab/>
        <w:t>A licensee must display a diagram at the place showing clearly the boundaries of the place and the areas available for children’s play.</w:t>
      </w:r>
    </w:p>
    <w:p>
      <w:pPr>
        <w:pStyle w:val="Penstart"/>
      </w:pPr>
      <w:r>
        <w:tab/>
        <w:t>Penalty: a fine of $2 000.</w:t>
      </w:r>
    </w:p>
    <w:p>
      <w:pPr>
        <w:pStyle w:val="Heading5"/>
      </w:pPr>
      <w:bookmarkStart w:id="508" w:name="_Toc378075864"/>
      <w:bookmarkStart w:id="509" w:name="_Toc425777636"/>
      <w:bookmarkStart w:id="510" w:name="_Toc313528168"/>
      <w:r>
        <w:rPr>
          <w:rStyle w:val="CharSectno"/>
        </w:rPr>
        <w:t>33</w:t>
      </w:r>
      <w:r>
        <w:t>.</w:t>
      </w:r>
      <w:r>
        <w:tab/>
        <w:t>Play equipment and materials</w:t>
      </w:r>
      <w:bookmarkEnd w:id="508"/>
      <w:bookmarkEnd w:id="509"/>
      <w:bookmarkEnd w:id="510"/>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pPr>
      <w:r>
        <w:tab/>
        <w:t>(b)</w:t>
      </w:r>
      <w:r>
        <w:tab/>
        <w:t>there is enough storage space at the place for the equipment and materials.</w:t>
      </w:r>
    </w:p>
    <w:p>
      <w:pPr>
        <w:pStyle w:val="Penstart"/>
      </w:pPr>
      <w:r>
        <w:tab/>
        <w:t>Penalty: a fine of $2 000.</w:t>
      </w:r>
    </w:p>
    <w:p>
      <w:pPr>
        <w:pStyle w:val="Heading5"/>
      </w:pPr>
      <w:bookmarkStart w:id="511" w:name="_Toc378075865"/>
      <w:bookmarkStart w:id="512" w:name="_Toc425777637"/>
      <w:bookmarkStart w:id="513" w:name="_Toc313528169"/>
      <w:r>
        <w:rPr>
          <w:rStyle w:val="CharSectno"/>
        </w:rPr>
        <w:t>34</w:t>
      </w:r>
      <w:r>
        <w:t>.</w:t>
      </w:r>
      <w:r>
        <w:tab/>
        <w:t>First aid kit</w:t>
      </w:r>
      <w:bookmarkEnd w:id="511"/>
      <w:bookmarkEnd w:id="512"/>
      <w:bookmarkEnd w:id="513"/>
    </w:p>
    <w:p>
      <w:pPr>
        <w:pStyle w:val="Subsection"/>
      </w:pPr>
      <w:r>
        <w:tab/>
        <w:t>(1)</w:t>
      </w:r>
      <w:r>
        <w:tab/>
        <w:t>A licensee must ensure that a fully equipped and properly maintained first aid kit is kept at the place at all times, except in the circumstances permitted by regulation 68(2).</w:t>
      </w:r>
    </w:p>
    <w:p>
      <w:pPr>
        <w:pStyle w:val="Subsection"/>
        <w:keepNext/>
        <w:keepLines/>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514" w:name="_Toc378075866"/>
      <w:bookmarkStart w:id="515" w:name="_Toc425777638"/>
      <w:bookmarkStart w:id="516" w:name="_Toc313528170"/>
      <w:r>
        <w:rPr>
          <w:rStyle w:val="CharSectno"/>
        </w:rPr>
        <w:t>35</w:t>
      </w:r>
      <w:r>
        <w:t>.</w:t>
      </w:r>
      <w:r>
        <w:tab/>
        <w:t>Cleanliness, maintenance and repair of place</w:t>
      </w:r>
      <w:bookmarkEnd w:id="514"/>
      <w:bookmarkEnd w:id="515"/>
      <w:bookmarkEnd w:id="516"/>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517" w:name="_Toc378075867"/>
      <w:bookmarkStart w:id="518" w:name="_Toc425777639"/>
      <w:bookmarkStart w:id="519" w:name="_Toc313528171"/>
      <w:r>
        <w:rPr>
          <w:rStyle w:val="CharSectno"/>
        </w:rPr>
        <w:t>36</w:t>
      </w:r>
      <w:r>
        <w:t>.</w:t>
      </w:r>
      <w:r>
        <w:tab/>
        <w:t>Smoke or fire detectors</w:t>
      </w:r>
      <w:bookmarkEnd w:id="517"/>
      <w:bookmarkEnd w:id="518"/>
      <w:bookmarkEnd w:id="519"/>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520" w:name="_Toc378075868"/>
      <w:bookmarkStart w:id="521" w:name="_Toc425777640"/>
      <w:bookmarkStart w:id="522" w:name="_Toc313528172"/>
      <w:r>
        <w:rPr>
          <w:rStyle w:val="CharSectno"/>
        </w:rPr>
        <w:t>37</w:t>
      </w:r>
      <w:r>
        <w:t>.</w:t>
      </w:r>
      <w:r>
        <w:tab/>
        <w:t>Animals on place</w:t>
      </w:r>
      <w:bookmarkEnd w:id="520"/>
      <w:bookmarkEnd w:id="521"/>
      <w:bookmarkEnd w:id="522"/>
    </w:p>
    <w:p>
      <w:pPr>
        <w:pStyle w:val="Subsection"/>
      </w:pPr>
      <w:r>
        <w:tab/>
        <w:t>(1)</w:t>
      </w:r>
      <w:r>
        <w:tab/>
        <w:t>A licensee must ensure that any animal or bird kept at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pPr>
      <w:r>
        <w:tab/>
        <w:t>(3)</w:t>
      </w:r>
      <w:r>
        <w:tab/>
        <w:t>If an animal or bird is kept at the place, a licensee must ensure that a child is not allowed access to the animal or bird except under the direct supervision of a person of not less than 18 years of age.</w:t>
      </w:r>
    </w:p>
    <w:p>
      <w:pPr>
        <w:pStyle w:val="Subsection"/>
      </w:pPr>
      <w:r>
        <w:tab/>
        <w:t>(4)</w:t>
      </w:r>
      <w:r>
        <w:tab/>
        <w:t>If an animal or bird is kept at the place, the CEO may direct the licensee to keep it in the separate area referred to in subregulation (2).</w:t>
      </w:r>
    </w:p>
    <w:p>
      <w:pPr>
        <w:pStyle w:val="Subsection"/>
      </w:pPr>
      <w:r>
        <w:tab/>
        <w:t>(5)</w:t>
      </w:r>
      <w:r>
        <w:tab/>
        <w:t>A licensee must comply with a direction under subregulation (4).</w:t>
      </w:r>
    </w:p>
    <w:p>
      <w:pPr>
        <w:pStyle w:val="Penstart"/>
      </w:pPr>
      <w:r>
        <w:tab/>
        <w:t>Penalty: a fine of $2 000.</w:t>
      </w:r>
    </w:p>
    <w:p>
      <w:pPr>
        <w:pStyle w:val="Heading5"/>
      </w:pPr>
      <w:bookmarkStart w:id="523" w:name="_Toc378075869"/>
      <w:bookmarkStart w:id="524" w:name="_Toc425777641"/>
      <w:bookmarkStart w:id="525" w:name="_Toc313528173"/>
      <w:r>
        <w:rPr>
          <w:rStyle w:val="CharSectno"/>
        </w:rPr>
        <w:t>38</w:t>
      </w:r>
      <w:r>
        <w:t>.</w:t>
      </w:r>
      <w:r>
        <w:tab/>
        <w:t>Place not to be used as a residence</w:t>
      </w:r>
      <w:bookmarkEnd w:id="523"/>
      <w:bookmarkEnd w:id="524"/>
      <w:bookmarkEnd w:id="525"/>
    </w:p>
    <w:p>
      <w:pPr>
        <w:pStyle w:val="Subsection"/>
      </w:pPr>
      <w:r>
        <w:tab/>
      </w:r>
      <w:r>
        <w:tab/>
        <w:t>A licensee must ensure that no part of the place is used as a residence.</w:t>
      </w:r>
    </w:p>
    <w:p>
      <w:pPr>
        <w:pStyle w:val="Penstart"/>
      </w:pPr>
      <w:r>
        <w:tab/>
        <w:t>Penalty: a fine of $3 000.</w:t>
      </w:r>
    </w:p>
    <w:p>
      <w:pPr>
        <w:pStyle w:val="Heading5"/>
      </w:pPr>
      <w:bookmarkStart w:id="526" w:name="_Toc378075870"/>
      <w:bookmarkStart w:id="527" w:name="_Toc425777642"/>
      <w:bookmarkStart w:id="528" w:name="_Toc313528174"/>
      <w:r>
        <w:rPr>
          <w:rStyle w:val="CharSectno"/>
        </w:rPr>
        <w:t>39</w:t>
      </w:r>
      <w:r>
        <w:t>.</w:t>
      </w:r>
      <w:r>
        <w:tab/>
        <w:t>People convicted of a prescribed offence banned from place</w:t>
      </w:r>
      <w:bookmarkEnd w:id="526"/>
      <w:bookmarkEnd w:id="527"/>
      <w:bookmarkEnd w:id="528"/>
    </w:p>
    <w:p>
      <w:pPr>
        <w:pStyle w:val="Subsection"/>
      </w:pPr>
      <w:r>
        <w:tab/>
        <w:t>(1A)</w:t>
      </w:r>
      <w:r>
        <w:tab/>
        <w:t xml:space="preserve">In this regulation — </w:t>
      </w:r>
    </w:p>
    <w:p>
      <w:pPr>
        <w:pStyle w:val="Defstart"/>
      </w:pPr>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r>
        <w:tab/>
        <w:t>[Regulation 39 amended in Gazette 6 Jan 2012 p. 33.]</w:t>
      </w:r>
    </w:p>
    <w:p>
      <w:pPr>
        <w:pStyle w:val="Heading5"/>
      </w:pPr>
      <w:bookmarkStart w:id="529" w:name="_Toc378075871"/>
      <w:bookmarkStart w:id="530" w:name="_Toc425777643"/>
      <w:bookmarkStart w:id="531" w:name="_Toc313528175"/>
      <w:r>
        <w:rPr>
          <w:rStyle w:val="CharSectno"/>
        </w:rPr>
        <w:t>40</w:t>
      </w:r>
      <w:r>
        <w:t>.</w:t>
      </w:r>
      <w:r>
        <w:tab/>
        <w:t>Application to modify the place</w:t>
      </w:r>
      <w:bookmarkEnd w:id="529"/>
      <w:bookmarkEnd w:id="530"/>
      <w:bookmarkEnd w:id="531"/>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Penstart"/>
      </w:pPr>
      <w:r>
        <w:tab/>
        <w:t>Penalty: a fine of $2 000.</w:t>
      </w:r>
    </w:p>
    <w:p>
      <w:pPr>
        <w:pStyle w:val="Heading3"/>
      </w:pPr>
      <w:bookmarkStart w:id="532" w:name="_Toc378075872"/>
      <w:bookmarkStart w:id="533" w:name="_Toc425777536"/>
      <w:bookmarkStart w:id="534" w:name="_Toc425777644"/>
      <w:bookmarkStart w:id="535" w:name="_Toc128287467"/>
      <w:bookmarkStart w:id="536" w:name="_Toc128361419"/>
      <w:bookmarkStart w:id="537" w:name="_Toc129055579"/>
      <w:bookmarkStart w:id="538" w:name="_Toc129062635"/>
      <w:bookmarkStart w:id="539" w:name="_Toc153260823"/>
      <w:bookmarkStart w:id="540" w:name="_Toc153264638"/>
      <w:bookmarkStart w:id="541" w:name="_Toc155681739"/>
      <w:bookmarkStart w:id="542" w:name="_Toc155684214"/>
      <w:bookmarkStart w:id="543" w:name="_Toc156613356"/>
      <w:bookmarkStart w:id="544" w:name="_Toc156797592"/>
      <w:bookmarkStart w:id="545" w:name="_Toc158026391"/>
      <w:bookmarkStart w:id="546" w:name="_Toc174345225"/>
      <w:bookmarkStart w:id="547" w:name="_Toc174423671"/>
      <w:bookmarkStart w:id="548" w:name="_Toc177373523"/>
      <w:bookmarkStart w:id="549" w:name="_Toc177437201"/>
      <w:bookmarkStart w:id="550" w:name="_Toc177886312"/>
      <w:bookmarkStart w:id="551" w:name="_Toc179695287"/>
      <w:bookmarkStart w:id="552" w:name="_Toc180393876"/>
      <w:bookmarkStart w:id="553" w:name="_Toc180398163"/>
      <w:bookmarkStart w:id="554" w:name="_Toc313528067"/>
      <w:bookmarkStart w:id="555" w:name="_Toc313528176"/>
      <w:r>
        <w:rPr>
          <w:rStyle w:val="CharDivNo"/>
        </w:rPr>
        <w:t>Division 4</w:t>
      </w:r>
      <w:r>
        <w:t> — </w:t>
      </w:r>
      <w:r>
        <w:rPr>
          <w:rStyle w:val="CharDivText"/>
        </w:rPr>
        <w:t>Operating procedures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pPr>
      <w:bookmarkStart w:id="556" w:name="_Toc378075873"/>
      <w:bookmarkStart w:id="557" w:name="_Toc425777645"/>
      <w:bookmarkStart w:id="558" w:name="_Toc313528177"/>
      <w:r>
        <w:rPr>
          <w:rStyle w:val="CharSectno"/>
        </w:rPr>
        <w:t>41</w:t>
      </w:r>
      <w:r>
        <w:t>.</w:t>
      </w:r>
      <w:r>
        <w:tab/>
        <w:t>Compliance with procedures</w:t>
      </w:r>
      <w:bookmarkEnd w:id="556"/>
      <w:bookmarkEnd w:id="557"/>
      <w:bookmarkEnd w:id="558"/>
    </w:p>
    <w:p>
      <w:pPr>
        <w:pStyle w:val="Subsection"/>
      </w:pPr>
      <w:r>
        <w:tab/>
      </w:r>
      <w:r>
        <w:tab/>
        <w:t xml:space="preserve">A licensee must ensure that — </w:t>
      </w:r>
    </w:p>
    <w:p>
      <w:pPr>
        <w:pStyle w:val="Indenta"/>
      </w:pPr>
      <w:r>
        <w:tab/>
        <w:t>(a)</w:t>
      </w:r>
      <w:r>
        <w:tab/>
        <w:t>copies of the procedures developed under this Division are made available to contact staff members and parents of enrolled children; and</w:t>
      </w:r>
    </w:p>
    <w:p>
      <w:pPr>
        <w:pStyle w:val="Indenta"/>
      </w:pPr>
      <w:r>
        <w:tab/>
        <w:t>(b)</w:t>
      </w:r>
      <w:r>
        <w:tab/>
        <w:t>contact staff members are aware of the procedures and follow them as far as practicable.</w:t>
      </w:r>
    </w:p>
    <w:p>
      <w:pPr>
        <w:pStyle w:val="Penstart"/>
      </w:pPr>
      <w:r>
        <w:tab/>
        <w:t>Penalty: a fine of $3 000.</w:t>
      </w:r>
    </w:p>
    <w:p>
      <w:pPr>
        <w:pStyle w:val="Heading5"/>
      </w:pPr>
      <w:bookmarkStart w:id="559" w:name="_Toc378075874"/>
      <w:bookmarkStart w:id="560" w:name="_Toc425777646"/>
      <w:bookmarkStart w:id="561" w:name="_Toc313528178"/>
      <w:r>
        <w:rPr>
          <w:rStyle w:val="CharSectno"/>
        </w:rPr>
        <w:t>42</w:t>
      </w:r>
      <w:r>
        <w:t>.</w:t>
      </w:r>
      <w:r>
        <w:tab/>
        <w:t>Emergency procedures and rehearsals</w:t>
      </w:r>
      <w:bookmarkEnd w:id="559"/>
      <w:bookmarkEnd w:id="560"/>
      <w:bookmarkEnd w:id="561"/>
    </w:p>
    <w:p>
      <w:pPr>
        <w:pStyle w:val="Subsection"/>
        <w:keepNext/>
        <w:keepLines/>
      </w:pPr>
      <w:r>
        <w:tab/>
        <w:t>(1)</w:t>
      </w:r>
      <w:r>
        <w:tab/>
        <w:t xml:space="preserve">A licensee must develop and set down in writing — </w:t>
      </w:r>
    </w:p>
    <w:p>
      <w:pPr>
        <w:pStyle w:val="Indenta"/>
      </w:pPr>
      <w:r>
        <w:tab/>
        <w:t>(a)</w:t>
      </w:r>
      <w:r>
        <w:tab/>
        <w:t>evacuation and emergency procedures to be followed by contact staff members in case of fire, natural disaster or other emergencies; and</w:t>
      </w:r>
    </w:p>
    <w:p>
      <w:pPr>
        <w:pStyle w:val="Indenta"/>
      </w:pPr>
      <w:r>
        <w:tab/>
        <w:t>(b)</w:t>
      </w:r>
      <w:r>
        <w:tab/>
        <w:t>appropriate procedures to be followed by contact staff members for the care of ill or injured children.</w:t>
      </w:r>
    </w:p>
    <w:p>
      <w:pPr>
        <w:pStyle w:val="Subsection"/>
      </w:pPr>
      <w:r>
        <w:tab/>
        <w:t>(2)</w:t>
      </w:r>
      <w:r>
        <w:tab/>
        <w:t>A licensee must ensure that a rehearsal of the evacuation and emergency procedures set down under subregulation (1) is conducted at least once in every school term and school holiday.</w:t>
      </w:r>
    </w:p>
    <w:p>
      <w:pPr>
        <w:pStyle w:val="Penstart"/>
      </w:pPr>
      <w:r>
        <w:tab/>
        <w:t>Penalty: a fine of $3 000.</w:t>
      </w:r>
    </w:p>
    <w:p>
      <w:pPr>
        <w:pStyle w:val="Heading5"/>
      </w:pPr>
      <w:bookmarkStart w:id="562" w:name="_Toc378075875"/>
      <w:bookmarkStart w:id="563" w:name="_Toc425777647"/>
      <w:bookmarkStart w:id="564" w:name="_Toc313528179"/>
      <w:r>
        <w:rPr>
          <w:rStyle w:val="CharSectno"/>
        </w:rPr>
        <w:t>43</w:t>
      </w:r>
      <w:r>
        <w:t>.</w:t>
      </w:r>
      <w:r>
        <w:tab/>
        <w:t>Behaviour management procedures</w:t>
      </w:r>
      <w:bookmarkEnd w:id="562"/>
      <w:bookmarkEnd w:id="563"/>
      <w:bookmarkEnd w:id="564"/>
    </w:p>
    <w:p>
      <w:pPr>
        <w:pStyle w:val="Subsection"/>
      </w:pPr>
      <w:r>
        <w:tab/>
        <w:t>(1)</w:t>
      </w:r>
      <w:r>
        <w:tab/>
        <w:t>A licensee must develop and set down in writing appropriate procedures to be followed by contact staff members in managing the behaviour of enrolled children.</w:t>
      </w:r>
    </w:p>
    <w:p>
      <w:pPr>
        <w:pStyle w:val="Subsection"/>
      </w:pPr>
      <w:r>
        <w:tab/>
        <w:t>(2)</w:t>
      </w:r>
      <w:r>
        <w:tab/>
        <w:t>A licensee must develop and set down in writing appropriate procedures to be followed by contact staff members in managing the behaviour of individuals, other than enrolled children, who are violent or abusive towards contact staff members or enrolled children.</w:t>
      </w:r>
    </w:p>
    <w:p>
      <w:pPr>
        <w:pStyle w:val="Penstart"/>
      </w:pPr>
      <w:r>
        <w:tab/>
        <w:t>Penalty: a fine of $2 000.</w:t>
      </w:r>
    </w:p>
    <w:p>
      <w:pPr>
        <w:pStyle w:val="Heading5"/>
      </w:pPr>
      <w:bookmarkStart w:id="565" w:name="_Toc378075876"/>
      <w:bookmarkStart w:id="566" w:name="_Toc425777648"/>
      <w:bookmarkStart w:id="567" w:name="_Toc313528180"/>
      <w:r>
        <w:rPr>
          <w:rStyle w:val="CharSectno"/>
        </w:rPr>
        <w:t>44</w:t>
      </w:r>
      <w:r>
        <w:t>.</w:t>
      </w:r>
      <w:r>
        <w:tab/>
        <w:t>Procedure for dealing with parent’s concerns</w:t>
      </w:r>
      <w:bookmarkEnd w:id="565"/>
      <w:bookmarkEnd w:id="566"/>
      <w:bookmarkEnd w:id="567"/>
    </w:p>
    <w:p>
      <w:pPr>
        <w:pStyle w:val="Subsection"/>
      </w:pPr>
      <w:r>
        <w:tab/>
      </w:r>
      <w:r>
        <w:tab/>
        <w:t>A licensee must develop and set down in writing appropriate procedures to be followed by contact staff members in dealing with concerns of parents.</w:t>
      </w:r>
    </w:p>
    <w:p>
      <w:pPr>
        <w:pStyle w:val="Penstart"/>
      </w:pPr>
      <w:r>
        <w:tab/>
        <w:t>Penalty: a fine of $2 000.</w:t>
      </w:r>
    </w:p>
    <w:p>
      <w:pPr>
        <w:pStyle w:val="Heading5"/>
      </w:pPr>
      <w:bookmarkStart w:id="568" w:name="_Toc378075877"/>
      <w:bookmarkStart w:id="569" w:name="_Toc425777649"/>
      <w:bookmarkStart w:id="570" w:name="_Toc313528181"/>
      <w:r>
        <w:rPr>
          <w:rStyle w:val="CharSectno"/>
        </w:rPr>
        <w:t>45</w:t>
      </w:r>
      <w:r>
        <w:t>.</w:t>
      </w:r>
      <w:r>
        <w:tab/>
        <w:t>Bathroom procedures</w:t>
      </w:r>
      <w:bookmarkEnd w:id="568"/>
      <w:bookmarkEnd w:id="569"/>
      <w:bookmarkEnd w:id="570"/>
    </w:p>
    <w:p>
      <w:pPr>
        <w:pStyle w:val="Subsection"/>
        <w:keepNext/>
        <w:keepLines/>
      </w:pPr>
      <w:r>
        <w:tab/>
      </w:r>
      <w:r>
        <w:tab/>
        <w:t xml:space="preserve">A licensee must develop and set down in writing — </w:t>
      </w:r>
    </w:p>
    <w:p>
      <w:pPr>
        <w:pStyle w:val="Indenta"/>
      </w:pPr>
      <w:r>
        <w:tab/>
        <w:t>(a)</w:t>
      </w:r>
      <w:r>
        <w:tab/>
        <w:t>appropriate procedures to be followed by contact staff members to ensure the health and safety of enrolled children when they use bathroom facilities; and</w:t>
      </w:r>
    </w:p>
    <w:p>
      <w:pPr>
        <w:pStyle w:val="Indenta"/>
      </w:pPr>
      <w:r>
        <w:tab/>
        <w:t>(b)</w:t>
      </w:r>
      <w:r>
        <w:tab/>
        <w:t>appropriate procedures to ensure the privacy of enrolled children when they use bathroom facilities that are designed for children not yet of school age.</w:t>
      </w:r>
    </w:p>
    <w:p>
      <w:pPr>
        <w:pStyle w:val="Penstart"/>
      </w:pPr>
      <w:r>
        <w:tab/>
        <w:t>Penalty: a fine of $3 000.</w:t>
      </w:r>
    </w:p>
    <w:p>
      <w:pPr>
        <w:pStyle w:val="Heading5"/>
      </w:pPr>
      <w:bookmarkStart w:id="571" w:name="_Toc378075878"/>
      <w:bookmarkStart w:id="572" w:name="_Toc425777650"/>
      <w:bookmarkStart w:id="573" w:name="_Toc313528182"/>
      <w:r>
        <w:rPr>
          <w:rStyle w:val="CharSectno"/>
        </w:rPr>
        <w:t>46</w:t>
      </w:r>
      <w:r>
        <w:t>.</w:t>
      </w:r>
      <w:r>
        <w:tab/>
        <w:t>Transport procedures</w:t>
      </w:r>
      <w:bookmarkEnd w:id="571"/>
      <w:bookmarkEnd w:id="572"/>
      <w:bookmarkEnd w:id="573"/>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574" w:name="_Toc378075879"/>
      <w:bookmarkStart w:id="575" w:name="_Toc425777543"/>
      <w:bookmarkStart w:id="576" w:name="_Toc425777651"/>
      <w:bookmarkStart w:id="577" w:name="_Toc128287474"/>
      <w:bookmarkStart w:id="578" w:name="_Toc128361426"/>
      <w:bookmarkStart w:id="579" w:name="_Toc129055586"/>
      <w:bookmarkStart w:id="580" w:name="_Toc129062642"/>
      <w:bookmarkStart w:id="581" w:name="_Toc153260830"/>
      <w:bookmarkStart w:id="582" w:name="_Toc153264645"/>
      <w:bookmarkStart w:id="583" w:name="_Toc155681746"/>
      <w:bookmarkStart w:id="584" w:name="_Toc155684221"/>
      <w:bookmarkStart w:id="585" w:name="_Toc156613363"/>
      <w:bookmarkStart w:id="586" w:name="_Toc156797599"/>
      <w:bookmarkStart w:id="587" w:name="_Toc158026398"/>
      <w:bookmarkStart w:id="588" w:name="_Toc174345232"/>
      <w:bookmarkStart w:id="589" w:name="_Toc174423678"/>
      <w:bookmarkStart w:id="590" w:name="_Toc177373530"/>
      <w:bookmarkStart w:id="591" w:name="_Toc177437208"/>
      <w:bookmarkStart w:id="592" w:name="_Toc177886319"/>
      <w:bookmarkStart w:id="593" w:name="_Toc179695294"/>
      <w:bookmarkStart w:id="594" w:name="_Toc180393883"/>
      <w:bookmarkStart w:id="595" w:name="_Toc180398170"/>
      <w:bookmarkStart w:id="596" w:name="_Toc313528074"/>
      <w:bookmarkStart w:id="597" w:name="_Toc313528183"/>
      <w:r>
        <w:rPr>
          <w:rStyle w:val="CharDivNo"/>
        </w:rPr>
        <w:t>Division 5</w:t>
      </w:r>
      <w:r>
        <w:t> — </w:t>
      </w:r>
      <w:r>
        <w:rPr>
          <w:rStyle w:val="CharDivText"/>
        </w:rPr>
        <w:t>Administration of care service</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5"/>
      </w:pPr>
      <w:bookmarkStart w:id="598" w:name="_Toc378075880"/>
      <w:bookmarkStart w:id="599" w:name="_Toc425777652"/>
      <w:bookmarkStart w:id="600" w:name="_Toc313528184"/>
      <w:r>
        <w:rPr>
          <w:rStyle w:val="CharSectno"/>
        </w:rPr>
        <w:t>47</w:t>
      </w:r>
      <w:r>
        <w:t>.</w:t>
      </w:r>
      <w:r>
        <w:tab/>
        <w:t>Enrolment form</w:t>
      </w:r>
      <w:bookmarkEnd w:id="598"/>
      <w:bookmarkEnd w:id="599"/>
      <w:bookmarkEnd w:id="600"/>
    </w:p>
    <w:p>
      <w:pPr>
        <w:pStyle w:val="Subsection"/>
      </w:pPr>
      <w:r>
        <w:tab/>
        <w:t>(1)</w:t>
      </w:r>
      <w:r>
        <w:tab/>
        <w:t>A licensee must ensure that an enrolment form is kept for each child who attends the outside school hours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75 or 81;</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(k)</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(l)</w:t>
      </w:r>
      <w:r>
        <w:tab/>
        <w:t>details of any plan to be followed with respect to a specific healthcare need, medical condition or allergy referred to in paragraph (k);</w:t>
      </w:r>
    </w:p>
    <w:p>
      <w:pPr>
        <w:pStyle w:val="Indenta"/>
      </w:pPr>
      <w:r>
        <w:tab/>
        <w:t>(m)</w:t>
      </w:r>
      <w:r>
        <w:tab/>
        <w:t>details of any medication necessary for the management or treatment of a specific healthcare need, medical condition or allergy referred to in paragraph (k);</w:t>
      </w:r>
    </w:p>
    <w:p>
      <w:pPr>
        <w:pStyle w:val="Indenta"/>
      </w:pPr>
      <w:r>
        <w:tab/>
        <w:t>(n)</w:t>
      </w:r>
      <w:r>
        <w:tab/>
        <w:t>the immunisation status of the child;</w:t>
      </w:r>
    </w:p>
    <w:p>
      <w:pPr>
        <w:pStyle w:val="Indenta"/>
      </w:pPr>
      <w:r>
        <w:tab/>
        <w:t>(o)</w:t>
      </w:r>
      <w:r>
        <w:tab/>
        <w:t>any other relevant information relating to the child.</w:t>
      </w:r>
    </w:p>
    <w:p>
      <w:pPr>
        <w:pStyle w:val="Penstart"/>
      </w:pPr>
      <w:r>
        <w:tab/>
        <w:t>Penalty: a fine of $3 000.</w:t>
      </w:r>
    </w:p>
    <w:p>
      <w:pPr>
        <w:pStyle w:val="Footnotesection"/>
      </w:pPr>
      <w:r>
        <w:tab/>
        <w:t>[Regulation 47 amended in Gazette 6 Jan 2012 p. 33-4.]</w:t>
      </w:r>
    </w:p>
    <w:p>
      <w:pPr>
        <w:pStyle w:val="Heading5"/>
      </w:pPr>
      <w:bookmarkStart w:id="601" w:name="_Toc378075881"/>
      <w:bookmarkStart w:id="602" w:name="_Toc425777653"/>
      <w:bookmarkStart w:id="603" w:name="_Toc313528185"/>
      <w:r>
        <w:rPr>
          <w:rStyle w:val="CharSectno"/>
        </w:rPr>
        <w:t>48</w:t>
      </w:r>
      <w:r>
        <w:t>.</w:t>
      </w:r>
      <w:r>
        <w:tab/>
        <w:t>Record of medication</w:t>
      </w:r>
      <w:bookmarkEnd w:id="601"/>
      <w:bookmarkEnd w:id="602"/>
      <w:bookmarkEnd w:id="603"/>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604" w:name="_Toc378075882"/>
      <w:bookmarkStart w:id="605" w:name="_Toc425777654"/>
      <w:bookmarkStart w:id="606" w:name="_Toc313528186"/>
      <w:r>
        <w:rPr>
          <w:rStyle w:val="CharSectno"/>
        </w:rPr>
        <w:t>49</w:t>
      </w:r>
      <w:r>
        <w:t>.</w:t>
      </w:r>
      <w:r>
        <w:tab/>
        <w:t>Record of injury or accident</w:t>
      </w:r>
      <w:bookmarkEnd w:id="604"/>
      <w:bookmarkEnd w:id="605"/>
      <w:bookmarkEnd w:id="606"/>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keepNext/>
        <w:keepLines/>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607" w:name="_Toc378075883"/>
      <w:bookmarkStart w:id="608" w:name="_Toc425777655"/>
      <w:bookmarkStart w:id="609" w:name="_Toc313528187"/>
      <w:r>
        <w:rPr>
          <w:rStyle w:val="CharSectno"/>
        </w:rPr>
        <w:t>50</w:t>
      </w:r>
      <w:r>
        <w:t>.</w:t>
      </w:r>
      <w:r>
        <w:tab/>
        <w:t>Record of attendance</w:t>
      </w:r>
      <w:bookmarkEnd w:id="607"/>
      <w:bookmarkEnd w:id="608"/>
      <w:bookmarkEnd w:id="609"/>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Footnotesection"/>
      </w:pPr>
      <w:r>
        <w:tab/>
        <w:t>[Regulation 50 inserted in Gazette 6 Jan 2012 p. 34.]</w:t>
      </w:r>
    </w:p>
    <w:p>
      <w:pPr>
        <w:pStyle w:val="Heading5"/>
      </w:pPr>
      <w:bookmarkStart w:id="610" w:name="_Toc378075884"/>
      <w:bookmarkStart w:id="611" w:name="_Toc425777656"/>
      <w:bookmarkStart w:id="612" w:name="_Toc313528188"/>
      <w:r>
        <w:rPr>
          <w:rStyle w:val="CharSectno"/>
        </w:rPr>
        <w:t>51</w:t>
      </w:r>
      <w:r>
        <w:t>.</w:t>
      </w:r>
      <w:r>
        <w:tab/>
        <w:t>Record of excursions</w:t>
      </w:r>
      <w:bookmarkEnd w:id="610"/>
      <w:bookmarkEnd w:id="611"/>
      <w:bookmarkEnd w:id="612"/>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67(1)(b)(i);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67(1)(a).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613" w:name="_Toc378075885"/>
      <w:bookmarkStart w:id="614" w:name="_Toc425777657"/>
      <w:bookmarkStart w:id="615" w:name="_Toc313528189"/>
      <w:r>
        <w:rPr>
          <w:rStyle w:val="CharSectno"/>
        </w:rPr>
        <w:t>52</w:t>
      </w:r>
      <w:r>
        <w:t>.</w:t>
      </w:r>
      <w:r>
        <w:tab/>
        <w:t>Other records</w:t>
      </w:r>
      <w:bookmarkEnd w:id="613"/>
      <w:bookmarkEnd w:id="614"/>
      <w:bookmarkEnd w:id="615"/>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42(2);</w:t>
      </w:r>
    </w:p>
    <w:p>
      <w:pPr>
        <w:pStyle w:val="Indenta"/>
      </w:pPr>
      <w:r>
        <w:tab/>
        <w:t>(b)</w:t>
      </w:r>
      <w:r>
        <w:tab/>
        <w:t>evidence of the qualifications of each contact staff member, including any qualifications in first aid, resuscitation, swimming or water rescue;</w:t>
      </w:r>
    </w:p>
    <w:p>
      <w:pPr>
        <w:pStyle w:val="Indenta"/>
      </w:pPr>
      <w:r>
        <w:tab/>
        <w:t>(c)</w:t>
      </w:r>
      <w:r>
        <w:tab/>
        <w:t>a record of the days and times a contact staff member is employed by the licensee;</w:t>
      </w:r>
    </w:p>
    <w:p>
      <w:pPr>
        <w:pStyle w:val="Indenta"/>
      </w:pPr>
      <w:r>
        <w:tab/>
        <w:t>(d)</w:t>
      </w:r>
      <w:r>
        <w:tab/>
        <w:t>written particulars of the programme of activities provided under regulation 65;</w:t>
      </w:r>
    </w:p>
    <w:p>
      <w:pPr>
        <w:pStyle w:val="Indenta"/>
      </w:pPr>
      <w:r>
        <w:tab/>
        <w:t>(e)</w:t>
      </w:r>
      <w:r>
        <w:tab/>
        <w:t>a Risk Assessment Form completed under regulation 79(1)(a).</w:t>
      </w:r>
    </w:p>
    <w:p>
      <w:pPr>
        <w:pStyle w:val="Subsection"/>
      </w:pPr>
      <w:r>
        <w:tab/>
        <w:t>(2)</w:t>
      </w:r>
      <w:r>
        <w:tab/>
        <w:t xml:space="preserve">A licensee must ensure that — </w:t>
      </w:r>
    </w:p>
    <w:p>
      <w:pPr>
        <w:pStyle w:val="Indenta"/>
      </w:pPr>
      <w:r>
        <w:tab/>
        <w:t>(a)</w:t>
      </w:r>
      <w:r>
        <w:tab/>
        <w:t>a record under subregulation (1)(a) or (c) is retained for a period of 3 years from the day on which the record was made;</w:t>
      </w:r>
    </w:p>
    <w:p>
      <w:pPr>
        <w:pStyle w:val="Indenta"/>
      </w:pPr>
      <w:r>
        <w:tab/>
        <w:t>(b)</w:t>
      </w:r>
      <w:r>
        <w:tab/>
        <w:t>evidence under subregulation (1)(b) is retained for a period of 3 years from the day on which it was given to the licensee; and</w:t>
      </w:r>
    </w:p>
    <w:p>
      <w:pPr>
        <w:pStyle w:val="Indenta"/>
      </w:pPr>
      <w:r>
        <w:tab/>
        <w:t>(c)</w:t>
      </w:r>
      <w:r>
        <w:tab/>
        <w:t>a record under subregulation (1)(d) or a Form under subregulation (1)(e) is retained for a period of 3 months.</w:t>
      </w:r>
    </w:p>
    <w:p>
      <w:pPr>
        <w:pStyle w:val="Penstart"/>
      </w:pPr>
      <w:r>
        <w:tab/>
        <w:t>Penalty: a fine of $2 000.</w:t>
      </w:r>
    </w:p>
    <w:p>
      <w:pPr>
        <w:pStyle w:val="Heading5"/>
      </w:pPr>
      <w:bookmarkStart w:id="616" w:name="_Toc378075886"/>
      <w:bookmarkStart w:id="617" w:name="_Toc425777658"/>
      <w:bookmarkStart w:id="618" w:name="_Toc313528190"/>
      <w:r>
        <w:rPr>
          <w:rStyle w:val="CharSectno"/>
        </w:rPr>
        <w:t>53</w:t>
      </w:r>
      <w:r>
        <w:t>.</w:t>
      </w:r>
      <w:r>
        <w:tab/>
        <w:t>Storing records</w:t>
      </w:r>
      <w:bookmarkEnd w:id="616"/>
      <w:bookmarkEnd w:id="617"/>
      <w:bookmarkEnd w:id="618"/>
    </w:p>
    <w:p>
      <w:pPr>
        <w:pStyle w:val="Subsection"/>
      </w:pPr>
      <w:r>
        <w:tab/>
        <w:t>(1)</w:t>
      </w:r>
      <w:r>
        <w:tab/>
        <w:t>A licensee must ensure that a record required to be kept under regulation 47, 48, 49, 50, 51 or 52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47, 48, 49, 50, 51 or 52 relating to a former enrolled child is kept in a safe and secure location.</w:t>
      </w:r>
    </w:p>
    <w:p>
      <w:pPr>
        <w:pStyle w:val="Penstart"/>
      </w:pPr>
      <w:r>
        <w:tab/>
        <w:t>Penalty: a fine of $2 000.</w:t>
      </w:r>
    </w:p>
    <w:p>
      <w:pPr>
        <w:pStyle w:val="Heading5"/>
      </w:pPr>
      <w:bookmarkStart w:id="619" w:name="_Toc378075887"/>
      <w:bookmarkStart w:id="620" w:name="_Toc425777659"/>
      <w:bookmarkStart w:id="621" w:name="_Toc313528191"/>
      <w:r>
        <w:rPr>
          <w:rStyle w:val="CharSectno"/>
        </w:rPr>
        <w:t>54</w:t>
      </w:r>
      <w:r>
        <w:t>.</w:t>
      </w:r>
      <w:r>
        <w:tab/>
        <w:t>Confidentiality of records</w:t>
      </w:r>
      <w:bookmarkEnd w:id="619"/>
      <w:bookmarkEnd w:id="620"/>
      <w:bookmarkEnd w:id="621"/>
    </w:p>
    <w:p>
      <w:pPr>
        <w:pStyle w:val="Subsection"/>
      </w:pPr>
      <w:r>
        <w:tab/>
      </w:r>
      <w:r>
        <w:tab/>
        <w:t xml:space="preserve">A licensee must ensure that information recorded under regulation 47, 48, 49, 50, 51 or 52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622" w:name="_Toc378075888"/>
      <w:bookmarkStart w:id="623" w:name="_Toc425777660"/>
      <w:bookmarkStart w:id="624" w:name="_Toc313528192"/>
      <w:r>
        <w:rPr>
          <w:rStyle w:val="CharSectno"/>
        </w:rPr>
        <w:t>55</w:t>
      </w:r>
      <w:r>
        <w:t>.</w:t>
      </w:r>
      <w:r>
        <w:tab/>
        <w:t>Falsification of records</w:t>
      </w:r>
      <w:bookmarkEnd w:id="622"/>
      <w:bookmarkEnd w:id="623"/>
      <w:bookmarkEnd w:id="624"/>
    </w:p>
    <w:p>
      <w:pPr>
        <w:pStyle w:val="Subsection"/>
      </w:pPr>
      <w:r>
        <w:tab/>
      </w:r>
      <w:r>
        <w:tab/>
        <w:t>A person must not falsify a record kept under regulation 47, 48, 49, 50, 51 or 52.</w:t>
      </w:r>
    </w:p>
    <w:p>
      <w:pPr>
        <w:pStyle w:val="Penstart"/>
      </w:pPr>
      <w:r>
        <w:tab/>
        <w:t>Penalty: a fine of $5 000.</w:t>
      </w:r>
    </w:p>
    <w:p>
      <w:pPr>
        <w:pStyle w:val="Heading5"/>
      </w:pPr>
      <w:bookmarkStart w:id="625" w:name="_Toc378075889"/>
      <w:bookmarkStart w:id="626" w:name="_Toc425777661"/>
      <w:bookmarkStart w:id="627" w:name="_Toc313528193"/>
      <w:r>
        <w:rPr>
          <w:rStyle w:val="CharSectno"/>
        </w:rPr>
        <w:t>56</w:t>
      </w:r>
      <w:r>
        <w:t>.</w:t>
      </w:r>
      <w:r>
        <w:tab/>
        <w:t>Parent visit</w:t>
      </w:r>
      <w:bookmarkEnd w:id="625"/>
      <w:bookmarkEnd w:id="626"/>
      <w:bookmarkEnd w:id="627"/>
    </w:p>
    <w:p>
      <w:pPr>
        <w:pStyle w:val="Subsection"/>
      </w:pPr>
      <w:r>
        <w:tab/>
      </w:r>
      <w:r>
        <w:tab/>
        <w:t>A licensee must permit a parent who is responsible at the time for the attendance of an enrolled child at the outside school hours care service to visit the child at the place at any reasonable time.</w:t>
      </w:r>
    </w:p>
    <w:p>
      <w:pPr>
        <w:pStyle w:val="Penstart"/>
      </w:pPr>
      <w:r>
        <w:tab/>
        <w:t>Penalty: a fine of $2 000.</w:t>
      </w:r>
    </w:p>
    <w:p>
      <w:pPr>
        <w:pStyle w:val="Heading5"/>
      </w:pPr>
      <w:bookmarkStart w:id="628" w:name="_Toc378075890"/>
      <w:bookmarkStart w:id="629" w:name="_Toc425777662"/>
      <w:bookmarkStart w:id="630" w:name="_Toc313528194"/>
      <w:r>
        <w:rPr>
          <w:rStyle w:val="CharSectno"/>
        </w:rPr>
        <w:t>57</w:t>
      </w:r>
      <w:r>
        <w:t>.</w:t>
      </w:r>
      <w:r>
        <w:tab/>
        <w:t>Insurance</w:t>
      </w:r>
      <w:bookmarkEnd w:id="628"/>
      <w:bookmarkEnd w:id="629"/>
      <w:bookmarkEnd w:id="630"/>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outside school hours care service.</w:t>
      </w:r>
    </w:p>
    <w:p>
      <w:pPr>
        <w:pStyle w:val="Subsection"/>
      </w:pPr>
      <w:r>
        <w:tab/>
        <w:t>(2)</w:t>
      </w:r>
      <w:r>
        <w:tab/>
        <w:t>The insured amount must be adequate, in the opinion of the CEO, to cover any potential liability of the licensee in relation to the operation of the outside school hours care service.</w:t>
      </w:r>
    </w:p>
    <w:p>
      <w:pPr>
        <w:pStyle w:val="Subsection"/>
      </w:pPr>
      <w:r>
        <w:tab/>
        <w:t>(3)</w:t>
      </w:r>
      <w:r>
        <w:tab/>
        <w:t>A licensee must keep at the place evidence that the policy is current.</w:t>
      </w:r>
    </w:p>
    <w:p>
      <w:pPr>
        <w:pStyle w:val="Penstart"/>
      </w:pPr>
      <w:r>
        <w:tab/>
        <w:t>Penalty: a fine of $3 000.</w:t>
      </w:r>
    </w:p>
    <w:p>
      <w:pPr>
        <w:pStyle w:val="Heading3"/>
      </w:pPr>
      <w:bookmarkStart w:id="631" w:name="_Toc378075891"/>
      <w:bookmarkStart w:id="632" w:name="_Toc425777555"/>
      <w:bookmarkStart w:id="633" w:name="_Toc425777663"/>
      <w:bookmarkStart w:id="634" w:name="_Toc128287486"/>
      <w:bookmarkStart w:id="635" w:name="_Toc128361438"/>
      <w:bookmarkStart w:id="636" w:name="_Toc129055598"/>
      <w:bookmarkStart w:id="637" w:name="_Toc129062654"/>
      <w:bookmarkStart w:id="638" w:name="_Toc153260842"/>
      <w:bookmarkStart w:id="639" w:name="_Toc153264657"/>
      <w:bookmarkStart w:id="640" w:name="_Toc155681758"/>
      <w:bookmarkStart w:id="641" w:name="_Toc155684233"/>
      <w:bookmarkStart w:id="642" w:name="_Toc156613375"/>
      <w:bookmarkStart w:id="643" w:name="_Toc156797611"/>
      <w:bookmarkStart w:id="644" w:name="_Toc158026410"/>
      <w:bookmarkStart w:id="645" w:name="_Toc174345244"/>
      <w:bookmarkStart w:id="646" w:name="_Toc174423690"/>
      <w:bookmarkStart w:id="647" w:name="_Toc177373542"/>
      <w:bookmarkStart w:id="648" w:name="_Toc177437220"/>
      <w:bookmarkStart w:id="649" w:name="_Toc177886331"/>
      <w:bookmarkStart w:id="650" w:name="_Toc179695306"/>
      <w:bookmarkStart w:id="651" w:name="_Toc180393895"/>
      <w:bookmarkStart w:id="652" w:name="_Toc180398182"/>
      <w:bookmarkStart w:id="653" w:name="_Toc313528086"/>
      <w:bookmarkStart w:id="654" w:name="_Toc313528195"/>
      <w:r>
        <w:rPr>
          <w:rStyle w:val="CharDivNo"/>
        </w:rPr>
        <w:t>Division 6</w:t>
      </w:r>
      <w:r>
        <w:t> — </w:t>
      </w:r>
      <w:smartTag w:uri="urn:schemas-microsoft-com:office:smarttags" w:element="place">
        <w:r>
          <w:rPr>
            <w:rStyle w:val="CharDivText"/>
          </w:rPr>
          <w:t>Mobile</w:t>
        </w:r>
      </w:smartTag>
      <w:r>
        <w:rPr>
          <w:rStyle w:val="CharDivText"/>
        </w:rPr>
        <w:t xml:space="preserve"> services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378075892"/>
      <w:bookmarkStart w:id="656" w:name="_Toc425777664"/>
      <w:bookmarkStart w:id="657" w:name="_Toc313528196"/>
      <w:r>
        <w:rPr>
          <w:rStyle w:val="CharSectno"/>
        </w:rPr>
        <w:t>58</w:t>
      </w:r>
      <w:r>
        <w:t>.</w:t>
      </w:r>
      <w:r>
        <w:tab/>
        <w:t>Application of regulations to mobile services</w:t>
      </w:r>
      <w:bookmarkEnd w:id="655"/>
      <w:bookmarkEnd w:id="656"/>
      <w:bookmarkEnd w:id="657"/>
    </w:p>
    <w:p>
      <w:pPr>
        <w:pStyle w:val="Subsection"/>
      </w:pPr>
      <w:r>
        <w:tab/>
      </w:r>
      <w:r>
        <w:tab/>
        <w:t xml:space="preserve">If an outside school hours care service is operated at a place that is not a fixed place — </w:t>
      </w:r>
    </w:p>
    <w:p>
      <w:pPr>
        <w:pStyle w:val="Indenta"/>
      </w:pPr>
      <w:r>
        <w:tab/>
        <w:t>(a)</w:t>
      </w:r>
      <w:r>
        <w:tab/>
        <w:t>regulations 29, 31, 32, 33(b), 35, 36, 37, 38 and 40 do not apply in relation to the operation of the service; and</w:t>
      </w:r>
    </w:p>
    <w:p>
      <w:pPr>
        <w:pStyle w:val="Indenta"/>
      </w:pPr>
      <w:r>
        <w:tab/>
        <w:t>(b)</w:t>
      </w:r>
      <w:r>
        <w:tab/>
        <w:t>for the purpose of calculating the number and qualifications of the contact staff members required to be on duty during a care session, Part 4 Division 4 (Excursions and sleepovers) applies instead of Part 4 Division 2.</w:t>
      </w:r>
    </w:p>
    <w:p>
      <w:pPr>
        <w:pStyle w:val="Heading5"/>
      </w:pPr>
      <w:bookmarkStart w:id="658" w:name="_Toc378075893"/>
      <w:bookmarkStart w:id="659" w:name="_Toc425777665"/>
      <w:bookmarkStart w:id="660" w:name="_Toc313528197"/>
      <w:r>
        <w:rPr>
          <w:rStyle w:val="CharSectno"/>
        </w:rPr>
        <w:t>59</w:t>
      </w:r>
      <w:r>
        <w:t>.</w:t>
      </w:r>
      <w:r>
        <w:tab/>
        <w:t>Mobile telephone</w:t>
      </w:r>
      <w:bookmarkEnd w:id="658"/>
      <w:bookmarkEnd w:id="659"/>
      <w:bookmarkEnd w:id="660"/>
    </w:p>
    <w:p>
      <w:pPr>
        <w:pStyle w:val="Subsection"/>
      </w:pPr>
      <w:r>
        <w:tab/>
      </w:r>
      <w:r>
        <w:tab/>
        <w:t>If an outside school hours care service is operated at a place that is not a fixed place, a licensee must ensure that the contact staff members caring for enrolled children at the place can be contacted during a care session by means of a mobile telephone.</w:t>
      </w:r>
    </w:p>
    <w:p>
      <w:pPr>
        <w:pStyle w:val="Penstart"/>
      </w:pPr>
      <w:r>
        <w:tab/>
        <w:t>Penalty: a fine of $2 000.</w:t>
      </w:r>
    </w:p>
    <w:p>
      <w:pPr>
        <w:pStyle w:val="Heading2"/>
      </w:pPr>
      <w:bookmarkStart w:id="661" w:name="_Toc378075894"/>
      <w:bookmarkStart w:id="662" w:name="_Toc425777558"/>
      <w:bookmarkStart w:id="663" w:name="_Toc425777666"/>
      <w:bookmarkStart w:id="664" w:name="_Toc128287489"/>
      <w:bookmarkStart w:id="665" w:name="_Toc128361441"/>
      <w:bookmarkStart w:id="666" w:name="_Toc129055601"/>
      <w:bookmarkStart w:id="667" w:name="_Toc129062657"/>
      <w:bookmarkStart w:id="668" w:name="_Toc153260845"/>
      <w:bookmarkStart w:id="669" w:name="_Toc153264660"/>
      <w:bookmarkStart w:id="670" w:name="_Toc155681761"/>
      <w:bookmarkStart w:id="671" w:name="_Toc155684236"/>
      <w:bookmarkStart w:id="672" w:name="_Toc156613378"/>
      <w:bookmarkStart w:id="673" w:name="_Toc156797614"/>
      <w:bookmarkStart w:id="674" w:name="_Toc158026413"/>
      <w:bookmarkStart w:id="675" w:name="_Toc174345247"/>
      <w:bookmarkStart w:id="676" w:name="_Toc174423693"/>
      <w:bookmarkStart w:id="677" w:name="_Toc177373545"/>
      <w:bookmarkStart w:id="678" w:name="_Toc177437223"/>
      <w:bookmarkStart w:id="679" w:name="_Toc177886334"/>
      <w:bookmarkStart w:id="680" w:name="_Toc179695309"/>
      <w:bookmarkStart w:id="681" w:name="_Toc180393898"/>
      <w:bookmarkStart w:id="682" w:name="_Toc180398185"/>
      <w:bookmarkStart w:id="683" w:name="_Toc313528089"/>
      <w:bookmarkStart w:id="684" w:name="_Toc313528198"/>
      <w:r>
        <w:rPr>
          <w:rStyle w:val="CharPartNo"/>
        </w:rPr>
        <w:t>Part 4</w:t>
      </w:r>
      <w:r>
        <w:t> — </w:t>
      </w:r>
      <w:r>
        <w:rPr>
          <w:rStyle w:val="CharPartText"/>
        </w:rPr>
        <w:t>Operating the outside school hours care service</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Heading3"/>
      </w:pPr>
      <w:bookmarkStart w:id="685" w:name="_Toc378075895"/>
      <w:bookmarkStart w:id="686" w:name="_Toc425777559"/>
      <w:bookmarkStart w:id="687" w:name="_Toc425777667"/>
      <w:bookmarkStart w:id="688" w:name="_Toc128287490"/>
      <w:bookmarkStart w:id="689" w:name="_Toc128361442"/>
      <w:bookmarkStart w:id="690" w:name="_Toc129055602"/>
      <w:bookmarkStart w:id="691" w:name="_Toc129062658"/>
      <w:bookmarkStart w:id="692" w:name="_Toc153260846"/>
      <w:bookmarkStart w:id="693" w:name="_Toc153264661"/>
      <w:bookmarkStart w:id="694" w:name="_Toc155681762"/>
      <w:bookmarkStart w:id="695" w:name="_Toc155684237"/>
      <w:bookmarkStart w:id="696" w:name="_Toc156613379"/>
      <w:bookmarkStart w:id="697" w:name="_Toc156797615"/>
      <w:bookmarkStart w:id="698" w:name="_Toc158026414"/>
      <w:bookmarkStart w:id="699" w:name="_Toc174345248"/>
      <w:bookmarkStart w:id="700" w:name="_Toc174423694"/>
      <w:bookmarkStart w:id="701" w:name="_Toc177373546"/>
      <w:bookmarkStart w:id="702" w:name="_Toc177437224"/>
      <w:bookmarkStart w:id="703" w:name="_Toc177886335"/>
      <w:bookmarkStart w:id="704" w:name="_Toc179695310"/>
      <w:bookmarkStart w:id="705" w:name="_Toc180393899"/>
      <w:bookmarkStart w:id="706" w:name="_Toc180398186"/>
      <w:bookmarkStart w:id="707" w:name="_Toc313528090"/>
      <w:bookmarkStart w:id="708" w:name="_Toc313528199"/>
      <w:r>
        <w:rPr>
          <w:rStyle w:val="CharDivNo"/>
        </w:rPr>
        <w:t>Division 1</w:t>
      </w:r>
      <w:r>
        <w:t> — </w:t>
      </w:r>
      <w:r>
        <w:rPr>
          <w:rStyle w:val="CharDivText"/>
        </w:rPr>
        <w:t>Children at care session</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spacing w:before="180"/>
      </w:pPr>
      <w:bookmarkStart w:id="709" w:name="_Toc378075896"/>
      <w:bookmarkStart w:id="710" w:name="_Toc425777668"/>
      <w:bookmarkStart w:id="711" w:name="_Toc313528200"/>
      <w:r>
        <w:rPr>
          <w:rStyle w:val="CharSectno"/>
        </w:rPr>
        <w:t>60</w:t>
      </w:r>
      <w:r>
        <w:t>.</w:t>
      </w:r>
      <w:r>
        <w:tab/>
        <w:t>Children who are not enrolled children</w:t>
      </w:r>
      <w:bookmarkEnd w:id="709"/>
      <w:bookmarkEnd w:id="710"/>
      <w:bookmarkEnd w:id="711"/>
    </w:p>
    <w:p>
      <w:pPr>
        <w:pStyle w:val="Subsection"/>
        <w:spacing w:before="120"/>
      </w:pPr>
      <w:r>
        <w:tab/>
      </w:r>
      <w:r>
        <w:tab/>
        <w:t xml:space="preserve">A licensee must ensure that a child who is not an enrolled child for a care session is not present at the place during the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a contact staff member.</w:t>
      </w:r>
    </w:p>
    <w:p>
      <w:pPr>
        <w:pStyle w:val="Penstart"/>
      </w:pPr>
      <w:r>
        <w:tab/>
        <w:t>Penalty: a fine of $2 000.</w:t>
      </w:r>
    </w:p>
    <w:p>
      <w:pPr>
        <w:pStyle w:val="Heading5"/>
        <w:spacing w:before="180"/>
      </w:pPr>
      <w:bookmarkStart w:id="712" w:name="_Toc378075897"/>
      <w:bookmarkStart w:id="713" w:name="_Toc425777669"/>
      <w:bookmarkStart w:id="714" w:name="_Toc313528201"/>
      <w:r>
        <w:rPr>
          <w:rStyle w:val="CharSectno"/>
        </w:rPr>
        <w:t>61</w:t>
      </w:r>
      <w:r>
        <w:t>.</w:t>
      </w:r>
      <w:r>
        <w:tab/>
        <w:t>Care for children in exceptional circumstances</w:t>
      </w:r>
      <w:bookmarkEnd w:id="712"/>
      <w:bookmarkEnd w:id="713"/>
      <w:bookmarkEnd w:id="714"/>
    </w:p>
    <w:p>
      <w:pPr>
        <w:pStyle w:val="Subsection"/>
        <w:spacing w:before="120"/>
      </w:pPr>
      <w:r>
        <w:tab/>
      </w:r>
      <w:r>
        <w:tab/>
        <w:t>Nothing in regulation 60 prevents a licensee or a contact staff member from caring for a child who is not an enrolled child for a care session contrary to that regulation if the circumstances are exceptional and all reasonable steps have been taken to have the child collected by a parent as soon as is practicable.</w:t>
      </w:r>
    </w:p>
    <w:p>
      <w:pPr>
        <w:pStyle w:val="Heading3"/>
      </w:pPr>
      <w:bookmarkStart w:id="715" w:name="_Toc378075898"/>
      <w:bookmarkStart w:id="716" w:name="_Toc425777562"/>
      <w:bookmarkStart w:id="717" w:name="_Toc425777670"/>
      <w:bookmarkStart w:id="718" w:name="_Toc128287493"/>
      <w:bookmarkStart w:id="719" w:name="_Toc128361445"/>
      <w:bookmarkStart w:id="720" w:name="_Toc129055605"/>
      <w:bookmarkStart w:id="721" w:name="_Toc129062661"/>
      <w:bookmarkStart w:id="722" w:name="_Toc153260849"/>
      <w:bookmarkStart w:id="723" w:name="_Toc153264664"/>
      <w:bookmarkStart w:id="724" w:name="_Toc155681765"/>
      <w:bookmarkStart w:id="725" w:name="_Toc155684240"/>
      <w:bookmarkStart w:id="726" w:name="_Toc156613382"/>
      <w:bookmarkStart w:id="727" w:name="_Toc156797618"/>
      <w:bookmarkStart w:id="728" w:name="_Toc158026417"/>
      <w:bookmarkStart w:id="729" w:name="_Toc174345251"/>
      <w:bookmarkStart w:id="730" w:name="_Toc174423697"/>
      <w:bookmarkStart w:id="731" w:name="_Toc177373549"/>
      <w:bookmarkStart w:id="732" w:name="_Toc177437227"/>
      <w:bookmarkStart w:id="733" w:name="_Toc177886338"/>
      <w:bookmarkStart w:id="734" w:name="_Toc179695313"/>
      <w:bookmarkStart w:id="735" w:name="_Toc180393902"/>
      <w:bookmarkStart w:id="736" w:name="_Toc180398189"/>
      <w:bookmarkStart w:id="737" w:name="_Toc313528093"/>
      <w:bookmarkStart w:id="738" w:name="_Toc313528202"/>
      <w:r>
        <w:rPr>
          <w:rStyle w:val="CharDivNo"/>
        </w:rPr>
        <w:t>Division 2</w:t>
      </w:r>
      <w:r>
        <w:t> — </w:t>
      </w:r>
      <w:r>
        <w:rPr>
          <w:rStyle w:val="CharDivText"/>
        </w:rPr>
        <w:t>Contact staff requirements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spacing w:before="180"/>
      </w:pPr>
      <w:bookmarkStart w:id="739" w:name="_Toc378075899"/>
      <w:bookmarkStart w:id="740" w:name="_Toc425777671"/>
      <w:bookmarkStart w:id="741" w:name="_Toc313528203"/>
      <w:r>
        <w:rPr>
          <w:rStyle w:val="CharSectno"/>
        </w:rPr>
        <w:t>62</w:t>
      </w:r>
      <w:r>
        <w:t>.</w:t>
      </w:r>
      <w:r>
        <w:tab/>
        <w:t>Minimum contact staff</w:t>
      </w:r>
      <w:bookmarkEnd w:id="739"/>
      <w:bookmarkEnd w:id="740"/>
      <w:bookmarkEnd w:id="741"/>
    </w:p>
    <w:p>
      <w:pPr>
        <w:pStyle w:val="Subsection"/>
        <w:spacing w:before="120"/>
      </w:pPr>
      <w:r>
        <w:tab/>
        <w:t>(1)</w:t>
      </w:r>
      <w:r>
        <w:tab/>
        <w:t>Subregulations (3) and (4) apply if the enrolled children at a care session do not include a kindergarten child.</w:t>
      </w:r>
    </w:p>
    <w:p>
      <w:pPr>
        <w:pStyle w:val="Subsection"/>
        <w:spacing w:before="120"/>
      </w:pPr>
      <w:r>
        <w:tab/>
        <w:t>(2)</w:t>
      </w:r>
      <w:r>
        <w:tab/>
        <w:t>Subregulations (5) and (6) apply if the enrolled children at a care session include a kindergarten child.</w:t>
      </w:r>
    </w:p>
    <w:p>
      <w:pPr>
        <w:pStyle w:val="Subsection"/>
        <w:spacing w:before="120"/>
      </w:pPr>
      <w:r>
        <w:tab/>
        <w:t>(3)</w:t>
      </w:r>
      <w:r>
        <w:tab/>
        <w:t xml:space="preserve">If the number of children attending a care session falls within the range specified in the first column of an item in Schedule 1 Table 1, a licensee must ensure that the number of contact staff members on duty at the place during the care session — </w:t>
      </w:r>
    </w:p>
    <w:p>
      <w:pPr>
        <w:pStyle w:val="Indenta"/>
        <w:spacing w:before="60"/>
      </w:pPr>
      <w:r>
        <w:tab/>
        <w:t>(a)</w:t>
      </w:r>
      <w:r>
        <w:tab/>
        <w:t>is at least the number specified in the second column of the item;</w:t>
      </w:r>
    </w:p>
    <w:p>
      <w:pPr>
        <w:pStyle w:val="Indenta"/>
        <w:spacing w:before="60"/>
      </w:pPr>
      <w:r>
        <w:tab/>
        <w:t>(b)</w:t>
      </w:r>
      <w:r>
        <w:tab/>
        <w:t>includes at least the number of qualified care givers and first aid officers specified in the third and fourth columns of the item respectively; and</w:t>
      </w:r>
    </w:p>
    <w:p>
      <w:pPr>
        <w:pStyle w:val="Indenta"/>
        <w:spacing w:before="60"/>
      </w:pPr>
      <w:r>
        <w:tab/>
        <w:t>(c)</w:t>
      </w:r>
      <w:r>
        <w:tab/>
        <w:t>includes at least the number of contact staff members specified in the fifth, sixth or seventh column of the item who have reached the age specified in the respective columns.</w:t>
      </w:r>
    </w:p>
    <w:p>
      <w:pPr>
        <w:pStyle w:val="Subsection"/>
        <w:spacing w:before="120"/>
      </w:pPr>
      <w:r>
        <w:tab/>
        <w:t>(4)</w:t>
      </w:r>
      <w:r>
        <w:tab/>
        <w:t>If the number of children attending a care session exceeds 143, a licensee must ensure that the number of contact staff members on duty at the place during the care session is that arrived at by applying subregulation (3)(a), (b) and (c) to the number of children up to and including 143 and adding to those numbers the numbers arrived at by applying subregulation (3)(a), (b) and (c), respectively, to the remainder.</w:t>
      </w:r>
    </w:p>
    <w:p>
      <w:pPr>
        <w:pStyle w:val="Subsection"/>
        <w:spacing w:before="120"/>
      </w:pPr>
      <w:r>
        <w:tab/>
        <w:t>(5)</w:t>
      </w:r>
      <w:r>
        <w:tab/>
        <w:t xml:space="preserve">If the number of children attending a care session falls within the range specified in the first column of an item in Schedule 1 Table 2, a licensee must ensure that the number of contact staff members on duty at the place during the care session — </w:t>
      </w:r>
    </w:p>
    <w:p>
      <w:pPr>
        <w:pStyle w:val="Indenta"/>
      </w:pPr>
      <w:r>
        <w:tab/>
        <w:t>(a)</w:t>
      </w:r>
      <w:r>
        <w:tab/>
        <w:t>is at least the number specified in the second column of the item;</w:t>
      </w:r>
    </w:p>
    <w:p>
      <w:pPr>
        <w:pStyle w:val="Indenta"/>
      </w:pPr>
      <w:r>
        <w:tab/>
        <w:t>(b)</w:t>
      </w:r>
      <w:r>
        <w:tab/>
        <w:t>includes at least the number of qualified care givers and first aid officers specified in the third and fourth columns of the item respectively; and</w:t>
      </w:r>
    </w:p>
    <w:p>
      <w:pPr>
        <w:pStyle w:val="Indenta"/>
      </w:pPr>
      <w:r>
        <w:tab/>
        <w:t>(c)</w:t>
      </w:r>
      <w:r>
        <w:tab/>
        <w:t>includes at least the number of contact staff members specified in the fifth, sixth or seventh column of the item who have reached the age specified in the respective columns.</w:t>
      </w:r>
    </w:p>
    <w:p>
      <w:pPr>
        <w:pStyle w:val="Subsection"/>
        <w:spacing w:before="120"/>
      </w:pPr>
      <w:r>
        <w:tab/>
        <w:t>(6)</w:t>
      </w:r>
      <w:r>
        <w:tab/>
        <w:t>If the number of children attending a care session exceeds 110, a licensee must ensure that the number of contact staff members on duty at the place during the care session is that arrived at by applying subregulation (5)(a), (b) and (c) to the number of children up to and including 110 and adding to those numbers the numbers arrived at by applying subregulation (5)(a), (b) and (c), respectively, to the remainder.</w:t>
      </w:r>
    </w:p>
    <w:p>
      <w:pPr>
        <w:pStyle w:val="Penstart"/>
      </w:pPr>
      <w:r>
        <w:tab/>
        <w:t>Penalty: a fine of $6 000.</w:t>
      </w:r>
    </w:p>
    <w:p>
      <w:pPr>
        <w:pStyle w:val="Heading5"/>
      </w:pPr>
      <w:bookmarkStart w:id="742" w:name="_Toc378075900"/>
      <w:bookmarkStart w:id="743" w:name="_Toc425777672"/>
      <w:bookmarkStart w:id="744" w:name="_Toc313528204"/>
      <w:r>
        <w:rPr>
          <w:rStyle w:val="CharSectno"/>
        </w:rPr>
        <w:t>63</w:t>
      </w:r>
      <w:r>
        <w:t>.</w:t>
      </w:r>
      <w:r>
        <w:tab/>
        <w:t>Contact staff reduction during short periods</w:t>
      </w:r>
      <w:bookmarkEnd w:id="742"/>
      <w:bookmarkEnd w:id="743"/>
      <w:bookmarkEnd w:id="744"/>
    </w:p>
    <w:p>
      <w:pPr>
        <w:pStyle w:val="Subsection"/>
      </w:pPr>
      <w:r>
        <w:tab/>
        <w:t>(1)</w:t>
      </w:r>
      <w:r>
        <w:tab/>
        <w:t xml:space="preserve">Despite regulation 62, the number of contact staff members on duty at the place during a care session may be reduced during periods of time before or after school on a school day if — </w:t>
      </w:r>
    </w:p>
    <w:p>
      <w:pPr>
        <w:pStyle w:val="Indenta"/>
      </w:pPr>
      <w:r>
        <w:tab/>
        <w:t>(a)</w:t>
      </w:r>
      <w:r>
        <w:tab/>
        <w:t>the combined duration of the periods does not exceed one hour; and</w:t>
      </w:r>
    </w:p>
    <w:p>
      <w:pPr>
        <w:pStyle w:val="Indenta"/>
      </w:pPr>
      <w:r>
        <w:tab/>
        <w:t>(b)</w:t>
      </w:r>
      <w:r>
        <w:tab/>
        <w:t>at least one contact staff member who has reached 18 years of age is on duty at all times at the place during the periods for each multiple of 10 enrolled children and any remainder of fewer than 10 enrolled children present at the place; and</w:t>
      </w:r>
    </w:p>
    <w:p>
      <w:pPr>
        <w:pStyle w:val="Indenta"/>
      </w:pPr>
      <w:r>
        <w:tab/>
        <w:t>(c)</w:t>
      </w:r>
      <w:r>
        <w:tab/>
        <w:t>at least one of the contact staff members on duty at the place has a current first aid qualification; and</w:t>
      </w:r>
    </w:p>
    <w:p>
      <w:pPr>
        <w:pStyle w:val="Indenta"/>
      </w:pPr>
      <w:r>
        <w:tab/>
        <w:t>(d)</w:t>
      </w:r>
      <w:r>
        <w:tab/>
        <w:t>the contact staff members who are on duty at the place adapt the activities of the children in a manner that ensures that the children’s health and safety are not prejudiced by the reduction in the number of contact staff on duty at the place.</w:t>
      </w:r>
    </w:p>
    <w:p>
      <w:pPr>
        <w:pStyle w:val="Subsection"/>
      </w:pPr>
      <w:r>
        <w:tab/>
        <w:t>(2)</w:t>
      </w:r>
      <w:r>
        <w:tab/>
        <w:t xml:space="preserve">Despite regulation 62, the number of contact staff members on duty at the place during a care session may be reduced during periods of time (except the lunch period) during a day on which there is no school if — </w:t>
      </w:r>
    </w:p>
    <w:p>
      <w:pPr>
        <w:pStyle w:val="Indenta"/>
      </w:pPr>
      <w:r>
        <w:tab/>
        <w:t>(a)</w:t>
      </w:r>
      <w:r>
        <w:tab/>
        <w:t>the combined duration of the periods does not exceed 2 hours; and</w:t>
      </w:r>
    </w:p>
    <w:p>
      <w:pPr>
        <w:pStyle w:val="Indenta"/>
      </w:pPr>
      <w:r>
        <w:tab/>
        <w:t>(b)</w:t>
      </w:r>
      <w:r>
        <w:tab/>
        <w:t>at least one contact staff member who has reached 18 years of age is on duty at the place at all times during the periods for each multiple of 10 enrolled children and any remainder of fewer than 10 enrolled children present at the place; and</w:t>
      </w:r>
    </w:p>
    <w:p>
      <w:pPr>
        <w:pStyle w:val="Indenta"/>
      </w:pPr>
      <w:r>
        <w:tab/>
        <w:t>(c)</w:t>
      </w:r>
      <w:r>
        <w:tab/>
        <w:t>at least one of the contact staff members on duty at the place has a current first aid qualification; and</w:t>
      </w:r>
    </w:p>
    <w:p>
      <w:pPr>
        <w:pStyle w:val="Indenta"/>
      </w:pPr>
      <w:r>
        <w:tab/>
        <w:t>(d)</w:t>
      </w:r>
      <w:r>
        <w:tab/>
        <w:t>the contact staff members who are on duty at the place adapt the activities of the children in a manner that ensures that the children’s health and safety are not prejudiced by the reduction in the number of contact staff members.</w:t>
      </w:r>
    </w:p>
    <w:p>
      <w:pPr>
        <w:pStyle w:val="Footnotesection"/>
      </w:pPr>
      <w:r>
        <w:tab/>
        <w:t>[Regulation 63 amended in Gazette 6 Jan 2012 p. 34-5.]</w:t>
      </w:r>
    </w:p>
    <w:p>
      <w:pPr>
        <w:pStyle w:val="Heading5"/>
      </w:pPr>
      <w:bookmarkStart w:id="745" w:name="_Toc378075901"/>
      <w:bookmarkStart w:id="746" w:name="_Toc425777673"/>
      <w:bookmarkStart w:id="747" w:name="_Toc313528205"/>
      <w:r>
        <w:rPr>
          <w:rStyle w:val="CharSectno"/>
        </w:rPr>
        <w:t>64</w:t>
      </w:r>
      <w:r>
        <w:t>.</w:t>
      </w:r>
      <w:r>
        <w:tab/>
        <w:t>Contact staff reduction during lunch periods</w:t>
      </w:r>
      <w:bookmarkEnd w:id="745"/>
      <w:bookmarkEnd w:id="746"/>
      <w:bookmarkEnd w:id="747"/>
    </w:p>
    <w:p>
      <w:pPr>
        <w:pStyle w:val="Subsection"/>
      </w:pPr>
      <w:r>
        <w:tab/>
        <w:t>(1)</w:t>
      </w:r>
      <w:r>
        <w:tab/>
        <w:t xml:space="preserve">Despite regulation 62, if 27 or more enrolled children are present at the place during a lunch period, a licensee must ensure that during the lunch period — </w:t>
      </w:r>
    </w:p>
    <w:p>
      <w:pPr>
        <w:pStyle w:val="Indenta"/>
      </w:pPr>
      <w:r>
        <w:tab/>
        <w:t>(a)</w:t>
      </w:r>
      <w:r>
        <w:tab/>
        <w:t>the number of contact staff members on duty at the place is at least the number specified in the second column of an item in Schedule 1 Table 3, relative to the number of contact staff required under regulation 62 to be on duty at the place, as specified in the first column of the item; and</w:t>
      </w:r>
    </w:p>
    <w:p>
      <w:pPr>
        <w:pStyle w:val="Indenta"/>
      </w:pPr>
      <w:r>
        <w:tab/>
        <w:t>(b)</w:t>
      </w:r>
      <w:r>
        <w:tab/>
        <w:t>one of the contact staff members on duty has reached 18 years of age and has a current first aid qualification; and</w:t>
      </w:r>
    </w:p>
    <w:p>
      <w:pPr>
        <w:pStyle w:val="Indenta"/>
      </w:pPr>
      <w:r>
        <w:tab/>
        <w:t>(c)</w:t>
      </w:r>
      <w:r>
        <w:tab/>
        <w:t>the contact staff members on duty adapt the activities of the enrolled children in a manner that ensures the children’s health and safety are not prejudiced by the variation permitted under paragraph (a).</w:t>
      </w:r>
    </w:p>
    <w:p>
      <w:pPr>
        <w:pStyle w:val="Subsection"/>
      </w:pPr>
      <w:r>
        <w:tab/>
        <w:t>(2)</w:t>
      </w:r>
      <w:r>
        <w:tab/>
        <w:t>If the number of contact staff members required under regulation 62 to be on duty at the place exceeds 12, a licensee must ensure that the number of contact staff members on duty during a lunch period is that arrived at by applying subregulation (1)(a) and adding to that number the number arrived at by applying subregulation (1)(a) to the remainder.</w:t>
      </w:r>
    </w:p>
    <w:p>
      <w:pPr>
        <w:pStyle w:val="Penstart"/>
      </w:pPr>
      <w:r>
        <w:tab/>
        <w:t>Penalty: a fine of $3 000.</w:t>
      </w:r>
    </w:p>
    <w:p>
      <w:pPr>
        <w:pStyle w:val="Footnotesection"/>
      </w:pPr>
      <w:bookmarkStart w:id="748" w:name="_Toc128287497"/>
      <w:bookmarkStart w:id="749" w:name="_Toc128361449"/>
      <w:bookmarkStart w:id="750" w:name="_Toc129055609"/>
      <w:bookmarkStart w:id="751" w:name="_Toc129062665"/>
      <w:bookmarkStart w:id="752" w:name="_Toc153260853"/>
      <w:bookmarkStart w:id="753" w:name="_Toc153264668"/>
      <w:bookmarkStart w:id="754" w:name="_Toc155681769"/>
      <w:bookmarkStart w:id="755" w:name="_Toc155684244"/>
      <w:bookmarkStart w:id="756" w:name="_Toc156613386"/>
      <w:bookmarkStart w:id="757" w:name="_Toc156797622"/>
      <w:bookmarkStart w:id="758" w:name="_Toc158026421"/>
      <w:bookmarkStart w:id="759" w:name="_Toc174345255"/>
      <w:bookmarkStart w:id="760" w:name="_Toc174423701"/>
      <w:bookmarkStart w:id="761" w:name="_Toc177373553"/>
      <w:bookmarkStart w:id="762" w:name="_Toc177437231"/>
      <w:bookmarkStart w:id="763" w:name="_Toc177886342"/>
      <w:bookmarkStart w:id="764" w:name="_Toc179695317"/>
      <w:bookmarkStart w:id="765" w:name="_Toc180393906"/>
      <w:bookmarkStart w:id="766" w:name="_Toc180398193"/>
      <w:r>
        <w:tab/>
        <w:t>[Regulation 64 amended in Gazette 6 Jan 2012 p. 35.]</w:t>
      </w:r>
    </w:p>
    <w:p>
      <w:pPr>
        <w:pStyle w:val="Heading3"/>
      </w:pPr>
      <w:bookmarkStart w:id="767" w:name="_Toc378075902"/>
      <w:bookmarkStart w:id="768" w:name="_Toc425777566"/>
      <w:bookmarkStart w:id="769" w:name="_Toc425777674"/>
      <w:bookmarkStart w:id="770" w:name="_Toc313528097"/>
      <w:bookmarkStart w:id="771" w:name="_Toc313528206"/>
      <w:r>
        <w:rPr>
          <w:rStyle w:val="CharDivNo"/>
        </w:rPr>
        <w:t>Division 3</w:t>
      </w:r>
      <w:r>
        <w:t> — </w:t>
      </w:r>
      <w:r>
        <w:rPr>
          <w:rStyle w:val="CharDivText"/>
        </w:rPr>
        <w:t>Programmes and behaviour management</w:t>
      </w:r>
      <w:bookmarkEnd w:id="767"/>
      <w:bookmarkEnd w:id="768"/>
      <w:bookmarkEnd w:id="769"/>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70"/>
      <w:bookmarkEnd w:id="771"/>
    </w:p>
    <w:p>
      <w:pPr>
        <w:pStyle w:val="Heading5"/>
      </w:pPr>
      <w:bookmarkStart w:id="772" w:name="_Toc378075903"/>
      <w:bookmarkStart w:id="773" w:name="_Toc425777675"/>
      <w:bookmarkStart w:id="774" w:name="_Toc313528207"/>
      <w:r>
        <w:rPr>
          <w:rStyle w:val="CharSectno"/>
        </w:rPr>
        <w:t>65</w:t>
      </w:r>
      <w:r>
        <w:t>.</w:t>
      </w:r>
      <w:r>
        <w:tab/>
        <w:t>Programmes</w:t>
      </w:r>
      <w:bookmarkEnd w:id="772"/>
      <w:bookmarkEnd w:id="773"/>
      <w:bookmarkEnd w:id="774"/>
    </w:p>
    <w:p>
      <w:pPr>
        <w:pStyle w:val="Subsection"/>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pPr>
      <w:bookmarkStart w:id="775" w:name="_Toc378075904"/>
      <w:bookmarkStart w:id="776" w:name="_Toc425777676"/>
      <w:bookmarkStart w:id="777" w:name="_Toc313528208"/>
      <w:r>
        <w:rPr>
          <w:rStyle w:val="CharSectno"/>
        </w:rPr>
        <w:t>66</w:t>
      </w:r>
      <w:r>
        <w:t>.</w:t>
      </w:r>
      <w:r>
        <w:tab/>
        <w:t>Managing the behaviour of children</w:t>
      </w:r>
      <w:bookmarkEnd w:id="775"/>
      <w:bookmarkEnd w:id="776"/>
      <w:bookmarkEnd w:id="777"/>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keepNext/>
        <w:keepLines/>
      </w:pPr>
      <w:r>
        <w:tab/>
        <w:t>(3)</w:t>
      </w:r>
      <w:r>
        <w:tab/>
        <w:t>A licensee must ensure that an enrolled child is protected from bullying, violence and harassment.</w:t>
      </w:r>
    </w:p>
    <w:p>
      <w:pPr>
        <w:pStyle w:val="Penstart"/>
      </w:pPr>
      <w:r>
        <w:tab/>
        <w:t>Penalty: a fine of $4 000.</w:t>
      </w:r>
    </w:p>
    <w:p>
      <w:pPr>
        <w:pStyle w:val="Heading3"/>
      </w:pPr>
      <w:bookmarkStart w:id="778" w:name="_Toc378075905"/>
      <w:bookmarkStart w:id="779" w:name="_Toc425777569"/>
      <w:bookmarkStart w:id="780" w:name="_Toc425777677"/>
      <w:bookmarkStart w:id="781" w:name="_Toc128287500"/>
      <w:bookmarkStart w:id="782" w:name="_Toc128361452"/>
      <w:bookmarkStart w:id="783" w:name="_Toc129055612"/>
      <w:bookmarkStart w:id="784" w:name="_Toc129062668"/>
      <w:bookmarkStart w:id="785" w:name="_Toc153260856"/>
      <w:bookmarkStart w:id="786" w:name="_Toc153264671"/>
      <w:bookmarkStart w:id="787" w:name="_Toc155681772"/>
      <w:bookmarkStart w:id="788" w:name="_Toc155684247"/>
      <w:bookmarkStart w:id="789" w:name="_Toc156613389"/>
      <w:bookmarkStart w:id="790" w:name="_Toc156797625"/>
      <w:bookmarkStart w:id="791" w:name="_Toc158026424"/>
      <w:bookmarkStart w:id="792" w:name="_Toc174345258"/>
      <w:bookmarkStart w:id="793" w:name="_Toc174423704"/>
      <w:bookmarkStart w:id="794" w:name="_Toc177373556"/>
      <w:bookmarkStart w:id="795" w:name="_Toc177437234"/>
      <w:bookmarkStart w:id="796" w:name="_Toc177886345"/>
      <w:bookmarkStart w:id="797" w:name="_Toc179695320"/>
      <w:bookmarkStart w:id="798" w:name="_Toc180393909"/>
      <w:bookmarkStart w:id="799" w:name="_Toc180398196"/>
      <w:bookmarkStart w:id="800" w:name="_Toc313528100"/>
      <w:bookmarkStart w:id="801" w:name="_Toc313528209"/>
      <w:r>
        <w:rPr>
          <w:rStyle w:val="CharDivNo"/>
        </w:rPr>
        <w:t>Division 4</w:t>
      </w:r>
      <w:r>
        <w:t> — </w:t>
      </w:r>
      <w:r>
        <w:rPr>
          <w:rStyle w:val="CharDivText"/>
        </w:rPr>
        <w:t>Excursions and sleepovers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pPr>
      <w:bookmarkStart w:id="802" w:name="_Toc378075906"/>
      <w:bookmarkStart w:id="803" w:name="_Toc425777678"/>
      <w:bookmarkStart w:id="804" w:name="_Toc313528210"/>
      <w:r>
        <w:rPr>
          <w:rStyle w:val="CharSectno"/>
        </w:rPr>
        <w:t>67</w:t>
      </w:r>
      <w:r>
        <w:t>.</w:t>
      </w:r>
      <w:r>
        <w:tab/>
        <w:t>Excursions from the place</w:t>
      </w:r>
      <w:bookmarkEnd w:id="802"/>
      <w:bookmarkEnd w:id="803"/>
      <w:bookmarkEnd w:id="804"/>
    </w:p>
    <w:p>
      <w:pPr>
        <w:pStyle w:val="Subsection"/>
      </w:pPr>
      <w:r>
        <w:tab/>
        <w:t>(1)</w:t>
      </w:r>
      <w:r>
        <w:tab/>
        <w:t xml:space="preserve">A licensee must ensure that enrolled children are not taken on an excursion from the place unless — </w:t>
      </w:r>
    </w:p>
    <w:p>
      <w:pPr>
        <w:pStyle w:val="Indenta"/>
      </w:pPr>
      <w:r>
        <w:tab/>
        <w:t>(a)</w:t>
      </w:r>
      <w:r>
        <w:tab/>
        <w:t>the supervising officer has prepared an excursion plan in accordance with regulation 69;</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the contact staff member in charge of the excursion has with him or her a list of all those children and the contact details referred to in paragraph (b)(ii) for those children.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805" w:name="_Toc378075907"/>
      <w:bookmarkStart w:id="806" w:name="_Toc425777679"/>
      <w:bookmarkStart w:id="807" w:name="_Toc313528211"/>
      <w:r>
        <w:rPr>
          <w:rStyle w:val="CharSectno"/>
        </w:rPr>
        <w:t>68</w:t>
      </w:r>
      <w:r>
        <w:t>.</w:t>
      </w:r>
      <w:r>
        <w:tab/>
        <w:t>First aid kit on excursions</w:t>
      </w:r>
      <w:bookmarkEnd w:id="805"/>
      <w:bookmarkEnd w:id="806"/>
      <w:bookmarkEnd w:id="807"/>
    </w:p>
    <w:p>
      <w:pPr>
        <w:pStyle w:val="Subsection"/>
      </w:pPr>
      <w:r>
        <w:tab/>
        <w:t>(1)</w:t>
      </w:r>
      <w:r>
        <w:tab/>
        <w:t>A licensee must ensure that a fully equipped and properly maintained first aid kit containing at least the items listed in regulation 34(2) is taken on all excursions from the place.</w:t>
      </w:r>
    </w:p>
    <w:p>
      <w:pPr>
        <w:pStyle w:val="Subsection"/>
      </w:pPr>
      <w:r>
        <w:tab/>
        <w:t>(2)</w:t>
      </w:r>
      <w:r>
        <w:tab/>
        <w:t>A first aid kit kept at the place under regulation 34(1) may be taken on an excursion if no enrolled child remains at the place during the period of the excursion.</w:t>
      </w:r>
    </w:p>
    <w:p>
      <w:pPr>
        <w:pStyle w:val="Subsection"/>
      </w:pPr>
      <w:r>
        <w:tab/>
        <w:t>(3)</w:t>
      </w:r>
      <w:r>
        <w:tab/>
        <w:t>Subregulation (1) does not apply to an excursion referred to in regulation 67(3).</w:t>
      </w:r>
    </w:p>
    <w:p>
      <w:pPr>
        <w:pStyle w:val="Penstart"/>
      </w:pPr>
      <w:r>
        <w:tab/>
        <w:t>Penalty: a fine of $2 000.</w:t>
      </w:r>
    </w:p>
    <w:p>
      <w:pPr>
        <w:pStyle w:val="Heading5"/>
      </w:pPr>
      <w:bookmarkStart w:id="808" w:name="_Toc378075908"/>
      <w:bookmarkStart w:id="809" w:name="_Toc425777680"/>
      <w:bookmarkStart w:id="810" w:name="_Toc313528212"/>
      <w:r>
        <w:rPr>
          <w:rStyle w:val="CharSectno"/>
        </w:rPr>
        <w:t>69</w:t>
      </w:r>
      <w:r>
        <w:t>.</w:t>
      </w:r>
      <w:r>
        <w:tab/>
        <w:t>Excursion plans</w:t>
      </w:r>
      <w:bookmarkEnd w:id="808"/>
      <w:bookmarkEnd w:id="809"/>
      <w:bookmarkEnd w:id="810"/>
    </w:p>
    <w:p>
      <w:pPr>
        <w:pStyle w:val="Subsection"/>
      </w:pPr>
      <w:r>
        <w:tab/>
      </w:r>
      <w:r>
        <w:tab/>
        <w:t xml:space="preserve">A licensee must ensure that an excursion plan for the purposes of regulation 67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811" w:name="_Toc378075909"/>
      <w:bookmarkStart w:id="812" w:name="_Toc425777681"/>
      <w:bookmarkStart w:id="813" w:name="_Toc313528213"/>
      <w:r>
        <w:rPr>
          <w:rStyle w:val="CharSectno"/>
        </w:rPr>
        <w:t>70</w:t>
      </w:r>
      <w:r>
        <w:t>.</w:t>
      </w:r>
      <w:r>
        <w:tab/>
        <w:t>Contact staff in charge of excursions</w:t>
      </w:r>
      <w:bookmarkEnd w:id="811"/>
      <w:bookmarkEnd w:id="812"/>
      <w:bookmarkEnd w:id="813"/>
    </w:p>
    <w:p>
      <w:pPr>
        <w:pStyle w:val="Subsection"/>
      </w:pPr>
      <w:r>
        <w:tab/>
      </w:r>
      <w:r>
        <w:tab/>
        <w:t>A licensee must ensure that the contact staff member in charge of an excursion from the place is at least 21 years of age.</w:t>
      </w:r>
    </w:p>
    <w:p>
      <w:pPr>
        <w:pStyle w:val="Penstart"/>
      </w:pPr>
      <w:r>
        <w:tab/>
        <w:t>Penalty: a fine of $3 000.</w:t>
      </w:r>
    </w:p>
    <w:p>
      <w:pPr>
        <w:pStyle w:val="Heading5"/>
      </w:pPr>
      <w:bookmarkStart w:id="814" w:name="_Toc378075910"/>
      <w:bookmarkStart w:id="815" w:name="_Toc425777682"/>
      <w:bookmarkStart w:id="816" w:name="_Toc313528214"/>
      <w:r>
        <w:rPr>
          <w:rStyle w:val="CharSectno"/>
        </w:rPr>
        <w:t>71</w:t>
      </w:r>
      <w:r>
        <w:t>.</w:t>
      </w:r>
      <w:r>
        <w:tab/>
        <w:t>Routine excursions: staff numbers</w:t>
      </w:r>
      <w:bookmarkEnd w:id="814"/>
      <w:bookmarkEnd w:id="815"/>
      <w:bookmarkEnd w:id="816"/>
    </w:p>
    <w:p>
      <w:pPr>
        <w:pStyle w:val="Subsection"/>
      </w:pPr>
      <w:r>
        <w:tab/>
      </w:r>
      <w:r>
        <w:tab/>
        <w:t xml:space="preserve">If a number of enrolled children are taken on an excursion that does not involve challenging activities, a licensee must ensure that children are accompanied and supervised by — </w:t>
      </w:r>
    </w:p>
    <w:p>
      <w:pPr>
        <w:pStyle w:val="Indenta"/>
      </w:pPr>
      <w:r>
        <w:tab/>
        <w:t>(a)</w:t>
      </w:r>
      <w:r>
        <w:tab/>
        <w:t>the contact staff members required for that number of children under regulation 62; and</w:t>
      </w:r>
    </w:p>
    <w:p>
      <w:pPr>
        <w:pStyle w:val="Indenta"/>
      </w:pPr>
      <w:r>
        <w:tab/>
        <w:t>(b)</w:t>
      </w:r>
      <w:r>
        <w:tab/>
        <w:t>enough additional contact staff members or volunteers to ensure that there is at least one staff member or volunteer for each multiple of 10 children and for any remainder of fewer than 10.</w:t>
      </w:r>
    </w:p>
    <w:p>
      <w:pPr>
        <w:pStyle w:val="Penstart"/>
      </w:pPr>
      <w:r>
        <w:tab/>
        <w:t>Penalty: a fine of $3 000.</w:t>
      </w:r>
    </w:p>
    <w:p>
      <w:pPr>
        <w:pStyle w:val="Heading5"/>
      </w:pPr>
      <w:bookmarkStart w:id="817" w:name="_Toc378075911"/>
      <w:bookmarkStart w:id="818" w:name="_Toc425777683"/>
      <w:bookmarkStart w:id="819" w:name="_Toc313528215"/>
      <w:r>
        <w:rPr>
          <w:rStyle w:val="CharSectno"/>
        </w:rPr>
        <w:t>72</w:t>
      </w:r>
      <w:r>
        <w:t>.</w:t>
      </w:r>
      <w:r>
        <w:tab/>
        <w:t>Sleepovers: staff numbers</w:t>
      </w:r>
      <w:bookmarkEnd w:id="817"/>
      <w:bookmarkEnd w:id="818"/>
      <w:bookmarkEnd w:id="819"/>
    </w:p>
    <w:p>
      <w:pPr>
        <w:pStyle w:val="Subsection"/>
      </w:pPr>
      <w:r>
        <w:tab/>
        <w:t>(1)</w:t>
      </w:r>
      <w:r>
        <w:tab/>
        <w:t xml:space="preserve">If a number of enrolled children are taken on an excursion involving a sleepover, or remain for a sleepover at the place, a licensee must ensure that the children are supervised by — </w:t>
      </w:r>
    </w:p>
    <w:p>
      <w:pPr>
        <w:pStyle w:val="Indenta"/>
      </w:pPr>
      <w:r>
        <w:tab/>
        <w:t>(a)</w:t>
      </w:r>
      <w:r>
        <w:tab/>
        <w:t>the contact staff members required for those children under regulation 62;</w:t>
      </w:r>
    </w:p>
    <w:p>
      <w:pPr>
        <w:pStyle w:val="Indenta"/>
      </w:pPr>
      <w:r>
        <w:tab/>
        <w:t>(b)</w:t>
      </w:r>
      <w:r>
        <w:tab/>
        <w:t>if only one contact staff member would be required under paragraph (a), at least one other contact staff member or volunteer; and</w:t>
      </w:r>
    </w:p>
    <w:p>
      <w:pPr>
        <w:pStyle w:val="Indenta"/>
      </w:pPr>
      <w:r>
        <w:tab/>
        <w:t>(c)</w:t>
      </w:r>
      <w:r>
        <w:tab/>
        <w:t>enough additional contact staff members or volunteers to ensure that there is at least one contact staff member or volunteer for each multiple of 10 children and for any remainder of fewer than 10.</w:t>
      </w:r>
    </w:p>
    <w:p>
      <w:pPr>
        <w:pStyle w:val="Subsection"/>
      </w:pPr>
      <w:r>
        <w:tab/>
        <w:t>(2)</w:t>
      </w:r>
      <w:r>
        <w:tab/>
        <w:t>A licensee must ensure that the beds, mattresses or sleeping bags used by the children, contact staff members and volunteers during the sleepover are arranged so that there is easy access to and from each of them and to each exit.</w:t>
      </w:r>
    </w:p>
    <w:p>
      <w:pPr>
        <w:pStyle w:val="Subsection"/>
      </w:pPr>
      <w:r>
        <w:tab/>
        <w:t>(3)</w:t>
      </w:r>
      <w:r>
        <w:tab/>
        <w:t>If an outside school hours care service routinely provides overnight care for enrolled children, subregulation (1)(b) and (c) do not apply to a routine overnight care session if the enrolled children sleep at the place.</w:t>
      </w:r>
    </w:p>
    <w:p>
      <w:pPr>
        <w:pStyle w:val="Penstart"/>
      </w:pPr>
      <w:r>
        <w:tab/>
        <w:t>Penalty: a fine of $4 000.</w:t>
      </w:r>
    </w:p>
    <w:p>
      <w:pPr>
        <w:pStyle w:val="Heading5"/>
      </w:pPr>
      <w:bookmarkStart w:id="820" w:name="_Toc378075912"/>
      <w:bookmarkStart w:id="821" w:name="_Toc425777684"/>
      <w:bookmarkStart w:id="822" w:name="_Toc313528216"/>
      <w:r>
        <w:rPr>
          <w:rStyle w:val="CharSectno"/>
        </w:rPr>
        <w:t>73</w:t>
      </w:r>
      <w:r>
        <w:t>.</w:t>
      </w:r>
      <w:r>
        <w:tab/>
        <w:t>Challenging activity excursions: staff numbers</w:t>
      </w:r>
      <w:bookmarkEnd w:id="820"/>
      <w:bookmarkEnd w:id="821"/>
      <w:bookmarkEnd w:id="822"/>
    </w:p>
    <w:p>
      <w:pPr>
        <w:pStyle w:val="Subsection"/>
      </w:pPr>
      <w:r>
        <w:tab/>
        <w:t>(1)</w:t>
      </w:r>
      <w:r>
        <w:tab/>
        <w:t xml:space="preserve">When a number of enrolled children are taken on an excursion from the place that involves challenging activities, a licensee must ensure that the children are accompanied and supervised by — </w:t>
      </w:r>
    </w:p>
    <w:p>
      <w:pPr>
        <w:pStyle w:val="Indenta"/>
      </w:pPr>
      <w:r>
        <w:tab/>
        <w:t>(a)</w:t>
      </w:r>
      <w:r>
        <w:tab/>
        <w:t>the contact staff members required for that number of children under regulation 62;</w:t>
      </w:r>
    </w:p>
    <w:p>
      <w:pPr>
        <w:pStyle w:val="Indenta"/>
      </w:pPr>
      <w:r>
        <w:tab/>
        <w:t>(b)</w:t>
      </w:r>
      <w:r>
        <w:tab/>
        <w:t>if only one contact staff member would be required under paragraph (a), at least one other contact staff member or volunteer; and</w:t>
      </w:r>
    </w:p>
    <w:p>
      <w:pPr>
        <w:pStyle w:val="Indenta"/>
      </w:pPr>
      <w:r>
        <w:tab/>
        <w:t>(c)</w:t>
      </w:r>
      <w:r>
        <w:tab/>
        <w:t>enough additional contact staff members or volunteers to ensure that there is at least one contact staff member or volunteer for each multiple of 5 children and for any remainder of fewer than 5.</w:t>
      </w:r>
    </w:p>
    <w:p>
      <w:pPr>
        <w:pStyle w:val="Subsection"/>
      </w:pPr>
      <w:r>
        <w:tab/>
        <w:t>(2)</w:t>
      </w:r>
      <w:r>
        <w:tab/>
        <w:t>A licensee must ensure that enrolled children engaged in a challenging activity are supervised at all times by a contact staff member or volunteer.</w:t>
      </w:r>
    </w:p>
    <w:p>
      <w:pPr>
        <w:pStyle w:val="Penstart"/>
      </w:pPr>
      <w:r>
        <w:tab/>
        <w:t>Penalty: a fine of $4 000.</w:t>
      </w:r>
    </w:p>
    <w:p>
      <w:pPr>
        <w:pStyle w:val="Heading5"/>
      </w:pPr>
      <w:bookmarkStart w:id="823" w:name="_Toc378075913"/>
      <w:bookmarkStart w:id="824" w:name="_Toc425777685"/>
      <w:bookmarkStart w:id="825" w:name="_Toc313528217"/>
      <w:r>
        <w:rPr>
          <w:rStyle w:val="CharSectno"/>
        </w:rPr>
        <w:t>74</w:t>
      </w:r>
      <w:r>
        <w:t>.</w:t>
      </w:r>
      <w:r>
        <w:tab/>
        <w:t>Engaging in challenging activities on excursions</w:t>
      </w:r>
      <w:bookmarkEnd w:id="823"/>
      <w:bookmarkEnd w:id="824"/>
      <w:bookmarkEnd w:id="825"/>
    </w:p>
    <w:p>
      <w:pPr>
        <w:pStyle w:val="Subsection"/>
      </w:pPr>
      <w:r>
        <w:tab/>
        <w:t>(1)</w:t>
      </w:r>
      <w:r>
        <w:tab/>
        <w:t xml:space="preserve">A licensee must ensure that enrolled children do not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826" w:name="_Toc378075914"/>
      <w:bookmarkStart w:id="827" w:name="_Toc425777686"/>
      <w:bookmarkStart w:id="828" w:name="_Toc313528218"/>
      <w:r>
        <w:rPr>
          <w:rStyle w:val="CharSectno"/>
        </w:rPr>
        <w:t>75</w:t>
      </w:r>
      <w:r>
        <w:t>.</w:t>
      </w:r>
      <w:r>
        <w:tab/>
        <w:t>Transport of enrolled children</w:t>
      </w:r>
      <w:bookmarkEnd w:id="826"/>
      <w:bookmarkEnd w:id="827"/>
      <w:bookmarkEnd w:id="828"/>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829" w:name="_Toc378075915"/>
      <w:bookmarkStart w:id="830" w:name="_Toc425777579"/>
      <w:bookmarkStart w:id="831" w:name="_Toc425777687"/>
      <w:bookmarkStart w:id="832" w:name="_Toc128287510"/>
      <w:bookmarkStart w:id="833" w:name="_Toc128361462"/>
      <w:bookmarkStart w:id="834" w:name="_Toc129055622"/>
      <w:bookmarkStart w:id="835" w:name="_Toc129062678"/>
      <w:bookmarkStart w:id="836" w:name="_Toc153260866"/>
      <w:bookmarkStart w:id="837" w:name="_Toc153264681"/>
      <w:bookmarkStart w:id="838" w:name="_Toc155681782"/>
      <w:bookmarkStart w:id="839" w:name="_Toc155684257"/>
      <w:bookmarkStart w:id="840" w:name="_Toc156613399"/>
      <w:bookmarkStart w:id="841" w:name="_Toc156797635"/>
      <w:bookmarkStart w:id="842" w:name="_Toc158026434"/>
      <w:bookmarkStart w:id="843" w:name="_Toc174345268"/>
      <w:bookmarkStart w:id="844" w:name="_Toc174423714"/>
      <w:bookmarkStart w:id="845" w:name="_Toc177373566"/>
      <w:bookmarkStart w:id="846" w:name="_Toc177437244"/>
      <w:bookmarkStart w:id="847" w:name="_Toc177886355"/>
      <w:bookmarkStart w:id="848" w:name="_Toc179695330"/>
      <w:bookmarkStart w:id="849" w:name="_Toc180393919"/>
      <w:bookmarkStart w:id="850" w:name="_Toc180398206"/>
      <w:bookmarkStart w:id="851" w:name="_Toc313528110"/>
      <w:bookmarkStart w:id="852" w:name="_Toc313528219"/>
      <w:r>
        <w:rPr>
          <w:rStyle w:val="CharDivNo"/>
        </w:rPr>
        <w:t>Division 5</w:t>
      </w:r>
      <w:r>
        <w:t> — </w:t>
      </w:r>
      <w:r>
        <w:rPr>
          <w:rStyle w:val="CharDivText"/>
        </w:rPr>
        <w:t>Water activities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Heading5"/>
      </w:pPr>
      <w:bookmarkStart w:id="853" w:name="_Toc378075916"/>
      <w:bookmarkStart w:id="854" w:name="_Toc425777688"/>
      <w:bookmarkStart w:id="855" w:name="_Toc313528220"/>
      <w:r>
        <w:rPr>
          <w:rStyle w:val="CharSectno"/>
        </w:rPr>
        <w:t>76</w:t>
      </w:r>
      <w:r>
        <w:t>.</w:t>
      </w:r>
      <w:r>
        <w:tab/>
        <w:t>Additional requirements for water activities</w:t>
      </w:r>
      <w:bookmarkEnd w:id="853"/>
      <w:bookmarkEnd w:id="854"/>
      <w:bookmarkEnd w:id="855"/>
    </w:p>
    <w:p>
      <w:pPr>
        <w:pStyle w:val="Subsection"/>
      </w:pPr>
      <w:r>
        <w:tab/>
      </w:r>
      <w:r>
        <w:tab/>
        <w:t>If enrolled children are taken on an excursion from the place to engage in water activities, the requirements of this Division are additional to the requirements of Division 4.</w:t>
      </w:r>
    </w:p>
    <w:p>
      <w:pPr>
        <w:pStyle w:val="Heading5"/>
      </w:pPr>
      <w:bookmarkStart w:id="856" w:name="_Toc378075917"/>
      <w:bookmarkStart w:id="857" w:name="_Toc425777689"/>
      <w:bookmarkStart w:id="858" w:name="_Toc313528221"/>
      <w:r>
        <w:rPr>
          <w:rStyle w:val="CharSectno"/>
        </w:rPr>
        <w:t>77</w:t>
      </w:r>
      <w:r>
        <w:t>.</w:t>
      </w:r>
      <w:r>
        <w:tab/>
        <w:t>Wading or paddling pools at the place</w:t>
      </w:r>
      <w:bookmarkEnd w:id="856"/>
      <w:bookmarkEnd w:id="857"/>
      <w:bookmarkEnd w:id="858"/>
    </w:p>
    <w:p>
      <w:pPr>
        <w:pStyle w:val="Subsection"/>
      </w:pPr>
      <w:r>
        <w:tab/>
        <w:t>(1)</w:t>
      </w:r>
      <w:r>
        <w:tab/>
        <w:t>Regulations 78, 79 and 80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859" w:name="_Toc378075918"/>
      <w:bookmarkStart w:id="860" w:name="_Toc425777690"/>
      <w:bookmarkStart w:id="861" w:name="_Toc313528222"/>
      <w:r>
        <w:rPr>
          <w:rStyle w:val="CharSectno"/>
        </w:rPr>
        <w:t>78</w:t>
      </w:r>
      <w:r>
        <w:t>.</w:t>
      </w:r>
      <w:r>
        <w:tab/>
        <w:t>Contact staff member in charge of water activities</w:t>
      </w:r>
      <w:bookmarkEnd w:id="859"/>
      <w:bookmarkEnd w:id="860"/>
      <w:bookmarkEnd w:id="861"/>
      <w:r>
        <w:t xml:space="preserve"> </w:t>
      </w:r>
    </w:p>
    <w:p>
      <w:pPr>
        <w:pStyle w:val="Subsection"/>
      </w:pPr>
      <w:r>
        <w:tab/>
      </w:r>
      <w:r>
        <w:tab/>
        <w:t xml:space="preserve">A licensee must ensure that the contact staff member in charge of supervising enrolled children engaged in a water activity — </w:t>
      </w:r>
    </w:p>
    <w:p>
      <w:pPr>
        <w:pStyle w:val="Indenta"/>
      </w:pPr>
      <w:r>
        <w:tab/>
        <w:t>(a)</w:t>
      </w:r>
      <w:r>
        <w:tab/>
        <w:t>is at least 21 years of age; and</w:t>
      </w:r>
    </w:p>
    <w:p>
      <w:pPr>
        <w:pStyle w:val="Indenta"/>
      </w:pPr>
      <w:r>
        <w:tab/>
        <w:t>(b)</w:t>
      </w:r>
      <w:r>
        <w:tab/>
        <w:t>supervises and manages the children engaged in the activity and the other contact staff members and any volunteers accompanying the children.</w:t>
      </w:r>
    </w:p>
    <w:p>
      <w:pPr>
        <w:pStyle w:val="Penstart"/>
      </w:pPr>
      <w:r>
        <w:tab/>
        <w:t>Penalty: a fine of $3 000.</w:t>
      </w:r>
    </w:p>
    <w:p>
      <w:pPr>
        <w:pStyle w:val="Heading5"/>
      </w:pPr>
      <w:bookmarkStart w:id="862" w:name="_Toc378075919"/>
      <w:bookmarkStart w:id="863" w:name="_Toc425777691"/>
      <w:bookmarkStart w:id="864" w:name="_Toc313528223"/>
      <w:r>
        <w:rPr>
          <w:rStyle w:val="CharSectno"/>
        </w:rPr>
        <w:t>79</w:t>
      </w:r>
      <w:r>
        <w:t>.</w:t>
      </w:r>
      <w:r>
        <w:tab/>
        <w:t>Water activities generally</w:t>
      </w:r>
      <w:bookmarkEnd w:id="862"/>
      <w:bookmarkEnd w:id="863"/>
      <w:bookmarkEnd w:id="864"/>
    </w:p>
    <w:p>
      <w:pPr>
        <w:pStyle w:val="Subsection"/>
      </w:pPr>
      <w:r>
        <w:tab/>
        <w:t>(1)</w:t>
      </w:r>
      <w:r>
        <w:tab/>
        <w:t xml:space="preserve">A licensee must ensure that enrolled children are not permitted to enter or remain in any body of water unless — </w:t>
      </w:r>
    </w:p>
    <w:p>
      <w:pPr>
        <w:pStyle w:val="Indenta"/>
      </w:pPr>
      <w:r>
        <w:tab/>
        <w:t>(a)</w:t>
      </w:r>
      <w:r>
        <w:tab/>
        <w:t>the contact staff member in charge of the water activity has completed the Risk Assessment Form for Water Activities set out in Schedule 2 and has assessed the risk of the activity accordingly as low or medium, but not high; and</w:t>
      </w:r>
    </w:p>
    <w:p>
      <w:pPr>
        <w:pStyle w:val="Indenta"/>
      </w:pPr>
      <w:r>
        <w:tab/>
        <w:t>(b)</w:t>
      </w:r>
      <w:r>
        <w:tab/>
        <w:t>the children are supervised by the contact staff members and qualified rescuers required under regulation 80.</w:t>
      </w:r>
    </w:p>
    <w:p>
      <w:pPr>
        <w:pStyle w:val="Subsection"/>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5"/>
      </w:pPr>
      <w:bookmarkStart w:id="865" w:name="_Toc378075920"/>
      <w:bookmarkStart w:id="866" w:name="_Toc425777692"/>
      <w:bookmarkStart w:id="867" w:name="_Toc313528224"/>
      <w:r>
        <w:rPr>
          <w:rStyle w:val="CharSectno"/>
        </w:rPr>
        <w:t>80</w:t>
      </w:r>
      <w:r>
        <w:t>.</w:t>
      </w:r>
      <w:r>
        <w:tab/>
        <w:t>Water activities: contact staff required</w:t>
      </w:r>
      <w:bookmarkEnd w:id="865"/>
      <w:bookmarkEnd w:id="866"/>
      <w:bookmarkEnd w:id="867"/>
    </w:p>
    <w:p>
      <w:pPr>
        <w:pStyle w:val="Subsection"/>
      </w:pPr>
      <w:r>
        <w:tab/>
        <w:t>(1)</w:t>
      </w:r>
      <w:r>
        <w:tab/>
        <w:t xml:space="preserve">While a number of enrolled children are engaged in a low risk water activity, a licensee must ensure that they are supervised at all times by — </w:t>
      </w:r>
    </w:p>
    <w:p>
      <w:pPr>
        <w:pStyle w:val="Indenta"/>
      </w:pPr>
      <w:r>
        <w:tab/>
        <w:t>(a)</w:t>
      </w:r>
      <w:r>
        <w:tab/>
        <w:t>the contact staff members required for that number of children under regulation 62;</w:t>
      </w:r>
    </w:p>
    <w:p>
      <w:pPr>
        <w:pStyle w:val="Indenta"/>
      </w:pPr>
      <w:r>
        <w:tab/>
        <w:t>(b)</w:t>
      </w:r>
      <w:r>
        <w:tab/>
        <w:t>if only one contact staff member would be required under paragraph (a), at least one other contact staff member or volunteer;</w:t>
      </w:r>
    </w:p>
    <w:p>
      <w:pPr>
        <w:pStyle w:val="Indenta"/>
      </w:pPr>
      <w:r>
        <w:tab/>
        <w:t>(c)</w:t>
      </w:r>
      <w:r>
        <w:tab/>
        <w:t xml:space="preserve">in the case of a low risk water activity, as many additional contact staff members or volunteers as are required to ensure that — </w:t>
      </w:r>
    </w:p>
    <w:p>
      <w:pPr>
        <w:pStyle w:val="Indenti"/>
      </w:pPr>
      <w:r>
        <w:tab/>
        <w:t>(i)</w:t>
      </w:r>
      <w:r>
        <w:tab/>
        <w:t>there is at least one contact staff member or volunteer for each multiple of 10 children and for any remainder of fewer than 10 children; and</w:t>
      </w:r>
    </w:p>
    <w:p>
      <w:pPr>
        <w:pStyle w:val="Indenti"/>
      </w:pPr>
      <w:r>
        <w:tab/>
        <w:t>(ii)</w:t>
      </w:r>
      <w:r>
        <w:tab/>
        <w:t>of the contact staff members and volunteers who supervise the children, there is at least one who is a qualified rescuer for each multiple of 20 children and for any remainder of fewer than 20 children;</w:t>
      </w:r>
    </w:p>
    <w:p>
      <w:pPr>
        <w:pStyle w:val="Indenta"/>
      </w:pPr>
      <w:r>
        <w:tab/>
      </w:r>
      <w:r>
        <w:tab/>
        <w:t>and</w:t>
      </w:r>
    </w:p>
    <w:p>
      <w:pPr>
        <w:pStyle w:val="Indenta"/>
      </w:pPr>
      <w:r>
        <w:tab/>
        <w:t>(d)</w:t>
      </w:r>
      <w:r>
        <w:tab/>
        <w:t xml:space="preserve">in the case of a medium risk water activity — as many additional contact staff members or volunteers as are required to ensure that — </w:t>
      </w:r>
    </w:p>
    <w:p>
      <w:pPr>
        <w:pStyle w:val="Indenti"/>
      </w:pPr>
      <w:r>
        <w:tab/>
        <w:t>(i)</w:t>
      </w:r>
      <w:r>
        <w:tab/>
        <w:t>there is at least one contact staff member or volunteer for each multiple of 5 children and for any remainder of fewer than 5 children; and</w:t>
      </w:r>
    </w:p>
    <w:p>
      <w:pPr>
        <w:pStyle w:val="Indenti"/>
      </w:pPr>
      <w:r>
        <w:tab/>
        <w:t>(ii)</w:t>
      </w:r>
      <w:r>
        <w:tab/>
        <w:t>of the contact staff members and volunteers who supervise the children, there is at least one who is a qualified rescuer for each multiple of 10 children and for any remainder of fewer than 10 children.</w:t>
      </w:r>
    </w:p>
    <w:p>
      <w:pPr>
        <w:pStyle w:val="Subsection"/>
      </w:pPr>
      <w:r>
        <w:tab/>
        <w:t>(2)</w:t>
      </w:r>
      <w:r>
        <w:tab/>
        <w:t>If kindergarten children engage in a low or medium risk water activity, a licensee must ensure that the kindergarten children are supervised in the ratio of one contact staff member or volunteer to 2 kindergarten children.</w:t>
      </w:r>
    </w:p>
    <w:p>
      <w:pPr>
        <w:pStyle w:val="Penstart"/>
      </w:pPr>
      <w:r>
        <w:tab/>
        <w:t>Penalty: a fine of $4 000.</w:t>
      </w:r>
    </w:p>
    <w:p>
      <w:pPr>
        <w:pStyle w:val="Heading3"/>
      </w:pPr>
      <w:bookmarkStart w:id="868" w:name="_Toc378075921"/>
      <w:bookmarkStart w:id="869" w:name="_Toc425777585"/>
      <w:bookmarkStart w:id="870" w:name="_Toc425777693"/>
      <w:bookmarkStart w:id="871" w:name="_Toc128287516"/>
      <w:bookmarkStart w:id="872" w:name="_Toc128361468"/>
      <w:bookmarkStart w:id="873" w:name="_Toc129055628"/>
      <w:bookmarkStart w:id="874" w:name="_Toc129062684"/>
      <w:bookmarkStart w:id="875" w:name="_Toc153260872"/>
      <w:bookmarkStart w:id="876" w:name="_Toc153264687"/>
      <w:bookmarkStart w:id="877" w:name="_Toc155681788"/>
      <w:bookmarkStart w:id="878" w:name="_Toc155684263"/>
      <w:bookmarkStart w:id="879" w:name="_Toc156613405"/>
      <w:bookmarkStart w:id="880" w:name="_Toc156797641"/>
      <w:bookmarkStart w:id="881" w:name="_Toc158026440"/>
      <w:bookmarkStart w:id="882" w:name="_Toc174345274"/>
      <w:bookmarkStart w:id="883" w:name="_Toc174423720"/>
      <w:bookmarkStart w:id="884" w:name="_Toc177373572"/>
      <w:bookmarkStart w:id="885" w:name="_Toc177437250"/>
      <w:bookmarkStart w:id="886" w:name="_Toc177886361"/>
      <w:bookmarkStart w:id="887" w:name="_Toc179695336"/>
      <w:bookmarkStart w:id="888" w:name="_Toc180393925"/>
      <w:bookmarkStart w:id="889" w:name="_Toc180398212"/>
      <w:bookmarkStart w:id="890" w:name="_Toc313528116"/>
      <w:bookmarkStart w:id="891" w:name="_Toc313528225"/>
      <w:r>
        <w:rPr>
          <w:rStyle w:val="CharDivNo"/>
        </w:rPr>
        <w:t>Division 6</w:t>
      </w:r>
      <w:r>
        <w:t> — </w:t>
      </w:r>
      <w:r>
        <w:rPr>
          <w:rStyle w:val="CharDivText"/>
        </w:rPr>
        <w:t>Safety and health of enrolled children</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Heading5"/>
      </w:pPr>
      <w:bookmarkStart w:id="892" w:name="_Toc378075922"/>
      <w:bookmarkStart w:id="893" w:name="_Toc425777694"/>
      <w:bookmarkStart w:id="894" w:name="_Toc313528226"/>
      <w:r>
        <w:rPr>
          <w:rStyle w:val="CharSectno"/>
        </w:rPr>
        <w:t>81</w:t>
      </w:r>
      <w:r>
        <w:t>.</w:t>
      </w:r>
      <w:r>
        <w:tab/>
        <w:t>Protection of enrolled children leaving the place</w:t>
      </w:r>
      <w:bookmarkEnd w:id="892"/>
      <w:bookmarkEnd w:id="893"/>
      <w:bookmarkEnd w:id="894"/>
    </w:p>
    <w:p>
      <w:pPr>
        <w:pStyle w:val="Subsection"/>
      </w:pPr>
      <w:r>
        <w:tab/>
        <w:t>(1)</w:t>
      </w:r>
      <w:r>
        <w:tab/>
        <w:t xml:space="preserve">A licensee must ensure that an enrolled child does not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A licensee must ensure that the CEO is notified as soon as practicable if an enrolled child leaves the place in circumstances other than those referred to in subregulation (1)(a)(i) or (b).</w:t>
      </w:r>
    </w:p>
    <w:p>
      <w:pPr>
        <w:pStyle w:val="Penstart"/>
      </w:pPr>
      <w:r>
        <w:tab/>
        <w:t>Penalty: a fine of $3 000.</w:t>
      </w:r>
    </w:p>
    <w:p>
      <w:pPr>
        <w:pStyle w:val="Footnotesection"/>
      </w:pPr>
      <w:r>
        <w:tab/>
        <w:t>[Regulation 81 amended in Gazette 6 Jan 2012 p. 35.]</w:t>
      </w:r>
    </w:p>
    <w:p>
      <w:pPr>
        <w:pStyle w:val="Heading5"/>
      </w:pPr>
      <w:bookmarkStart w:id="895" w:name="_Toc378075923"/>
      <w:bookmarkStart w:id="896" w:name="_Toc425777695"/>
      <w:bookmarkStart w:id="897" w:name="_Toc313528227"/>
      <w:r>
        <w:rPr>
          <w:rStyle w:val="CharSectno"/>
        </w:rPr>
        <w:t>82A</w:t>
      </w:r>
      <w:r>
        <w:t>.</w:t>
      </w:r>
      <w:r>
        <w:tab/>
        <w:t>Medication</w:t>
      </w:r>
      <w:bookmarkEnd w:id="895"/>
      <w:bookmarkEnd w:id="896"/>
      <w:bookmarkEnd w:id="897"/>
    </w:p>
    <w:p>
      <w:pPr>
        <w:pStyle w:val="Subsection"/>
      </w:pPr>
      <w:r>
        <w:tab/>
        <w:t>(1)</w:t>
      </w:r>
      <w:r>
        <w:tab/>
        <w:t>If the enrolment form kept by a licensee under regulation 47(1) for an enrolled child contains details of medication referred to in regulation 47(2)(m), the licensee must ensure that a parent of the child is asked to provide the medication so that it is available for administration to the child.</w:t>
      </w:r>
    </w:p>
    <w:p>
      <w:pPr>
        <w:pStyle w:val="Subsection"/>
      </w:pPr>
      <w:r>
        <w:tab/>
        <w:t>(2)</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(3)</w:t>
      </w:r>
      <w:r>
        <w:tab/>
        <w:t>A licensee must ensure that medication is not self</w:t>
      </w:r>
      <w:r>
        <w:noBreakHyphen/>
        <w:t>administered by an enrolled child without the direct supervision of a contact staff member.</w:t>
      </w:r>
    </w:p>
    <w:p>
      <w:pPr>
        <w:pStyle w:val="Subsection"/>
      </w:pPr>
      <w:r>
        <w:tab/>
        <w:t>(4)</w:t>
      </w:r>
      <w:r>
        <w:tab/>
        <w:t>Subregulation (3) does not apply to the self</w:t>
      </w:r>
      <w:r>
        <w:noBreakHyphen/>
        <w:t>administration of a non</w:t>
      </w:r>
      <w:r>
        <w:noBreakHyphen/>
        <w:t>prescription asthma inhaler.</w:t>
      </w:r>
    </w:p>
    <w:p>
      <w:pPr>
        <w:pStyle w:val="Penstart"/>
      </w:pPr>
      <w:r>
        <w:tab/>
        <w:t>Penalty: a fine of $4 000.</w:t>
      </w:r>
    </w:p>
    <w:p>
      <w:pPr>
        <w:pStyle w:val="Footnotesection"/>
      </w:pPr>
      <w:r>
        <w:tab/>
        <w:t>[Regulation 82A inserted in Gazette 6 Jan 2012 p. 35-6.]</w:t>
      </w:r>
    </w:p>
    <w:p>
      <w:pPr>
        <w:pStyle w:val="Heading5"/>
      </w:pPr>
      <w:bookmarkStart w:id="898" w:name="_Toc378075924"/>
      <w:bookmarkStart w:id="899" w:name="_Toc425777696"/>
      <w:bookmarkStart w:id="900" w:name="_Toc313528228"/>
      <w:r>
        <w:rPr>
          <w:rStyle w:val="CharSectno"/>
        </w:rPr>
        <w:t>82</w:t>
      </w:r>
      <w:r>
        <w:t>.</w:t>
      </w:r>
      <w:r>
        <w:tab/>
        <w:t>Illness or accident to enrolled child</w:t>
      </w:r>
      <w:bookmarkEnd w:id="898"/>
      <w:bookmarkEnd w:id="899"/>
      <w:bookmarkEnd w:id="900"/>
    </w:p>
    <w:p>
      <w:pPr>
        <w:pStyle w:val="Ednotesubsection"/>
      </w:pPr>
      <w:r>
        <w:tab/>
        <w:t>[(1)-(3)</w:t>
      </w:r>
      <w:r>
        <w:tab/>
        <w:t>deleted]</w:t>
      </w:r>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staff members,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Footnotesection"/>
      </w:pPr>
      <w:r>
        <w:tab/>
        <w:t>[Regulation 82 amended in Gazette 6 Jan 2012 p. 36.]</w:t>
      </w:r>
    </w:p>
    <w:p>
      <w:pPr>
        <w:pStyle w:val="Heading5"/>
        <w:spacing w:before="180"/>
      </w:pPr>
      <w:bookmarkStart w:id="901" w:name="_Toc378075925"/>
      <w:bookmarkStart w:id="902" w:name="_Toc425777697"/>
      <w:bookmarkStart w:id="903" w:name="_Toc313528229"/>
      <w:r>
        <w:rPr>
          <w:rStyle w:val="CharSectno"/>
        </w:rPr>
        <w:t>83</w:t>
      </w:r>
      <w:r>
        <w:t>.</w:t>
      </w:r>
      <w:r>
        <w:tab/>
        <w:t>Hygiene standards</w:t>
      </w:r>
      <w:bookmarkEnd w:id="901"/>
      <w:bookmarkEnd w:id="902"/>
      <w:bookmarkEnd w:id="903"/>
    </w:p>
    <w:p>
      <w:pPr>
        <w:pStyle w:val="Subsection"/>
        <w:spacing w:before="120"/>
      </w:pPr>
      <w:r>
        <w:tab/>
      </w:r>
      <w:r>
        <w:tab/>
        <w:t>A licensee must ensure that contact staff members observe and maintain reasonable standards of hygiene in the provision of the outside school hours care service.</w:t>
      </w:r>
    </w:p>
    <w:p>
      <w:pPr>
        <w:pStyle w:val="Penstart"/>
      </w:pPr>
      <w:r>
        <w:tab/>
        <w:t>Penalty: a fine of $2 000.</w:t>
      </w:r>
    </w:p>
    <w:p>
      <w:pPr>
        <w:pStyle w:val="Heading5"/>
        <w:spacing w:before="180"/>
      </w:pPr>
      <w:bookmarkStart w:id="904" w:name="_Toc378075926"/>
      <w:bookmarkStart w:id="905" w:name="_Toc425777698"/>
      <w:bookmarkStart w:id="906" w:name="_Toc313528230"/>
      <w:r>
        <w:rPr>
          <w:rStyle w:val="CharSectno"/>
        </w:rPr>
        <w:t>84</w:t>
      </w:r>
      <w:r>
        <w:t>.</w:t>
      </w:r>
      <w:r>
        <w:tab/>
        <w:t>Alcohol and drugs</w:t>
      </w:r>
      <w:bookmarkEnd w:id="904"/>
      <w:bookmarkEnd w:id="905"/>
      <w:bookmarkEnd w:id="906"/>
    </w:p>
    <w:p>
      <w:pPr>
        <w:pStyle w:val="Subsection"/>
        <w:spacing w:before="120"/>
      </w:pPr>
      <w:r>
        <w:tab/>
        <w:t>(1)</w:t>
      </w:r>
      <w:r>
        <w:tab/>
        <w:t>If an enrolled child appears to be adversely affected by alcohol, drugs, or any other potentially deleterious substance, a licensee must ensure that a parent of the child is called to collect the child from the outside school hours care service as soon as practicable.</w:t>
      </w:r>
    </w:p>
    <w:p>
      <w:pPr>
        <w:pStyle w:val="Subsection"/>
        <w:spacing w:before="120"/>
      </w:pPr>
      <w:r>
        <w:tab/>
        <w:t>(2)</w:t>
      </w:r>
      <w:r>
        <w:tab/>
        <w:t>A licensee must ensure that no other person who appears to be adversely affected by alcohol, drugs, or any other potentially deleterious substance remains at the place during a care session.</w:t>
      </w:r>
    </w:p>
    <w:p>
      <w:pPr>
        <w:pStyle w:val="Subsection"/>
        <w:spacing w:before="120"/>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spacing w:before="180"/>
      </w:pPr>
      <w:bookmarkStart w:id="907" w:name="_Toc378075927"/>
      <w:bookmarkStart w:id="908" w:name="_Toc425777699"/>
      <w:bookmarkStart w:id="909" w:name="_Toc313528231"/>
      <w:r>
        <w:rPr>
          <w:rStyle w:val="CharSectno"/>
        </w:rPr>
        <w:t>85</w:t>
      </w:r>
      <w:r>
        <w:t>.</w:t>
      </w:r>
      <w:r>
        <w:tab/>
        <w:t>Smoking</w:t>
      </w:r>
      <w:bookmarkEnd w:id="907"/>
      <w:bookmarkEnd w:id="908"/>
      <w:bookmarkEnd w:id="909"/>
    </w:p>
    <w:p>
      <w:pPr>
        <w:pStyle w:val="Subsection"/>
        <w:spacing w:before="120"/>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910" w:name="_Toc378075928"/>
      <w:bookmarkStart w:id="911" w:name="_Toc425777592"/>
      <w:bookmarkStart w:id="912" w:name="_Toc425777700"/>
      <w:bookmarkStart w:id="913" w:name="_Toc128287522"/>
      <w:bookmarkStart w:id="914" w:name="_Toc128361474"/>
      <w:bookmarkStart w:id="915" w:name="_Toc129055634"/>
      <w:bookmarkStart w:id="916" w:name="_Toc129062690"/>
      <w:bookmarkStart w:id="917" w:name="_Toc153260878"/>
      <w:bookmarkStart w:id="918" w:name="_Toc153264693"/>
      <w:bookmarkStart w:id="919" w:name="_Toc155681794"/>
      <w:bookmarkStart w:id="920" w:name="_Toc155684269"/>
      <w:bookmarkStart w:id="921" w:name="_Toc156613411"/>
      <w:bookmarkStart w:id="922" w:name="_Toc156797647"/>
      <w:bookmarkStart w:id="923" w:name="_Toc158026446"/>
      <w:bookmarkStart w:id="924" w:name="_Toc174345280"/>
      <w:bookmarkStart w:id="925" w:name="_Toc174423726"/>
      <w:bookmarkStart w:id="926" w:name="_Toc177373578"/>
      <w:bookmarkStart w:id="927" w:name="_Toc177437256"/>
      <w:bookmarkStart w:id="928" w:name="_Toc177886367"/>
      <w:bookmarkStart w:id="929" w:name="_Toc179695342"/>
      <w:bookmarkStart w:id="930" w:name="_Toc180393931"/>
      <w:bookmarkStart w:id="931" w:name="_Toc180398218"/>
      <w:bookmarkStart w:id="932" w:name="_Toc313528123"/>
      <w:bookmarkStart w:id="933" w:name="_Toc313528232"/>
      <w:r>
        <w:rPr>
          <w:rStyle w:val="CharPartNo"/>
        </w:rPr>
        <w:t>Part 5</w:t>
      </w:r>
      <w:r>
        <w:rPr>
          <w:rStyle w:val="CharDivNo"/>
        </w:rPr>
        <w:t> </w:t>
      </w:r>
      <w:r>
        <w:t>—</w:t>
      </w:r>
      <w:r>
        <w:rPr>
          <w:rStyle w:val="CharDivText"/>
        </w:rPr>
        <w:t> </w:t>
      </w:r>
      <w:r>
        <w:rPr>
          <w:rStyle w:val="CharPartText"/>
        </w:rPr>
        <w:t>Other matters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pPr>
      <w:bookmarkStart w:id="934" w:name="_Toc378075929"/>
      <w:bookmarkStart w:id="935" w:name="_Toc425777701"/>
      <w:bookmarkStart w:id="936" w:name="_Toc313528233"/>
      <w:r>
        <w:rPr>
          <w:rStyle w:val="CharSectno"/>
        </w:rPr>
        <w:t>86</w:t>
      </w:r>
      <w:r>
        <w:t>.</w:t>
      </w:r>
      <w:r>
        <w:tab/>
        <w:t>Medical examination</w:t>
      </w:r>
      <w:bookmarkEnd w:id="934"/>
      <w:bookmarkEnd w:id="935"/>
      <w:bookmarkEnd w:id="936"/>
    </w:p>
    <w:p>
      <w:pPr>
        <w:pStyle w:val="Subsection"/>
      </w:pPr>
      <w:r>
        <w:tab/>
        <w:t>(1)</w:t>
      </w:r>
      <w:r>
        <w:tab/>
        <w:t>The CEO may, by written notice, require a licensee or supervising officer to undergo a medical examination, within the time specified in the notice, relating to a matter that is relevant to the health and safety of children.</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937" w:name="_Toc378075930"/>
      <w:bookmarkStart w:id="938" w:name="_Toc425777702"/>
      <w:bookmarkStart w:id="939" w:name="_Toc313528234"/>
      <w:r>
        <w:rPr>
          <w:rStyle w:val="CharSectno"/>
        </w:rPr>
        <w:t>87</w:t>
      </w:r>
      <w:r>
        <w:t>.</w:t>
      </w:r>
      <w:r>
        <w:tab/>
        <w:t>Notification of convictions</w:t>
      </w:r>
      <w:bookmarkEnd w:id="937"/>
      <w:bookmarkEnd w:id="938"/>
      <w:bookmarkEnd w:id="939"/>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an outside school hours care service is provided that the licensee has been convicted of that offence.</w:t>
      </w:r>
    </w:p>
    <w:p>
      <w:pPr>
        <w:pStyle w:val="Subsection"/>
      </w:pPr>
      <w:r>
        <w:tab/>
        <w:t>(3)</w:t>
      </w:r>
      <w:r>
        <w:tab/>
        <w:t>For the purpose of giving the notice referred to in subregulation (2), the CEO may require the licensee to give the CEO a list of the names and addresses of the parents.</w:t>
      </w:r>
    </w:p>
    <w:p>
      <w:pPr>
        <w:pStyle w:val="Subsection"/>
        <w:keepNext/>
        <w:keepLines/>
      </w:pPr>
      <w:r>
        <w:tab/>
        <w:t>(4)</w:t>
      </w:r>
      <w:r>
        <w:tab/>
        <w:t>A licensee must comply with a requirement under subregulation (3).</w:t>
      </w:r>
    </w:p>
    <w:p>
      <w:pPr>
        <w:pStyle w:val="Penstart"/>
        <w:keepNext/>
        <w:keepLines/>
      </w:pPr>
      <w:r>
        <w:tab/>
        <w:t>Penalty: a fine of $3 000.</w:t>
      </w:r>
    </w:p>
    <w:p>
      <w:pPr>
        <w:pStyle w:val="Footnotesection"/>
      </w:pPr>
      <w:r>
        <w:tab/>
        <w:t>[Regulation 87 amended in Gazette 7 Aug 2007 p. 4040.]</w:t>
      </w:r>
    </w:p>
    <w:p>
      <w:pPr>
        <w:pStyle w:val="Heading5"/>
      </w:pPr>
      <w:bookmarkStart w:id="940" w:name="_Toc378075931"/>
      <w:bookmarkStart w:id="941" w:name="_Toc425777703"/>
      <w:bookmarkStart w:id="942" w:name="_Toc313528235"/>
      <w:r>
        <w:rPr>
          <w:rStyle w:val="CharSectno"/>
        </w:rPr>
        <w:t>88</w:t>
      </w:r>
      <w:r>
        <w:t>.</w:t>
      </w:r>
      <w:r>
        <w:tab/>
        <w:t>Continued operation of service in certain circumstances</w:t>
      </w:r>
      <w:bookmarkEnd w:id="940"/>
      <w:bookmarkEnd w:id="941"/>
      <w:bookmarkEnd w:id="942"/>
    </w:p>
    <w:p>
      <w:pPr>
        <w:pStyle w:val="Subsection"/>
      </w:pPr>
      <w:r>
        <w:tab/>
        <w:t>(1)</w:t>
      </w:r>
      <w:r>
        <w:tab/>
        <w:t>In an emergency situation or in circumstances where the licence for the outside school hours care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88 inserted in Gazette 1 Mar 2006 p. 926.]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43" w:name="_Toc378075932"/>
      <w:bookmarkStart w:id="944" w:name="_Toc425777596"/>
      <w:bookmarkStart w:id="945" w:name="_Toc425777704"/>
      <w:bookmarkStart w:id="946" w:name="_Toc128287525"/>
      <w:bookmarkStart w:id="947" w:name="_Toc128361477"/>
      <w:bookmarkStart w:id="948" w:name="_Toc129055638"/>
      <w:bookmarkStart w:id="949" w:name="_Toc129062694"/>
      <w:bookmarkStart w:id="950" w:name="_Toc153260882"/>
      <w:bookmarkStart w:id="951" w:name="_Toc153264697"/>
      <w:bookmarkStart w:id="952" w:name="_Toc155681798"/>
      <w:bookmarkStart w:id="953" w:name="_Toc155684273"/>
      <w:bookmarkStart w:id="954" w:name="_Toc156613415"/>
      <w:bookmarkStart w:id="955" w:name="_Toc156797651"/>
      <w:bookmarkStart w:id="956" w:name="_Toc158026450"/>
      <w:bookmarkStart w:id="957" w:name="_Toc174345284"/>
      <w:bookmarkStart w:id="958" w:name="_Toc174423730"/>
      <w:bookmarkStart w:id="959" w:name="_Toc177373582"/>
      <w:bookmarkStart w:id="960" w:name="_Toc177437260"/>
      <w:bookmarkStart w:id="961" w:name="_Toc177886371"/>
      <w:bookmarkStart w:id="962" w:name="_Toc179695346"/>
      <w:bookmarkStart w:id="963" w:name="_Toc180393935"/>
      <w:bookmarkStart w:id="964" w:name="_Toc180398222"/>
      <w:bookmarkStart w:id="965" w:name="_Toc313528127"/>
      <w:bookmarkStart w:id="966" w:name="_Toc313528236"/>
      <w:r>
        <w:rPr>
          <w:rStyle w:val="CharSchNo"/>
        </w:rPr>
        <w:t>Schedule 1</w:t>
      </w:r>
      <w:r>
        <w:rPr>
          <w:rStyle w:val="CharSDivNo"/>
        </w:rPr>
        <w:t> </w:t>
      </w:r>
      <w:r>
        <w:t>—</w:t>
      </w:r>
      <w:bookmarkStart w:id="967" w:name="AutoSch"/>
      <w:bookmarkEnd w:id="967"/>
      <w:r>
        <w:rPr>
          <w:rStyle w:val="CharSDivText"/>
        </w:rPr>
        <w:t> </w:t>
      </w:r>
      <w:r>
        <w:rPr>
          <w:rStyle w:val="CharSchText"/>
        </w:rPr>
        <w:t>Contact staff requirements</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yShoulderClause"/>
      </w:pPr>
      <w:r>
        <w:t>[r. 62 and 64]</w:t>
      </w:r>
    </w:p>
    <w:p>
      <w:pPr>
        <w:pStyle w:val="yMiscellaneousHeading"/>
        <w:spacing w:after="120"/>
        <w:rPr>
          <w:b/>
        </w:rPr>
      </w:pPr>
      <w:r>
        <w:rPr>
          <w:b/>
        </w:rPr>
        <w:t>Table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yTable"/>
              <w:jc w:val="center"/>
              <w:rPr>
                <w:b/>
              </w:rPr>
            </w:pPr>
            <w:r>
              <w:rPr>
                <w:b/>
              </w:rPr>
              <w:t>Minimum contact staff (routine periods)</w:t>
            </w:r>
          </w:p>
          <w:p>
            <w:pPr>
              <w:pStyle w:val="yTable"/>
              <w:jc w:val="center"/>
              <w:rPr>
                <w:b/>
              </w:rPr>
            </w:pPr>
            <w:r>
              <w:rPr>
                <w:b/>
              </w:rPr>
              <w:t>(if no kindergarten child is at the care session)</w:t>
            </w:r>
          </w:p>
        </w:tc>
      </w:tr>
      <w:tr>
        <w:trPr>
          <w:cantSplit/>
          <w:tblHeader/>
        </w:trPr>
        <w:tc>
          <w:tcPr>
            <w:tcW w:w="1027" w:type="dxa"/>
            <w:tcBorders>
              <w:top w:val="nil"/>
              <w:left w:val="nil"/>
              <w:bottom w:val="nil"/>
              <w:right w:val="nil"/>
            </w:tcBorders>
          </w:tcPr>
          <w:p>
            <w:pPr>
              <w:pStyle w:val="yTable"/>
              <w:jc w:val="center"/>
              <w:rPr>
                <w:b/>
              </w:rPr>
            </w:pPr>
            <w:r>
              <w:rPr>
                <w:b/>
              </w:rPr>
              <w:t>No. of enrolled children</w:t>
            </w:r>
          </w:p>
        </w:tc>
        <w:tc>
          <w:tcPr>
            <w:tcW w:w="958" w:type="dxa"/>
            <w:tcBorders>
              <w:top w:val="nil"/>
              <w:left w:val="nil"/>
              <w:bottom w:val="nil"/>
              <w:right w:val="nil"/>
            </w:tcBorders>
          </w:tcPr>
          <w:p>
            <w:pPr>
              <w:pStyle w:val="yTable"/>
              <w:jc w:val="center"/>
              <w:rPr>
                <w:b/>
              </w:rPr>
            </w:pPr>
            <w:r>
              <w:rPr>
                <w:b/>
              </w:rPr>
              <w:t>No. of contact staff</w:t>
            </w:r>
          </w:p>
        </w:tc>
        <w:tc>
          <w:tcPr>
            <w:tcW w:w="1276" w:type="dxa"/>
            <w:tcBorders>
              <w:top w:val="nil"/>
              <w:left w:val="nil"/>
              <w:bottom w:val="nil"/>
              <w:right w:val="nil"/>
            </w:tcBorders>
          </w:tcPr>
          <w:p>
            <w:pPr>
              <w:pStyle w:val="yTable"/>
              <w:jc w:val="center"/>
              <w:rPr>
                <w:b/>
              </w:rPr>
            </w:pPr>
            <w:r>
              <w:rPr>
                <w:b/>
              </w:rPr>
              <w:t>No. of qualified care givers</w:t>
            </w:r>
          </w:p>
        </w:tc>
        <w:tc>
          <w:tcPr>
            <w:tcW w:w="1559" w:type="dxa"/>
            <w:tcBorders>
              <w:top w:val="nil"/>
              <w:left w:val="nil"/>
              <w:bottom w:val="nil"/>
              <w:right w:val="nil"/>
            </w:tcBorders>
          </w:tcPr>
          <w:p>
            <w:pPr>
              <w:pStyle w:val="yTable"/>
              <w:jc w:val="center"/>
              <w:rPr>
                <w:b/>
              </w:rPr>
            </w:pPr>
            <w:r>
              <w:rPr>
                <w:b/>
              </w:rPr>
              <w:t>No. of first aid officers</w:t>
            </w:r>
          </w:p>
        </w:tc>
        <w:tc>
          <w:tcPr>
            <w:tcW w:w="2268" w:type="dxa"/>
            <w:gridSpan w:val="3"/>
            <w:tcBorders>
              <w:top w:val="nil"/>
              <w:left w:val="nil"/>
              <w:bottom w:val="nil"/>
              <w:right w:val="nil"/>
            </w:tcBorders>
          </w:tcPr>
          <w:p>
            <w:pPr>
              <w:pStyle w:val="yTable"/>
              <w:jc w:val="center"/>
              <w:rPr>
                <w:b/>
              </w:rPr>
            </w:pPr>
            <w:r>
              <w:rPr>
                <w:b/>
              </w:rPr>
              <w:t xml:space="preserve">No. of contact staff who have reached the age of — </w:t>
            </w:r>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yTable"/>
              <w:jc w:val="center"/>
              <w:rPr>
                <w:b/>
                <w:bCs/>
              </w:rPr>
            </w:pPr>
            <w:r>
              <w:rPr>
                <w:b/>
                <w:bCs/>
              </w:rPr>
              <w:t>21</w:t>
            </w:r>
          </w:p>
        </w:tc>
        <w:tc>
          <w:tcPr>
            <w:tcW w:w="709" w:type="dxa"/>
            <w:tcBorders>
              <w:top w:val="nil"/>
              <w:left w:val="nil"/>
              <w:bottom w:val="single" w:sz="4" w:space="0" w:color="auto"/>
              <w:right w:val="nil"/>
            </w:tcBorders>
          </w:tcPr>
          <w:p>
            <w:pPr>
              <w:pStyle w:val="yTable"/>
              <w:jc w:val="center"/>
              <w:rPr>
                <w:b/>
                <w:bCs/>
              </w:rPr>
            </w:pPr>
            <w:r>
              <w:rPr>
                <w:b/>
                <w:bCs/>
              </w:rPr>
              <w:t>18</w:t>
            </w:r>
          </w:p>
        </w:tc>
        <w:tc>
          <w:tcPr>
            <w:tcW w:w="709" w:type="dxa"/>
            <w:tcBorders>
              <w:top w:val="nil"/>
              <w:left w:val="nil"/>
              <w:bottom w:val="single" w:sz="4" w:space="0" w:color="auto"/>
              <w:right w:val="nil"/>
            </w:tcBorders>
          </w:tcPr>
          <w:p>
            <w:pPr>
              <w:pStyle w:val="yTable"/>
              <w:jc w:val="center"/>
              <w:rPr>
                <w:b/>
                <w:bCs/>
              </w:rPr>
            </w:pPr>
            <w:r>
              <w:rPr>
                <w:b/>
                <w:bCs/>
              </w:rPr>
              <w:t>16</w:t>
            </w:r>
          </w:p>
        </w:tc>
      </w:tr>
      <w:tr>
        <w:tc>
          <w:tcPr>
            <w:tcW w:w="1027" w:type="dxa"/>
            <w:tcBorders>
              <w:top w:val="nil"/>
              <w:left w:val="nil"/>
              <w:bottom w:val="nil"/>
              <w:right w:val="nil"/>
            </w:tcBorders>
          </w:tcPr>
          <w:p>
            <w:pPr>
              <w:pStyle w:val="yTable"/>
            </w:pPr>
            <w:r>
              <w:t>1</w:t>
            </w:r>
            <w:r>
              <w:noBreakHyphen/>
              <w:t>10</w:t>
            </w:r>
          </w:p>
        </w:tc>
        <w:tc>
          <w:tcPr>
            <w:tcW w:w="958" w:type="dxa"/>
            <w:tcBorders>
              <w:top w:val="nil"/>
              <w:left w:val="nil"/>
              <w:bottom w:val="nil"/>
              <w:right w:val="nil"/>
            </w:tcBorders>
          </w:tcPr>
          <w:p>
            <w:pPr>
              <w:pStyle w:val="yTable"/>
              <w:jc w:val="center"/>
            </w:pPr>
            <w:r>
              <w:t>1</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11</w:t>
            </w:r>
            <w:r>
              <w:noBreakHyphen/>
              <w:t>26</w:t>
            </w:r>
          </w:p>
        </w:tc>
        <w:tc>
          <w:tcPr>
            <w:tcW w:w="958" w:type="dxa"/>
            <w:tcBorders>
              <w:top w:val="nil"/>
              <w:left w:val="nil"/>
              <w:bottom w:val="nil"/>
              <w:right w:val="nil"/>
            </w:tcBorders>
          </w:tcPr>
          <w:p>
            <w:pPr>
              <w:pStyle w:val="yTable"/>
              <w:jc w:val="center"/>
            </w:pPr>
            <w:r>
              <w:t>2</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27</w:t>
            </w:r>
            <w:r>
              <w:noBreakHyphen/>
              <w:t>39</w:t>
            </w:r>
          </w:p>
        </w:tc>
        <w:tc>
          <w:tcPr>
            <w:tcW w:w="958" w:type="dxa"/>
            <w:tcBorders>
              <w:top w:val="nil"/>
              <w:left w:val="nil"/>
              <w:bottom w:val="nil"/>
              <w:right w:val="nil"/>
            </w:tcBorders>
          </w:tcPr>
          <w:p>
            <w:pPr>
              <w:pStyle w:val="yTable"/>
              <w:jc w:val="center"/>
            </w:pPr>
            <w:r>
              <w:t>3</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40</w:t>
            </w:r>
            <w:r>
              <w:noBreakHyphen/>
              <w:t>52</w:t>
            </w:r>
          </w:p>
        </w:tc>
        <w:tc>
          <w:tcPr>
            <w:tcW w:w="958" w:type="dxa"/>
            <w:tcBorders>
              <w:top w:val="nil"/>
              <w:left w:val="nil"/>
              <w:bottom w:val="nil"/>
              <w:right w:val="nil"/>
            </w:tcBorders>
          </w:tcPr>
          <w:p>
            <w:pPr>
              <w:pStyle w:val="yTable"/>
              <w:jc w:val="center"/>
            </w:pPr>
            <w:r>
              <w:t>4</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53</w:t>
            </w:r>
            <w:r>
              <w:noBreakHyphen/>
              <w:t>65</w:t>
            </w:r>
          </w:p>
        </w:tc>
        <w:tc>
          <w:tcPr>
            <w:tcW w:w="958" w:type="dxa"/>
            <w:tcBorders>
              <w:top w:val="nil"/>
              <w:left w:val="nil"/>
              <w:bottom w:val="nil"/>
              <w:right w:val="nil"/>
            </w:tcBorders>
          </w:tcPr>
          <w:p>
            <w:pPr>
              <w:pStyle w:val="yTable"/>
              <w:jc w:val="center"/>
            </w:pPr>
            <w:r>
              <w:t>5</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66</w:t>
            </w:r>
            <w:r>
              <w:noBreakHyphen/>
              <w:t>78</w:t>
            </w:r>
          </w:p>
        </w:tc>
        <w:tc>
          <w:tcPr>
            <w:tcW w:w="958" w:type="dxa"/>
            <w:tcBorders>
              <w:top w:val="nil"/>
              <w:left w:val="nil"/>
              <w:bottom w:val="nil"/>
              <w:right w:val="nil"/>
            </w:tcBorders>
          </w:tcPr>
          <w:p>
            <w:pPr>
              <w:pStyle w:val="yTable"/>
              <w:jc w:val="center"/>
            </w:pPr>
            <w:r>
              <w:t>6</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79</w:t>
            </w:r>
            <w:r>
              <w:noBreakHyphen/>
              <w:t>91</w:t>
            </w:r>
          </w:p>
        </w:tc>
        <w:tc>
          <w:tcPr>
            <w:tcW w:w="958" w:type="dxa"/>
            <w:tcBorders>
              <w:top w:val="nil"/>
              <w:left w:val="nil"/>
              <w:bottom w:val="nil"/>
              <w:right w:val="nil"/>
            </w:tcBorders>
          </w:tcPr>
          <w:p>
            <w:pPr>
              <w:pStyle w:val="yTable"/>
              <w:jc w:val="center"/>
            </w:pPr>
            <w:r>
              <w:t>7</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92</w:t>
            </w:r>
            <w:r>
              <w:noBreakHyphen/>
              <w:t>104</w:t>
            </w:r>
          </w:p>
        </w:tc>
        <w:tc>
          <w:tcPr>
            <w:tcW w:w="958" w:type="dxa"/>
            <w:tcBorders>
              <w:top w:val="nil"/>
              <w:left w:val="nil"/>
              <w:bottom w:val="nil"/>
              <w:right w:val="nil"/>
            </w:tcBorders>
          </w:tcPr>
          <w:p>
            <w:pPr>
              <w:pStyle w:val="yTable"/>
              <w:jc w:val="center"/>
            </w:pPr>
            <w:r>
              <w:t>8</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105</w:t>
            </w:r>
            <w:r>
              <w:noBreakHyphen/>
              <w:t>117</w:t>
            </w:r>
          </w:p>
        </w:tc>
        <w:tc>
          <w:tcPr>
            <w:tcW w:w="958" w:type="dxa"/>
            <w:tcBorders>
              <w:top w:val="nil"/>
              <w:left w:val="nil"/>
              <w:bottom w:val="nil"/>
              <w:right w:val="nil"/>
            </w:tcBorders>
          </w:tcPr>
          <w:p>
            <w:pPr>
              <w:pStyle w:val="yTable"/>
              <w:jc w:val="center"/>
            </w:pPr>
            <w:r>
              <w:t>9</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118</w:t>
            </w:r>
            <w:r>
              <w:noBreakHyphen/>
              <w:t>130</w:t>
            </w:r>
          </w:p>
        </w:tc>
        <w:tc>
          <w:tcPr>
            <w:tcW w:w="958" w:type="dxa"/>
            <w:tcBorders>
              <w:top w:val="nil"/>
              <w:left w:val="nil"/>
              <w:bottom w:val="nil"/>
              <w:right w:val="nil"/>
            </w:tcBorders>
          </w:tcPr>
          <w:p>
            <w:pPr>
              <w:pStyle w:val="yTable"/>
              <w:jc w:val="center"/>
            </w:pPr>
            <w:r>
              <w:t>10</w:t>
            </w:r>
          </w:p>
        </w:tc>
        <w:tc>
          <w:tcPr>
            <w:tcW w:w="1276" w:type="dxa"/>
            <w:tcBorders>
              <w:top w:val="nil"/>
              <w:left w:val="nil"/>
              <w:bottom w:val="nil"/>
              <w:right w:val="nil"/>
            </w:tcBorders>
          </w:tcPr>
          <w:p>
            <w:pPr>
              <w:pStyle w:val="yTable"/>
              <w:jc w:val="center"/>
            </w:pPr>
            <w:r>
              <w:t>4</w:t>
            </w:r>
          </w:p>
        </w:tc>
        <w:tc>
          <w:tcPr>
            <w:tcW w:w="1559" w:type="dxa"/>
            <w:tcBorders>
              <w:top w:val="nil"/>
              <w:left w:val="nil"/>
              <w:bottom w:val="nil"/>
              <w:right w:val="nil"/>
            </w:tcBorders>
          </w:tcPr>
          <w:p>
            <w:pPr>
              <w:pStyle w:val="yTable"/>
              <w:jc w:val="center"/>
            </w:pPr>
            <w:r>
              <w:t>4</w:t>
            </w:r>
          </w:p>
        </w:tc>
        <w:tc>
          <w:tcPr>
            <w:tcW w:w="850" w:type="dxa"/>
            <w:tcBorders>
              <w:top w:val="nil"/>
              <w:left w:val="nil"/>
              <w:bottom w:val="nil"/>
              <w:right w:val="nil"/>
            </w:tcBorders>
          </w:tcPr>
          <w:p>
            <w:pPr>
              <w:pStyle w:val="yTable"/>
              <w:jc w:val="center"/>
            </w:pPr>
            <w:r>
              <w:t>5</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single" w:sz="4" w:space="0" w:color="auto"/>
              <w:right w:val="nil"/>
            </w:tcBorders>
          </w:tcPr>
          <w:p>
            <w:pPr>
              <w:pStyle w:val="yTable"/>
            </w:pPr>
            <w:r>
              <w:t>131</w:t>
            </w:r>
            <w:r>
              <w:noBreakHyphen/>
              <w:t>143</w:t>
            </w:r>
          </w:p>
        </w:tc>
        <w:tc>
          <w:tcPr>
            <w:tcW w:w="958" w:type="dxa"/>
            <w:tcBorders>
              <w:top w:val="nil"/>
              <w:left w:val="nil"/>
              <w:bottom w:val="single" w:sz="4" w:space="0" w:color="auto"/>
              <w:right w:val="nil"/>
            </w:tcBorders>
          </w:tcPr>
          <w:p>
            <w:pPr>
              <w:pStyle w:val="yTable"/>
              <w:jc w:val="center"/>
            </w:pPr>
            <w:r>
              <w:t>11</w:t>
            </w:r>
          </w:p>
        </w:tc>
        <w:tc>
          <w:tcPr>
            <w:tcW w:w="1276" w:type="dxa"/>
            <w:tcBorders>
              <w:top w:val="nil"/>
              <w:left w:val="nil"/>
              <w:bottom w:val="single" w:sz="4" w:space="0" w:color="auto"/>
              <w:right w:val="nil"/>
            </w:tcBorders>
          </w:tcPr>
          <w:p>
            <w:pPr>
              <w:pStyle w:val="yTable"/>
              <w:jc w:val="center"/>
            </w:pPr>
            <w:r>
              <w:t>4</w:t>
            </w:r>
          </w:p>
        </w:tc>
        <w:tc>
          <w:tcPr>
            <w:tcW w:w="1559" w:type="dxa"/>
            <w:tcBorders>
              <w:top w:val="nil"/>
              <w:left w:val="nil"/>
              <w:bottom w:val="single" w:sz="4" w:space="0" w:color="auto"/>
              <w:right w:val="nil"/>
            </w:tcBorders>
          </w:tcPr>
          <w:p>
            <w:pPr>
              <w:pStyle w:val="yTable"/>
              <w:jc w:val="center"/>
            </w:pPr>
            <w:r>
              <w:t>4</w:t>
            </w:r>
          </w:p>
        </w:tc>
        <w:tc>
          <w:tcPr>
            <w:tcW w:w="850" w:type="dxa"/>
            <w:tcBorders>
              <w:top w:val="nil"/>
              <w:left w:val="nil"/>
              <w:bottom w:val="single" w:sz="4" w:space="0" w:color="auto"/>
              <w:right w:val="nil"/>
            </w:tcBorders>
          </w:tcPr>
          <w:p>
            <w:pPr>
              <w:pStyle w:val="yTable"/>
              <w:jc w:val="center"/>
            </w:pPr>
            <w:r>
              <w:t>5</w:t>
            </w:r>
          </w:p>
        </w:tc>
        <w:tc>
          <w:tcPr>
            <w:tcW w:w="709" w:type="dxa"/>
            <w:tcBorders>
              <w:top w:val="nil"/>
              <w:left w:val="nil"/>
              <w:bottom w:val="single" w:sz="4" w:space="0" w:color="auto"/>
              <w:right w:val="nil"/>
            </w:tcBorders>
          </w:tcPr>
          <w:p>
            <w:pPr>
              <w:pStyle w:val="yTable"/>
              <w:jc w:val="center"/>
            </w:pPr>
            <w:r>
              <w:t>4</w:t>
            </w:r>
          </w:p>
        </w:tc>
        <w:tc>
          <w:tcPr>
            <w:tcW w:w="709" w:type="dxa"/>
            <w:tcBorders>
              <w:top w:val="nil"/>
              <w:left w:val="nil"/>
              <w:bottom w:val="single" w:sz="4" w:space="0" w:color="auto"/>
              <w:right w:val="nil"/>
            </w:tcBorders>
          </w:tcPr>
          <w:p>
            <w:pPr>
              <w:pStyle w:val="yTable"/>
              <w:jc w:val="center"/>
            </w:pPr>
            <w:r>
              <w:t>2</w:t>
            </w:r>
          </w:p>
        </w:tc>
      </w:tr>
    </w:tbl>
    <w:p>
      <w:pPr>
        <w:pStyle w:val="yMiscellaneousHeading"/>
        <w:spacing w:after="120"/>
        <w:rPr>
          <w:b/>
        </w:rPr>
      </w:pPr>
      <w:r>
        <w:rPr>
          <w:b/>
        </w:rPr>
        <w:t>Table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7"/>
        <w:gridCol w:w="958"/>
        <w:gridCol w:w="1276"/>
        <w:gridCol w:w="1559"/>
        <w:gridCol w:w="850"/>
        <w:gridCol w:w="709"/>
        <w:gridCol w:w="709"/>
      </w:tblGrid>
      <w:tr>
        <w:trPr>
          <w:cantSplit/>
          <w:tblHeader/>
        </w:trPr>
        <w:tc>
          <w:tcPr>
            <w:tcW w:w="7088" w:type="dxa"/>
            <w:gridSpan w:val="7"/>
            <w:tcBorders>
              <w:left w:val="nil"/>
              <w:bottom w:val="nil"/>
              <w:right w:val="nil"/>
            </w:tcBorders>
          </w:tcPr>
          <w:p>
            <w:pPr>
              <w:pStyle w:val="yTable"/>
              <w:jc w:val="center"/>
              <w:rPr>
                <w:b/>
              </w:rPr>
            </w:pPr>
            <w:r>
              <w:rPr>
                <w:b/>
              </w:rPr>
              <w:t>Minimum contact staff (routine periods)</w:t>
            </w:r>
          </w:p>
          <w:p>
            <w:pPr>
              <w:pStyle w:val="yTable"/>
              <w:jc w:val="center"/>
              <w:rPr>
                <w:b/>
              </w:rPr>
            </w:pPr>
            <w:r>
              <w:rPr>
                <w:b/>
              </w:rPr>
              <w:t>(if a kindergarten child is at the care session)</w:t>
            </w:r>
          </w:p>
        </w:tc>
      </w:tr>
      <w:tr>
        <w:trPr>
          <w:cantSplit/>
          <w:tblHeader/>
        </w:trPr>
        <w:tc>
          <w:tcPr>
            <w:tcW w:w="1027" w:type="dxa"/>
            <w:tcBorders>
              <w:top w:val="nil"/>
              <w:left w:val="nil"/>
              <w:bottom w:val="nil"/>
              <w:right w:val="nil"/>
            </w:tcBorders>
          </w:tcPr>
          <w:p>
            <w:pPr>
              <w:pStyle w:val="yTable"/>
              <w:jc w:val="center"/>
              <w:rPr>
                <w:b/>
              </w:rPr>
            </w:pPr>
            <w:r>
              <w:rPr>
                <w:b/>
              </w:rPr>
              <w:t>No. of enrolled children</w:t>
            </w:r>
          </w:p>
        </w:tc>
        <w:tc>
          <w:tcPr>
            <w:tcW w:w="958" w:type="dxa"/>
            <w:tcBorders>
              <w:top w:val="nil"/>
              <w:left w:val="nil"/>
              <w:bottom w:val="nil"/>
              <w:right w:val="nil"/>
            </w:tcBorders>
          </w:tcPr>
          <w:p>
            <w:pPr>
              <w:pStyle w:val="yTable"/>
              <w:jc w:val="center"/>
              <w:rPr>
                <w:b/>
              </w:rPr>
            </w:pPr>
            <w:r>
              <w:rPr>
                <w:b/>
              </w:rPr>
              <w:t>No. of contact staff</w:t>
            </w:r>
          </w:p>
        </w:tc>
        <w:tc>
          <w:tcPr>
            <w:tcW w:w="1276" w:type="dxa"/>
            <w:tcBorders>
              <w:top w:val="nil"/>
              <w:left w:val="nil"/>
              <w:bottom w:val="nil"/>
              <w:right w:val="nil"/>
            </w:tcBorders>
          </w:tcPr>
          <w:p>
            <w:pPr>
              <w:pStyle w:val="yTable"/>
              <w:jc w:val="center"/>
              <w:rPr>
                <w:b/>
              </w:rPr>
            </w:pPr>
            <w:r>
              <w:rPr>
                <w:b/>
              </w:rPr>
              <w:t>No. of qualified care givers</w:t>
            </w:r>
          </w:p>
        </w:tc>
        <w:tc>
          <w:tcPr>
            <w:tcW w:w="1559" w:type="dxa"/>
            <w:tcBorders>
              <w:top w:val="nil"/>
              <w:left w:val="nil"/>
              <w:bottom w:val="nil"/>
              <w:right w:val="nil"/>
            </w:tcBorders>
          </w:tcPr>
          <w:p>
            <w:pPr>
              <w:pStyle w:val="yTable"/>
              <w:jc w:val="center"/>
              <w:rPr>
                <w:b/>
              </w:rPr>
            </w:pPr>
            <w:r>
              <w:rPr>
                <w:b/>
              </w:rPr>
              <w:t>No. of first aid officers</w:t>
            </w:r>
          </w:p>
        </w:tc>
        <w:tc>
          <w:tcPr>
            <w:tcW w:w="2268" w:type="dxa"/>
            <w:gridSpan w:val="3"/>
            <w:tcBorders>
              <w:top w:val="nil"/>
              <w:left w:val="nil"/>
              <w:bottom w:val="nil"/>
              <w:right w:val="nil"/>
            </w:tcBorders>
          </w:tcPr>
          <w:p>
            <w:pPr>
              <w:pStyle w:val="yTable"/>
              <w:jc w:val="center"/>
              <w:rPr>
                <w:b/>
              </w:rPr>
            </w:pPr>
            <w:r>
              <w:rPr>
                <w:b/>
              </w:rPr>
              <w:t xml:space="preserve">No. of contact staff who have reached the age of — </w:t>
            </w:r>
          </w:p>
        </w:tc>
      </w:tr>
      <w:tr>
        <w:trPr>
          <w:tblHeader/>
        </w:trPr>
        <w:tc>
          <w:tcPr>
            <w:tcW w:w="1027" w:type="dxa"/>
            <w:tcBorders>
              <w:top w:val="nil"/>
              <w:left w:val="nil"/>
              <w:bottom w:val="single" w:sz="4" w:space="0" w:color="auto"/>
              <w:right w:val="nil"/>
            </w:tcBorders>
          </w:tcPr>
          <w:p>
            <w:pPr>
              <w:pStyle w:val="yTable"/>
            </w:pPr>
          </w:p>
        </w:tc>
        <w:tc>
          <w:tcPr>
            <w:tcW w:w="958" w:type="dxa"/>
            <w:tcBorders>
              <w:top w:val="nil"/>
              <w:left w:val="nil"/>
              <w:bottom w:val="single" w:sz="4" w:space="0" w:color="auto"/>
              <w:right w:val="nil"/>
            </w:tcBorders>
          </w:tcPr>
          <w:p>
            <w:pPr>
              <w:pStyle w:val="yTable"/>
            </w:pPr>
          </w:p>
        </w:tc>
        <w:tc>
          <w:tcPr>
            <w:tcW w:w="1276" w:type="dxa"/>
            <w:tcBorders>
              <w:top w:val="nil"/>
              <w:left w:val="nil"/>
              <w:bottom w:val="single" w:sz="4" w:space="0" w:color="auto"/>
              <w:right w:val="nil"/>
            </w:tcBorders>
          </w:tcPr>
          <w:p>
            <w:pPr>
              <w:pStyle w:val="yTable"/>
            </w:pPr>
          </w:p>
        </w:tc>
        <w:tc>
          <w:tcPr>
            <w:tcW w:w="1559" w:type="dxa"/>
            <w:tcBorders>
              <w:top w:val="nil"/>
              <w:left w:val="nil"/>
              <w:bottom w:val="single" w:sz="4" w:space="0" w:color="auto"/>
              <w:right w:val="nil"/>
            </w:tcBorders>
          </w:tcPr>
          <w:p>
            <w:pPr>
              <w:pStyle w:val="yTable"/>
            </w:pPr>
          </w:p>
        </w:tc>
        <w:tc>
          <w:tcPr>
            <w:tcW w:w="850" w:type="dxa"/>
            <w:tcBorders>
              <w:top w:val="nil"/>
              <w:left w:val="nil"/>
              <w:bottom w:val="single" w:sz="4" w:space="0" w:color="auto"/>
              <w:right w:val="nil"/>
            </w:tcBorders>
          </w:tcPr>
          <w:p>
            <w:pPr>
              <w:pStyle w:val="yTable"/>
              <w:jc w:val="center"/>
              <w:rPr>
                <w:b/>
                <w:bCs/>
              </w:rPr>
            </w:pPr>
            <w:r>
              <w:rPr>
                <w:b/>
                <w:bCs/>
              </w:rPr>
              <w:t>21</w:t>
            </w:r>
          </w:p>
        </w:tc>
        <w:tc>
          <w:tcPr>
            <w:tcW w:w="709" w:type="dxa"/>
            <w:tcBorders>
              <w:top w:val="nil"/>
              <w:left w:val="nil"/>
              <w:bottom w:val="single" w:sz="4" w:space="0" w:color="auto"/>
              <w:right w:val="nil"/>
            </w:tcBorders>
          </w:tcPr>
          <w:p>
            <w:pPr>
              <w:pStyle w:val="yTable"/>
              <w:jc w:val="center"/>
              <w:rPr>
                <w:b/>
                <w:bCs/>
              </w:rPr>
            </w:pPr>
            <w:r>
              <w:rPr>
                <w:b/>
                <w:bCs/>
              </w:rPr>
              <w:t>18</w:t>
            </w:r>
          </w:p>
        </w:tc>
        <w:tc>
          <w:tcPr>
            <w:tcW w:w="709" w:type="dxa"/>
            <w:tcBorders>
              <w:top w:val="nil"/>
              <w:left w:val="nil"/>
              <w:bottom w:val="single" w:sz="4" w:space="0" w:color="auto"/>
              <w:right w:val="nil"/>
            </w:tcBorders>
          </w:tcPr>
          <w:p>
            <w:pPr>
              <w:pStyle w:val="yTable"/>
              <w:jc w:val="center"/>
              <w:rPr>
                <w:b/>
                <w:bCs/>
              </w:rPr>
            </w:pPr>
            <w:r>
              <w:rPr>
                <w:b/>
                <w:bCs/>
              </w:rPr>
              <w:t>16</w:t>
            </w:r>
          </w:p>
        </w:tc>
      </w:tr>
      <w:tr>
        <w:tc>
          <w:tcPr>
            <w:tcW w:w="1027" w:type="dxa"/>
            <w:tcBorders>
              <w:top w:val="nil"/>
              <w:left w:val="nil"/>
              <w:bottom w:val="nil"/>
              <w:right w:val="nil"/>
            </w:tcBorders>
          </w:tcPr>
          <w:p>
            <w:pPr>
              <w:pStyle w:val="yTable"/>
            </w:pPr>
            <w:r>
              <w:t>1</w:t>
            </w:r>
            <w:r>
              <w:noBreakHyphen/>
              <w:t>10</w:t>
            </w:r>
          </w:p>
        </w:tc>
        <w:tc>
          <w:tcPr>
            <w:tcW w:w="958" w:type="dxa"/>
            <w:tcBorders>
              <w:top w:val="nil"/>
              <w:left w:val="nil"/>
              <w:bottom w:val="nil"/>
              <w:right w:val="nil"/>
            </w:tcBorders>
          </w:tcPr>
          <w:p>
            <w:pPr>
              <w:pStyle w:val="yTable"/>
              <w:jc w:val="center"/>
            </w:pPr>
            <w:r>
              <w:t>1</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11</w:t>
            </w:r>
            <w:r>
              <w:noBreakHyphen/>
              <w:t>20</w:t>
            </w:r>
          </w:p>
        </w:tc>
        <w:tc>
          <w:tcPr>
            <w:tcW w:w="958" w:type="dxa"/>
            <w:tcBorders>
              <w:top w:val="nil"/>
              <w:left w:val="nil"/>
              <w:bottom w:val="nil"/>
              <w:right w:val="nil"/>
            </w:tcBorders>
          </w:tcPr>
          <w:p>
            <w:pPr>
              <w:pStyle w:val="yTable"/>
              <w:jc w:val="center"/>
            </w:pPr>
            <w:r>
              <w:t>2</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0</w:t>
            </w:r>
          </w:p>
        </w:tc>
      </w:tr>
      <w:tr>
        <w:tc>
          <w:tcPr>
            <w:tcW w:w="1027" w:type="dxa"/>
            <w:tcBorders>
              <w:top w:val="nil"/>
              <w:left w:val="nil"/>
              <w:bottom w:val="nil"/>
              <w:right w:val="nil"/>
            </w:tcBorders>
          </w:tcPr>
          <w:p>
            <w:pPr>
              <w:pStyle w:val="yTable"/>
            </w:pPr>
            <w:r>
              <w:t>21</w:t>
            </w:r>
            <w:r>
              <w:noBreakHyphen/>
              <w:t>30</w:t>
            </w:r>
          </w:p>
        </w:tc>
        <w:tc>
          <w:tcPr>
            <w:tcW w:w="958" w:type="dxa"/>
            <w:tcBorders>
              <w:top w:val="nil"/>
              <w:left w:val="nil"/>
              <w:bottom w:val="nil"/>
              <w:right w:val="nil"/>
            </w:tcBorders>
          </w:tcPr>
          <w:p>
            <w:pPr>
              <w:pStyle w:val="yTable"/>
              <w:jc w:val="center"/>
            </w:pPr>
            <w:r>
              <w:t>3</w:t>
            </w:r>
          </w:p>
        </w:tc>
        <w:tc>
          <w:tcPr>
            <w:tcW w:w="1276" w:type="dxa"/>
            <w:tcBorders>
              <w:top w:val="nil"/>
              <w:left w:val="nil"/>
              <w:bottom w:val="nil"/>
              <w:right w:val="nil"/>
            </w:tcBorders>
          </w:tcPr>
          <w:p>
            <w:pPr>
              <w:pStyle w:val="yTable"/>
              <w:jc w:val="center"/>
            </w:pPr>
            <w:r>
              <w:t>1</w:t>
            </w:r>
          </w:p>
        </w:tc>
        <w:tc>
          <w:tcPr>
            <w:tcW w:w="1559" w:type="dxa"/>
            <w:tcBorders>
              <w:top w:val="nil"/>
              <w:left w:val="nil"/>
              <w:bottom w:val="nil"/>
              <w:right w:val="nil"/>
            </w:tcBorders>
          </w:tcPr>
          <w:p>
            <w:pPr>
              <w:pStyle w:val="yTable"/>
              <w:jc w:val="center"/>
            </w:pPr>
            <w:r>
              <w:t>1</w:t>
            </w:r>
          </w:p>
        </w:tc>
        <w:tc>
          <w:tcPr>
            <w:tcW w:w="850"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31</w:t>
            </w:r>
            <w:r>
              <w:noBreakHyphen/>
              <w:t>40</w:t>
            </w:r>
          </w:p>
        </w:tc>
        <w:tc>
          <w:tcPr>
            <w:tcW w:w="958" w:type="dxa"/>
            <w:tcBorders>
              <w:top w:val="nil"/>
              <w:left w:val="nil"/>
              <w:bottom w:val="nil"/>
              <w:right w:val="nil"/>
            </w:tcBorders>
          </w:tcPr>
          <w:p>
            <w:pPr>
              <w:pStyle w:val="yTable"/>
              <w:jc w:val="center"/>
            </w:pPr>
            <w:r>
              <w:t>4</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41</w:t>
            </w:r>
            <w:r>
              <w:noBreakHyphen/>
              <w:t>50</w:t>
            </w:r>
          </w:p>
        </w:tc>
        <w:tc>
          <w:tcPr>
            <w:tcW w:w="958" w:type="dxa"/>
            <w:tcBorders>
              <w:top w:val="nil"/>
              <w:left w:val="nil"/>
              <w:bottom w:val="nil"/>
              <w:right w:val="nil"/>
            </w:tcBorders>
          </w:tcPr>
          <w:p>
            <w:pPr>
              <w:pStyle w:val="yTable"/>
              <w:jc w:val="center"/>
            </w:pPr>
            <w:r>
              <w:t>5</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51</w:t>
            </w:r>
            <w:r>
              <w:noBreakHyphen/>
              <w:t>60</w:t>
            </w:r>
          </w:p>
        </w:tc>
        <w:tc>
          <w:tcPr>
            <w:tcW w:w="958" w:type="dxa"/>
            <w:tcBorders>
              <w:top w:val="nil"/>
              <w:left w:val="nil"/>
              <w:bottom w:val="nil"/>
              <w:right w:val="nil"/>
            </w:tcBorders>
          </w:tcPr>
          <w:p>
            <w:pPr>
              <w:pStyle w:val="yTable"/>
              <w:jc w:val="center"/>
            </w:pPr>
            <w:r>
              <w:t>6</w:t>
            </w:r>
          </w:p>
        </w:tc>
        <w:tc>
          <w:tcPr>
            <w:tcW w:w="1276" w:type="dxa"/>
            <w:tcBorders>
              <w:top w:val="nil"/>
              <w:left w:val="nil"/>
              <w:bottom w:val="nil"/>
              <w:right w:val="nil"/>
            </w:tcBorders>
          </w:tcPr>
          <w:p>
            <w:pPr>
              <w:pStyle w:val="yTable"/>
              <w:jc w:val="center"/>
            </w:pPr>
            <w:r>
              <w:t>2</w:t>
            </w:r>
          </w:p>
        </w:tc>
        <w:tc>
          <w:tcPr>
            <w:tcW w:w="1559" w:type="dxa"/>
            <w:tcBorders>
              <w:top w:val="nil"/>
              <w:left w:val="nil"/>
              <w:bottom w:val="nil"/>
              <w:right w:val="nil"/>
            </w:tcBorders>
          </w:tcPr>
          <w:p>
            <w:pPr>
              <w:pStyle w:val="yTable"/>
              <w:jc w:val="center"/>
            </w:pPr>
            <w:r>
              <w:t>2</w:t>
            </w:r>
          </w:p>
        </w:tc>
        <w:tc>
          <w:tcPr>
            <w:tcW w:w="850"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61</w:t>
            </w:r>
            <w:r>
              <w:noBreakHyphen/>
              <w:t>70</w:t>
            </w:r>
          </w:p>
        </w:tc>
        <w:tc>
          <w:tcPr>
            <w:tcW w:w="958" w:type="dxa"/>
            <w:tcBorders>
              <w:top w:val="nil"/>
              <w:left w:val="nil"/>
              <w:bottom w:val="nil"/>
              <w:right w:val="nil"/>
            </w:tcBorders>
          </w:tcPr>
          <w:p>
            <w:pPr>
              <w:pStyle w:val="yTable"/>
              <w:jc w:val="center"/>
            </w:pPr>
            <w:r>
              <w:t>7</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2</w:t>
            </w:r>
          </w:p>
        </w:tc>
        <w:tc>
          <w:tcPr>
            <w:tcW w:w="709" w:type="dxa"/>
            <w:tcBorders>
              <w:top w:val="nil"/>
              <w:left w:val="nil"/>
              <w:bottom w:val="nil"/>
              <w:right w:val="nil"/>
            </w:tcBorders>
          </w:tcPr>
          <w:p>
            <w:pPr>
              <w:pStyle w:val="yTable"/>
              <w:jc w:val="center"/>
            </w:pPr>
            <w:r>
              <w:t>1</w:t>
            </w:r>
          </w:p>
        </w:tc>
      </w:tr>
      <w:tr>
        <w:tc>
          <w:tcPr>
            <w:tcW w:w="1027" w:type="dxa"/>
            <w:tcBorders>
              <w:top w:val="nil"/>
              <w:left w:val="nil"/>
              <w:bottom w:val="nil"/>
              <w:right w:val="nil"/>
            </w:tcBorders>
          </w:tcPr>
          <w:p>
            <w:pPr>
              <w:pStyle w:val="yTable"/>
            </w:pPr>
            <w:r>
              <w:t>71</w:t>
            </w:r>
            <w:r>
              <w:noBreakHyphen/>
              <w:t>80</w:t>
            </w:r>
          </w:p>
        </w:tc>
        <w:tc>
          <w:tcPr>
            <w:tcW w:w="958" w:type="dxa"/>
            <w:tcBorders>
              <w:top w:val="nil"/>
              <w:left w:val="nil"/>
              <w:bottom w:val="nil"/>
              <w:right w:val="nil"/>
            </w:tcBorders>
          </w:tcPr>
          <w:p>
            <w:pPr>
              <w:pStyle w:val="yTable"/>
              <w:jc w:val="center"/>
            </w:pPr>
            <w:r>
              <w:t>8</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81</w:t>
            </w:r>
            <w:r>
              <w:noBreakHyphen/>
              <w:t>90</w:t>
            </w:r>
          </w:p>
        </w:tc>
        <w:tc>
          <w:tcPr>
            <w:tcW w:w="958" w:type="dxa"/>
            <w:tcBorders>
              <w:top w:val="nil"/>
              <w:left w:val="nil"/>
              <w:bottom w:val="nil"/>
              <w:right w:val="nil"/>
            </w:tcBorders>
          </w:tcPr>
          <w:p>
            <w:pPr>
              <w:pStyle w:val="yTable"/>
              <w:jc w:val="center"/>
            </w:pPr>
            <w:r>
              <w:t>9</w:t>
            </w:r>
          </w:p>
        </w:tc>
        <w:tc>
          <w:tcPr>
            <w:tcW w:w="1276" w:type="dxa"/>
            <w:tcBorders>
              <w:top w:val="nil"/>
              <w:left w:val="nil"/>
              <w:bottom w:val="nil"/>
              <w:right w:val="nil"/>
            </w:tcBorders>
          </w:tcPr>
          <w:p>
            <w:pPr>
              <w:pStyle w:val="yTable"/>
              <w:jc w:val="center"/>
            </w:pPr>
            <w:r>
              <w:t>3</w:t>
            </w:r>
          </w:p>
        </w:tc>
        <w:tc>
          <w:tcPr>
            <w:tcW w:w="1559" w:type="dxa"/>
            <w:tcBorders>
              <w:top w:val="nil"/>
              <w:left w:val="nil"/>
              <w:bottom w:val="nil"/>
              <w:right w:val="nil"/>
            </w:tcBorders>
          </w:tcPr>
          <w:p>
            <w:pPr>
              <w:pStyle w:val="yTable"/>
              <w:jc w:val="center"/>
            </w:pPr>
            <w:r>
              <w:t>3</w:t>
            </w:r>
          </w:p>
        </w:tc>
        <w:tc>
          <w:tcPr>
            <w:tcW w:w="850" w:type="dxa"/>
            <w:tcBorders>
              <w:top w:val="nil"/>
              <w:left w:val="nil"/>
              <w:bottom w:val="nil"/>
              <w:right w:val="nil"/>
            </w:tcBorders>
          </w:tcPr>
          <w:p>
            <w:pPr>
              <w:pStyle w:val="yTable"/>
              <w:jc w:val="center"/>
            </w:pPr>
            <w:r>
              <w:t>4</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nil"/>
              <w:right w:val="nil"/>
            </w:tcBorders>
          </w:tcPr>
          <w:p>
            <w:pPr>
              <w:pStyle w:val="yTable"/>
            </w:pPr>
            <w:r>
              <w:t>91</w:t>
            </w:r>
            <w:r>
              <w:noBreakHyphen/>
              <w:t>100</w:t>
            </w:r>
          </w:p>
        </w:tc>
        <w:tc>
          <w:tcPr>
            <w:tcW w:w="958" w:type="dxa"/>
            <w:tcBorders>
              <w:top w:val="nil"/>
              <w:left w:val="nil"/>
              <w:bottom w:val="nil"/>
              <w:right w:val="nil"/>
            </w:tcBorders>
          </w:tcPr>
          <w:p>
            <w:pPr>
              <w:pStyle w:val="yTable"/>
              <w:jc w:val="center"/>
            </w:pPr>
            <w:r>
              <w:t>10</w:t>
            </w:r>
          </w:p>
        </w:tc>
        <w:tc>
          <w:tcPr>
            <w:tcW w:w="1276" w:type="dxa"/>
            <w:tcBorders>
              <w:top w:val="nil"/>
              <w:left w:val="nil"/>
              <w:bottom w:val="nil"/>
              <w:right w:val="nil"/>
            </w:tcBorders>
          </w:tcPr>
          <w:p>
            <w:pPr>
              <w:pStyle w:val="yTable"/>
              <w:jc w:val="center"/>
            </w:pPr>
            <w:r>
              <w:t>4</w:t>
            </w:r>
          </w:p>
        </w:tc>
        <w:tc>
          <w:tcPr>
            <w:tcW w:w="1559" w:type="dxa"/>
            <w:tcBorders>
              <w:top w:val="nil"/>
              <w:left w:val="nil"/>
              <w:bottom w:val="nil"/>
              <w:right w:val="nil"/>
            </w:tcBorders>
          </w:tcPr>
          <w:p>
            <w:pPr>
              <w:pStyle w:val="yTable"/>
              <w:jc w:val="center"/>
            </w:pPr>
            <w:r>
              <w:t>4</w:t>
            </w:r>
          </w:p>
        </w:tc>
        <w:tc>
          <w:tcPr>
            <w:tcW w:w="850" w:type="dxa"/>
            <w:tcBorders>
              <w:top w:val="nil"/>
              <w:left w:val="nil"/>
              <w:bottom w:val="nil"/>
              <w:right w:val="nil"/>
            </w:tcBorders>
          </w:tcPr>
          <w:p>
            <w:pPr>
              <w:pStyle w:val="yTable"/>
              <w:jc w:val="center"/>
            </w:pPr>
            <w:r>
              <w:t>5</w:t>
            </w:r>
          </w:p>
        </w:tc>
        <w:tc>
          <w:tcPr>
            <w:tcW w:w="709" w:type="dxa"/>
            <w:tcBorders>
              <w:top w:val="nil"/>
              <w:left w:val="nil"/>
              <w:bottom w:val="nil"/>
              <w:right w:val="nil"/>
            </w:tcBorders>
          </w:tcPr>
          <w:p>
            <w:pPr>
              <w:pStyle w:val="yTable"/>
              <w:jc w:val="center"/>
            </w:pPr>
            <w:r>
              <w:t>3</w:t>
            </w:r>
          </w:p>
        </w:tc>
        <w:tc>
          <w:tcPr>
            <w:tcW w:w="709" w:type="dxa"/>
            <w:tcBorders>
              <w:top w:val="nil"/>
              <w:left w:val="nil"/>
              <w:bottom w:val="nil"/>
              <w:right w:val="nil"/>
            </w:tcBorders>
          </w:tcPr>
          <w:p>
            <w:pPr>
              <w:pStyle w:val="yTable"/>
              <w:jc w:val="center"/>
            </w:pPr>
            <w:r>
              <w:t>2</w:t>
            </w:r>
          </w:p>
        </w:tc>
      </w:tr>
      <w:tr>
        <w:tc>
          <w:tcPr>
            <w:tcW w:w="1027" w:type="dxa"/>
            <w:tcBorders>
              <w:top w:val="nil"/>
              <w:left w:val="nil"/>
              <w:bottom w:val="single" w:sz="4" w:space="0" w:color="auto"/>
              <w:right w:val="nil"/>
            </w:tcBorders>
          </w:tcPr>
          <w:p>
            <w:pPr>
              <w:pStyle w:val="yTable"/>
            </w:pPr>
            <w:r>
              <w:t>101</w:t>
            </w:r>
            <w:r>
              <w:noBreakHyphen/>
              <w:t>110</w:t>
            </w:r>
          </w:p>
        </w:tc>
        <w:tc>
          <w:tcPr>
            <w:tcW w:w="958" w:type="dxa"/>
            <w:tcBorders>
              <w:top w:val="nil"/>
              <w:left w:val="nil"/>
              <w:bottom w:val="single" w:sz="4" w:space="0" w:color="auto"/>
              <w:right w:val="nil"/>
            </w:tcBorders>
          </w:tcPr>
          <w:p>
            <w:pPr>
              <w:pStyle w:val="yTable"/>
              <w:jc w:val="center"/>
            </w:pPr>
            <w:r>
              <w:t>11</w:t>
            </w:r>
          </w:p>
        </w:tc>
        <w:tc>
          <w:tcPr>
            <w:tcW w:w="1276" w:type="dxa"/>
            <w:tcBorders>
              <w:top w:val="nil"/>
              <w:left w:val="nil"/>
              <w:bottom w:val="single" w:sz="4" w:space="0" w:color="auto"/>
              <w:right w:val="nil"/>
            </w:tcBorders>
          </w:tcPr>
          <w:p>
            <w:pPr>
              <w:pStyle w:val="yTable"/>
              <w:jc w:val="center"/>
            </w:pPr>
            <w:r>
              <w:t>4</w:t>
            </w:r>
          </w:p>
        </w:tc>
        <w:tc>
          <w:tcPr>
            <w:tcW w:w="1559" w:type="dxa"/>
            <w:tcBorders>
              <w:top w:val="nil"/>
              <w:left w:val="nil"/>
              <w:bottom w:val="single" w:sz="4" w:space="0" w:color="auto"/>
              <w:right w:val="nil"/>
            </w:tcBorders>
          </w:tcPr>
          <w:p>
            <w:pPr>
              <w:pStyle w:val="yTable"/>
              <w:jc w:val="center"/>
            </w:pPr>
            <w:r>
              <w:t>4</w:t>
            </w:r>
          </w:p>
        </w:tc>
        <w:tc>
          <w:tcPr>
            <w:tcW w:w="850" w:type="dxa"/>
            <w:tcBorders>
              <w:top w:val="nil"/>
              <w:left w:val="nil"/>
              <w:bottom w:val="single" w:sz="4" w:space="0" w:color="auto"/>
              <w:right w:val="nil"/>
            </w:tcBorders>
          </w:tcPr>
          <w:p>
            <w:pPr>
              <w:pStyle w:val="yTable"/>
              <w:jc w:val="center"/>
            </w:pPr>
            <w:r>
              <w:t>5</w:t>
            </w:r>
          </w:p>
        </w:tc>
        <w:tc>
          <w:tcPr>
            <w:tcW w:w="709" w:type="dxa"/>
            <w:tcBorders>
              <w:top w:val="nil"/>
              <w:left w:val="nil"/>
              <w:bottom w:val="single" w:sz="4" w:space="0" w:color="auto"/>
              <w:right w:val="nil"/>
            </w:tcBorders>
          </w:tcPr>
          <w:p>
            <w:pPr>
              <w:pStyle w:val="yTable"/>
              <w:jc w:val="center"/>
            </w:pPr>
            <w:r>
              <w:t>4</w:t>
            </w:r>
          </w:p>
        </w:tc>
        <w:tc>
          <w:tcPr>
            <w:tcW w:w="709" w:type="dxa"/>
            <w:tcBorders>
              <w:top w:val="nil"/>
              <w:left w:val="nil"/>
              <w:bottom w:val="single" w:sz="4" w:space="0" w:color="auto"/>
              <w:right w:val="nil"/>
            </w:tcBorders>
          </w:tcPr>
          <w:p>
            <w:pPr>
              <w:pStyle w:val="yTable"/>
              <w:jc w:val="center"/>
            </w:pPr>
            <w:r>
              <w:t>2</w:t>
            </w:r>
          </w:p>
        </w:tc>
      </w:tr>
    </w:tbl>
    <w:p>
      <w:pPr>
        <w:pStyle w:val="yMiscellaneousHeading"/>
        <w:spacing w:after="120"/>
        <w:rPr>
          <w:b/>
        </w:rPr>
      </w:pPr>
      <w:r>
        <w:rPr>
          <w:b/>
        </w:rPr>
        <w:t>Table 3</w:t>
      </w:r>
    </w:p>
    <w:tbl>
      <w:tblPr>
        <w:tblW w:w="0" w:type="auto"/>
        <w:tblInd w:w="250" w:type="dxa"/>
        <w:tblLayout w:type="fixed"/>
        <w:tblLook w:val="0000" w:firstRow="0" w:lastRow="0" w:firstColumn="0" w:lastColumn="0" w:noHBand="0" w:noVBand="0"/>
      </w:tblPr>
      <w:tblGrid>
        <w:gridCol w:w="3401"/>
        <w:gridCol w:w="3545"/>
      </w:tblGrid>
      <w:tr>
        <w:trPr>
          <w:cantSplit/>
          <w:tblHeader/>
        </w:trPr>
        <w:tc>
          <w:tcPr>
            <w:tcW w:w="6946" w:type="dxa"/>
            <w:gridSpan w:val="2"/>
            <w:tcBorders>
              <w:top w:val="single" w:sz="4" w:space="0" w:color="auto"/>
            </w:tcBorders>
          </w:tcPr>
          <w:p>
            <w:pPr>
              <w:pStyle w:val="yTable"/>
              <w:jc w:val="center"/>
              <w:rPr>
                <w:b/>
              </w:rPr>
            </w:pPr>
            <w:r>
              <w:rPr>
                <w:b/>
              </w:rPr>
              <w:t>Minimum contact staff (lunch period)</w:t>
            </w:r>
          </w:p>
        </w:tc>
      </w:tr>
      <w:tr>
        <w:trPr>
          <w:tblHeader/>
        </w:trPr>
        <w:tc>
          <w:tcPr>
            <w:tcW w:w="3401" w:type="dxa"/>
            <w:tcBorders>
              <w:bottom w:val="single" w:sz="4" w:space="0" w:color="auto"/>
            </w:tcBorders>
          </w:tcPr>
          <w:p>
            <w:pPr>
              <w:pStyle w:val="yTable"/>
              <w:jc w:val="center"/>
              <w:rPr>
                <w:b/>
              </w:rPr>
            </w:pPr>
            <w:r>
              <w:rPr>
                <w:b/>
              </w:rPr>
              <w:t>Minimum number of contact staff required under regulation 62</w:t>
            </w:r>
          </w:p>
        </w:tc>
        <w:tc>
          <w:tcPr>
            <w:tcW w:w="3545" w:type="dxa"/>
            <w:tcBorders>
              <w:bottom w:val="single" w:sz="4" w:space="0" w:color="auto"/>
            </w:tcBorders>
          </w:tcPr>
          <w:p>
            <w:pPr>
              <w:pStyle w:val="yTable"/>
              <w:jc w:val="center"/>
              <w:rPr>
                <w:b/>
              </w:rPr>
            </w:pPr>
            <w:r>
              <w:rPr>
                <w:b/>
              </w:rPr>
              <w:t>Minimum number of contact staff permitted during a lunch period</w:t>
            </w:r>
          </w:p>
        </w:tc>
      </w:tr>
      <w:tr>
        <w:tc>
          <w:tcPr>
            <w:tcW w:w="3401" w:type="dxa"/>
          </w:tcPr>
          <w:p>
            <w:pPr>
              <w:pStyle w:val="yTable"/>
              <w:jc w:val="center"/>
            </w:pPr>
            <w:r>
              <w:t>3</w:t>
            </w:r>
          </w:p>
        </w:tc>
        <w:tc>
          <w:tcPr>
            <w:tcW w:w="3545" w:type="dxa"/>
          </w:tcPr>
          <w:p>
            <w:pPr>
              <w:pStyle w:val="yTable"/>
              <w:jc w:val="center"/>
            </w:pPr>
            <w:r>
              <w:t>2</w:t>
            </w:r>
          </w:p>
        </w:tc>
      </w:tr>
      <w:tr>
        <w:tc>
          <w:tcPr>
            <w:tcW w:w="3401" w:type="dxa"/>
          </w:tcPr>
          <w:p>
            <w:pPr>
              <w:pStyle w:val="yTable"/>
              <w:jc w:val="center"/>
            </w:pPr>
            <w:r>
              <w:t>4</w:t>
            </w:r>
          </w:p>
        </w:tc>
        <w:tc>
          <w:tcPr>
            <w:tcW w:w="3545" w:type="dxa"/>
          </w:tcPr>
          <w:p>
            <w:pPr>
              <w:pStyle w:val="yTable"/>
              <w:jc w:val="center"/>
            </w:pPr>
            <w:r>
              <w:t>3</w:t>
            </w:r>
          </w:p>
        </w:tc>
      </w:tr>
      <w:tr>
        <w:tc>
          <w:tcPr>
            <w:tcW w:w="3401" w:type="dxa"/>
          </w:tcPr>
          <w:p>
            <w:pPr>
              <w:pStyle w:val="yTable"/>
              <w:jc w:val="center"/>
            </w:pPr>
            <w:r>
              <w:t>5</w:t>
            </w:r>
          </w:p>
        </w:tc>
        <w:tc>
          <w:tcPr>
            <w:tcW w:w="3545" w:type="dxa"/>
          </w:tcPr>
          <w:p>
            <w:pPr>
              <w:pStyle w:val="yTable"/>
              <w:jc w:val="center"/>
            </w:pPr>
            <w:r>
              <w:t>3</w:t>
            </w:r>
          </w:p>
        </w:tc>
      </w:tr>
      <w:tr>
        <w:tc>
          <w:tcPr>
            <w:tcW w:w="3401" w:type="dxa"/>
          </w:tcPr>
          <w:p>
            <w:pPr>
              <w:pStyle w:val="yTable"/>
              <w:jc w:val="center"/>
            </w:pPr>
            <w:r>
              <w:t>6</w:t>
            </w:r>
          </w:p>
        </w:tc>
        <w:tc>
          <w:tcPr>
            <w:tcW w:w="3545" w:type="dxa"/>
          </w:tcPr>
          <w:p>
            <w:pPr>
              <w:pStyle w:val="yTable"/>
              <w:jc w:val="center"/>
            </w:pPr>
            <w:r>
              <w:t>4</w:t>
            </w:r>
          </w:p>
        </w:tc>
      </w:tr>
      <w:tr>
        <w:tc>
          <w:tcPr>
            <w:tcW w:w="3401" w:type="dxa"/>
          </w:tcPr>
          <w:p>
            <w:pPr>
              <w:pStyle w:val="yTable"/>
              <w:jc w:val="center"/>
            </w:pPr>
            <w:r>
              <w:t>7</w:t>
            </w:r>
          </w:p>
        </w:tc>
        <w:tc>
          <w:tcPr>
            <w:tcW w:w="3545" w:type="dxa"/>
          </w:tcPr>
          <w:p>
            <w:pPr>
              <w:pStyle w:val="yTable"/>
              <w:jc w:val="center"/>
            </w:pPr>
            <w:r>
              <w:t>4</w:t>
            </w:r>
          </w:p>
        </w:tc>
      </w:tr>
      <w:tr>
        <w:tc>
          <w:tcPr>
            <w:tcW w:w="3401" w:type="dxa"/>
          </w:tcPr>
          <w:p>
            <w:pPr>
              <w:pStyle w:val="yTable"/>
              <w:jc w:val="center"/>
            </w:pPr>
            <w:r>
              <w:t>8</w:t>
            </w:r>
          </w:p>
        </w:tc>
        <w:tc>
          <w:tcPr>
            <w:tcW w:w="3545" w:type="dxa"/>
          </w:tcPr>
          <w:p>
            <w:pPr>
              <w:pStyle w:val="yTable"/>
              <w:jc w:val="center"/>
            </w:pPr>
            <w:r>
              <w:t>5</w:t>
            </w:r>
          </w:p>
        </w:tc>
      </w:tr>
      <w:tr>
        <w:tc>
          <w:tcPr>
            <w:tcW w:w="3401" w:type="dxa"/>
          </w:tcPr>
          <w:p>
            <w:pPr>
              <w:pStyle w:val="yTable"/>
              <w:jc w:val="center"/>
            </w:pPr>
            <w:r>
              <w:t>9</w:t>
            </w:r>
          </w:p>
        </w:tc>
        <w:tc>
          <w:tcPr>
            <w:tcW w:w="3545" w:type="dxa"/>
          </w:tcPr>
          <w:p>
            <w:pPr>
              <w:pStyle w:val="yTable"/>
              <w:jc w:val="center"/>
            </w:pPr>
            <w:r>
              <w:t>5</w:t>
            </w:r>
          </w:p>
        </w:tc>
      </w:tr>
      <w:tr>
        <w:tc>
          <w:tcPr>
            <w:tcW w:w="3401" w:type="dxa"/>
          </w:tcPr>
          <w:p>
            <w:pPr>
              <w:pStyle w:val="yTable"/>
              <w:jc w:val="center"/>
            </w:pPr>
            <w:r>
              <w:t>10</w:t>
            </w:r>
          </w:p>
        </w:tc>
        <w:tc>
          <w:tcPr>
            <w:tcW w:w="3545" w:type="dxa"/>
          </w:tcPr>
          <w:p>
            <w:pPr>
              <w:pStyle w:val="yTable"/>
              <w:jc w:val="center"/>
            </w:pPr>
            <w:r>
              <w:t>6</w:t>
            </w:r>
          </w:p>
        </w:tc>
      </w:tr>
      <w:tr>
        <w:tc>
          <w:tcPr>
            <w:tcW w:w="3401" w:type="dxa"/>
          </w:tcPr>
          <w:p>
            <w:pPr>
              <w:pStyle w:val="yTable"/>
              <w:jc w:val="center"/>
            </w:pPr>
            <w:r>
              <w:t>11</w:t>
            </w:r>
          </w:p>
        </w:tc>
        <w:tc>
          <w:tcPr>
            <w:tcW w:w="3545" w:type="dxa"/>
          </w:tcPr>
          <w:p>
            <w:pPr>
              <w:pStyle w:val="yTable"/>
              <w:jc w:val="center"/>
            </w:pPr>
            <w:r>
              <w:t>6</w:t>
            </w:r>
          </w:p>
        </w:tc>
      </w:tr>
      <w:tr>
        <w:tc>
          <w:tcPr>
            <w:tcW w:w="3401" w:type="dxa"/>
            <w:tcBorders>
              <w:bottom w:val="single" w:sz="4" w:space="0" w:color="auto"/>
            </w:tcBorders>
          </w:tcPr>
          <w:p>
            <w:pPr>
              <w:pStyle w:val="yTable"/>
              <w:jc w:val="center"/>
            </w:pPr>
            <w:r>
              <w:t>12</w:t>
            </w:r>
          </w:p>
        </w:tc>
        <w:tc>
          <w:tcPr>
            <w:tcW w:w="3545" w:type="dxa"/>
            <w:tcBorders>
              <w:bottom w:val="single" w:sz="4" w:space="0" w:color="auto"/>
            </w:tcBorders>
          </w:tcPr>
          <w:p>
            <w:pPr>
              <w:pStyle w:val="yTable"/>
              <w:jc w:val="center"/>
            </w:pPr>
            <w:r>
              <w:t>7</w:t>
            </w:r>
          </w:p>
        </w:tc>
      </w:tr>
    </w:tbl>
    <w:p>
      <w:pPr>
        <w:pStyle w:val="yScheduleHeading"/>
      </w:pPr>
      <w:bookmarkStart w:id="968" w:name="_Toc378075933"/>
      <w:bookmarkStart w:id="969" w:name="_Toc425777597"/>
      <w:bookmarkStart w:id="970" w:name="_Toc425777705"/>
      <w:bookmarkStart w:id="971" w:name="_Toc128287526"/>
      <w:bookmarkStart w:id="972" w:name="_Toc128361478"/>
      <w:bookmarkStart w:id="973" w:name="_Toc129055639"/>
      <w:bookmarkStart w:id="974" w:name="_Toc129062695"/>
      <w:bookmarkStart w:id="975" w:name="_Toc153260883"/>
      <w:bookmarkStart w:id="976" w:name="_Toc153264698"/>
      <w:bookmarkStart w:id="977" w:name="_Toc155681799"/>
      <w:bookmarkStart w:id="978" w:name="_Toc155684274"/>
      <w:bookmarkStart w:id="979" w:name="_Toc156613416"/>
      <w:bookmarkStart w:id="980" w:name="_Toc156797652"/>
      <w:bookmarkStart w:id="981" w:name="_Toc158026451"/>
      <w:bookmarkStart w:id="982" w:name="_Toc174345285"/>
      <w:bookmarkStart w:id="983" w:name="_Toc174423731"/>
      <w:bookmarkStart w:id="984" w:name="_Toc177373583"/>
      <w:bookmarkStart w:id="985" w:name="_Toc177437261"/>
      <w:bookmarkStart w:id="986" w:name="_Toc177886372"/>
      <w:bookmarkStart w:id="987" w:name="_Toc179695347"/>
      <w:bookmarkStart w:id="988" w:name="_Toc180393936"/>
      <w:bookmarkStart w:id="989" w:name="_Toc180398223"/>
      <w:bookmarkStart w:id="990" w:name="_Toc313528128"/>
      <w:bookmarkStart w:id="991" w:name="_Toc313528237"/>
      <w:r>
        <w:rPr>
          <w:rStyle w:val="CharSchNo"/>
        </w:rPr>
        <w:t>Schedule 2</w:t>
      </w:r>
      <w:r>
        <w:rPr>
          <w:rStyle w:val="CharSDivNo"/>
        </w:rPr>
        <w:t> </w:t>
      </w:r>
      <w:r>
        <w:t>—</w:t>
      </w:r>
      <w:r>
        <w:rPr>
          <w:rStyle w:val="CharSDivText"/>
        </w:rPr>
        <w:t> </w:t>
      </w:r>
      <w:r>
        <w:rPr>
          <w:rStyle w:val="CharSchText"/>
        </w:rPr>
        <w:t>Risk assessment form for water activities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yShoulderClause"/>
        <w:spacing w:after="120"/>
      </w:pPr>
      <w:r>
        <w:t>[r. 79(1)]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bCs/>
              </w:rPr>
            </w:pPr>
            <w:r>
              <w:rPr>
                <w:b/>
                <w:bCs/>
              </w:rPr>
              <w:t>Risk assessment factor</w:t>
            </w:r>
          </w:p>
        </w:tc>
        <w:tc>
          <w:tcPr>
            <w:tcW w:w="992" w:type="dxa"/>
            <w:tcBorders>
              <w:top w:val="single" w:sz="4" w:space="0" w:color="auto"/>
              <w:bottom w:val="single" w:sz="4" w:space="0" w:color="auto"/>
            </w:tcBorders>
          </w:tcPr>
          <w:p>
            <w:pPr>
              <w:pStyle w:val="yTable"/>
              <w:rPr>
                <w:b/>
                <w:bCs/>
              </w:rPr>
            </w:pPr>
            <w:r>
              <w:rPr>
                <w:b/>
                <w:bCs/>
              </w:rPr>
              <w:t>Points</w:t>
            </w:r>
          </w:p>
        </w:tc>
      </w:tr>
      <w:tr>
        <w:tc>
          <w:tcPr>
            <w:tcW w:w="5812" w:type="dxa"/>
            <w:gridSpan w:val="2"/>
            <w:tcBorders>
              <w:top w:val="single" w:sz="4" w:space="0" w:color="auto"/>
            </w:tcBorders>
          </w:tcPr>
          <w:p>
            <w:pPr>
              <w:pStyle w:val="yTable"/>
              <w:tabs>
                <w:tab w:val="left" w:pos="568"/>
              </w:tabs>
              <w:rPr>
                <w:b/>
                <w:bCs/>
              </w:rPr>
            </w:pPr>
            <w:r>
              <w:rPr>
                <w:b/>
                <w:bCs/>
              </w:rPr>
              <w:t>1.</w:t>
            </w:r>
            <w:r>
              <w:rPr>
                <w:b/>
                <w:bCs/>
              </w:rPr>
              <w:tab/>
              <w:t>Children’s swimming ability</w:t>
            </w:r>
          </w:p>
        </w:tc>
        <w:tc>
          <w:tcPr>
            <w:tcW w:w="992" w:type="dxa"/>
            <w:tcBorders>
              <w:top w:val="single" w:sz="4" w:space="0" w:color="auto"/>
            </w:tcBorders>
          </w:tcPr>
          <w:p>
            <w:pPr>
              <w:pStyle w:val="yTable"/>
            </w:pPr>
          </w:p>
        </w:tc>
      </w:tr>
      <w:tr>
        <w:tc>
          <w:tcPr>
            <w:tcW w:w="5812" w:type="dxa"/>
            <w:gridSpan w:val="2"/>
          </w:tcPr>
          <w:p>
            <w:pPr>
              <w:pStyle w:val="yTable"/>
              <w:tabs>
                <w:tab w:val="left" w:pos="568"/>
                <w:tab w:val="left" w:pos="1168"/>
              </w:tabs>
              <w:ind w:left="1168" w:hanging="1168"/>
            </w:pPr>
            <w:r>
              <w:tab/>
              <w:t>(a)</w:t>
            </w:r>
            <w:r>
              <w:tab/>
              <w:t>unknown ........................................................</w:t>
            </w:r>
          </w:p>
        </w:tc>
        <w:tc>
          <w:tcPr>
            <w:tcW w:w="992" w:type="dxa"/>
          </w:tcPr>
          <w:p>
            <w:pPr>
              <w:pStyle w:val="yTable"/>
            </w:pPr>
            <w:r>
              <w:t>10</w:t>
            </w:r>
          </w:p>
        </w:tc>
      </w:tr>
      <w:tr>
        <w:tc>
          <w:tcPr>
            <w:tcW w:w="5812" w:type="dxa"/>
            <w:gridSpan w:val="2"/>
          </w:tcPr>
          <w:p>
            <w:pPr>
              <w:pStyle w:val="yTable"/>
              <w:tabs>
                <w:tab w:val="left" w:pos="568"/>
                <w:tab w:val="left" w:pos="1168"/>
              </w:tabs>
              <w:ind w:left="1168" w:hanging="1168"/>
            </w:pPr>
            <w:r>
              <w:tab/>
              <w:t>(b)</w:t>
            </w:r>
            <w:r>
              <w:tab/>
              <w:t>mixed swimming ability ................................</w:t>
            </w:r>
          </w:p>
        </w:tc>
        <w:tc>
          <w:tcPr>
            <w:tcW w:w="992" w:type="dxa"/>
          </w:tcPr>
          <w:p>
            <w:pPr>
              <w:pStyle w:val="yTable"/>
            </w:pPr>
            <w:r>
              <w:t>3</w:t>
            </w:r>
          </w:p>
        </w:tc>
      </w:tr>
      <w:tr>
        <w:tc>
          <w:tcPr>
            <w:tcW w:w="5812" w:type="dxa"/>
            <w:gridSpan w:val="2"/>
          </w:tcPr>
          <w:p>
            <w:pPr>
              <w:pStyle w:val="yTable"/>
              <w:tabs>
                <w:tab w:val="left" w:pos="568"/>
                <w:tab w:val="left" w:pos="1168"/>
              </w:tabs>
              <w:ind w:left="1168" w:hanging="1168"/>
            </w:pPr>
            <w:r>
              <w:tab/>
              <w:t>(c)</w:t>
            </w:r>
            <w:r>
              <w:tab/>
              <w:t>certificate up to level 5, issued by RLSSA or the Department of Education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(d)</w:t>
            </w:r>
            <w:r>
              <w:tab/>
              <w:t>certificate level 6 or higher, issued by RLSSA or the Department of Education .......</w:t>
            </w:r>
          </w:p>
        </w:tc>
        <w:tc>
          <w:tcPr>
            <w:tcW w:w="992" w:type="dxa"/>
          </w:tcPr>
          <w:p>
            <w:pPr>
              <w:pStyle w:val="yTable"/>
            </w:pPr>
            <w:r>
              <w:br/>
              <w:t xml:space="preserve"> 1</w:t>
            </w:r>
          </w:p>
        </w:tc>
      </w:tr>
      <w:tr>
        <w:tc>
          <w:tcPr>
            <w:tcW w:w="5812" w:type="dxa"/>
            <w:gridSpan w:val="2"/>
          </w:tcPr>
          <w:p>
            <w:pPr>
              <w:pStyle w:val="yTable"/>
              <w:tabs>
                <w:tab w:val="left" w:pos="568"/>
              </w:tabs>
              <w:rPr>
                <w:b/>
                <w:bCs/>
              </w:rPr>
            </w:pPr>
            <w:r>
              <w:rPr>
                <w:b/>
                <w:bCs/>
              </w:rPr>
              <w:t>2.</w:t>
            </w:r>
            <w:r>
              <w:rPr>
                <w:b/>
                <w:bCs/>
              </w:rPr>
              <w:tab/>
              <w:t>Number of people using the venue</w:t>
            </w:r>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up to 50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51 to 100 ........................................................</w:t>
            </w:r>
          </w:p>
        </w:tc>
        <w:tc>
          <w:tcPr>
            <w:tcW w:w="992" w:type="dxa"/>
          </w:tcPr>
          <w:p>
            <w:pPr>
              <w:pStyle w:val="yTable"/>
            </w:pPr>
            <w:r>
              <w:t>2</w:t>
            </w:r>
          </w:p>
        </w:tc>
      </w:tr>
      <w:tr>
        <w:tc>
          <w:tcPr>
            <w:tcW w:w="5812" w:type="dxa"/>
            <w:gridSpan w:val="2"/>
          </w:tcPr>
          <w:p>
            <w:pPr>
              <w:pStyle w:val="yTable"/>
              <w:tabs>
                <w:tab w:val="left" w:pos="568"/>
                <w:tab w:val="left" w:pos="1168"/>
              </w:tabs>
              <w:ind w:left="1168" w:hanging="1168"/>
            </w:pPr>
            <w:r>
              <w:tab/>
              <w:t>(c)</w:t>
            </w:r>
            <w:r>
              <w:tab/>
              <w:t>more than 100 ................................................</w:t>
            </w:r>
          </w:p>
        </w:tc>
        <w:tc>
          <w:tcPr>
            <w:tcW w:w="992" w:type="dxa"/>
          </w:tcPr>
          <w:p>
            <w:pPr>
              <w:pStyle w:val="yTable"/>
            </w:pPr>
            <w:r>
              <w:t>3</w:t>
            </w:r>
          </w:p>
        </w:tc>
      </w:tr>
      <w:tr>
        <w:tc>
          <w:tcPr>
            <w:tcW w:w="5812" w:type="dxa"/>
            <w:gridSpan w:val="2"/>
          </w:tcPr>
          <w:p>
            <w:pPr>
              <w:pStyle w:val="yTable"/>
              <w:tabs>
                <w:tab w:val="left" w:pos="568"/>
              </w:tabs>
              <w:rPr>
                <w:b/>
                <w:bCs/>
              </w:rPr>
            </w:pPr>
            <w:r>
              <w:rPr>
                <w:b/>
                <w:bCs/>
              </w:rPr>
              <w:t>3.</w:t>
            </w:r>
            <w:r>
              <w:rPr>
                <w:b/>
                <w:bCs/>
              </w:rPr>
              <w:tab/>
              <w:t>Water visibility</w:t>
            </w:r>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bottom is clearly visible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bottom is not visible ......................................</w:t>
            </w:r>
          </w:p>
        </w:tc>
        <w:tc>
          <w:tcPr>
            <w:tcW w:w="992" w:type="dxa"/>
          </w:tcPr>
          <w:p>
            <w:pPr>
              <w:pStyle w:val="yTable"/>
            </w:pPr>
            <w:r>
              <w:t>2</w:t>
            </w:r>
          </w:p>
        </w:tc>
      </w:tr>
      <w:tr>
        <w:tc>
          <w:tcPr>
            <w:tcW w:w="5812" w:type="dxa"/>
            <w:gridSpan w:val="2"/>
          </w:tcPr>
          <w:p>
            <w:pPr>
              <w:pStyle w:val="yTable"/>
              <w:tabs>
                <w:tab w:val="left" w:pos="568"/>
              </w:tabs>
              <w:rPr>
                <w:b/>
                <w:bCs/>
              </w:rPr>
            </w:pPr>
            <w:r>
              <w:rPr>
                <w:b/>
                <w:bCs/>
              </w:rPr>
              <w:t>4.</w:t>
            </w:r>
            <w:r>
              <w:rPr>
                <w:b/>
                <w:bCs/>
              </w:rPr>
              <w:tab/>
              <w:t>Water movement</w:t>
            </w:r>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no water movement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slight water movement (up to 0.5 m swell)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(c)</w:t>
            </w:r>
            <w:r>
              <w:tab/>
              <w:t>moderate water movement (more than 0.5 m to 1 m swell) ..................................................</w:t>
            </w:r>
          </w:p>
        </w:tc>
        <w:tc>
          <w:tcPr>
            <w:tcW w:w="992" w:type="dxa"/>
          </w:tcPr>
          <w:p>
            <w:pPr>
              <w:pStyle w:val="yTable"/>
            </w:pPr>
            <w:r>
              <w:br/>
              <w:t>3</w:t>
            </w:r>
          </w:p>
        </w:tc>
      </w:tr>
      <w:tr>
        <w:tc>
          <w:tcPr>
            <w:tcW w:w="5812" w:type="dxa"/>
            <w:gridSpan w:val="2"/>
          </w:tcPr>
          <w:p>
            <w:pPr>
              <w:pStyle w:val="yTable"/>
              <w:tabs>
                <w:tab w:val="left" w:pos="568"/>
                <w:tab w:val="left" w:pos="1168"/>
              </w:tabs>
              <w:ind w:left="1168" w:hanging="1168"/>
            </w:pPr>
            <w:r>
              <w:tab/>
              <w:t>(d)</w:t>
            </w:r>
            <w:r>
              <w:tab/>
              <w:t xml:space="preserve">high water movement (more than 1 m swell) </w:t>
            </w:r>
          </w:p>
        </w:tc>
        <w:tc>
          <w:tcPr>
            <w:tcW w:w="992" w:type="dxa"/>
          </w:tcPr>
          <w:p>
            <w:pPr>
              <w:pStyle w:val="yTable"/>
            </w:pPr>
            <w:r>
              <w:t>5</w:t>
            </w:r>
          </w:p>
        </w:tc>
      </w:tr>
      <w:tr>
        <w:tc>
          <w:tcPr>
            <w:tcW w:w="5812" w:type="dxa"/>
            <w:gridSpan w:val="2"/>
          </w:tcPr>
          <w:p>
            <w:pPr>
              <w:pStyle w:val="yTable"/>
              <w:tabs>
                <w:tab w:val="left" w:pos="568"/>
              </w:tabs>
              <w:rPr>
                <w:b/>
                <w:bCs/>
              </w:rPr>
            </w:pPr>
            <w:r>
              <w:rPr>
                <w:b/>
                <w:bCs/>
              </w:rPr>
              <w:t>5.</w:t>
            </w:r>
            <w:r>
              <w:rPr>
                <w:b/>
                <w:bCs/>
              </w:rPr>
              <w:tab/>
              <w:t>Wind speed</w:t>
            </w:r>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calm to light breeze (up to 6 knots)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gentle to moderate breeze (more than 6 knots to 16 knots)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(c)</w:t>
            </w:r>
            <w:r>
              <w:tab/>
              <w:t>fresh to strong breeze (more than 16 knots to 24 knots) ........................................................</w:t>
            </w:r>
          </w:p>
        </w:tc>
        <w:tc>
          <w:tcPr>
            <w:tcW w:w="992" w:type="dxa"/>
          </w:tcPr>
          <w:p>
            <w:pPr>
              <w:pStyle w:val="yTable"/>
            </w:pPr>
            <w:r>
              <w:br/>
              <w:t>5</w:t>
            </w:r>
          </w:p>
        </w:tc>
      </w:tr>
      <w:tr>
        <w:tc>
          <w:tcPr>
            <w:tcW w:w="5812" w:type="dxa"/>
            <w:gridSpan w:val="2"/>
          </w:tcPr>
          <w:p>
            <w:pPr>
              <w:pStyle w:val="yTable"/>
              <w:tabs>
                <w:tab w:val="left" w:pos="568"/>
                <w:tab w:val="left" w:pos="1168"/>
              </w:tabs>
              <w:ind w:left="1168" w:hanging="1168"/>
            </w:pPr>
            <w:r>
              <w:tab/>
              <w:t>(d)</w:t>
            </w:r>
            <w:r>
              <w:tab/>
              <w:t>strong wind warning (more than 24 knots) ...</w:t>
            </w:r>
          </w:p>
        </w:tc>
        <w:tc>
          <w:tcPr>
            <w:tcW w:w="992" w:type="dxa"/>
          </w:tcPr>
          <w:p>
            <w:pPr>
              <w:pStyle w:val="yTable"/>
            </w:pPr>
            <w:r>
              <w:t>15</w:t>
            </w:r>
          </w:p>
        </w:tc>
      </w:tr>
      <w:tr>
        <w:tc>
          <w:tcPr>
            <w:tcW w:w="5812" w:type="dxa"/>
            <w:gridSpan w:val="2"/>
          </w:tcPr>
          <w:p>
            <w:pPr>
              <w:pStyle w:val="yTable"/>
              <w:tabs>
                <w:tab w:val="left" w:pos="568"/>
              </w:tabs>
              <w:rPr>
                <w:b/>
                <w:bCs/>
              </w:rPr>
            </w:pPr>
            <w:r>
              <w:rPr>
                <w:b/>
                <w:bCs/>
              </w:rPr>
              <w:t>6.</w:t>
            </w:r>
            <w:r>
              <w:rPr>
                <w:b/>
                <w:bCs/>
              </w:rPr>
              <w:tab/>
              <w:t>Swimming area</w:t>
            </w:r>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purpose built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natural, with change rooms, toilets, telephone and similar infrastructure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(c)</w:t>
            </w:r>
            <w:r>
              <w:tab/>
              <w:t>natural, with no change rooms, toilets, telephone or similar infrastructure ................</w:t>
            </w:r>
          </w:p>
        </w:tc>
        <w:tc>
          <w:tcPr>
            <w:tcW w:w="992" w:type="dxa"/>
          </w:tcPr>
          <w:p>
            <w:pPr>
              <w:pStyle w:val="yTable"/>
            </w:pPr>
            <w:r>
              <w:br/>
              <w:t>3</w:t>
            </w:r>
          </w:p>
        </w:tc>
      </w:tr>
      <w:tr>
        <w:tc>
          <w:tcPr>
            <w:tcW w:w="5812" w:type="dxa"/>
            <w:gridSpan w:val="2"/>
          </w:tcPr>
          <w:p>
            <w:pPr>
              <w:pStyle w:val="yTable"/>
              <w:tabs>
                <w:tab w:val="left" w:pos="568"/>
              </w:tabs>
              <w:rPr>
                <w:b/>
                <w:bCs/>
              </w:rPr>
            </w:pPr>
            <w:r>
              <w:rPr>
                <w:b/>
                <w:bCs/>
              </w:rPr>
              <w:t>7.</w:t>
            </w:r>
            <w:r>
              <w:rPr>
                <w:b/>
                <w:bCs/>
              </w:rPr>
              <w:tab/>
              <w:t>Lifesaving facilities</w:t>
            </w:r>
          </w:p>
        </w:tc>
        <w:tc>
          <w:tcPr>
            <w:tcW w:w="992" w:type="dxa"/>
          </w:tcPr>
          <w:p>
            <w:pPr>
              <w:pStyle w:val="yTable"/>
            </w:pPr>
          </w:p>
        </w:tc>
      </w:tr>
      <w:tr>
        <w:tc>
          <w:tcPr>
            <w:tcW w:w="5812" w:type="dxa"/>
            <w:gridSpan w:val="2"/>
          </w:tcPr>
          <w:p>
            <w:pPr>
              <w:pStyle w:val="yTable"/>
              <w:tabs>
                <w:tab w:val="left" w:pos="568"/>
                <w:tab w:val="left" w:pos="1168"/>
              </w:tabs>
              <w:ind w:left="1168" w:hanging="1168"/>
            </w:pPr>
            <w:r>
              <w:tab/>
              <w:t>(a)</w:t>
            </w:r>
            <w:r>
              <w:tab/>
              <w:t>available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not available ..................................................</w:t>
            </w:r>
          </w:p>
        </w:tc>
        <w:tc>
          <w:tcPr>
            <w:tcW w:w="992" w:type="dxa"/>
          </w:tcPr>
          <w:p>
            <w:pPr>
              <w:pStyle w:val="yTable"/>
            </w:pPr>
            <w:r>
              <w:t>1</w:t>
            </w:r>
          </w:p>
        </w:tc>
      </w:tr>
      <w:tr>
        <w:tc>
          <w:tcPr>
            <w:tcW w:w="5812" w:type="dxa"/>
            <w:gridSpan w:val="2"/>
          </w:tcPr>
          <w:p>
            <w:pPr>
              <w:pStyle w:val="yTable"/>
              <w:tabs>
                <w:tab w:val="left" w:pos="568"/>
              </w:tabs>
              <w:rPr>
                <w:b/>
                <w:bCs/>
              </w:rPr>
            </w:pPr>
            <w:r>
              <w:rPr>
                <w:b/>
                <w:bCs/>
              </w:rPr>
              <w:t>8.</w:t>
            </w:r>
            <w:r>
              <w:rPr>
                <w:b/>
                <w:bCs/>
              </w:rPr>
              <w:tab/>
              <w:t>Signs or other evidence of danger or health risk</w:t>
            </w:r>
          </w:p>
        </w:tc>
        <w:tc>
          <w:tcPr>
            <w:tcW w:w="992" w:type="dxa"/>
          </w:tcPr>
          <w:p>
            <w:pPr>
              <w:pStyle w:val="yTable"/>
            </w:pPr>
          </w:p>
        </w:tc>
      </w:tr>
      <w:tr>
        <w:tc>
          <w:tcPr>
            <w:tcW w:w="5812" w:type="dxa"/>
            <w:gridSpan w:val="2"/>
          </w:tcPr>
          <w:p>
            <w:pPr>
              <w:pStyle w:val="yTable"/>
            </w:pPr>
            <w:r>
              <w:tab/>
              <w:t>Including “No swimming sign”, rips, algal bloom, amoebic meningitis risk, boating activity and dangerous marine life ...............................................</w:t>
            </w:r>
          </w:p>
        </w:tc>
        <w:tc>
          <w:tcPr>
            <w:tcW w:w="992" w:type="dxa"/>
          </w:tcPr>
          <w:p>
            <w:pPr>
              <w:pStyle w:val="yTable"/>
            </w:pPr>
            <w:r>
              <w:br/>
            </w:r>
            <w:r>
              <w:br/>
              <w:t>16</w:t>
            </w:r>
          </w:p>
        </w:tc>
      </w:tr>
      <w:tr>
        <w:tc>
          <w:tcPr>
            <w:tcW w:w="5812" w:type="dxa"/>
            <w:gridSpan w:val="2"/>
          </w:tcPr>
          <w:p>
            <w:pPr>
              <w:pStyle w:val="yTable"/>
            </w:pPr>
          </w:p>
        </w:tc>
        <w:tc>
          <w:tcPr>
            <w:tcW w:w="992" w:type="dxa"/>
          </w:tcPr>
          <w:p>
            <w:pPr>
              <w:pStyle w:val="yTable"/>
            </w:pPr>
          </w:p>
        </w:tc>
      </w:tr>
      <w:tr>
        <w:tc>
          <w:tcPr>
            <w:tcW w:w="5812" w:type="dxa"/>
            <w:gridSpan w:val="2"/>
          </w:tcPr>
          <w:p>
            <w:pPr>
              <w:pStyle w:val="yTable"/>
              <w:jc w:val="right"/>
              <w:rPr>
                <w:b/>
              </w:rPr>
            </w:pPr>
            <w:r>
              <w:rPr>
                <w:b/>
              </w:rPr>
              <w:t>Record your score here</w:t>
            </w:r>
          </w:p>
        </w:tc>
        <w:tc>
          <w:tcPr>
            <w:tcW w:w="992" w:type="dxa"/>
            <w:tcBorders>
              <w:bottom w:val="single" w:sz="4" w:space="0" w:color="auto"/>
            </w:tcBorders>
          </w:tcPr>
          <w:p>
            <w:pPr>
              <w:pStyle w:val="yTable"/>
              <w:rPr>
                <w:b/>
              </w:rPr>
            </w:pPr>
          </w:p>
        </w:tc>
      </w:tr>
      <w:tr>
        <w:tc>
          <w:tcPr>
            <w:tcW w:w="5812" w:type="dxa"/>
            <w:gridSpan w:val="2"/>
          </w:tcPr>
          <w:p>
            <w:pPr>
              <w:pStyle w:val="yTable"/>
              <w:rPr>
                <w:b/>
              </w:rPr>
            </w:pPr>
          </w:p>
        </w:tc>
        <w:tc>
          <w:tcPr>
            <w:tcW w:w="992" w:type="dxa"/>
            <w:tcBorders>
              <w:top w:val="single" w:sz="4" w:space="0" w:color="auto"/>
            </w:tcBorders>
          </w:tcPr>
          <w:p>
            <w:pPr>
              <w:pStyle w:val="yTable"/>
              <w:rPr>
                <w:b/>
              </w:rPr>
            </w:pPr>
          </w:p>
        </w:tc>
      </w:tr>
      <w:tr>
        <w:trPr>
          <w:cantSplit/>
          <w:trHeight w:val="315"/>
        </w:trPr>
        <w:tc>
          <w:tcPr>
            <w:tcW w:w="1701" w:type="dxa"/>
          </w:tcPr>
          <w:p>
            <w:pPr>
              <w:pStyle w:val="yTable"/>
              <w:rPr>
                <w:b/>
              </w:rPr>
            </w:pPr>
            <w:r>
              <w:rPr>
                <w:b/>
              </w:rPr>
              <w:t>Low risk</w:t>
            </w:r>
          </w:p>
        </w:tc>
        <w:tc>
          <w:tcPr>
            <w:tcW w:w="5103" w:type="dxa"/>
            <w:gridSpan w:val="2"/>
          </w:tcPr>
          <w:p>
            <w:pPr>
              <w:pStyle w:val="yTable"/>
              <w:rPr>
                <w:b/>
              </w:rPr>
            </w:pPr>
            <w:r>
              <w:rPr>
                <w:b/>
              </w:rPr>
              <w:t>0 to 10 points</w:t>
            </w:r>
          </w:p>
        </w:tc>
      </w:tr>
      <w:tr>
        <w:trPr>
          <w:cantSplit/>
          <w:trHeight w:val="314"/>
        </w:trPr>
        <w:tc>
          <w:tcPr>
            <w:tcW w:w="1701" w:type="dxa"/>
          </w:tcPr>
          <w:p>
            <w:pPr>
              <w:pStyle w:val="yTable"/>
              <w:rPr>
                <w:b/>
              </w:rPr>
            </w:pPr>
            <w:r>
              <w:rPr>
                <w:b/>
              </w:rPr>
              <w:t>Medium risk</w:t>
            </w:r>
          </w:p>
        </w:tc>
        <w:tc>
          <w:tcPr>
            <w:tcW w:w="5103" w:type="dxa"/>
            <w:gridSpan w:val="2"/>
          </w:tcPr>
          <w:p>
            <w:pPr>
              <w:pStyle w:val="yTable"/>
              <w:rPr>
                <w:b/>
              </w:rPr>
            </w:pPr>
            <w:r>
              <w:rPr>
                <w:b/>
              </w:rPr>
              <w:t>11 to 15 points</w:t>
            </w:r>
          </w:p>
        </w:tc>
      </w:tr>
      <w:tr>
        <w:trPr>
          <w:cantSplit/>
          <w:trHeight w:val="314"/>
        </w:trPr>
        <w:tc>
          <w:tcPr>
            <w:tcW w:w="1701" w:type="dxa"/>
            <w:tcBorders>
              <w:bottom w:val="single" w:sz="4" w:space="0" w:color="auto"/>
            </w:tcBorders>
          </w:tcPr>
          <w:p>
            <w:pPr>
              <w:pStyle w:val="yTable"/>
              <w:rPr>
                <w:b/>
              </w:rPr>
            </w:pPr>
            <w:r>
              <w:rPr>
                <w:b/>
              </w:rPr>
              <w:t>High risk</w:t>
            </w:r>
          </w:p>
        </w:tc>
        <w:tc>
          <w:tcPr>
            <w:tcW w:w="5103" w:type="dxa"/>
            <w:gridSpan w:val="2"/>
            <w:tcBorders>
              <w:bottom w:val="single" w:sz="4" w:space="0" w:color="auto"/>
            </w:tcBorders>
          </w:tcPr>
          <w:p>
            <w:pPr>
              <w:pStyle w:val="yTable"/>
              <w:rPr>
                <w:b/>
              </w:rPr>
            </w:pPr>
            <w:r>
              <w:rPr>
                <w:b/>
              </w:rPr>
              <w:t>16 points or more</w:t>
            </w:r>
          </w:p>
        </w:tc>
      </w:tr>
    </w:tbl>
    <w:p>
      <w:pPr>
        <w:tabs>
          <w:tab w:val="left" w:pos="568"/>
          <w:tab w:val="left" w:pos="1168"/>
        </w:tabs>
        <w:ind w:left="1168" w:hanging="1168"/>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bookmarkStart w:id="993" w:name="_Toc113695922"/>
      <w:bookmarkStart w:id="994" w:name="_Toc125431245"/>
    </w:p>
    <w:p>
      <w:pPr>
        <w:pStyle w:val="nHeading2"/>
      </w:pPr>
      <w:bookmarkStart w:id="995" w:name="_Toc378075934"/>
      <w:bookmarkStart w:id="996" w:name="_Toc425777598"/>
      <w:bookmarkStart w:id="997" w:name="_Toc425777706"/>
      <w:bookmarkStart w:id="998" w:name="_Toc128287535"/>
      <w:bookmarkStart w:id="999" w:name="_Toc128361487"/>
      <w:bookmarkStart w:id="1000" w:name="_Toc129055648"/>
      <w:bookmarkStart w:id="1001" w:name="_Toc129062704"/>
      <w:bookmarkStart w:id="1002" w:name="_Toc153260892"/>
      <w:bookmarkStart w:id="1003" w:name="_Toc153264707"/>
      <w:bookmarkStart w:id="1004" w:name="_Toc155681808"/>
      <w:bookmarkStart w:id="1005" w:name="_Toc155684283"/>
      <w:bookmarkStart w:id="1006" w:name="_Toc156613425"/>
      <w:bookmarkStart w:id="1007" w:name="_Toc156797661"/>
      <w:bookmarkStart w:id="1008" w:name="_Toc158026460"/>
      <w:bookmarkStart w:id="1009" w:name="_Toc174345294"/>
      <w:bookmarkStart w:id="1010" w:name="_Toc174423740"/>
      <w:bookmarkStart w:id="1011" w:name="_Toc177373592"/>
      <w:bookmarkStart w:id="1012" w:name="_Toc177437270"/>
      <w:bookmarkStart w:id="1013" w:name="_Toc177886381"/>
      <w:bookmarkStart w:id="1014" w:name="_Toc179695356"/>
      <w:bookmarkStart w:id="1015" w:name="_Toc180393945"/>
      <w:bookmarkStart w:id="1016" w:name="_Toc180398232"/>
      <w:bookmarkStart w:id="1017" w:name="_Toc313528129"/>
      <w:bookmarkStart w:id="1018" w:name="_Toc313528238"/>
      <w:r>
        <w:t>Notes</w:t>
      </w:r>
      <w:bookmarkEnd w:id="995"/>
      <w:bookmarkEnd w:id="996"/>
      <w:bookmarkEnd w:id="997"/>
      <w:bookmarkEnd w:id="993"/>
      <w:bookmarkEnd w:id="994"/>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nSubsection"/>
        <w:rPr>
          <w:snapToGrid w:val="0"/>
        </w:rPr>
      </w:pPr>
      <w:r>
        <w:rPr>
          <w:snapToGrid w:val="0"/>
          <w:vertAlign w:val="superscript"/>
        </w:rPr>
        <w:t>1</w:t>
      </w:r>
      <w:r>
        <w:rPr>
          <w:snapToGrid w:val="0"/>
        </w:rPr>
        <w:tab/>
        <w:t xml:space="preserve">This is a compilation of the </w:t>
      </w:r>
      <w:r>
        <w:rPr>
          <w:i/>
          <w:noProof/>
          <w:snapToGrid w:val="0"/>
        </w:rPr>
        <w:t>Child Care Services (</w:t>
      </w:r>
      <w:smartTag w:uri="urn:schemas-microsoft-com:office:smarttags" w:element="place">
        <w:smartTag w:uri="urn:schemas-microsoft-com:office:smarttags" w:element="PlaceName">
          <w:r>
            <w:rPr>
              <w:i/>
              <w:noProof/>
              <w:snapToGrid w:val="0"/>
            </w:rPr>
            <w:t>Outside</w:t>
          </w:r>
        </w:smartTag>
        <w:r>
          <w:rPr>
            <w:i/>
            <w:noProof/>
            <w:snapToGrid w:val="0"/>
          </w:rPr>
          <w:t xml:space="preserve"> </w:t>
        </w:r>
        <w:smartTag w:uri="urn:schemas-microsoft-com:office:smarttags" w:element="PlaceType">
          <w:r>
            <w:rPr>
              <w:i/>
              <w:noProof/>
              <w:snapToGrid w:val="0"/>
            </w:rPr>
            <w:t>School</w:t>
          </w:r>
        </w:smartTag>
      </w:smartTag>
      <w:r>
        <w:rPr>
          <w:i/>
          <w:noProof/>
          <w:snapToGrid w:val="0"/>
        </w:rPr>
        <w:t xml:space="preserve"> Hours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1019" w:name="_Toc378075935"/>
      <w:bookmarkStart w:id="1020" w:name="_Toc425777707"/>
      <w:bookmarkStart w:id="1021" w:name="_Toc313528239"/>
      <w:r>
        <w:t>Compilation table</w:t>
      </w:r>
      <w:bookmarkEnd w:id="1019"/>
      <w:bookmarkEnd w:id="1020"/>
      <w:bookmarkEnd w:id="10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rPr>
                <w:iCs/>
                <w:vertAlign w:val="superscript"/>
              </w:rPr>
            </w:pPr>
            <w:r>
              <w:rPr>
                <w:i/>
              </w:rPr>
              <w:t>Children and Community Services (</w:t>
            </w:r>
            <w:smartTag w:uri="urn:schemas-microsoft-com:office:smarttags" w:element="place">
              <w:smartTag w:uri="urn:schemas-microsoft-com:office:smarttags" w:element="PlaceName">
                <w:r>
                  <w:rPr>
                    <w:i/>
                  </w:rPr>
                  <w:t>Outside</w:t>
                </w:r>
              </w:smartTag>
              <w:r>
                <w:rPr>
                  <w:i/>
                </w:rPr>
                <w:t xml:space="preserve"> </w:t>
              </w:r>
              <w:smartTag w:uri="urn:schemas-microsoft-com:office:smarttags" w:element="PlaceType">
                <w:r>
                  <w:rPr>
                    <w:i/>
                  </w:rPr>
                  <w:t>School</w:t>
                </w:r>
              </w:smartTag>
            </w:smartTag>
            <w:r>
              <w:rPr>
                <w:i/>
              </w:rPr>
              <w:t xml:space="preserve"> Hours Care) Regulations 2006 </w:t>
            </w:r>
            <w:r>
              <w:rPr>
                <w:iCs/>
                <w:vertAlign w:val="superscript"/>
              </w:rPr>
              <w:t>4</w:t>
            </w:r>
          </w:p>
        </w:tc>
        <w:tc>
          <w:tcPr>
            <w:tcW w:w="1276" w:type="dxa"/>
            <w:tcBorders>
              <w:top w:val="single" w:sz="8" w:space="0" w:color="auto"/>
            </w:tcBorders>
          </w:tcPr>
          <w:p>
            <w:pPr>
              <w:pStyle w:val="nTable"/>
              <w:spacing w:after="40"/>
            </w:pPr>
            <w:r>
              <w:t>18 Jan 2006 p. 289</w:t>
            </w:r>
            <w:r>
              <w:noBreakHyphen/>
              <w:t>351</w:t>
            </w:r>
          </w:p>
        </w:tc>
        <w:tc>
          <w:tcPr>
            <w:tcW w:w="2693" w:type="dxa"/>
            <w:tcBorders>
              <w:top w:val="single" w:sz="8" w:space="0" w:color="auto"/>
            </w:tcBorders>
          </w:tcPr>
          <w:p>
            <w:pPr>
              <w:pStyle w:val="nTable"/>
              <w:spacing w:after="40"/>
            </w:pPr>
            <w:r>
              <w:t xml:space="preserve">1 Mar 2006 (see r. 2 and </w:t>
            </w:r>
            <w:r>
              <w:rPr>
                <w:i/>
                <w:iCs/>
              </w:rPr>
              <w:t>Gazette</w:t>
            </w:r>
            <w:r>
              <w:t xml:space="preserve"> 14 Feb 2006 p. 695)</w:t>
            </w:r>
          </w:p>
        </w:tc>
      </w:tr>
      <w:tr>
        <w:tc>
          <w:tcPr>
            <w:tcW w:w="3118" w:type="dxa"/>
          </w:tcPr>
          <w:p>
            <w:pPr>
              <w:pStyle w:val="nTable"/>
              <w:spacing w:after="40"/>
              <w:rPr>
                <w:i/>
              </w:rPr>
            </w:pPr>
            <w:r>
              <w:rPr>
                <w:i/>
              </w:rPr>
              <w:t>Children and Community Services (</w:t>
            </w:r>
            <w:smartTag w:uri="urn:schemas-microsoft-com:office:smarttags" w:element="place">
              <w:smartTag w:uri="urn:schemas-microsoft-com:office:smarttags" w:element="PlaceName">
                <w:r>
                  <w:rPr>
                    <w:i/>
                  </w:rPr>
                  <w:t>Outside</w:t>
                </w:r>
              </w:smartTag>
              <w:r>
                <w:rPr>
                  <w:i/>
                </w:rPr>
                <w:t xml:space="preserve"> </w:t>
              </w:r>
              <w:smartTag w:uri="urn:schemas-microsoft-com:office:smarttags" w:element="PlaceType">
                <w:r>
                  <w:rPr>
                    <w:i/>
                  </w:rPr>
                  <w:t>School</w:t>
                </w:r>
              </w:smartTag>
            </w:smartTag>
            <w:r>
              <w:rPr>
                <w:i/>
              </w:rPr>
              <w:t xml:space="preserve"> Hours Care) Amendment Regulations 2006</w:t>
            </w:r>
          </w:p>
        </w:tc>
        <w:tc>
          <w:tcPr>
            <w:tcW w:w="1276" w:type="dxa"/>
          </w:tcPr>
          <w:p>
            <w:pPr>
              <w:pStyle w:val="nTable"/>
              <w:spacing w:after="40"/>
            </w:pPr>
            <w:r>
              <w:t>1 Mar 2006 p. 925</w:t>
            </w:r>
            <w:r>
              <w:noBreakHyphen/>
              <w:t>6</w:t>
            </w:r>
          </w:p>
        </w:tc>
        <w:tc>
          <w:tcPr>
            <w:tcW w:w="2693" w:type="dxa"/>
          </w:tcPr>
          <w:p>
            <w:pPr>
              <w:pStyle w:val="nTable"/>
              <w:spacing w:after="40"/>
            </w:pPr>
            <w:r>
              <w:t>1 Mar 2006</w:t>
            </w:r>
          </w:p>
        </w:tc>
      </w:tr>
      <w:tr>
        <w:tc>
          <w:tcPr>
            <w:tcW w:w="3118" w:type="dxa"/>
          </w:tcPr>
          <w:p>
            <w:pPr>
              <w:pStyle w:val="nTable"/>
              <w:spacing w:after="40"/>
              <w:rPr>
                <w:i/>
              </w:rPr>
            </w:pPr>
            <w:r>
              <w:rPr>
                <w:i/>
              </w:rPr>
              <w:t>Children and Community Services (</w:t>
            </w:r>
            <w:smartTag w:uri="urn:schemas-microsoft-com:office:smarttags" w:element="place">
              <w:smartTag w:uri="urn:schemas-microsoft-com:office:smarttags" w:element="PlaceName">
                <w:r>
                  <w:rPr>
                    <w:i/>
                  </w:rPr>
                  <w:t>Outside</w:t>
                </w:r>
              </w:smartTag>
              <w:r>
                <w:rPr>
                  <w:i/>
                </w:rPr>
                <w:t xml:space="preserve"> </w:t>
              </w:r>
              <w:smartTag w:uri="urn:schemas-microsoft-com:office:smarttags" w:element="PlaceType">
                <w:r>
                  <w:rPr>
                    <w:i/>
                  </w:rPr>
                  <w:t>School</w:t>
                </w:r>
              </w:smartTag>
            </w:smartTag>
            <w:r>
              <w:rPr>
                <w:i/>
              </w:rPr>
              <w:t xml:space="preserve"> Hours Care) Amendment Regulations (No. 2) 2006</w:t>
            </w:r>
          </w:p>
        </w:tc>
        <w:tc>
          <w:tcPr>
            <w:tcW w:w="1276" w:type="dxa"/>
          </w:tcPr>
          <w:p>
            <w:pPr>
              <w:pStyle w:val="nTable"/>
              <w:spacing w:after="40"/>
            </w:pPr>
            <w:r>
              <w:t>8 Dec 2006 p. 5382</w:t>
            </w:r>
            <w:r>
              <w:noBreakHyphen/>
              <w:t>4</w:t>
            </w:r>
          </w:p>
        </w:tc>
        <w:tc>
          <w:tcPr>
            <w:tcW w:w="2693" w:type="dxa"/>
          </w:tcPr>
          <w:p>
            <w:pPr>
              <w:pStyle w:val="nTable"/>
              <w:spacing w:after="40"/>
            </w:pPr>
            <w:r>
              <w:t>8 Dec 2006</w:t>
            </w:r>
          </w:p>
        </w:tc>
      </w:tr>
      <w:tr>
        <w:trPr>
          <w:cantSplit/>
        </w:trPr>
        <w:tc>
          <w:tcPr>
            <w:tcW w:w="7087" w:type="dxa"/>
            <w:gridSpan w:val="3"/>
          </w:tcPr>
          <w:p>
            <w:pPr>
              <w:pStyle w:val="nTable"/>
              <w:spacing w:after="40"/>
            </w:pPr>
            <w:r>
              <w:rPr>
                <w:b/>
                <w:bCs/>
              </w:rPr>
              <w:t xml:space="preserve">Reprint 1: The </w:t>
            </w:r>
            <w:r>
              <w:rPr>
                <w:b/>
                <w:bCs/>
                <w:i/>
              </w:rPr>
              <w:t>Children and Community Services (</w:t>
            </w:r>
            <w:smartTag w:uri="urn:schemas-microsoft-com:office:smarttags" w:element="place">
              <w:smartTag w:uri="urn:schemas-microsoft-com:office:smarttags" w:element="PlaceName">
                <w:r>
                  <w:rPr>
                    <w:b/>
                    <w:bCs/>
                    <w:i/>
                  </w:rPr>
                  <w:t>Outside</w:t>
                </w:r>
              </w:smartTag>
              <w:r>
                <w:rPr>
                  <w:b/>
                  <w:bCs/>
                  <w:i/>
                </w:rPr>
                <w:t xml:space="preserve"> </w:t>
              </w:r>
              <w:smartTag w:uri="urn:schemas-microsoft-com:office:smarttags" w:element="PlaceType">
                <w:r>
                  <w:rPr>
                    <w:b/>
                    <w:bCs/>
                    <w:i/>
                  </w:rPr>
                  <w:t>School</w:t>
                </w:r>
              </w:smartTag>
            </w:smartTag>
            <w:r>
              <w:rPr>
                <w:b/>
                <w:bCs/>
                <w:i/>
              </w:rPr>
              <w:t xml:space="preserve"> Hours Care) Regulations 2006</w:t>
            </w:r>
            <w:r>
              <w:rPr>
                <w:b/>
                <w:bCs/>
              </w:rPr>
              <w:t xml:space="preserve"> as at 19 Jan 2007</w:t>
            </w:r>
            <w:r>
              <w:t xml:space="preserve"> (includes amendments listed above)</w:t>
            </w:r>
          </w:p>
        </w:tc>
      </w:tr>
      <w:tr>
        <w:tc>
          <w:tcPr>
            <w:tcW w:w="3118" w:type="dxa"/>
          </w:tcPr>
          <w:p>
            <w:pPr>
              <w:pStyle w:val="nTable"/>
              <w:spacing w:after="40"/>
              <w:rPr>
                <w:i/>
              </w:rPr>
            </w:pPr>
            <w:r>
              <w:rPr>
                <w:i/>
              </w:rPr>
              <w:t>Children and Community Services (</w:t>
            </w:r>
            <w:smartTag w:uri="urn:schemas-microsoft-com:office:smarttags" w:element="place">
              <w:smartTag w:uri="urn:schemas-microsoft-com:office:smarttags" w:element="PlaceName">
                <w:r>
                  <w:rPr>
                    <w:i/>
                  </w:rPr>
                  <w:t>Outside</w:t>
                </w:r>
              </w:smartTag>
              <w:r>
                <w:rPr>
                  <w:i/>
                </w:rPr>
                <w:t xml:space="preserve"> </w:t>
              </w:r>
              <w:smartTag w:uri="urn:schemas-microsoft-com:office:smarttags" w:element="PlaceType">
                <w:r>
                  <w:rPr>
                    <w:i/>
                  </w:rPr>
                  <w:t>School</w:t>
                </w:r>
              </w:smartTag>
            </w:smartTag>
            <w:r>
              <w:rPr>
                <w:i/>
              </w:rPr>
              <w:t xml:space="preserve"> Hours Care) Amendment Regulations 2007</w:t>
            </w:r>
          </w:p>
        </w:tc>
        <w:tc>
          <w:tcPr>
            <w:tcW w:w="1276" w:type="dxa"/>
          </w:tcPr>
          <w:p>
            <w:pPr>
              <w:pStyle w:val="nTable"/>
              <w:spacing w:after="40"/>
            </w:pPr>
            <w:r>
              <w:t>7 Aug 2007 p. 4037</w:t>
            </w:r>
            <w:r>
              <w:noBreakHyphen/>
              <w:t>40</w:t>
            </w:r>
          </w:p>
        </w:tc>
        <w:tc>
          <w:tcPr>
            <w:tcW w:w="2693" w:type="dxa"/>
          </w:tcPr>
          <w:p>
            <w:pPr>
              <w:pStyle w:val="nTable"/>
              <w:spacing w:after="40"/>
            </w:pPr>
            <w:r>
              <w:t xml:space="preserve">10 Aug 2007 (see note to r. 1 and </w:t>
            </w:r>
            <w:r>
              <w:rPr>
                <w:i/>
                <w:iCs/>
              </w:rPr>
              <w:t>Gazette</w:t>
            </w:r>
            <w:r>
              <w:t xml:space="preserve"> 9 Aug 2007 p. 4071)</w:t>
            </w:r>
          </w:p>
        </w:tc>
      </w:tr>
      <w:tr>
        <w:trPr>
          <w:cantSplit/>
        </w:trPr>
        <w:tc>
          <w:tcPr>
            <w:tcW w:w="7087" w:type="dxa"/>
            <w:gridSpan w:val="3"/>
          </w:tcPr>
          <w:p>
            <w:pPr>
              <w:pStyle w:val="nTable"/>
              <w:spacing w:after="40"/>
            </w:pPr>
            <w:r>
              <w:rPr>
                <w:b/>
                <w:bCs/>
              </w:rPr>
              <w:t xml:space="preserve">Reprint 2: The </w:t>
            </w:r>
            <w:r>
              <w:rPr>
                <w:b/>
                <w:bCs/>
                <w:i/>
              </w:rPr>
              <w:t>Child Care Services (</w:t>
            </w:r>
            <w:smartTag w:uri="urn:schemas-microsoft-com:office:smarttags" w:element="place">
              <w:smartTag w:uri="urn:schemas-microsoft-com:office:smarttags" w:element="PlaceName">
                <w:r>
                  <w:rPr>
                    <w:b/>
                    <w:bCs/>
                    <w:i/>
                  </w:rPr>
                  <w:t>Outside</w:t>
                </w:r>
              </w:smartTag>
              <w:r>
                <w:rPr>
                  <w:b/>
                  <w:bCs/>
                  <w:i/>
                </w:rPr>
                <w:t xml:space="preserve"> </w:t>
              </w:r>
              <w:smartTag w:uri="urn:schemas-microsoft-com:office:smarttags" w:element="PlaceType">
                <w:r>
                  <w:rPr>
                    <w:b/>
                    <w:bCs/>
                    <w:i/>
                  </w:rPr>
                  <w:t>School</w:t>
                </w:r>
              </w:smartTag>
            </w:smartTag>
            <w:r>
              <w:rPr>
                <w:b/>
                <w:bCs/>
                <w:i/>
              </w:rPr>
              <w:t xml:space="preserve"> Hours Care) Regulations 2006</w:t>
            </w:r>
            <w:r>
              <w:rPr>
                <w:b/>
                <w:bCs/>
              </w:rPr>
              <w:t xml:space="preserve"> as at 5 Oct 2007</w:t>
            </w:r>
            <w:r>
              <w:t xml:space="preserve"> (includes amendments listed above)</w:t>
            </w:r>
          </w:p>
        </w:tc>
      </w:tr>
      <w:tr>
        <w:tc>
          <w:tcPr>
            <w:tcW w:w="3118" w:type="dxa"/>
          </w:tcPr>
          <w:p>
            <w:pPr>
              <w:pStyle w:val="nTable"/>
              <w:spacing w:after="40"/>
              <w:rPr>
                <w:i/>
              </w:rPr>
            </w:pPr>
            <w:r>
              <w:rPr>
                <w:i/>
              </w:rPr>
              <w:t>Child Care Services (</w:t>
            </w:r>
            <w:smartTag w:uri="urn:schemas-microsoft-com:office:smarttags" w:element="place">
              <w:smartTag w:uri="urn:schemas-microsoft-com:office:smarttags" w:element="PlaceName">
                <w:r>
                  <w:rPr>
                    <w:i/>
                  </w:rPr>
                  <w:t>Outside</w:t>
                </w:r>
              </w:smartTag>
              <w:r>
                <w:rPr>
                  <w:i/>
                </w:rPr>
                <w:t xml:space="preserve"> </w:t>
              </w:r>
              <w:smartTag w:uri="urn:schemas-microsoft-com:office:smarttags" w:element="PlaceType">
                <w:r>
                  <w:rPr>
                    <w:i/>
                  </w:rPr>
                  <w:t>School</w:t>
                </w:r>
              </w:smartTag>
            </w:smartTag>
            <w:r>
              <w:rPr>
                <w:i/>
              </w:rPr>
              <w:t xml:space="preserve"> Hours Care) Amendment Regulations 2011</w:t>
            </w:r>
          </w:p>
        </w:tc>
        <w:tc>
          <w:tcPr>
            <w:tcW w:w="1276" w:type="dxa"/>
          </w:tcPr>
          <w:p>
            <w:pPr>
              <w:pStyle w:val="nTable"/>
              <w:spacing w:after="40"/>
            </w:pPr>
            <w:r>
              <w:t>6 Jan 2012 p. 28-36</w:t>
            </w:r>
          </w:p>
        </w:tc>
        <w:tc>
          <w:tcPr>
            <w:tcW w:w="2693" w:type="dxa"/>
          </w:tcPr>
          <w:p>
            <w:pPr>
              <w:pStyle w:val="nTable"/>
              <w:spacing w:after="40"/>
            </w:pPr>
            <w:r>
              <w:t>r. 1 and 2: 6 Jan 2012 (see r. 2(a));</w:t>
            </w:r>
            <w:r>
              <w:br/>
              <w:t xml:space="preserve">Regulations other than r. 1 and 2: 7 Jan 2012 (see r. 2(b) and </w:t>
            </w:r>
            <w:r>
              <w:rPr>
                <w:i/>
                <w:iCs/>
              </w:rPr>
              <w:t>Gazette</w:t>
            </w:r>
            <w:r>
              <w:t xml:space="preserve"> 6 Jan 2012 p. 3)</w:t>
            </w:r>
          </w:p>
        </w:tc>
      </w:tr>
      <w:tr>
        <w:trPr>
          <w:ins w:id="1022" w:author="Master Repository Process" w:date="2021-07-31T18:44:00Z"/>
        </w:trPr>
        <w:tc>
          <w:tcPr>
            <w:tcW w:w="7087" w:type="dxa"/>
            <w:gridSpan w:val="3"/>
            <w:tcBorders>
              <w:bottom w:val="single" w:sz="4" w:space="0" w:color="auto"/>
            </w:tcBorders>
          </w:tcPr>
          <w:p>
            <w:pPr>
              <w:pStyle w:val="nTable"/>
              <w:spacing w:after="40"/>
              <w:rPr>
                <w:ins w:id="1023" w:author="Master Repository Process" w:date="2021-07-31T18:44:00Z"/>
              </w:rPr>
            </w:pPr>
            <w:ins w:id="1024" w:author="Master Repository Process" w:date="2021-07-31T18:44:00Z">
              <w:r>
                <w:rPr>
                  <w:b/>
                  <w:color w:val="FF0000"/>
                </w:rPr>
                <w:t xml:space="preserve">These regulations were repealed by the </w:t>
              </w:r>
              <w:r>
                <w:rPr>
                  <w:b/>
                  <w:i/>
                  <w:iCs/>
                  <w:color w:val="FF0000"/>
                </w:rPr>
                <w:t xml:space="preserve">Child Care Services (Repeals) Regulations 2012 </w:t>
              </w:r>
              <w:r>
                <w:rPr>
                  <w:b/>
                  <w:iCs/>
                  <w:color w:val="FF0000"/>
                </w:rPr>
                <w:t>r</w:t>
              </w:r>
              <w:r>
                <w:rPr>
                  <w:b/>
                  <w:color w:val="FF0000"/>
                </w:rPr>
                <w:t xml:space="preserve">. 4 as at 6 Mar 2013 (see r. 2(b) and </w:t>
              </w:r>
              <w:r>
                <w:rPr>
                  <w:b/>
                  <w:i/>
                  <w:iCs/>
                  <w:color w:val="FF0000"/>
                </w:rPr>
                <w:t>Gazette</w:t>
              </w:r>
              <w:r>
                <w:rPr>
                  <w:b/>
                  <w:color w:val="FF0000"/>
                </w:rPr>
                <w:t xml:space="preserve"> 5 Mar 2013 p. 1110)</w:t>
              </w:r>
            </w:ins>
          </w:p>
        </w:tc>
      </w:tr>
    </w:tbl>
    <w:p>
      <w:pPr>
        <w:pStyle w:val="nSubsection"/>
        <w:spacing w:before="160"/>
      </w:pPr>
      <w:r>
        <w:rPr>
          <w:iCs/>
          <w:noProof/>
          <w:snapToGrid w:val="0"/>
          <w:vertAlign w:val="superscript"/>
        </w:rPr>
        <w:t>2</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spacing w:before="160"/>
        <w:rPr>
          <w:iCs/>
          <w:noProof/>
          <w:snapToGrid w:val="0"/>
        </w:rPr>
      </w:pPr>
      <w:r>
        <w:rPr>
          <w:iCs/>
          <w:noProof/>
          <w:snapToGrid w:val="0"/>
          <w:vertAlign w:val="superscript"/>
        </w:rPr>
        <w:t>3</w:t>
      </w:r>
      <w:r>
        <w:rPr>
          <w:iCs/>
          <w:noProof/>
          <w:snapToGrid w:val="0"/>
          <w:vertAlign w:val="superscript"/>
        </w:rPr>
        <w:tab/>
      </w:r>
      <w:r>
        <w:rPr>
          <w:snapToGrid w:val="0"/>
        </w:rPr>
        <w:t xml:space="preserve">Formerly referred to the </w:t>
      </w:r>
      <w:r>
        <w:rPr>
          <w:i/>
          <w:iCs/>
          <w:snapToGrid w:val="0"/>
        </w:rPr>
        <w:t>Children and Community Services</w:t>
      </w:r>
      <w:r>
        <w:rPr>
          <w:i/>
          <w:noProof/>
          <w:snapToGrid w:val="0"/>
        </w:rPr>
        <w:t xml:space="preserve"> (</w:t>
      </w:r>
      <w:r>
        <w:rPr>
          <w:i/>
        </w:rPr>
        <w:t>Outside School Hours Family Day Care</w:t>
      </w:r>
      <w:r>
        <w:rPr>
          <w:i/>
          <w:noProof/>
          <w:snapToGrid w:val="0"/>
        </w:rPr>
        <w:t>) Regulations 2006</w:t>
      </w:r>
      <w:r>
        <w:rPr>
          <w:iCs/>
          <w:noProof/>
          <w:snapToGrid w:val="0"/>
        </w:rPr>
        <w:t>,</w:t>
      </w:r>
      <w:r>
        <w:rPr>
          <w:i/>
          <w:noProof/>
          <w:snapToGrid w:val="0"/>
        </w:rPr>
        <w:t xml:space="preserve"> </w:t>
      </w:r>
      <w:r>
        <w:rPr>
          <w:iCs/>
          <w:noProof/>
          <w:snapToGrid w:val="0"/>
        </w:rPr>
        <w:t>the citation of which was changed to the</w:t>
      </w:r>
      <w:r>
        <w:rPr>
          <w:snapToGrid w:val="0"/>
        </w:rPr>
        <w:t xml:space="preserve"> </w:t>
      </w:r>
      <w:r>
        <w:rPr>
          <w:i/>
          <w:noProof/>
          <w:snapToGrid w:val="0"/>
        </w:rPr>
        <w:t>Child Care Services (</w:t>
      </w:r>
      <w:r>
        <w:rPr>
          <w:i/>
        </w:rPr>
        <w:t>Outside School Hours Family Day Care</w:t>
      </w:r>
      <w:r>
        <w:rPr>
          <w:i/>
          <w:noProof/>
          <w:snapToGrid w:val="0"/>
        </w:rPr>
        <w:t xml:space="preserve">) Regulations 2006 </w:t>
      </w:r>
      <w:r>
        <w:rPr>
          <w:iCs/>
          <w:noProof/>
          <w:snapToGrid w:val="0"/>
        </w:rPr>
        <w:t>by</w:t>
      </w:r>
      <w:r>
        <w:rPr>
          <w:i/>
          <w:noProof/>
          <w:snapToGrid w:val="0"/>
        </w:rPr>
        <w:t xml:space="preserve"> </w:t>
      </w:r>
      <w:r>
        <w:rPr>
          <w:iCs/>
          <w:noProof/>
          <w:snapToGrid w:val="0"/>
        </w:rPr>
        <w:t>the</w:t>
      </w:r>
      <w:r>
        <w:rPr>
          <w:i/>
          <w:noProof/>
          <w:snapToGrid w:val="0"/>
        </w:rPr>
        <w:t xml:space="preserve"> </w:t>
      </w:r>
      <w:r>
        <w:rPr>
          <w:i/>
          <w:iCs/>
          <w:snapToGrid w:val="0"/>
        </w:rPr>
        <w:t>Children and Community Services</w:t>
      </w:r>
      <w:r>
        <w:rPr>
          <w:i/>
          <w:noProof/>
          <w:snapToGrid w:val="0"/>
        </w:rPr>
        <w:t xml:space="preserve"> (</w:t>
      </w:r>
      <w:r>
        <w:rPr>
          <w:i/>
        </w:rPr>
        <w:t>Outside School Hours Family Day Care</w:t>
      </w:r>
      <w:r>
        <w:rPr>
          <w:i/>
          <w:noProof/>
          <w:snapToGrid w:val="0"/>
        </w:rPr>
        <w:t>) Amendment Regulations 2007</w:t>
      </w:r>
      <w:r>
        <w:rPr>
          <w:iCs/>
          <w:noProof/>
          <w:snapToGrid w:val="0"/>
        </w:rPr>
        <w:t xml:space="preserve">.  The reference was changed under the </w:t>
      </w:r>
      <w:r>
        <w:rPr>
          <w:i/>
          <w:noProof/>
          <w:snapToGrid w:val="0"/>
        </w:rPr>
        <w:t>Reprints Act 1984</w:t>
      </w:r>
      <w:r>
        <w:rPr>
          <w:iCs/>
          <w:noProof/>
          <w:snapToGrid w:val="0"/>
        </w:rPr>
        <w:t xml:space="preserve"> s. 7(3)(gb).</w:t>
      </w:r>
    </w:p>
    <w:p>
      <w:pPr>
        <w:pStyle w:val="nSubsection"/>
        <w:spacing w:before="160"/>
        <w:rPr>
          <w:iCs/>
          <w:noProof/>
          <w:snapToGrid w:val="0"/>
        </w:rPr>
      </w:pPr>
      <w:r>
        <w:rPr>
          <w:iCs/>
          <w:noProof/>
          <w:snapToGrid w:val="0"/>
          <w:vertAlign w:val="superscript"/>
        </w:rPr>
        <w:t>4</w:t>
      </w:r>
      <w:r>
        <w:rPr>
          <w:iCs/>
          <w:noProof/>
          <w:snapToGrid w:val="0"/>
          <w:vertAlign w:val="superscript"/>
        </w:rPr>
        <w:tab/>
      </w:r>
      <w:r>
        <w:t xml:space="preserve">Now known as </w:t>
      </w:r>
      <w:r>
        <w:rPr>
          <w:snapToGrid w:val="0"/>
        </w:rPr>
        <w:t xml:space="preserve">the </w:t>
      </w:r>
      <w:r>
        <w:rPr>
          <w:i/>
          <w:noProof/>
          <w:snapToGrid w:val="0"/>
        </w:rPr>
        <w:t>Child Care Services (</w:t>
      </w:r>
      <w:smartTag w:uri="urn:schemas-microsoft-com:office:smarttags" w:element="place">
        <w:smartTag w:uri="urn:schemas-microsoft-com:office:smarttags" w:element="PlaceName">
          <w:r>
            <w:rPr>
              <w:i/>
            </w:rPr>
            <w:t>Outside</w:t>
          </w:r>
        </w:smartTag>
        <w:r>
          <w:rPr>
            <w:i/>
          </w:rPr>
          <w:t xml:space="preserve"> </w:t>
        </w:r>
        <w:smartTag w:uri="urn:schemas-microsoft-com:office:smarttags" w:element="PlaceType">
          <w:r>
            <w:rPr>
              <w:i/>
            </w:rPr>
            <w:t>School</w:t>
          </w:r>
        </w:smartTag>
      </w:smartTag>
      <w:r>
        <w:rPr>
          <w:i/>
        </w:rPr>
        <w:t xml:space="preserve"> Hours Care</w:t>
      </w:r>
      <w:r>
        <w:rPr>
          <w:i/>
          <w:noProof/>
          <w:snapToGrid w:val="0"/>
        </w:rPr>
        <w:t>) Regulations 2006</w:t>
      </w:r>
      <w:r>
        <w:rPr>
          <w:iCs/>
          <w:noProof/>
          <w:snapToGrid w:val="0"/>
        </w:rPr>
        <w:t>;</w:t>
      </w:r>
      <w:r>
        <w:rPr>
          <w:i/>
          <w:noProof/>
          <w:snapToGrid w:val="0"/>
        </w:rPr>
        <w:t xml:space="preserve"> </w:t>
      </w:r>
      <w:r>
        <w:rPr>
          <w:iCs/>
          <w:noProof/>
          <w:snapToGrid w:val="0"/>
        </w:rPr>
        <w:t>citation changed (see note under r. 1).</w:t>
      </w: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(Outside School Hours Care)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(Outside School Hours Care)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 Care Services (Outside School Hours Care) Regulations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(Outside School Hours Care) Regulations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92" w:name="Schedule"/>
    <w:bookmarkEnd w:id="9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 Care Services (Outside School Hours Care)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 Care Services (Outside School Hours Care)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25" w:name="Compilation"/>
    <w:bookmarkEnd w:id="102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6" w:name="Coversheet"/>
    <w:bookmarkEnd w:id="10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B26D5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C72B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708F7D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A567A3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BC2F71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75CB00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E8CDB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6B0C1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B30DF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31E6C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3532178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3238"/>
    <w:docVar w:name="WAFER_20140121133036" w:val="RemoveTocBookmarks,RemoveUnusedBookmarks,RemoveLanguageTags,UsedStyles,ResetPageSize,UpdateArrangement"/>
    <w:docVar w:name="WAFER_20140121133036_GUID" w:val="f72855a0-88e8-4987-9f01-2878552a6b19"/>
    <w:docVar w:name="WAFER_20140121134855" w:val="RemoveTocBookmarks,RunningHeaders"/>
    <w:docVar w:name="WAFER_20140121134855_GUID" w:val="a23c9cb7-9718-42a4-a50e-a183de8a05de"/>
    <w:docVar w:name="WAFER_20150727162209" w:val="ResetPageSize,UpdateArrangement,UpdateNTable"/>
    <w:docVar w:name="WAFER_20150727162209_GUID" w:val="9207d10f-f90e-4f3b-97dd-38a09befd048"/>
    <w:docVar w:name="WAFER_20151117093238" w:val="UpdateStyles,UsedStyles"/>
    <w:docVar w:name="WAFER_20151117093238_GUID" w:val="8598a37b-65c9-4e52-b3b5-a147a39c3a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4CDF73D6-FDE3-4166-BDD0-2CA13484D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A6A1F0-DA41-4B56-8477-8859B3CD1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12087</Words>
  <Characters>58141</Characters>
  <Application>Microsoft Office Word</Application>
  <DocSecurity>0</DocSecurity>
  <Lines>1816</Lines>
  <Paragraphs>1190</Paragraphs>
  <ScaleCrop>false</ScaleCrop>
  <HeadingPairs>
    <vt:vector size="2" baseType="variant">
      <vt:variant>
        <vt:lpstr>Title</vt:lpstr>
      </vt:variant>
      <vt:variant>
        <vt:i4>1</vt:i4>
      </vt:variant>
    </vt:vector>
  </HeadingPairs>
  <TitlesOfParts>
    <vt:vector size="1" baseType="lpstr">
      <vt:lpstr>Child Care Services (Outside School Hours Care) Regulations 2006</vt:lpstr>
    </vt:vector>
  </TitlesOfParts>
  <Manager/>
  <Company/>
  <LinksUpToDate>false</LinksUpToDate>
  <CharactersWithSpaces>69038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(Outside School Hours Care) Regulations 2006 02-b0-01 - 02-c0-04</dc:title>
  <dc:subject/>
  <dc:creator/>
  <cp:keywords/>
  <dc:description/>
  <cp:lastModifiedBy>Master Repository Process</cp:lastModifiedBy>
  <cp:revision>2</cp:revision>
  <cp:lastPrinted>2007-10-19T01:32:00Z</cp:lastPrinted>
  <dcterms:created xsi:type="dcterms:W3CDTF">2021-07-31T10:44:00Z</dcterms:created>
  <dcterms:modified xsi:type="dcterms:W3CDTF">2021-07-31T10:44:00Z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289-351</vt:lpwstr>
  </property>
  <property fmtid="{D5CDD505-2E9C-101B-9397-08002B2CF9AE}" pid="3" name="CommencementDate">
    <vt:lpwstr>20130306</vt:lpwstr>
  </property>
  <property fmtid="{D5CDD505-2E9C-101B-9397-08002B2CF9AE}" pid="4" name="OwlsUID">
    <vt:i4>37905</vt:i4>
  </property>
  <property fmtid="{D5CDD505-2E9C-101B-9397-08002B2CF9AE}" pid="5" name="ReprintNo">
    <vt:lpwstr>2</vt:lpwstr>
  </property>
  <property fmtid="{D5CDD505-2E9C-101B-9397-08002B2CF9AE}" pid="6" name="ReprintedAsAt">
    <vt:filetime>2007-10-04T16:00:00Z</vt:filetime>
  </property>
  <property fmtid="{D5CDD505-2E9C-101B-9397-08002B2CF9AE}" pid="7" name="DocumentType">
    <vt:lpwstr>Reg</vt:lpwstr>
  </property>
  <property fmtid="{D5CDD505-2E9C-101B-9397-08002B2CF9AE}" pid="8" name="Status">
    <vt:lpwstr>NIF</vt:lpwstr>
  </property>
  <property fmtid="{D5CDD505-2E9C-101B-9397-08002B2CF9AE}" pid="9" name="FromSuffix">
    <vt:lpwstr>02-b0-01</vt:lpwstr>
  </property>
  <property fmtid="{D5CDD505-2E9C-101B-9397-08002B2CF9AE}" pid="10" name="FromAsAtDate">
    <vt:lpwstr>07 Jan 2012</vt:lpwstr>
  </property>
  <property fmtid="{D5CDD505-2E9C-101B-9397-08002B2CF9AE}" pid="11" name="ToSuffix">
    <vt:lpwstr>02-c0-04</vt:lpwstr>
  </property>
  <property fmtid="{D5CDD505-2E9C-101B-9397-08002B2CF9AE}" pid="12" name="ToAsAtDate">
    <vt:lpwstr>06 Mar 2013</vt:lpwstr>
  </property>
</Properties>
</file>