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20 Apr 2013</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1" w:name="_Toc379205408"/>
      <w:bookmarkStart w:id="2" w:name="_Toc421007788"/>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59441018"/>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13" w:name="_Toc379205409"/>
      <w:bookmarkStart w:id="14" w:name="_Toc421007789"/>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5944101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179799914"/>
      <w:bookmarkStart w:id="24" w:name="_Toc379205410"/>
      <w:bookmarkStart w:id="25" w:name="_Toc421007790"/>
      <w:bookmarkStart w:id="26" w:name="_Toc259441020"/>
      <w:r>
        <w:rPr>
          <w:rStyle w:val="CharSectno"/>
        </w:rPr>
        <w:t>3</w:t>
      </w:r>
      <w:r>
        <w:t>.</w:t>
      </w:r>
      <w:r>
        <w:tab/>
      </w:r>
      <w:bookmarkEnd w:id="23"/>
      <w:r>
        <w:t>Meaning of “Wangkatjungka Aboriginal Community” in these regulations</w:t>
      </w:r>
      <w:bookmarkEnd w:id="24"/>
      <w:bookmarkEnd w:id="25"/>
      <w:bookmarkEnd w:id="26"/>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pPr>
      <w:bookmarkStart w:id="27" w:name="_Toc379205411"/>
      <w:bookmarkStart w:id="28" w:name="_Toc421007791"/>
      <w:bookmarkStart w:id="29" w:name="_Toc179799915"/>
      <w:bookmarkStart w:id="30" w:name="_Toc259441021"/>
      <w:r>
        <w:rPr>
          <w:rStyle w:val="CharSectno"/>
        </w:rPr>
        <w:t>4</w:t>
      </w:r>
      <w:r>
        <w:t>.</w:t>
      </w:r>
      <w:r>
        <w:tab/>
        <w:t>Note is not part of regulation</w:t>
      </w:r>
      <w:bookmarkEnd w:id="27"/>
      <w:bookmarkEnd w:id="28"/>
      <w:bookmarkEnd w:id="29"/>
      <w:bookmarkEnd w:id="30"/>
    </w:p>
    <w:p>
      <w:pPr>
        <w:pStyle w:val="Subsection"/>
      </w:pPr>
      <w:r>
        <w:tab/>
      </w:r>
      <w:r>
        <w:tab/>
        <w:t>The note after regulation 9 does not form part of these regulations.</w:t>
      </w:r>
    </w:p>
    <w:p>
      <w:pPr>
        <w:pStyle w:val="Heading5"/>
      </w:pPr>
      <w:bookmarkStart w:id="31" w:name="_Toc379205412"/>
      <w:bookmarkStart w:id="32" w:name="_Toc421007792"/>
      <w:bookmarkStart w:id="33" w:name="_Toc179799916"/>
      <w:bookmarkStart w:id="34" w:name="_Toc259441022"/>
      <w:r>
        <w:rPr>
          <w:rStyle w:val="CharSectno"/>
        </w:rPr>
        <w:t>5</w:t>
      </w:r>
      <w:r>
        <w:t>.</w:t>
      </w:r>
      <w:r>
        <w:tab/>
        <w:t>Declaration of restricted area</w:t>
      </w:r>
      <w:bookmarkEnd w:id="31"/>
      <w:bookmarkEnd w:id="32"/>
      <w:bookmarkEnd w:id="33"/>
      <w:bookmarkEnd w:id="34"/>
    </w:p>
    <w:p>
      <w:pPr>
        <w:pStyle w:val="Subsection"/>
      </w:pPr>
      <w:r>
        <w:tab/>
      </w:r>
      <w:r>
        <w:tab/>
        <w:t>The Wangkatjungka Aboriginal Community is declared to be a restricted area for the purposes of section 175(1a) of the Act.</w:t>
      </w:r>
    </w:p>
    <w:p>
      <w:pPr>
        <w:pStyle w:val="Heading5"/>
      </w:pPr>
      <w:bookmarkStart w:id="35" w:name="_Toc379205413"/>
      <w:bookmarkStart w:id="36" w:name="_Toc421007793"/>
      <w:bookmarkStart w:id="37" w:name="_Toc179799917"/>
      <w:bookmarkStart w:id="38" w:name="_Toc259441023"/>
      <w:r>
        <w:rPr>
          <w:rStyle w:val="CharSectno"/>
        </w:rPr>
        <w:t>6</w:t>
      </w:r>
      <w:r>
        <w:t>.</w:t>
      </w:r>
      <w:r>
        <w:tab/>
        <w:t>Notice of restricted area</w:t>
      </w:r>
      <w:bookmarkEnd w:id="35"/>
      <w:bookmarkEnd w:id="36"/>
      <w:bookmarkEnd w:id="37"/>
      <w:bookmarkEnd w:id="38"/>
    </w:p>
    <w:p>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9" w:name="_Toc179799918"/>
      <w:bookmarkStart w:id="40" w:name="_Toc379205414"/>
      <w:bookmarkStart w:id="41" w:name="_Toc421007794"/>
      <w:bookmarkStart w:id="42" w:name="_Toc259441024"/>
      <w:r>
        <w:rPr>
          <w:rStyle w:val="CharSectno"/>
        </w:rPr>
        <w:t>7</w:t>
      </w:r>
      <w:r>
        <w:t>.</w:t>
      </w:r>
      <w:r>
        <w:tab/>
        <w:t xml:space="preserve">Prohibitions as to liquor in </w:t>
      </w:r>
      <w:bookmarkEnd w:id="39"/>
      <w:r>
        <w:t>Wangkatjungka Aboriginal Community</w:t>
      </w:r>
      <w:bookmarkEnd w:id="40"/>
      <w:bookmarkEnd w:id="41"/>
      <w:bookmarkEnd w:id="42"/>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3" w:name="_Toc379205415"/>
      <w:bookmarkStart w:id="44" w:name="_Toc421007795"/>
      <w:bookmarkStart w:id="45" w:name="_Toc179799920"/>
      <w:bookmarkStart w:id="46" w:name="_Toc259441025"/>
      <w:r>
        <w:rPr>
          <w:rStyle w:val="CharSectno"/>
        </w:rPr>
        <w:t>8</w:t>
      </w:r>
      <w:r>
        <w:t>.</w:t>
      </w:r>
      <w:r>
        <w:tab/>
        <w:t>Seizure and disposal of containers of liquor</w:t>
      </w:r>
      <w:bookmarkEnd w:id="43"/>
      <w:bookmarkEnd w:id="44"/>
      <w:bookmarkEnd w:id="45"/>
      <w:bookmarkEnd w:id="4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7" w:name="_Toc379205416"/>
      <w:bookmarkStart w:id="48" w:name="_Toc421007796"/>
      <w:bookmarkStart w:id="49" w:name="_Toc179799921"/>
      <w:bookmarkStart w:id="50" w:name="_Toc259441026"/>
      <w:r>
        <w:rPr>
          <w:rStyle w:val="CharSectno"/>
        </w:rPr>
        <w:t>9</w:t>
      </w:r>
      <w:r>
        <w:t>.</w:t>
      </w:r>
      <w:r>
        <w:tab/>
        <w:t>Period during which these regulations have effect</w:t>
      </w:r>
      <w:bookmarkEnd w:id="47"/>
      <w:bookmarkEnd w:id="48"/>
      <w:bookmarkEnd w:id="49"/>
      <w:bookmarkEnd w:id="50"/>
    </w:p>
    <w:p>
      <w:pPr>
        <w:pStyle w:val="Subsection"/>
      </w:pPr>
      <w:r>
        <w:tab/>
      </w:r>
      <w:r>
        <w:tab/>
        <w:t xml:space="preserve">Unless sooner repealed, these regulations have effect for the period that ends on the day </w:t>
      </w:r>
      <w:del w:id="51" w:author="Master Repository Process" w:date="2021-08-29T01:14:00Z">
        <w:r>
          <w:delText>5</w:delText>
        </w:r>
      </w:del>
      <w:ins w:id="52" w:author="Master Repository Process" w:date="2021-08-29T01:14:00Z">
        <w:r>
          <w:t>8</w:t>
        </w:r>
      </w:ins>
      <w:r>
        <w:t> years after the day referred to in regulation 2(b).</w:t>
      </w:r>
    </w:p>
    <w:p>
      <w:pPr>
        <w:pStyle w:val="PermNoteHeading"/>
        <w:rPr>
          <w:ins w:id="53" w:author="Master Repository Process" w:date="2021-08-29T01:14:00Z"/>
        </w:rPr>
      </w:pPr>
      <w:r>
        <w:tab/>
        <w:t>Note:</w:t>
      </w:r>
    </w:p>
    <w:p>
      <w:pPr>
        <w:pStyle w:val="PermNoteText"/>
      </w:pPr>
      <w:ins w:id="54" w:author="Master Repository Process" w:date="2021-08-29T01:14:00Z">
        <w:r>
          <w:tab/>
        </w:r>
      </w:ins>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21 Apr 2009 p. 1370; 20 Apr 2010 p. 1513</w:t>
      </w:r>
      <w:ins w:id="55" w:author="Master Repository Process" w:date="2021-08-29T01:14:00Z">
        <w:r>
          <w:t>; 19 Apr 2013 p. 1569</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6" w:name="_Toc379205417"/>
      <w:bookmarkStart w:id="57" w:name="_Toc421007786"/>
      <w:bookmarkStart w:id="58" w:name="_Toc421007797"/>
      <w:bookmarkStart w:id="59" w:name="_Toc113695922"/>
      <w:bookmarkStart w:id="60" w:name="_Toc196551543"/>
      <w:bookmarkStart w:id="61" w:name="_Toc196630747"/>
      <w:bookmarkStart w:id="62" w:name="_Toc228067727"/>
      <w:bookmarkStart w:id="63" w:name="_Toc259435770"/>
      <w:bookmarkStart w:id="64" w:name="_Toc259441027"/>
      <w:r>
        <w:t>Notes</w:t>
      </w:r>
      <w:bookmarkEnd w:id="56"/>
      <w:bookmarkEnd w:id="57"/>
      <w:bookmarkEnd w:id="58"/>
      <w:bookmarkEnd w:id="59"/>
      <w:bookmarkEnd w:id="60"/>
      <w:bookmarkEnd w:id="61"/>
      <w:bookmarkEnd w:id="62"/>
      <w:bookmarkEnd w:id="63"/>
      <w:bookmarkEnd w:id="64"/>
    </w:p>
    <w:p>
      <w:pPr>
        <w:pStyle w:val="nSubsection"/>
        <w:rPr>
          <w:snapToGrid w:val="0"/>
        </w:rPr>
      </w:pPr>
      <w:bookmarkStart w:id="65" w:name="_Toc70311430"/>
      <w:bookmarkStart w:id="66" w:name="_Toc113695923"/>
      <w:r>
        <w:rPr>
          <w:snapToGrid w:val="0"/>
          <w:vertAlign w:val="superscript"/>
        </w:rPr>
        <w:t>1</w:t>
      </w:r>
      <w:r>
        <w:rPr>
          <w:snapToGrid w:val="0"/>
        </w:rPr>
        <w:tab/>
        <w:t xml:space="preserve">This is a compilation of the </w:t>
      </w:r>
      <w:r>
        <w:rPr>
          <w:i/>
          <w:noProof/>
          <w:snapToGrid w:val="0"/>
        </w:rPr>
        <w:t>Liquor Control (Wangkatjungka Restricted Area) Regulations 2008</w:t>
      </w:r>
      <w:r>
        <w:rPr>
          <w:noProof/>
          <w:snapToGrid w:val="0"/>
          <w:vertAlign w:val="superscript"/>
        </w:rPr>
        <w:t> 2</w:t>
      </w:r>
      <w:r>
        <w:rPr>
          <w:snapToGrid w:val="0"/>
        </w:rPr>
        <w:t xml:space="preserve"> and includes the amendments made by the other written laws referred to in the following table.</w:t>
      </w:r>
    </w:p>
    <w:p>
      <w:pPr>
        <w:pStyle w:val="nHeading3"/>
      </w:pPr>
      <w:bookmarkStart w:id="67" w:name="_Toc379205418"/>
      <w:bookmarkStart w:id="68" w:name="_Toc421007798"/>
      <w:bookmarkStart w:id="69" w:name="_Toc259441028"/>
      <w:r>
        <w:t>Compilation table</w:t>
      </w:r>
      <w:bookmarkEnd w:id="67"/>
      <w:bookmarkEnd w:id="68"/>
      <w:bookmarkEnd w:id="65"/>
      <w:bookmarkEnd w:id="66"/>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(Wangkatjungka Restricted Area) Regulations 2008</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c>
          <w:tcPr>
            <w:tcW w:w="3118" w:type="dxa"/>
            <w:tcBorders>
              <w:top w:val="nil"/>
              <w:bottom w:val="nil"/>
            </w:tcBorders>
          </w:tcPr>
          <w:p>
            <w:pPr>
              <w:pStyle w:val="nTable"/>
              <w:spacing w:after="40"/>
              <w:rPr>
                <w:i/>
                <w:noProof/>
                <w:snapToGrid w:val="0"/>
              </w:rPr>
            </w:pPr>
            <w:bookmarkStart w:id="70" w:name="UpToHere"/>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bookmarkEnd w:id="70"/>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rPr>
          <w:ins w:id="71" w:author="Master Repository Process" w:date="2021-08-29T01:14:00Z"/>
        </w:trPr>
        <w:tc>
          <w:tcPr>
            <w:tcW w:w="3118" w:type="dxa"/>
            <w:tcBorders>
              <w:top w:val="nil"/>
              <w:bottom w:val="single" w:sz="4" w:space="0" w:color="auto"/>
            </w:tcBorders>
          </w:tcPr>
          <w:p>
            <w:pPr>
              <w:pStyle w:val="nTable"/>
              <w:spacing w:after="40"/>
              <w:rPr>
                <w:ins w:id="72" w:author="Master Repository Process" w:date="2021-08-29T01:14:00Z"/>
                <w:i/>
                <w:noProof/>
                <w:snapToGrid w:val="0"/>
              </w:rPr>
            </w:pPr>
            <w:ins w:id="73" w:author="Master Repository Process" w:date="2021-08-29T01:14:00Z">
              <w:r>
                <w:rPr>
                  <w:i/>
                  <w:noProof/>
                  <w:snapToGrid w:val="0"/>
                </w:rPr>
                <w:t>Liquor Control (Wangkatjungka Restricted Area) Amendment Regulations 2013</w:t>
              </w:r>
            </w:ins>
          </w:p>
        </w:tc>
        <w:tc>
          <w:tcPr>
            <w:tcW w:w="1276" w:type="dxa"/>
            <w:tcBorders>
              <w:top w:val="nil"/>
              <w:bottom w:val="single" w:sz="4" w:space="0" w:color="auto"/>
            </w:tcBorders>
          </w:tcPr>
          <w:p>
            <w:pPr>
              <w:pStyle w:val="nTable"/>
              <w:spacing w:after="40"/>
              <w:rPr>
                <w:ins w:id="74" w:author="Master Repository Process" w:date="2021-08-29T01:14:00Z"/>
              </w:rPr>
            </w:pPr>
            <w:ins w:id="75" w:author="Master Repository Process" w:date="2021-08-29T01:14:00Z">
              <w:r>
                <w:t>19 Apr 2013 p. 1569</w:t>
              </w:r>
            </w:ins>
          </w:p>
        </w:tc>
        <w:tc>
          <w:tcPr>
            <w:tcW w:w="2693" w:type="dxa"/>
            <w:tcBorders>
              <w:top w:val="nil"/>
              <w:bottom w:val="single" w:sz="4" w:space="0" w:color="auto"/>
            </w:tcBorders>
          </w:tcPr>
          <w:p>
            <w:pPr>
              <w:pStyle w:val="nTable"/>
              <w:spacing w:after="40"/>
              <w:rPr>
                <w:ins w:id="76" w:author="Master Repository Process" w:date="2021-08-29T01:14:00Z"/>
                <w:snapToGrid w:val="0"/>
                <w:spacing w:val="-2"/>
              </w:rPr>
            </w:pPr>
            <w:ins w:id="77" w:author="Master Repository Process" w:date="2021-08-29T01:14:00Z">
              <w:r>
                <w:rPr>
                  <w:snapToGrid w:val="0"/>
                  <w:spacing w:val="-2"/>
                </w:rPr>
                <w:t>r. 1 and 2: 19 Apr 2013 (see r. 2(a));</w:t>
              </w:r>
              <w:r>
                <w:rPr>
                  <w:snapToGrid w:val="0"/>
                  <w:spacing w:val="-2"/>
                </w:rPr>
                <w:br/>
                <w:t>Regulations other than r. 1 and 2: 20 Apr 2013 (see r. 2(b))</w:t>
              </w:r>
            </w:ins>
          </w:p>
        </w:tc>
      </w:tr>
    </w:tbl>
    <w:p>
      <w:pPr>
        <w:pStyle w:val="nSubsection"/>
      </w:pPr>
      <w:r>
        <w:rPr>
          <w:vertAlign w:val="superscript"/>
        </w:rPr>
        <w:t>2</w:t>
      </w:r>
      <w:r>
        <w:tab/>
        <w:t>These regulations expire 23 Apr </w:t>
      </w:r>
      <w:del w:id="78" w:author="Master Repository Process" w:date="2021-08-29T01:14:00Z">
        <w:r>
          <w:delText>2013</w:delText>
        </w:r>
      </w:del>
      <w:ins w:id="79" w:author="Master Repository Process" w:date="2021-08-29T01:14:00Z">
        <w:r>
          <w:t>2016</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927"/>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9874A6D-03D6-437D-B983-82FE6C51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3555</Characters>
  <Application>Microsoft Office Word</Application>
  <DocSecurity>0</DocSecurity>
  <Lines>126</Lines>
  <Paragraphs>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00-c0-02 - 00-d0-03</dc:title>
  <dc:subject/>
  <dc:creator/>
  <cp:keywords/>
  <dc:description/>
  <cp:lastModifiedBy>Master Repository Process</cp:lastModifiedBy>
  <cp:revision>2</cp:revision>
  <cp:lastPrinted>2008-03-28T02:05:00Z</cp:lastPrinted>
  <dcterms:created xsi:type="dcterms:W3CDTF">2021-08-28T17:14:00Z</dcterms:created>
  <dcterms:modified xsi:type="dcterms:W3CDTF">2021-08-28T17:14:00Z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CommencementDate">
    <vt:lpwstr>20130420</vt:lpwstr>
  </property>
  <property fmtid="{D5CDD505-2E9C-101B-9397-08002B2CF9AE}" pid="4" name="OwlsUID">
    <vt:i4>40295</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21 Apr 2010</vt:lpwstr>
  </property>
  <property fmtid="{D5CDD505-2E9C-101B-9397-08002B2CF9AE}" pid="8" name="ToSuffix">
    <vt:lpwstr>00-d0-03</vt:lpwstr>
  </property>
  <property fmtid="{D5CDD505-2E9C-101B-9397-08002B2CF9AE}" pid="9" name="ToAsAtDate">
    <vt:lpwstr>20 Apr 2013</vt:lpwstr>
  </property>
</Properties>
</file>