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(Small Hive Beetle)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Agriculture and Related Resources Protection Act 1976</w:t>
      </w:r>
    </w:p>
    <w:p>
      <w:pPr>
        <w:pStyle w:val="NameofActReg"/>
      </w:pPr>
      <w:r>
        <w:t>Agriculture and Related Resources Protection (Small Hive Beetle) Regulations 2009</w:t>
      </w:r>
    </w:p>
    <w:p>
      <w:pPr>
        <w:pStyle w:val="Heading2"/>
        <w:keepNext w:val="0"/>
        <w:pageBreakBefore w:val="0"/>
        <w:spacing w:before="240"/>
      </w:pPr>
      <w:bookmarkStart w:id="1" w:name="_Toc377973407"/>
      <w:bookmarkStart w:id="2" w:name="_Toc425423757"/>
      <w:bookmarkStart w:id="3" w:name="_Toc425423791"/>
      <w:bookmarkStart w:id="4" w:name="_Toc425423811"/>
      <w:bookmarkStart w:id="5" w:name="_Toc202777158"/>
      <w:bookmarkStart w:id="6" w:name="_Toc202777238"/>
      <w:bookmarkStart w:id="7" w:name="_Toc202861732"/>
      <w:bookmarkStart w:id="8" w:name="_Toc205098644"/>
      <w:bookmarkStart w:id="9" w:name="_Toc205102327"/>
      <w:bookmarkStart w:id="10" w:name="_Toc205104404"/>
      <w:bookmarkStart w:id="11" w:name="_Toc205105429"/>
      <w:bookmarkStart w:id="12" w:name="_Toc205271695"/>
      <w:bookmarkStart w:id="13" w:name="_Toc205272269"/>
      <w:bookmarkStart w:id="14" w:name="_Toc205272295"/>
      <w:bookmarkStart w:id="15" w:name="_Toc205355115"/>
      <w:bookmarkStart w:id="16" w:name="_Toc205355870"/>
      <w:bookmarkStart w:id="17" w:name="_Toc205356386"/>
      <w:bookmarkStart w:id="18" w:name="_Toc205356527"/>
      <w:bookmarkStart w:id="19" w:name="_Toc205356675"/>
      <w:bookmarkStart w:id="20" w:name="_Toc205357410"/>
      <w:bookmarkStart w:id="21" w:name="_Toc205361627"/>
      <w:bookmarkStart w:id="22" w:name="_Toc205702769"/>
      <w:bookmarkStart w:id="23" w:name="_Toc205703650"/>
      <w:bookmarkStart w:id="24" w:name="_Toc205707144"/>
      <w:bookmarkStart w:id="25" w:name="_Toc205707183"/>
      <w:bookmarkStart w:id="26" w:name="_Toc223411559"/>
      <w:bookmarkStart w:id="27" w:name="_Toc223422045"/>
      <w:bookmarkStart w:id="28" w:name="_Toc223486891"/>
      <w:bookmarkStart w:id="29" w:name="_Toc223486908"/>
      <w:bookmarkStart w:id="30" w:name="_Toc223489731"/>
      <w:bookmarkStart w:id="31" w:name="_Toc223489777"/>
      <w:bookmarkStart w:id="32" w:name="_Toc223489916"/>
      <w:bookmarkStart w:id="33" w:name="_Toc223489969"/>
      <w:bookmarkStart w:id="34" w:name="_Toc229818191"/>
      <w:bookmarkStart w:id="35" w:name="_Toc229818252"/>
      <w:bookmarkStart w:id="36" w:name="_Toc229819333"/>
      <w:bookmarkStart w:id="37" w:name="_Toc229819425"/>
      <w:bookmarkStart w:id="38" w:name="_Toc229819467"/>
      <w:bookmarkStart w:id="39" w:name="_Toc280621983"/>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377973408"/>
      <w:bookmarkStart w:id="42" w:name="_Toc425423812"/>
      <w:bookmarkStart w:id="43" w:name="_Toc423332722"/>
      <w:bookmarkStart w:id="44" w:name="_Toc425219441"/>
      <w:bookmarkStart w:id="45" w:name="_Toc426249308"/>
      <w:bookmarkStart w:id="46" w:name="_Toc449924704"/>
      <w:bookmarkStart w:id="47" w:name="_Toc449947722"/>
      <w:bookmarkStart w:id="48" w:name="_Toc454185713"/>
      <w:bookmarkStart w:id="49" w:name="_Toc515958686"/>
      <w:bookmarkStart w:id="50" w:name="_Toc205357411"/>
      <w:bookmarkStart w:id="51" w:name="_Toc223422046"/>
      <w:bookmarkStart w:id="52" w:name="_Toc223489970"/>
      <w:bookmarkStart w:id="53" w:name="_Toc229818192"/>
      <w:bookmarkStart w:id="54" w:name="_Toc280621984"/>
      <w:r>
        <w:rPr>
          <w:rStyle w:val="CharSectno"/>
        </w:rPr>
        <w:t>1</w:t>
      </w:r>
      <w:r>
        <w:t>.</w:t>
      </w:r>
      <w:r>
        <w:tab/>
        <w:t>Citation</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i/>
        </w:rPr>
      </w:pPr>
      <w:r>
        <w:tab/>
      </w:r>
      <w:r>
        <w:tab/>
      </w:r>
      <w:bookmarkStart w:id="55" w:name="Start_Cursor"/>
      <w:bookmarkEnd w:id="55"/>
      <w:r>
        <w:rPr>
          <w:spacing w:val="-2"/>
        </w:rPr>
        <w:t>These</w:t>
      </w:r>
      <w:r>
        <w:t xml:space="preserve"> </w:t>
      </w:r>
      <w:r>
        <w:rPr>
          <w:spacing w:val="-2"/>
        </w:rPr>
        <w:t>regulations</w:t>
      </w:r>
      <w:r>
        <w:t xml:space="preserve"> are the </w:t>
      </w:r>
      <w:r>
        <w:rPr>
          <w:i/>
        </w:rPr>
        <w:t>Agriculture and Related Resources Protection (Small Hive Beetle) Regulations 2009</w:t>
      </w:r>
      <w:r>
        <w:t>.</w:t>
      </w:r>
    </w:p>
    <w:p>
      <w:pPr>
        <w:pStyle w:val="Heading5"/>
        <w:rPr>
          <w:spacing w:val="-2"/>
        </w:rPr>
      </w:pPr>
      <w:bookmarkStart w:id="56" w:name="_Toc377973409"/>
      <w:bookmarkStart w:id="57" w:name="_Toc425423813"/>
      <w:bookmarkStart w:id="58" w:name="_Toc423332723"/>
      <w:bookmarkStart w:id="59" w:name="_Toc425219442"/>
      <w:bookmarkStart w:id="60" w:name="_Toc426249309"/>
      <w:bookmarkStart w:id="61" w:name="_Toc449924705"/>
      <w:bookmarkStart w:id="62" w:name="_Toc449947723"/>
      <w:bookmarkStart w:id="63" w:name="_Toc454185714"/>
      <w:bookmarkStart w:id="64" w:name="_Toc515958687"/>
      <w:bookmarkStart w:id="65" w:name="_Toc205357412"/>
      <w:bookmarkStart w:id="66" w:name="_Toc223422047"/>
      <w:bookmarkStart w:id="67" w:name="_Toc223489971"/>
      <w:bookmarkStart w:id="68" w:name="_Toc229818193"/>
      <w:bookmarkStart w:id="69" w:name="_Toc280621985"/>
      <w:r>
        <w:rPr>
          <w:rStyle w:val="CharSectno"/>
        </w:rPr>
        <w:t>2</w:t>
      </w:r>
      <w:r>
        <w:rPr>
          <w:spacing w:val="-2"/>
        </w:rPr>
        <w:t>.</w:t>
      </w:r>
      <w:r>
        <w:rPr>
          <w:spacing w:val="-2"/>
        </w:rPr>
        <w:tab/>
        <w:t>Commencement</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0" w:name="_Toc423332724"/>
      <w:bookmarkStart w:id="71" w:name="_Toc425219443"/>
      <w:bookmarkStart w:id="72" w:name="_Toc426249310"/>
      <w:bookmarkStart w:id="73" w:name="_Toc449924706"/>
      <w:bookmarkStart w:id="74" w:name="_Toc449947724"/>
      <w:bookmarkStart w:id="75" w:name="_Toc454185715"/>
      <w:bookmarkStart w:id="76" w:name="_Toc515958688"/>
      <w:bookmarkStart w:id="77" w:name="_Toc377973410"/>
      <w:bookmarkStart w:id="78" w:name="_Toc425423814"/>
      <w:bookmarkStart w:id="79" w:name="_Toc205357413"/>
      <w:bookmarkStart w:id="80" w:name="_Toc223422048"/>
      <w:bookmarkStart w:id="81" w:name="_Toc223489972"/>
      <w:bookmarkStart w:id="82" w:name="_Toc229818194"/>
      <w:bookmarkStart w:id="83" w:name="_Toc280621986"/>
      <w:r>
        <w:rPr>
          <w:rStyle w:val="CharSectno"/>
        </w:rPr>
        <w:t>3</w:t>
      </w:r>
      <w:r>
        <w:rPr>
          <w:snapToGrid w:val="0"/>
        </w:rPr>
        <w:t>.</w:t>
      </w:r>
      <w:r>
        <w:rPr>
          <w:snapToGrid w:val="0"/>
        </w:rPr>
        <w:tab/>
      </w:r>
      <w:bookmarkEnd w:id="70"/>
      <w:bookmarkEnd w:id="71"/>
      <w:bookmarkEnd w:id="72"/>
      <w:bookmarkEnd w:id="73"/>
      <w:bookmarkEnd w:id="74"/>
      <w:bookmarkEnd w:id="75"/>
      <w:bookmarkEnd w:id="76"/>
      <w:r>
        <w:t>Terms used</w:t>
      </w:r>
      <w:bookmarkEnd w:id="77"/>
      <w:bookmarkEnd w:id="78"/>
      <w:bookmarkEnd w:id="79"/>
      <w:bookmarkEnd w:id="80"/>
      <w:bookmarkEnd w:id="81"/>
      <w:bookmarkEnd w:id="82"/>
      <w:bookmarkEnd w:id="83"/>
    </w:p>
    <w:p>
      <w:pPr>
        <w:pStyle w:val="Subsection"/>
      </w:pPr>
      <w:r>
        <w:tab/>
        <w:t>(1)</w:t>
      </w:r>
      <w:r>
        <w:tab/>
        <w:t xml:space="preserve">In these regulations — </w:t>
      </w:r>
    </w:p>
    <w:p>
      <w:pPr>
        <w:pStyle w:val="Defstart"/>
      </w:pPr>
      <w:r>
        <w:rPr>
          <w:b/>
        </w:rPr>
        <w:tab/>
      </w:r>
      <w:r>
        <w:rPr>
          <w:rStyle w:val="CharDefText"/>
        </w:rPr>
        <w:t>bee</w:t>
      </w:r>
      <w:r>
        <w:t xml:space="preserve"> means a bee of the species </w:t>
      </w:r>
      <w:r>
        <w:rPr>
          <w:i/>
          <w:iCs/>
        </w:rPr>
        <w:t>Apis mellifera</w:t>
      </w:r>
      <w:r>
        <w:t>;</w:t>
      </w:r>
    </w:p>
    <w:p>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pPr>
        <w:pStyle w:val="Defstart"/>
      </w:pPr>
      <w:r>
        <w:rPr>
          <w:b/>
        </w:rPr>
        <w:tab/>
      </w:r>
      <w:r>
        <w:rPr>
          <w:rStyle w:val="CharDefText"/>
        </w:rPr>
        <w:t>SHB free area</w:t>
      </w:r>
      <w:r>
        <w:t xml:space="preserve"> means all of the State other than the SHB infested area;</w:t>
      </w:r>
    </w:p>
    <w:p>
      <w:pPr>
        <w:pStyle w:val="Defstart"/>
      </w:pPr>
      <w:r>
        <w:rPr>
          <w:b/>
        </w:rPr>
        <w:tab/>
      </w:r>
      <w:r>
        <w:rPr>
          <w:rStyle w:val="CharDefText"/>
        </w:rPr>
        <w:t>SHB infested area</w:t>
      </w:r>
      <w:r>
        <w:t xml:space="preserve"> means the part of the State in respect of which SHB has been assigned under section 36 of the Act to category A5;</w:t>
      </w:r>
    </w:p>
    <w:p>
      <w:pPr>
        <w:pStyle w:val="Defstart"/>
      </w:pPr>
      <w:r>
        <w:rPr>
          <w:b/>
        </w:rPr>
        <w:lastRenderedPageBreak/>
        <w:tab/>
      </w:r>
      <w:r>
        <w:rPr>
          <w:rStyle w:val="CharDefText"/>
        </w:rPr>
        <w:t>treat</w:t>
      </w:r>
      <w:r>
        <w:rPr>
          <w:bCs/>
        </w:rPr>
        <w:t>,</w:t>
      </w:r>
      <w:r>
        <w:t xml:space="preserve"> in respect of a thing, includes cleaning, disinfecting, decontaminating or isolating the thing.</w:t>
      </w:r>
    </w:p>
    <w:p>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pPr>
        <w:pStyle w:val="Heading2"/>
      </w:pPr>
      <w:bookmarkStart w:id="84" w:name="_Toc377973411"/>
      <w:bookmarkStart w:id="85" w:name="_Toc425423761"/>
      <w:bookmarkStart w:id="86" w:name="_Toc425423795"/>
      <w:bookmarkStart w:id="87" w:name="_Toc425423815"/>
      <w:bookmarkStart w:id="88" w:name="_Toc202777162"/>
      <w:bookmarkStart w:id="89" w:name="_Toc202777242"/>
      <w:bookmarkStart w:id="90" w:name="_Toc202861736"/>
      <w:bookmarkStart w:id="91" w:name="_Toc205098648"/>
      <w:bookmarkStart w:id="92" w:name="_Toc205102331"/>
      <w:bookmarkStart w:id="93" w:name="_Toc205104408"/>
      <w:bookmarkStart w:id="94" w:name="_Toc205105433"/>
      <w:bookmarkStart w:id="95" w:name="_Toc205271699"/>
      <w:bookmarkStart w:id="96" w:name="_Toc205272273"/>
      <w:bookmarkStart w:id="97" w:name="_Toc205272299"/>
      <w:bookmarkStart w:id="98" w:name="_Toc205355119"/>
      <w:bookmarkStart w:id="99" w:name="_Toc205355874"/>
      <w:bookmarkStart w:id="100" w:name="_Toc205356390"/>
      <w:bookmarkStart w:id="101" w:name="_Toc205356531"/>
      <w:bookmarkStart w:id="102" w:name="_Toc205356679"/>
      <w:bookmarkStart w:id="103" w:name="_Toc205357414"/>
      <w:bookmarkStart w:id="104" w:name="_Toc205361631"/>
      <w:bookmarkStart w:id="105" w:name="_Toc205702773"/>
      <w:bookmarkStart w:id="106" w:name="_Toc205703654"/>
      <w:bookmarkStart w:id="107" w:name="_Toc205707148"/>
      <w:bookmarkStart w:id="108" w:name="_Toc205707187"/>
      <w:bookmarkStart w:id="109" w:name="_Toc223411563"/>
      <w:bookmarkStart w:id="110" w:name="_Toc223422049"/>
      <w:bookmarkStart w:id="111" w:name="_Toc223486895"/>
      <w:bookmarkStart w:id="112" w:name="_Toc223486912"/>
      <w:bookmarkStart w:id="113" w:name="_Toc223489735"/>
      <w:bookmarkStart w:id="114" w:name="_Toc223489781"/>
      <w:bookmarkStart w:id="115" w:name="_Toc223489920"/>
      <w:bookmarkStart w:id="116" w:name="_Toc223489973"/>
      <w:bookmarkStart w:id="117" w:name="_Toc229818195"/>
      <w:bookmarkStart w:id="118" w:name="_Toc229818256"/>
      <w:bookmarkStart w:id="119" w:name="_Toc229819337"/>
      <w:bookmarkStart w:id="120" w:name="_Toc229819429"/>
      <w:bookmarkStart w:id="121" w:name="_Toc229819471"/>
      <w:bookmarkStart w:id="122" w:name="_Toc280621987"/>
      <w:r>
        <w:rPr>
          <w:rStyle w:val="CharPartNo"/>
        </w:rPr>
        <w:lastRenderedPageBreak/>
        <w:t>Part 2</w:t>
      </w:r>
      <w:r>
        <w:rPr>
          <w:rStyle w:val="CharDivNo"/>
        </w:rPr>
        <w:t> </w:t>
      </w:r>
      <w:r>
        <w:t>—</w:t>
      </w:r>
      <w:r>
        <w:rPr>
          <w:rStyle w:val="CharDivText"/>
        </w:rPr>
        <w:t> </w:t>
      </w:r>
      <w:r>
        <w:rPr>
          <w:rStyle w:val="CharPartText"/>
        </w:rPr>
        <w:t>Movement and storage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377973412"/>
      <w:bookmarkStart w:id="124" w:name="_Toc425423816"/>
      <w:bookmarkStart w:id="125" w:name="_Toc205357415"/>
      <w:bookmarkStart w:id="126" w:name="_Toc223422050"/>
      <w:bookmarkStart w:id="127" w:name="_Toc223489974"/>
      <w:bookmarkStart w:id="128" w:name="_Toc229818196"/>
      <w:bookmarkStart w:id="129" w:name="_Toc280621988"/>
      <w:r>
        <w:rPr>
          <w:rStyle w:val="CharSectno"/>
        </w:rPr>
        <w:t>4</w:t>
      </w:r>
      <w:r>
        <w:t>.</w:t>
      </w:r>
      <w:r>
        <w:tab/>
        <w:t>Application of regulation 5</w:t>
      </w:r>
      <w:bookmarkEnd w:id="123"/>
      <w:bookmarkEnd w:id="124"/>
      <w:bookmarkEnd w:id="125"/>
      <w:bookmarkEnd w:id="126"/>
      <w:bookmarkEnd w:id="127"/>
      <w:bookmarkEnd w:id="128"/>
      <w:bookmarkEnd w:id="129"/>
    </w:p>
    <w:p>
      <w:pPr>
        <w:pStyle w:val="Subsection"/>
      </w:pPr>
      <w:r>
        <w:tab/>
      </w:r>
      <w:r>
        <w:tab/>
        <w:t xml:space="preserve">Regulation 5 applies to the movement of bees, hives, hive products or appliances — </w:t>
      </w:r>
    </w:p>
    <w:p>
      <w:pPr>
        <w:pStyle w:val="Indenta"/>
      </w:pPr>
      <w:r>
        <w:tab/>
        <w:t>(a)</w:t>
      </w:r>
      <w:r>
        <w:tab/>
        <w:t>as set out in Part 1 of the Table; and</w:t>
      </w:r>
    </w:p>
    <w:p>
      <w:pPr>
        <w:pStyle w:val="Indenta"/>
      </w:pPr>
      <w:r>
        <w:tab/>
        <w:t>(b)</w:t>
      </w:r>
      <w:r>
        <w:tab/>
        <w:t>as set out in Part 2 of the Table, if a notice has been given under regulation 6.</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jc w:val="center"/>
              <w:rPr>
                <w:b/>
                <w:bCs/>
              </w:rPr>
            </w:pPr>
            <w:r>
              <w:rPr>
                <w:b/>
                <w:bCs/>
              </w:rPr>
              <w:t>Movement of bees, hives, hive products and appliances</w:t>
            </w:r>
          </w:p>
        </w:tc>
      </w:tr>
      <w:tr>
        <w:tc>
          <w:tcPr>
            <w:tcW w:w="5925" w:type="dxa"/>
            <w:tcBorders>
              <w:top w:val="single" w:sz="4" w:space="0" w:color="auto"/>
            </w:tcBorders>
          </w:tcPr>
          <w:p>
            <w:pPr>
              <w:pStyle w:val="TableNAm"/>
              <w:jc w:val="center"/>
              <w:rPr>
                <w:b/>
                <w:bCs/>
              </w:rPr>
            </w:pPr>
            <w:r>
              <w:rPr>
                <w:b/>
                <w:bCs/>
              </w:rPr>
              <w:t>Part 1</w:t>
            </w:r>
          </w:p>
        </w:tc>
      </w:tr>
      <w:tr>
        <w:tc>
          <w:tcPr>
            <w:tcW w:w="5925" w:type="dxa"/>
          </w:tcPr>
          <w:p>
            <w:pPr>
              <w:pStyle w:val="TableNAm"/>
            </w:pPr>
            <w:r>
              <w:t>From a place in the SHB infested area to a place in the SHB infested area.</w:t>
            </w:r>
          </w:p>
          <w:p>
            <w:pPr>
              <w:pStyle w:val="TableNAm"/>
            </w:pPr>
            <w:r>
              <w:t>From a place in the SHB infested area to a place in the SHB free area.</w:t>
            </w:r>
          </w:p>
          <w:p>
            <w:pPr>
              <w:pStyle w:val="TableNAm"/>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Heading5"/>
      </w:pPr>
      <w:bookmarkStart w:id="130" w:name="_Toc377973413"/>
      <w:bookmarkStart w:id="131" w:name="_Toc425423817"/>
      <w:bookmarkStart w:id="132" w:name="_Toc205357416"/>
      <w:bookmarkStart w:id="133" w:name="_Toc223422051"/>
      <w:bookmarkStart w:id="134" w:name="_Toc223489975"/>
      <w:bookmarkStart w:id="135" w:name="_Toc229818197"/>
      <w:bookmarkStart w:id="136" w:name="_Toc280621989"/>
      <w:r>
        <w:rPr>
          <w:rStyle w:val="CharSectno"/>
        </w:rPr>
        <w:t>5</w:t>
      </w:r>
      <w:r>
        <w:t>.</w:t>
      </w:r>
      <w:r>
        <w:tab/>
        <w:t>Moving bees, hives, hive products and appliances</w:t>
      </w:r>
      <w:bookmarkEnd w:id="130"/>
      <w:bookmarkEnd w:id="131"/>
      <w:bookmarkEnd w:id="132"/>
      <w:bookmarkEnd w:id="133"/>
      <w:bookmarkEnd w:id="134"/>
      <w:bookmarkEnd w:id="135"/>
      <w:bookmarkEnd w:id="136"/>
    </w:p>
    <w:p>
      <w:pPr>
        <w:pStyle w:val="Subsection"/>
      </w:pPr>
      <w:r>
        <w:tab/>
        <w:t>(1)</w:t>
      </w:r>
      <w:r>
        <w:tab/>
        <w:t xml:space="preserve">A person must not — </w:t>
      </w:r>
    </w:p>
    <w:p>
      <w:pPr>
        <w:pStyle w:val="Indenta"/>
      </w:pPr>
      <w:r>
        <w:tab/>
        <w:t>(a)</w:t>
      </w:r>
      <w:r>
        <w:tab/>
        <w:t>move any bees, hives, hive products or appliances; or</w:t>
      </w:r>
    </w:p>
    <w:p>
      <w:pPr>
        <w:pStyle w:val="Indenta"/>
      </w:pPr>
      <w:r>
        <w:tab/>
        <w:t>(b)</w:t>
      </w:r>
      <w:r>
        <w:tab/>
        <w:t>cause to be moved any bees, hives, hive products or appliances,</w:t>
      </w:r>
    </w:p>
    <w:p>
      <w:pPr>
        <w:pStyle w:val="Subsection"/>
        <w:keepNext/>
        <w:keepLines/>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movement has been authorised under this regulation and the thing is moved in accordance with the authorisation.</w:t>
      </w:r>
    </w:p>
    <w:p>
      <w:pPr>
        <w:pStyle w:val="Penstart"/>
      </w:pPr>
      <w:r>
        <w:tab/>
        <w:t>Penalty: a fine of $2 000.</w:t>
      </w:r>
    </w:p>
    <w:p>
      <w:pPr>
        <w:pStyle w:val="Subsection"/>
      </w:pPr>
      <w:r>
        <w:tab/>
        <w:t>(2)</w:t>
      </w:r>
      <w:r>
        <w:tab/>
        <w:t>An authorisation is to be given in writing by an authorised person.</w:t>
      </w:r>
    </w:p>
    <w:p>
      <w:pPr>
        <w:pStyle w:val="Subsection"/>
      </w:pPr>
      <w:r>
        <w:tab/>
        <w:t>(3)</w:t>
      </w:r>
      <w:r>
        <w:tab/>
        <w:t>An authorisation may be given generally or in relation to a particular case or number of classes of cases or for a particular period or otherwise as the authorised person considers appropriate.</w:t>
      </w:r>
    </w:p>
    <w:p>
      <w:pPr>
        <w:pStyle w:val="Subsection"/>
      </w:pPr>
      <w:r>
        <w:tab/>
        <w:t>(4)</w:t>
      </w:r>
      <w:r>
        <w:tab/>
        <w:t>An authorisation may be given subject to such conditions as to movement of the thing authorised to be moved as the authorised person considers appropriate.</w:t>
      </w:r>
    </w:p>
    <w:p>
      <w:pPr>
        <w:pStyle w:val="Heading5"/>
      </w:pPr>
      <w:bookmarkStart w:id="137" w:name="_Toc377973414"/>
      <w:bookmarkStart w:id="138" w:name="_Toc425423818"/>
      <w:bookmarkStart w:id="139" w:name="_Toc205357417"/>
      <w:bookmarkStart w:id="140" w:name="_Toc223422052"/>
      <w:bookmarkStart w:id="141" w:name="_Toc223489976"/>
      <w:bookmarkStart w:id="142" w:name="_Toc229818198"/>
      <w:bookmarkStart w:id="143" w:name="_Toc280621990"/>
      <w:r>
        <w:rPr>
          <w:rStyle w:val="CharSectno"/>
        </w:rPr>
        <w:t>6</w:t>
      </w:r>
      <w:r>
        <w:t>.</w:t>
      </w:r>
      <w:r>
        <w:tab/>
        <w:t>Regulation 5 may apply within the SHB free area</w:t>
      </w:r>
      <w:bookmarkEnd w:id="137"/>
      <w:bookmarkEnd w:id="138"/>
      <w:bookmarkEnd w:id="139"/>
      <w:bookmarkEnd w:id="140"/>
      <w:bookmarkEnd w:id="141"/>
      <w:bookmarkEnd w:id="142"/>
      <w:bookmarkEnd w:id="143"/>
    </w:p>
    <w:p>
      <w:pPr>
        <w:pStyle w:val="Subsection"/>
      </w:pPr>
      <w:r>
        <w:tab/>
        <w:t>(1)</w:t>
      </w:r>
      <w:r>
        <w:tab/>
        <w:t>If the Director General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pPr>
        <w:pStyle w:val="Subsection"/>
      </w:pPr>
      <w:r>
        <w:tab/>
        <w:t>(2)</w:t>
      </w:r>
      <w:r>
        <w:tab/>
        <w:t xml:space="preserve">Notice referred to in subregulation (1) — </w:t>
      </w:r>
    </w:p>
    <w:p>
      <w:pPr>
        <w:pStyle w:val="Indenta"/>
      </w:pPr>
      <w:r>
        <w:tab/>
        <w:t>(a)</w:t>
      </w:r>
      <w:r>
        <w:tab/>
        <w:t xml:space="preserve">is to specify that regulation 5 is to apply in respect of — </w:t>
      </w:r>
    </w:p>
    <w:p>
      <w:pPr>
        <w:pStyle w:val="Indenti"/>
      </w:pPr>
      <w:r>
        <w:tab/>
        <w:t>(i)</w:t>
      </w:r>
      <w:r>
        <w:tab/>
        <w:t>all hives that the beekeeper owns, or has the charge, care or possession of, and all bees, hive products and appliances associated with those hives; or</w:t>
      </w:r>
    </w:p>
    <w:p>
      <w:pPr>
        <w:pStyle w:val="Indenti"/>
      </w:pPr>
      <w:r>
        <w:tab/>
        <w:t>(ii)</w:t>
      </w:r>
      <w:r>
        <w:tab/>
        <w:t>hives that the beekeeper owns, or has the charge, care or possession of, of a kind specified or described in the notice, and all bees, hive products and appliances associated with those hives;</w:t>
      </w:r>
    </w:p>
    <w:p>
      <w:pPr>
        <w:pStyle w:val="Indenta"/>
      </w:pPr>
      <w:r>
        <w:tab/>
      </w:r>
      <w:r>
        <w:tab/>
        <w:t>and</w:t>
      </w:r>
    </w:p>
    <w:p>
      <w:pPr>
        <w:pStyle w:val="Indenta"/>
      </w:pPr>
      <w:r>
        <w:tab/>
        <w:t>(b)</w:t>
      </w:r>
      <w:r>
        <w:tab/>
        <w:t>is to specify the time (which must be after the notice is given) from which regulation 5 is to apply in respect of the beekeeper.</w:t>
      </w:r>
    </w:p>
    <w:p>
      <w:pPr>
        <w:pStyle w:val="Footnotesection"/>
      </w:pPr>
      <w:r>
        <w:tab/>
        <w:t>[Regulation 6 amended in Gazette 17 Dec 2010 p. 6428.]</w:t>
      </w:r>
    </w:p>
    <w:p>
      <w:pPr>
        <w:pStyle w:val="Heading5"/>
      </w:pPr>
      <w:bookmarkStart w:id="144" w:name="_Toc377973415"/>
      <w:bookmarkStart w:id="145" w:name="_Toc425423819"/>
      <w:bookmarkStart w:id="146" w:name="_Toc205357419"/>
      <w:bookmarkStart w:id="147" w:name="_Toc223422053"/>
      <w:bookmarkStart w:id="148" w:name="_Toc223489977"/>
      <w:bookmarkStart w:id="149" w:name="_Toc229818199"/>
      <w:bookmarkStart w:id="150" w:name="_Toc280621991"/>
      <w:r>
        <w:rPr>
          <w:rStyle w:val="CharSectno"/>
        </w:rPr>
        <w:t>7</w:t>
      </w:r>
      <w:r>
        <w:t>.</w:t>
      </w:r>
      <w:r>
        <w:tab/>
        <w:t>How bees, hives and appliances are to be moved between apiary sites</w:t>
      </w:r>
      <w:bookmarkEnd w:id="144"/>
      <w:bookmarkEnd w:id="145"/>
      <w:bookmarkEnd w:id="146"/>
      <w:bookmarkEnd w:id="147"/>
      <w:bookmarkEnd w:id="148"/>
      <w:bookmarkEnd w:id="149"/>
      <w:bookmarkEnd w:id="150"/>
    </w:p>
    <w:p>
      <w:pPr>
        <w:pStyle w:val="Subsection"/>
      </w:pPr>
      <w:r>
        <w:tab/>
        <w:t>(1)</w:t>
      </w:r>
      <w:r>
        <w:tab/>
        <w:t xml:space="preserve">A person must not move, or cause to be moved, from an apiary site to another apiary site bees, hives or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$2 000.</w:t>
      </w:r>
    </w:p>
    <w:p>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pPr>
        <w:pStyle w:val="Penstart"/>
      </w:pPr>
      <w:r>
        <w:tab/>
        <w:t>Penalty: a fine of $2 000.</w:t>
      </w:r>
    </w:p>
    <w:p>
      <w:pPr>
        <w:pStyle w:val="Subsection"/>
      </w:pPr>
      <w:r>
        <w:tab/>
        <w:t>(3)</w:t>
      </w:r>
      <w:r>
        <w:tab/>
        <w:t xml:space="preserve">If there is a conflict or inconsistency between — </w:t>
      </w:r>
    </w:p>
    <w:p>
      <w:pPr>
        <w:pStyle w:val="Indenta"/>
      </w:pPr>
      <w:r>
        <w:tab/>
        <w:t>(a)</w:t>
      </w:r>
      <w:r>
        <w:tab/>
        <w:t xml:space="preserve">this regulation; and </w:t>
      </w:r>
    </w:p>
    <w:p>
      <w:pPr>
        <w:pStyle w:val="Indenta"/>
      </w:pPr>
      <w:r>
        <w:tab/>
        <w:t>(b)</w:t>
      </w:r>
      <w:r>
        <w:tab/>
        <w:t>an authorisation under regulation 5 under which a thing is being moved,</w:t>
      </w:r>
    </w:p>
    <w:p>
      <w:pPr>
        <w:pStyle w:val="Subsection"/>
      </w:pPr>
      <w:r>
        <w:tab/>
      </w:r>
      <w:r>
        <w:tab/>
        <w:t>then this regulation does not apply to the extent of the conflict or inconsistency.</w:t>
      </w:r>
    </w:p>
    <w:p>
      <w:pPr>
        <w:pStyle w:val="Heading5"/>
      </w:pPr>
      <w:bookmarkStart w:id="151" w:name="_Toc377973416"/>
      <w:bookmarkStart w:id="152" w:name="_Toc425423820"/>
      <w:bookmarkStart w:id="153" w:name="_Toc205357420"/>
      <w:bookmarkStart w:id="154" w:name="_Toc223422054"/>
      <w:bookmarkStart w:id="155" w:name="_Toc223489978"/>
      <w:bookmarkStart w:id="156" w:name="_Toc229818200"/>
      <w:bookmarkStart w:id="157" w:name="_Toc280621992"/>
      <w:r>
        <w:rPr>
          <w:rStyle w:val="CharSectno"/>
        </w:rPr>
        <w:t>8</w:t>
      </w:r>
      <w:r>
        <w:t>.</w:t>
      </w:r>
      <w:r>
        <w:tab/>
        <w:t>Storage of hives</w:t>
      </w:r>
      <w:bookmarkEnd w:id="151"/>
      <w:bookmarkEnd w:id="152"/>
      <w:bookmarkEnd w:id="153"/>
      <w:bookmarkEnd w:id="154"/>
      <w:bookmarkEnd w:id="155"/>
      <w:bookmarkEnd w:id="156"/>
      <w:bookmarkEnd w:id="157"/>
    </w:p>
    <w:p>
      <w:pPr>
        <w:pStyle w:val="Subsection"/>
      </w:pPr>
      <w:r>
        <w:tab/>
        <w:t>(1)</w:t>
      </w:r>
      <w:r>
        <w:tab/>
        <w:t>A person must not store, or cause to be stored, a hive unless the entrance to the hive is closed.</w:t>
      </w:r>
    </w:p>
    <w:p>
      <w:pPr>
        <w:pStyle w:val="Penstart"/>
      </w:pPr>
      <w:r>
        <w:tab/>
        <w:t>Penalty: a fine of $2 000.</w:t>
      </w:r>
    </w:p>
    <w:p>
      <w:pPr>
        <w:pStyle w:val="Subsection"/>
      </w:pPr>
      <w:r>
        <w:tab/>
        <w:t>(2)</w:t>
      </w:r>
      <w:r>
        <w:tab/>
        <w:t>For the purpose of this regulation a hive is stored if there are no living bees in the hive.</w:t>
      </w:r>
    </w:p>
    <w:p>
      <w:pPr>
        <w:pStyle w:val="Subsection"/>
      </w:pPr>
      <w:r>
        <w:tab/>
        <w:t>(3)</w:t>
      </w:r>
      <w:r>
        <w:tab/>
        <w:t>An authorised person may, by written notice given to a beekeeper, require the beekeeper to store a hive or hives in a place or manner, specified in the notice.</w:t>
      </w:r>
    </w:p>
    <w:p>
      <w:pPr>
        <w:pStyle w:val="Subsection"/>
      </w:pPr>
      <w:r>
        <w:tab/>
        <w:t>(4)</w:t>
      </w:r>
      <w:r>
        <w:tab/>
        <w:t>A person given a notice under subregulation (3) must comply with it.</w:t>
      </w:r>
    </w:p>
    <w:p>
      <w:pPr>
        <w:pStyle w:val="Penstart"/>
        <w:rPr>
          <w:i/>
          <w:iCs/>
        </w:rPr>
      </w:pPr>
      <w:r>
        <w:tab/>
        <w:t>Penalty: a fine of $2 000.</w:t>
      </w:r>
    </w:p>
    <w:p>
      <w:pPr>
        <w:pStyle w:val="Heading2"/>
      </w:pPr>
      <w:bookmarkStart w:id="158" w:name="_Toc377973417"/>
      <w:bookmarkStart w:id="159" w:name="_Toc425423767"/>
      <w:bookmarkStart w:id="160" w:name="_Toc425423801"/>
      <w:bookmarkStart w:id="161" w:name="_Toc425423821"/>
      <w:bookmarkStart w:id="162" w:name="_Toc202777168"/>
      <w:bookmarkStart w:id="163" w:name="_Toc202777248"/>
      <w:bookmarkStart w:id="164" w:name="_Toc202861742"/>
      <w:bookmarkStart w:id="165" w:name="_Toc205098656"/>
      <w:bookmarkStart w:id="166" w:name="_Toc205102339"/>
      <w:bookmarkStart w:id="167" w:name="_Toc205104416"/>
      <w:bookmarkStart w:id="168" w:name="_Toc205105441"/>
      <w:bookmarkStart w:id="169" w:name="_Toc205271706"/>
      <w:bookmarkStart w:id="170" w:name="_Toc205272280"/>
      <w:bookmarkStart w:id="171" w:name="_Toc205272305"/>
      <w:bookmarkStart w:id="172" w:name="_Toc205355126"/>
      <w:bookmarkStart w:id="173" w:name="_Toc205355881"/>
      <w:bookmarkStart w:id="174" w:name="_Toc205356397"/>
      <w:bookmarkStart w:id="175" w:name="_Toc205356538"/>
      <w:bookmarkStart w:id="176" w:name="_Toc205356686"/>
      <w:bookmarkStart w:id="177" w:name="_Toc205357421"/>
      <w:bookmarkStart w:id="178" w:name="_Toc205361638"/>
      <w:bookmarkStart w:id="179" w:name="_Toc205702780"/>
      <w:bookmarkStart w:id="180" w:name="_Toc205703660"/>
      <w:bookmarkStart w:id="181" w:name="_Toc205707154"/>
      <w:bookmarkStart w:id="182" w:name="_Toc205707193"/>
      <w:bookmarkStart w:id="183" w:name="_Toc223411569"/>
      <w:bookmarkStart w:id="184" w:name="_Toc223422055"/>
      <w:bookmarkStart w:id="185" w:name="_Toc223486901"/>
      <w:bookmarkStart w:id="186" w:name="_Toc223486918"/>
      <w:bookmarkStart w:id="187" w:name="_Toc223489741"/>
      <w:bookmarkStart w:id="188" w:name="_Toc223489787"/>
      <w:bookmarkStart w:id="189" w:name="_Toc223489926"/>
      <w:bookmarkStart w:id="190" w:name="_Toc223489979"/>
      <w:bookmarkStart w:id="191" w:name="_Toc229818201"/>
      <w:bookmarkStart w:id="192" w:name="_Toc229818262"/>
      <w:bookmarkStart w:id="193" w:name="_Toc229819343"/>
      <w:bookmarkStart w:id="194" w:name="_Toc229819435"/>
      <w:bookmarkStart w:id="195" w:name="_Toc229819477"/>
      <w:bookmarkStart w:id="196" w:name="_Toc280621993"/>
      <w:r>
        <w:rPr>
          <w:rStyle w:val="CharPartNo"/>
        </w:rPr>
        <w:t>Part 3</w:t>
      </w:r>
      <w:r>
        <w:rPr>
          <w:rStyle w:val="CharDivNo"/>
        </w:rPr>
        <w:t> </w:t>
      </w:r>
      <w:r>
        <w:t>—</w:t>
      </w:r>
      <w:r>
        <w:rPr>
          <w:rStyle w:val="CharDivText"/>
        </w:rPr>
        <w:t> </w:t>
      </w:r>
      <w:r>
        <w:rPr>
          <w:rStyle w:val="CharPartText"/>
        </w:rPr>
        <w:t>Directions to monitor and to destroy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77973418"/>
      <w:bookmarkStart w:id="198" w:name="_Toc425423822"/>
      <w:bookmarkStart w:id="199" w:name="_Toc205357422"/>
      <w:bookmarkStart w:id="200" w:name="_Toc223422056"/>
      <w:bookmarkStart w:id="201" w:name="_Toc223489980"/>
      <w:bookmarkStart w:id="202" w:name="_Toc229818202"/>
      <w:bookmarkStart w:id="203" w:name="_Toc280621994"/>
      <w:r>
        <w:rPr>
          <w:rStyle w:val="CharSectno"/>
        </w:rPr>
        <w:t>9</w:t>
      </w:r>
      <w:r>
        <w:t>.</w:t>
      </w:r>
      <w:r>
        <w:tab/>
        <w:t>Direction to carry out a monitoring programme</w:t>
      </w:r>
      <w:bookmarkEnd w:id="197"/>
      <w:bookmarkEnd w:id="198"/>
      <w:bookmarkEnd w:id="199"/>
      <w:bookmarkEnd w:id="200"/>
      <w:bookmarkEnd w:id="201"/>
      <w:bookmarkEnd w:id="202"/>
      <w:bookmarkEnd w:id="203"/>
    </w:p>
    <w:p>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pPr>
        <w:pStyle w:val="Subsection"/>
      </w:pPr>
      <w:r>
        <w:tab/>
        <w:t>(2)</w:t>
      </w:r>
      <w:r>
        <w:tab/>
        <w:t xml:space="preserve">A direction is to — </w:t>
      </w:r>
    </w:p>
    <w:p>
      <w:pPr>
        <w:pStyle w:val="Indenta"/>
      </w:pPr>
      <w:r>
        <w:tab/>
        <w:t>(a)</w:t>
      </w:r>
      <w:r>
        <w:tab/>
        <w:t>be given in writing to the beekeeper to whom it is directed; and</w:t>
      </w:r>
    </w:p>
    <w:p>
      <w:pPr>
        <w:pStyle w:val="Indenta"/>
      </w:pPr>
      <w:r>
        <w:tab/>
        <w:t>(b)</w:t>
      </w:r>
      <w:r>
        <w:tab/>
        <w:t>specify the details of the monitoring programme that is to be carried out, which may include requirements as to inspection, sampling, analysis and reporting.</w:t>
      </w:r>
    </w:p>
    <w:p>
      <w:pPr>
        <w:pStyle w:val="Subsection"/>
      </w:pPr>
      <w:r>
        <w:tab/>
        <w:t>(3)</w:t>
      </w:r>
      <w:r>
        <w:tab/>
        <w:t>A person given a direction under this regulation must comply with it.</w:t>
      </w:r>
    </w:p>
    <w:p>
      <w:pPr>
        <w:pStyle w:val="Penstart"/>
      </w:pPr>
      <w:r>
        <w:tab/>
        <w:t>Penalty: a fine of $2 000.</w:t>
      </w:r>
    </w:p>
    <w:p>
      <w:pPr>
        <w:pStyle w:val="Heading5"/>
      </w:pPr>
      <w:bookmarkStart w:id="204" w:name="_Toc377973419"/>
      <w:bookmarkStart w:id="205" w:name="_Toc425423823"/>
      <w:bookmarkStart w:id="206" w:name="_Toc205357423"/>
      <w:bookmarkStart w:id="207" w:name="_Toc223422057"/>
      <w:bookmarkStart w:id="208" w:name="_Toc223489981"/>
      <w:bookmarkStart w:id="209" w:name="_Toc229818203"/>
      <w:bookmarkStart w:id="210" w:name="_Toc280621995"/>
      <w:r>
        <w:rPr>
          <w:rStyle w:val="CharSectno"/>
        </w:rPr>
        <w:t>10</w:t>
      </w:r>
      <w:r>
        <w:t>.</w:t>
      </w:r>
      <w:r>
        <w:tab/>
        <w:t>Direction to destroy, dispose or treat infested things</w:t>
      </w:r>
      <w:bookmarkEnd w:id="204"/>
      <w:bookmarkEnd w:id="205"/>
      <w:bookmarkEnd w:id="206"/>
      <w:bookmarkEnd w:id="207"/>
      <w:bookmarkEnd w:id="208"/>
      <w:bookmarkEnd w:id="209"/>
      <w:bookmarkEnd w:id="210"/>
    </w:p>
    <w:p>
      <w:pPr>
        <w:pStyle w:val="Subsection"/>
      </w:pPr>
      <w:r>
        <w:tab/>
        <w:t>(1)</w:t>
      </w:r>
      <w:r>
        <w:tab/>
        <w:t xml:space="preserve">In this regulation — </w:t>
      </w:r>
    </w:p>
    <w:p>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pPr>
        <w:pStyle w:val="Subsection"/>
      </w:pPr>
      <w:r>
        <w:tab/>
        <w:t>(3)</w:t>
      </w:r>
      <w:r>
        <w:tab/>
        <w:t xml:space="preserve">An authorised person may direct the owner or occupier of the land where the infested thing is, or the beekeeper, to destroy, dispose of or otherwise treat all or any of the following — </w:t>
      </w:r>
    </w:p>
    <w:p>
      <w:pPr>
        <w:pStyle w:val="Indenta"/>
      </w:pPr>
      <w:r>
        <w:tab/>
        <w:t>(a)</w:t>
      </w:r>
      <w:r>
        <w:tab/>
        <w:t>the infested thing;</w:t>
      </w:r>
    </w:p>
    <w:p>
      <w:pPr>
        <w:pStyle w:val="Indenta"/>
      </w:pPr>
      <w:r>
        <w:tab/>
        <w:t>(b)</w:t>
      </w:r>
      <w:r>
        <w:tab/>
        <w:t>any other thing that has been in contact with the infested thing.</w:t>
      </w:r>
    </w:p>
    <w:p>
      <w:pPr>
        <w:pStyle w:val="Subsection"/>
      </w:pPr>
      <w:r>
        <w:tab/>
        <w:t>(4)</w:t>
      </w:r>
      <w:r>
        <w:tab/>
        <w:t xml:space="preserve">A direction is to — </w:t>
      </w:r>
    </w:p>
    <w:p>
      <w:pPr>
        <w:pStyle w:val="Indenta"/>
      </w:pPr>
      <w:r>
        <w:tab/>
        <w:t>(a)</w:t>
      </w:r>
      <w:r>
        <w:tab/>
        <w:t>be given in writing to the owner, occupier or beekeeper to whom it is directed; and</w:t>
      </w:r>
    </w:p>
    <w:p>
      <w:pPr>
        <w:pStyle w:val="Indenta"/>
      </w:pPr>
      <w:r>
        <w:tab/>
        <w:t>(b)</w:t>
      </w:r>
      <w:r>
        <w:tab/>
        <w:t>specify the method to be used for the destruction or disposal, or the type of treatment that is to be carried out.</w:t>
      </w:r>
    </w:p>
    <w:p>
      <w:pPr>
        <w:pStyle w:val="Subsection"/>
      </w:pPr>
      <w:r>
        <w:tab/>
        <w:t>(5)</w:t>
      </w:r>
      <w:r>
        <w:tab/>
        <w:t>A person given a direction under this regulation must comply with it within the time specified in it, or if no time is specified, within a reasonable time of the direction being given.</w:t>
      </w:r>
    </w:p>
    <w:p>
      <w:pPr>
        <w:pStyle w:val="Penstart"/>
      </w:pPr>
      <w:r>
        <w:tab/>
        <w:t>Penalty: a fine of $2 000.</w:t>
      </w:r>
    </w:p>
    <w:p>
      <w:pPr>
        <w:pStyle w:val="Heading5"/>
      </w:pPr>
      <w:bookmarkStart w:id="211" w:name="_Toc377973420"/>
      <w:bookmarkStart w:id="212" w:name="_Toc425423824"/>
      <w:bookmarkStart w:id="213" w:name="_Toc205357424"/>
      <w:bookmarkStart w:id="214" w:name="_Toc223422058"/>
      <w:bookmarkStart w:id="215" w:name="_Toc223489982"/>
      <w:bookmarkStart w:id="216" w:name="_Toc229818204"/>
      <w:bookmarkStart w:id="217" w:name="_Toc280621996"/>
      <w:r>
        <w:rPr>
          <w:rStyle w:val="CharSectno"/>
        </w:rPr>
        <w:t>11</w:t>
      </w:r>
      <w:r>
        <w:t>.</w:t>
      </w:r>
      <w:r>
        <w:tab/>
        <w:t>Authorised officer may carry out direction and recover cost</w:t>
      </w:r>
      <w:bookmarkEnd w:id="211"/>
      <w:bookmarkEnd w:id="212"/>
      <w:bookmarkEnd w:id="213"/>
      <w:bookmarkEnd w:id="214"/>
      <w:bookmarkEnd w:id="215"/>
      <w:bookmarkEnd w:id="216"/>
      <w:bookmarkEnd w:id="217"/>
    </w:p>
    <w:p>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pPr>
        <w:pStyle w:val="Footnotesection"/>
      </w:pPr>
      <w:r>
        <w:tab/>
        <w:t>[Regulation 11 amended in Gazette 17 Dec 2010 p. 6428.]</w:t>
      </w:r>
    </w:p>
    <w:p>
      <w:pPr>
        <w:pStyle w:val="Heading2"/>
      </w:pPr>
      <w:bookmarkStart w:id="218" w:name="_Toc377973421"/>
      <w:bookmarkStart w:id="219" w:name="_Toc425423771"/>
      <w:bookmarkStart w:id="220" w:name="_Toc425423805"/>
      <w:bookmarkStart w:id="221" w:name="_Toc425423825"/>
      <w:bookmarkStart w:id="222" w:name="_Toc202777171"/>
      <w:bookmarkStart w:id="223" w:name="_Toc202777251"/>
      <w:bookmarkStart w:id="224" w:name="_Toc202861745"/>
      <w:bookmarkStart w:id="225" w:name="_Toc205098659"/>
      <w:bookmarkStart w:id="226" w:name="_Toc205102342"/>
      <w:bookmarkStart w:id="227" w:name="_Toc205104419"/>
      <w:bookmarkStart w:id="228" w:name="_Toc205105444"/>
      <w:bookmarkStart w:id="229" w:name="_Toc205271709"/>
      <w:bookmarkStart w:id="230" w:name="_Toc205272283"/>
      <w:bookmarkStart w:id="231" w:name="_Toc205272308"/>
      <w:bookmarkStart w:id="232" w:name="_Toc205355129"/>
      <w:bookmarkStart w:id="233" w:name="_Toc205355885"/>
      <w:bookmarkStart w:id="234" w:name="_Toc205356401"/>
      <w:bookmarkStart w:id="235" w:name="_Toc205356542"/>
      <w:bookmarkStart w:id="236" w:name="_Toc205356690"/>
      <w:bookmarkStart w:id="237" w:name="_Toc205357425"/>
      <w:bookmarkStart w:id="238" w:name="_Toc205361642"/>
      <w:bookmarkStart w:id="239" w:name="_Toc205702784"/>
      <w:bookmarkStart w:id="240" w:name="_Toc205703664"/>
      <w:bookmarkStart w:id="241" w:name="_Toc205707158"/>
      <w:bookmarkStart w:id="242" w:name="_Toc205707197"/>
      <w:bookmarkStart w:id="243" w:name="_Toc223411573"/>
      <w:bookmarkStart w:id="244" w:name="_Toc223422059"/>
      <w:bookmarkStart w:id="245" w:name="_Toc223486905"/>
      <w:bookmarkStart w:id="246" w:name="_Toc223486922"/>
      <w:bookmarkStart w:id="247" w:name="_Toc223489745"/>
      <w:bookmarkStart w:id="248" w:name="_Toc223489791"/>
      <w:bookmarkStart w:id="249" w:name="_Toc223489930"/>
      <w:bookmarkStart w:id="250" w:name="_Toc223489983"/>
      <w:bookmarkStart w:id="251" w:name="_Toc229818205"/>
      <w:bookmarkStart w:id="252" w:name="_Toc229818266"/>
      <w:bookmarkStart w:id="253" w:name="_Toc229819347"/>
      <w:bookmarkStart w:id="254" w:name="_Toc229819439"/>
      <w:bookmarkStart w:id="255" w:name="_Toc229819481"/>
      <w:bookmarkStart w:id="256" w:name="_Toc280621997"/>
      <w:r>
        <w:rPr>
          <w:rStyle w:val="CharPartNo"/>
        </w:rPr>
        <w:t>Part 4</w:t>
      </w:r>
      <w:r>
        <w:rPr>
          <w:rStyle w:val="CharDivNo"/>
        </w:rPr>
        <w:t> </w:t>
      </w:r>
      <w:r>
        <w:t>—</w:t>
      </w:r>
      <w:r>
        <w:rPr>
          <w:rStyle w:val="CharDivText"/>
        </w:rPr>
        <w:t> </w:t>
      </w:r>
      <w:r>
        <w:rPr>
          <w:rStyle w:val="CharPartText"/>
        </w:rPr>
        <w:t>Reporting and signs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77973422"/>
      <w:bookmarkStart w:id="258" w:name="_Toc425423826"/>
      <w:bookmarkStart w:id="259" w:name="_Toc205357426"/>
      <w:bookmarkStart w:id="260" w:name="_Toc223422060"/>
      <w:bookmarkStart w:id="261" w:name="_Toc223489984"/>
      <w:bookmarkStart w:id="262" w:name="_Toc229818206"/>
      <w:bookmarkStart w:id="263" w:name="_Toc280621998"/>
      <w:r>
        <w:rPr>
          <w:rStyle w:val="CharSectno"/>
        </w:rPr>
        <w:t>12</w:t>
      </w:r>
      <w:r>
        <w:t>.</w:t>
      </w:r>
      <w:r>
        <w:tab/>
        <w:t>SHB infestation to be reported</w:t>
      </w:r>
      <w:bookmarkEnd w:id="257"/>
      <w:bookmarkEnd w:id="258"/>
      <w:bookmarkEnd w:id="259"/>
      <w:bookmarkEnd w:id="260"/>
      <w:bookmarkEnd w:id="261"/>
      <w:bookmarkEnd w:id="262"/>
      <w:bookmarkEnd w:id="263"/>
    </w:p>
    <w:p>
      <w:pPr>
        <w:pStyle w:val="Subsection"/>
      </w:pPr>
      <w:r>
        <w:tab/>
        <w:t>(1)</w:t>
      </w:r>
      <w:r>
        <w:tab/>
        <w:t>A person who finds or suspects the presence of SHB must report the presence or suspected presence of SHB to an authorised person in accordance with subregulation (2).</w:t>
      </w:r>
    </w:p>
    <w:p>
      <w:pPr>
        <w:pStyle w:val="Penstart"/>
      </w:pPr>
      <w:r>
        <w:tab/>
        <w:t>Penalty: a fine of $2 000.</w:t>
      </w:r>
    </w:p>
    <w:p>
      <w:pPr>
        <w:pStyle w:val="Subsection"/>
      </w:pPr>
      <w:r>
        <w:tab/>
        <w:t>(2)</w:t>
      </w:r>
      <w:r>
        <w:tab/>
        <w:t xml:space="preserve">A report — </w:t>
      </w:r>
    </w:p>
    <w:p>
      <w:pPr>
        <w:pStyle w:val="Indenta"/>
      </w:pPr>
      <w:r>
        <w:tab/>
        <w:t>(a)</w:t>
      </w:r>
      <w:r>
        <w:tab/>
        <w:t>may be made orally or in writing; and</w:t>
      </w:r>
    </w:p>
    <w:p>
      <w:pPr>
        <w:pStyle w:val="Indenta"/>
      </w:pPr>
      <w:r>
        <w:tab/>
        <w:t>(b)</w:t>
      </w:r>
      <w:r>
        <w:tab/>
        <w:t>must indicate, as far as practicable, where the SHB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14 days after finding SHB or suspecting the presence of SHB.</w:t>
      </w:r>
    </w:p>
    <w:p>
      <w:pPr>
        <w:pStyle w:val="Heading5"/>
      </w:pPr>
      <w:bookmarkStart w:id="264" w:name="_Toc377973423"/>
      <w:bookmarkStart w:id="265" w:name="_Toc425423827"/>
      <w:bookmarkStart w:id="266" w:name="_Toc205357427"/>
      <w:bookmarkStart w:id="267" w:name="_Toc223422061"/>
      <w:bookmarkStart w:id="268" w:name="_Toc223489985"/>
      <w:bookmarkStart w:id="269" w:name="_Toc229818207"/>
      <w:bookmarkStart w:id="270" w:name="_Toc280621999"/>
      <w:r>
        <w:rPr>
          <w:rStyle w:val="CharSectno"/>
        </w:rPr>
        <w:t>13</w:t>
      </w:r>
      <w:r>
        <w:t>.</w:t>
      </w:r>
      <w:r>
        <w:tab/>
        <w:t>Notification signs</w:t>
      </w:r>
      <w:bookmarkEnd w:id="264"/>
      <w:bookmarkEnd w:id="265"/>
      <w:bookmarkEnd w:id="266"/>
      <w:bookmarkEnd w:id="267"/>
      <w:bookmarkEnd w:id="268"/>
      <w:bookmarkEnd w:id="269"/>
      <w:bookmarkEnd w:id="270"/>
    </w:p>
    <w:p>
      <w:pPr>
        <w:pStyle w:val="Subsection"/>
      </w:pPr>
      <w:r>
        <w:tab/>
        <w:t>(1)</w:t>
      </w:r>
      <w:r>
        <w:tab/>
        <w:t>The Director General may erect signs in or near a SHB infestation area advising the public of the restrictions that apply in the area under these regulations.</w:t>
      </w:r>
    </w:p>
    <w:p>
      <w:pPr>
        <w:pStyle w:val="Subsection"/>
      </w:pPr>
      <w:r>
        <w:tab/>
        <w:t>(2)</w:t>
      </w:r>
      <w:r>
        <w:tab/>
        <w:t>A person must not, without lawful authority, remove, obscure, damage or otherwise interfere with a sign erected under this regulation.</w:t>
      </w:r>
    </w:p>
    <w:p>
      <w:pPr>
        <w:pStyle w:val="Penstart"/>
      </w:pPr>
      <w:r>
        <w:tab/>
        <w:t>Penalty: a fine of $2 000.</w:t>
      </w:r>
    </w:p>
    <w:p>
      <w:pPr>
        <w:pStyle w:val="Footnotesection"/>
      </w:pPr>
      <w:bookmarkStart w:id="271" w:name="_Toc113695922"/>
      <w:r>
        <w:tab/>
        <w:t>[Regulation 13 amended in Gazette 17 Dec 2010 p. 6428.]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2" w:name="_Toc377973424"/>
      <w:bookmarkStart w:id="273" w:name="_Toc425423774"/>
      <w:bookmarkStart w:id="274" w:name="_Toc425423808"/>
      <w:bookmarkStart w:id="275" w:name="_Toc425423828"/>
      <w:bookmarkStart w:id="276" w:name="_Toc229819350"/>
      <w:bookmarkStart w:id="277" w:name="_Toc229819442"/>
      <w:bookmarkStart w:id="278" w:name="_Toc229819484"/>
      <w:bookmarkStart w:id="279" w:name="_Toc280622000"/>
      <w:r>
        <w:t>Notes</w:t>
      </w:r>
      <w:bookmarkEnd w:id="272"/>
      <w:bookmarkEnd w:id="273"/>
      <w:bookmarkEnd w:id="274"/>
      <w:bookmarkEnd w:id="275"/>
      <w:bookmarkEnd w:id="271"/>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Pr>
          <w:snapToGrid w:val="0"/>
        </w:rPr>
        <w:t xml:space="preserve"> and includes the amendments made by the other written laws referred to in the following table </w:t>
      </w:r>
      <w:del w:id="280" w:author="Master Repository Process" w:date="2021-07-31T07:53:00Z">
        <w:r>
          <w:rPr>
            <w:snapToGrid w:val="0"/>
            <w:vertAlign w:val="superscript"/>
          </w:rPr>
          <w:delText>1a</w:delText>
        </w:r>
      </w:del>
      <w:ins w:id="281" w:author="Master Repository Process" w:date="2021-07-31T07:53:00Z">
        <w:r>
          <w:rPr>
            <w:snapToGrid w:val="0"/>
            <w:vertAlign w:val="superscript"/>
          </w:rPr>
          <w:t>2</w:t>
        </w:r>
      </w:ins>
      <w:r>
        <w:rPr>
          <w:snapToGrid w:val="0"/>
        </w:rPr>
        <w:t>.  The table also contains information about any reprint.</w:t>
      </w:r>
    </w:p>
    <w:p>
      <w:pPr>
        <w:pStyle w:val="nHeading3"/>
      </w:pPr>
      <w:bookmarkStart w:id="282" w:name="_Toc377973425"/>
      <w:bookmarkStart w:id="283" w:name="_Toc425423829"/>
      <w:bookmarkStart w:id="284" w:name="_Toc70311430"/>
      <w:bookmarkStart w:id="285" w:name="_Toc113695923"/>
      <w:bookmarkStart w:id="286" w:name="_Toc280622001"/>
      <w:r>
        <w:t>Compilation table</w:t>
      </w:r>
      <w:bookmarkEnd w:id="282"/>
      <w:bookmarkEnd w:id="283"/>
      <w:bookmarkEnd w:id="284"/>
      <w:bookmarkEnd w:id="285"/>
      <w:bookmarkEnd w:id="2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bookmarkStart w:id="287" w:name="UpToHere"/>
            <w:bookmarkEnd w:id="287"/>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Agriculture and Related Resources Protection (Small Hive Beetle) Regulations 2009</w:t>
            </w:r>
          </w:p>
        </w:tc>
        <w:tc>
          <w:tcPr>
            <w:tcW w:w="1276" w:type="dxa"/>
            <w:tcBorders>
              <w:bottom w:val="nil"/>
            </w:tcBorders>
          </w:tcPr>
          <w:p>
            <w:pPr>
              <w:pStyle w:val="nTable"/>
              <w:spacing w:after="40"/>
            </w:pPr>
            <w:r>
              <w:t>12 May 2009 p. 1551</w:t>
            </w:r>
            <w:r>
              <w:noBreakHyphen/>
              <w:t>63</w:t>
            </w:r>
          </w:p>
        </w:tc>
        <w:tc>
          <w:tcPr>
            <w:tcW w:w="2693" w:type="dxa"/>
            <w:tcBorders>
              <w:bottom w:val="nil"/>
            </w:tcBorders>
          </w:tcPr>
          <w:p>
            <w:pPr>
              <w:pStyle w:val="nTable"/>
              <w:spacing w:after="40"/>
            </w:pPr>
            <w:r>
              <w:rPr>
                <w:snapToGrid w:val="0"/>
                <w:spacing w:val="-2"/>
              </w:rPr>
              <w:t>r. 1 and 2: 12 May 2009 (see r. 2(a));</w:t>
            </w:r>
            <w:r>
              <w:rPr>
                <w:snapToGrid w:val="0"/>
                <w:spacing w:val="-2"/>
              </w:rPr>
              <w:br/>
              <w:t>Regulations other than r. 1 and 2: 13 May 2009 (see r. 2(b))</w:t>
            </w:r>
          </w:p>
        </w:tc>
      </w:tr>
      <w:tr>
        <w:tc>
          <w:tcPr>
            <w:tcW w:w="3118" w:type="dxa"/>
            <w:tcBorders>
              <w:top w:val="nil"/>
              <w:bottom w:val="nil"/>
            </w:tcBorders>
          </w:tcPr>
          <w:p>
            <w:pPr>
              <w:pStyle w:val="nTable"/>
              <w:spacing w:after="40"/>
              <w:rPr>
                <w:iCs/>
              </w:rPr>
            </w:pPr>
            <w:r>
              <w:rPr>
                <w:i/>
              </w:rPr>
              <w:t>Agriculture and Related Resources Protection (Repeals and Amendments) Regulations 2010</w:t>
            </w:r>
            <w:r>
              <w:rPr>
                <w:iCs/>
              </w:rPr>
              <w:t xml:space="preserve"> Pt. 11</w:t>
            </w:r>
          </w:p>
        </w:tc>
        <w:tc>
          <w:tcPr>
            <w:tcW w:w="1276" w:type="dxa"/>
            <w:tcBorders>
              <w:top w:val="nil"/>
              <w:bottom w:val="nil"/>
            </w:tcBorders>
          </w:tcPr>
          <w:p>
            <w:pPr>
              <w:pStyle w:val="nTable"/>
              <w:spacing w:after="40"/>
            </w:pPr>
            <w:r>
              <w:t>17 Dec 2010 p. 6403-32</w:t>
            </w:r>
          </w:p>
        </w:tc>
        <w:tc>
          <w:tcPr>
            <w:tcW w:w="2693" w:type="dxa"/>
            <w:tcBorders>
              <w:top w:val="nil"/>
              <w:bottom w:val="nil"/>
            </w:tcBorders>
          </w:tcPr>
          <w:p>
            <w:pPr>
              <w:pStyle w:val="nTable"/>
              <w:spacing w:after="40"/>
              <w:rPr>
                <w:snapToGrid w:val="0"/>
                <w:spacing w:val="-2"/>
              </w:rPr>
            </w:pPr>
            <w:r>
              <w:rPr>
                <w:snapToGrid w:val="0"/>
                <w:spacing w:val="-2"/>
              </w:rPr>
              <w:t xml:space="preserve">18 Dec 2010 (see r. 2(b) and </w:t>
            </w:r>
            <w:r>
              <w:rPr>
                <w:i/>
                <w:iCs/>
                <w:snapToGrid w:val="0"/>
                <w:spacing w:val="-2"/>
              </w:rPr>
              <w:t>Gazette</w:t>
            </w:r>
            <w:r>
              <w:rPr>
                <w:snapToGrid w:val="0"/>
                <w:spacing w:val="-2"/>
              </w:rPr>
              <w:t xml:space="preserve"> 17 Dec 2010 p. 6349)</w:t>
            </w:r>
          </w:p>
        </w:tc>
      </w:tr>
    </w:tbl>
    <w:p>
      <w:pPr>
        <w:pStyle w:val="nSubsection"/>
        <w:rPr>
          <w:del w:id="288" w:author="Master Repository Process" w:date="2021-07-31T07:53:00Z"/>
          <w:snapToGrid w:val="0"/>
        </w:rPr>
      </w:pPr>
      <w:del w:id="289" w:author="Master Repository Process" w:date="2021-07-31T07: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0" w:author="Master Repository Process" w:date="2021-07-31T07:53:00Z"/>
          <w:snapToGrid w:val="0"/>
        </w:rPr>
      </w:pPr>
      <w:bookmarkStart w:id="291" w:name="_Toc534778309"/>
      <w:bookmarkStart w:id="292" w:name="_Toc7405063"/>
      <w:bookmarkStart w:id="293" w:name="_Toc296601212"/>
      <w:bookmarkStart w:id="294" w:name="_Toc309727460"/>
      <w:del w:id="295" w:author="Master Repository Process" w:date="2021-07-31T07:53:00Z">
        <w:r>
          <w:rPr>
            <w:snapToGrid w:val="0"/>
          </w:rPr>
          <w:delText>Provisions that have not come into operation</w:delText>
        </w:r>
        <w:bookmarkEnd w:id="291"/>
        <w:bookmarkEnd w:id="292"/>
        <w:bookmarkEnd w:id="293"/>
        <w:bookmarkEnd w:id="294"/>
      </w:del>
    </w:p>
    <w:tbl>
      <w:tblPr>
        <w:tblW w:w="0" w:type="auto"/>
        <w:tblInd w:w="28" w:type="dxa"/>
        <w:tblLayout w:type="fixed"/>
        <w:tblCellMar>
          <w:left w:w="56" w:type="dxa"/>
          <w:right w:w="56" w:type="dxa"/>
        </w:tblCellMar>
        <w:tblLook w:val="0000" w:firstRow="0" w:lastRow="0" w:firstColumn="0" w:lastColumn="0" w:noHBand="0" w:noVBand="0"/>
      </w:tblPr>
      <w:tblGrid>
        <w:gridCol w:w="1843"/>
        <w:gridCol w:w="1276"/>
        <w:gridCol w:w="424"/>
        <w:gridCol w:w="1772"/>
        <w:gridCol w:w="1772"/>
      </w:tblGrid>
      <w:tr>
        <w:trPr>
          <w:cantSplit/>
          <w:tblHeader/>
          <w:del w:id="296" w:author="Master Repository Process" w:date="2021-07-31T07:53:00Z"/>
        </w:trPr>
        <w:tc>
          <w:tcPr>
            <w:tcW w:w="3119" w:type="dxa"/>
            <w:gridSpan w:val="3"/>
            <w:tcBorders>
              <w:top w:val="single" w:sz="8" w:space="0" w:color="auto"/>
              <w:bottom w:val="single" w:sz="8" w:space="0" w:color="auto"/>
            </w:tcBorders>
          </w:tcPr>
          <w:p>
            <w:pPr>
              <w:pStyle w:val="nTable"/>
              <w:keepNext/>
              <w:spacing w:before="60" w:after="60"/>
              <w:ind w:right="113"/>
              <w:rPr>
                <w:del w:id="297" w:author="Master Repository Process" w:date="2021-07-31T07:53:00Z"/>
                <w:b/>
                <w:szCs w:val="19"/>
              </w:rPr>
            </w:pPr>
            <w:del w:id="298" w:author="Master Repository Process" w:date="2021-07-31T07:53:00Z">
              <w:r>
                <w:rPr>
                  <w:b/>
                  <w:szCs w:val="19"/>
                </w:rPr>
                <w:delText>Citation</w:delText>
              </w:r>
            </w:del>
          </w:p>
        </w:tc>
        <w:tc>
          <w:tcPr>
            <w:tcW w:w="1276" w:type="dxa"/>
            <w:tcBorders>
              <w:top w:val="single" w:sz="8" w:space="0" w:color="auto"/>
              <w:bottom w:val="single" w:sz="8" w:space="0" w:color="auto"/>
            </w:tcBorders>
          </w:tcPr>
          <w:p>
            <w:pPr>
              <w:pStyle w:val="nTable"/>
              <w:keepNext/>
              <w:spacing w:before="60" w:after="60"/>
              <w:rPr>
                <w:del w:id="299" w:author="Master Repository Process" w:date="2021-07-31T07:53:00Z"/>
                <w:b/>
                <w:szCs w:val="19"/>
              </w:rPr>
            </w:pPr>
            <w:del w:id="300" w:author="Master Repository Process" w:date="2021-07-31T07:53:00Z">
              <w:r>
                <w:rPr>
                  <w:b/>
                  <w:szCs w:val="19"/>
                </w:rPr>
                <w:delText>Gazettal</w:delText>
              </w:r>
            </w:del>
          </w:p>
        </w:tc>
        <w:tc>
          <w:tcPr>
            <w:tcW w:w="2693" w:type="dxa"/>
            <w:tcBorders>
              <w:top w:val="single" w:sz="8" w:space="0" w:color="auto"/>
              <w:bottom w:val="single" w:sz="8" w:space="0" w:color="auto"/>
            </w:tcBorders>
          </w:tcPr>
          <w:p>
            <w:pPr>
              <w:pStyle w:val="nTable"/>
              <w:keepNext/>
              <w:spacing w:before="60" w:after="60"/>
              <w:rPr>
                <w:del w:id="301" w:author="Master Repository Process" w:date="2021-07-31T07:53:00Z"/>
                <w:b/>
                <w:szCs w:val="19"/>
              </w:rPr>
            </w:pPr>
            <w:del w:id="302" w:author="Master Repository Process" w:date="2021-07-31T07:53:00Z">
              <w:r>
                <w:rPr>
                  <w:b/>
                  <w:szCs w:val="19"/>
                </w:rPr>
                <w:delText>Commencement</w:delText>
              </w:r>
            </w:del>
          </w:p>
        </w:tc>
      </w:tr>
      <w:tr>
        <w:tblPrEx>
          <w:tblBorders>
            <w:top w:val="single" w:sz="8" w:space="0" w:color="auto"/>
            <w:bottom w:val="single" w:sz="4" w:space="0" w:color="auto"/>
            <w:insideH w:val="single" w:sz="8" w:space="0" w:color="auto"/>
          </w:tblBorders>
        </w:tblPrEx>
        <w:tc>
          <w:tcPr>
            <w:tcW w:w="3119" w:type="dxa"/>
            <w:cellDel w:id="303" w:author="Master Repository Process" w:date="2021-07-31T07:53:00Z"/>
          </w:tcPr>
          <w:p>
            <w:pPr>
              <w:pStyle w:val="nTable"/>
              <w:spacing w:after="40"/>
              <w:rPr>
                <w:i/>
                <w:noProof/>
                <w:snapToGrid w:val="0"/>
                <w:szCs w:val="19"/>
                <w:lang w:eastAsia="en-US"/>
              </w:rPr>
            </w:pPr>
            <w:del w:id="304" w:author="Master Repository Process" w:date="2021-07-31T07:53:00Z">
              <w:r>
                <w:rPr>
                  <w:i/>
                  <w:noProof/>
                  <w:snapToGrid w:val="0"/>
                  <w:szCs w:val="19"/>
                </w:rPr>
                <w:delText>Biosecurity and Agriculture Management Regulations 2013</w:delText>
              </w:r>
              <w:r>
                <w:rPr>
                  <w:noProof/>
                  <w:snapToGrid w:val="0"/>
                  <w:szCs w:val="19"/>
                </w:rPr>
                <w:delText xml:space="preserve"> r. 137(h), 138 and 143 </w:delText>
              </w:r>
              <w:r>
                <w:rPr>
                  <w:noProof/>
                  <w:snapToGrid w:val="0"/>
                  <w:szCs w:val="19"/>
                  <w:vertAlign w:val="superscript"/>
                </w:rPr>
                <w:delText>2</w:delText>
              </w:r>
            </w:del>
          </w:p>
        </w:tc>
        <w:tc>
          <w:tcPr>
            <w:tcW w:w="1276" w:type="dxa"/>
            <w:cellDel w:id="305" w:author="Master Repository Process" w:date="2021-07-31T07:53:00Z"/>
          </w:tcPr>
          <w:p>
            <w:pPr>
              <w:pStyle w:val="nTable"/>
              <w:spacing w:after="40"/>
              <w:rPr>
                <w:szCs w:val="19"/>
                <w:lang w:eastAsia="en-US"/>
              </w:rPr>
            </w:pPr>
            <w:del w:id="306" w:author="Master Repository Process" w:date="2021-07-31T07:53:00Z">
              <w:r>
                <w:rPr>
                  <w:szCs w:val="19"/>
                </w:rPr>
                <w:delText>5 Feb 2013 p. 465</w:delText>
              </w:r>
              <w:r>
                <w:rPr>
                  <w:szCs w:val="19"/>
                </w:rPr>
                <w:noBreakHyphen/>
                <w:delText>591</w:delText>
              </w:r>
            </w:del>
          </w:p>
        </w:tc>
        <w:tc>
          <w:tcPr>
            <w:tcW w:w="7087" w:type="dxa"/>
            <w:gridSpan w:val="3"/>
            <w:tcBorders>
              <w:top w:val="nil"/>
              <w:bottom w:val="single" w:sz="4" w:space="0" w:color="auto"/>
            </w:tcBorders>
          </w:tcPr>
          <w:p>
            <w:pPr>
              <w:pStyle w:val="nTable"/>
              <w:spacing w:after="40"/>
              <w:rPr>
                <w:b/>
                <w:snapToGrid w:val="0"/>
                <w:spacing w:val="-2"/>
              </w:rPr>
            </w:pPr>
            <w:ins w:id="307" w:author="Master Repository Process" w:date="2021-07-31T07:53:00Z">
              <w:r>
                <w:rPr>
                  <w:b/>
                  <w:snapToGrid w:val="0"/>
                  <w:color w:val="FF0000"/>
                  <w:spacing w:val="-2"/>
                </w:rPr>
                <w:t xml:space="preserve">These regulations were repealed by the </w:t>
              </w:r>
              <w:r>
                <w:rPr>
                  <w:b/>
                  <w:i/>
                  <w:snapToGrid w:val="0"/>
                  <w:color w:val="FF0000"/>
                  <w:spacing w:val="-2"/>
                </w:rPr>
                <w:t>Biosecurity and Agriculture Management Regulations 2013</w:t>
              </w:r>
              <w:r>
                <w:rPr>
                  <w:b/>
                  <w:snapToGrid w:val="0"/>
                  <w:color w:val="FF0000"/>
                  <w:spacing w:val="-2"/>
                </w:rPr>
                <w:t xml:space="preserve"> r. 137(h) as at </w:t>
              </w:r>
            </w:ins>
            <w:r>
              <w:rPr>
                <w:b/>
                <w:snapToGrid w:val="0"/>
                <w:color w:val="FF0000"/>
                <w:spacing w:val="-2"/>
              </w:rPr>
              <w:t xml:space="preserve">1 May 2013 (see r. 2(b) and </w:t>
            </w:r>
            <w:r>
              <w:rPr>
                <w:b/>
                <w:i/>
                <w:snapToGrid w:val="0"/>
                <w:color w:val="FF0000"/>
                <w:spacing w:val="-2"/>
              </w:rPr>
              <w:t>Gazette</w:t>
            </w:r>
            <w:r>
              <w:rPr>
                <w:b/>
                <w:snapToGrid w:val="0"/>
                <w:color w:val="FF0000"/>
                <w:spacing w:val="-2"/>
              </w:rPr>
              <w:t xml:space="preserve"> 5 Feb 2013 p. 823)</w:t>
            </w:r>
          </w:p>
        </w:tc>
      </w:tr>
    </w:tbl>
    <w:p>
      <w:pPr>
        <w:pStyle w:val="nSubsection"/>
        <w:keepNext/>
        <w:ind w:left="480" w:hanging="480"/>
        <w:rPr>
          <w:snapToGrid w:val="0"/>
        </w:rPr>
      </w:pPr>
      <w:r>
        <w:rPr>
          <w:snapToGrid w:val="0"/>
          <w:vertAlign w:val="superscript"/>
        </w:rPr>
        <w:t>2</w:t>
      </w:r>
      <w:r>
        <w:rPr>
          <w:snapToGrid w:val="0"/>
        </w:rPr>
        <w:tab/>
      </w:r>
      <w:del w:id="308" w:author="Master Repository Process" w:date="2021-07-31T07:53:00Z">
        <w:r>
          <w:delText xml:space="preserve">On the date as at which this compilation was prepared, </w:delText>
        </w:r>
        <w:r>
          <w:rPr>
            <w:snapToGrid w:val="0"/>
          </w:rPr>
          <w:delText>the</w:delText>
        </w:r>
      </w:del>
      <w:ins w:id="309" w:author="Master Repository Process" w:date="2021-07-31T07:53:00Z">
        <w:r>
          <w:t>The</w:t>
        </w:r>
      </w:ins>
      <w:r>
        <w:rPr>
          <w:snapToGrid w:val="0"/>
        </w:rPr>
        <w:t xml:space="preserve"> </w:t>
      </w:r>
      <w:r>
        <w:rPr>
          <w:i/>
          <w:snapToGrid w:val="0"/>
        </w:rPr>
        <w:t xml:space="preserve">Biosecurity and Agriculture Management Regulations 2013 </w:t>
      </w:r>
      <w:r>
        <w:rPr>
          <w:noProof/>
          <w:snapToGrid w:val="0"/>
        </w:rPr>
        <w:t>r. </w:t>
      </w:r>
      <w:del w:id="310" w:author="Master Repository Process" w:date="2021-07-31T07:53:00Z">
        <w:r>
          <w:rPr>
            <w:noProof/>
            <w:snapToGrid w:val="0"/>
          </w:rPr>
          <w:delText xml:space="preserve">137(h), </w:delText>
        </w:r>
      </w:del>
      <w:r>
        <w:rPr>
          <w:noProof/>
          <w:snapToGrid w:val="0"/>
        </w:rPr>
        <w:t xml:space="preserve">138 and 143 </w:t>
      </w:r>
      <w:r>
        <w:rPr>
          <w:snapToGrid w:val="0"/>
        </w:rPr>
        <w:t>had not come into operation.  They read as follows:</w:t>
      </w:r>
    </w:p>
    <w:p>
      <w:pPr>
        <w:pStyle w:val="BlankOpen"/>
        <w:rPr>
          <w:del w:id="311" w:author="Master Repository Process" w:date="2021-07-31T07:53:00Z"/>
        </w:rPr>
      </w:pPr>
    </w:p>
    <w:p>
      <w:pPr>
        <w:pStyle w:val="nzHeading5"/>
        <w:rPr>
          <w:del w:id="312" w:author="Master Repository Process" w:date="2021-07-31T07:53:00Z"/>
        </w:rPr>
      </w:pPr>
      <w:bookmarkStart w:id="313" w:name="_Toc346111048"/>
      <w:del w:id="314" w:author="Master Repository Process" w:date="2021-07-31T07:53:00Z">
        <w:r>
          <w:rPr>
            <w:rStyle w:val="CharSectno"/>
          </w:rPr>
          <w:delText>137</w:delText>
        </w:r>
        <w:r>
          <w:delText>.</w:delText>
        </w:r>
        <w:r>
          <w:tab/>
          <w:delText>Regulations repealed</w:delText>
        </w:r>
        <w:bookmarkEnd w:id="313"/>
      </w:del>
    </w:p>
    <w:p>
      <w:pPr>
        <w:pStyle w:val="nzSubsection"/>
        <w:rPr>
          <w:del w:id="315" w:author="Master Repository Process" w:date="2021-07-31T07:53:00Z"/>
        </w:rPr>
      </w:pPr>
      <w:del w:id="316" w:author="Master Repository Process" w:date="2021-07-31T07:53:00Z">
        <w:r>
          <w:tab/>
        </w:r>
        <w:r>
          <w:tab/>
          <w:delText>These regulations are repealed:</w:delText>
        </w:r>
      </w:del>
    </w:p>
    <w:p>
      <w:pPr>
        <w:pStyle w:val="BlankOpen"/>
      </w:pPr>
      <w:del w:id="317" w:author="Master Repository Process" w:date="2021-07-31T07:53:00Z">
        <w:r>
          <w:tab/>
          <w:delText>(h)</w:delText>
        </w:r>
        <w:r>
          <w:tab/>
        </w:r>
        <w:r>
          <w:rPr>
            <w:i/>
          </w:rPr>
          <w:delText>Agriculture and Related Resources Protection (Small Hive Beetle) Regulations 2009</w:delText>
        </w:r>
        <w:r>
          <w:delText>;</w:delText>
        </w:r>
      </w:del>
    </w:p>
    <w:p>
      <w:pPr>
        <w:pStyle w:val="nzHeading5"/>
      </w:pPr>
      <w:bookmarkStart w:id="318" w:name="_Toc346111049"/>
      <w:r>
        <w:rPr>
          <w:rStyle w:val="CharSectno"/>
        </w:rPr>
        <w:t>138</w:t>
      </w:r>
      <w:r>
        <w:t>.</w:t>
      </w:r>
      <w:r>
        <w:tab/>
        <w:t>Fees and expenses</w:t>
      </w:r>
      <w:bookmarkEnd w:id="318"/>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bookmarkStart w:id="319" w:name="_Toc346111054"/>
      <w:r>
        <w:rPr>
          <w:rStyle w:val="CharSectno"/>
        </w:rPr>
        <w:t>143</w:t>
      </w:r>
      <w:r>
        <w:t>.</w:t>
      </w:r>
      <w:r>
        <w:tab/>
      </w:r>
      <w:r>
        <w:rPr>
          <w:i/>
        </w:rPr>
        <w:t>Agriculture and Related Resources Protection (Small Hive Beetle) Regulations 2009</w:t>
      </w:r>
      <w:bookmarkEnd w:id="319"/>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nzSubsection"/>
      </w:pPr>
      <w:r>
        <w:tab/>
        <w:t>(2)</w:t>
      </w:r>
      <w:r>
        <w:tab/>
        <w:t xml:space="preserve">On and from the commencement day — </w:t>
      </w:r>
    </w:p>
    <w:p>
      <w:pPr>
        <w:pStyle w:val="nz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nzIndenta"/>
        <w:rPr>
          <w:rStyle w:val="DraftersNotes"/>
        </w:rPr>
      </w:pPr>
      <w:r>
        <w:tab/>
        <w:t>(b)</w:t>
      </w:r>
      <w:r>
        <w:tab/>
        <w:t>any notice given under regulation 6 of the repealed regulations and of effect immediately before the commencement day has effect as if it were a notice under regulation 19(4);</w:t>
      </w:r>
    </w:p>
    <w:p>
      <w:pPr>
        <w:pStyle w:val="nzIndenta"/>
        <w:rPr>
          <w:rStyle w:val="DraftersNotes"/>
        </w:rPr>
      </w:pPr>
      <w:r>
        <w:tab/>
        <w:t>(c)</w:t>
      </w:r>
      <w:r>
        <w:tab/>
        <w:t>any notice given under regulation 8(3) of the repealed regulations and of effect immediately before the commencement day has effect as if it were a notice under regulation 87(3);</w:t>
      </w:r>
    </w:p>
    <w:p>
      <w:pPr>
        <w:pStyle w:val="nz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nzIndenta"/>
      </w:pPr>
      <w:r>
        <w:tab/>
        <w:t>(e)</w:t>
      </w:r>
      <w:r>
        <w:tab/>
        <w:t>any direction given under regulation 10 of the repealed regulations and of effect immediately before the commencement day has effect as if it were a direction under section 77;</w:t>
      </w:r>
    </w:p>
    <w:p>
      <w:pPr>
        <w:pStyle w:val="nzIndenta"/>
      </w:pPr>
      <w:r>
        <w:tab/>
        <w:t>(f)</w:t>
      </w:r>
      <w:r>
        <w:tab/>
        <w:t>any report given under regulation 12 of the repealed regulations has effect as if it were a report under section 26.</w:t>
      </w:r>
    </w:p>
    <w:p>
      <w:pPr>
        <w:pStyle w:val="BlankClose"/>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(Small Hive Beetle)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(Small Hive Beetle)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(Small Hive Beetle)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81279F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218"/>
    <w:docVar w:name="WAFER_20140120091752" w:val="RemoveTocBookmarks,RemoveUnusedBookmarks,RemoveLanguageTags,UsedStyles,ResetPageSize,UpdateArrangement"/>
    <w:docVar w:name="WAFER_20140120091752_GUID" w:val="ce135741-f907-4d58-9697-e587039a7a25"/>
    <w:docVar w:name="WAFER_20140120092246" w:val="RemoveTocBookmarks,RunningHeaders"/>
    <w:docVar w:name="WAFER_20140120092246_GUID" w:val="3ec53c35-b736-46cf-a30f-466f8e1de8b3"/>
    <w:docVar w:name="WAFER_20150723131445" w:val="ResetPageSize,UpdateArrangement,UpdateNTable"/>
    <w:docVar w:name="WAFER_20150723131445_GUID" w:val="133d9ac4-aaba-4a8a-ae53-b05511423725"/>
    <w:docVar w:name="WAFER_20151117090218" w:val="UpdateStyles,UsedStyles"/>
    <w:docVar w:name="WAFER_20151117090218_GUID" w:val="e23c87bf-be94-4378-a0df-0499eaf56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DEE19C-B0BF-4082-827C-404E0E429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2265</Words>
  <Characters>10669</Characters>
  <Application>Microsoft Office Word</Application>
  <DocSecurity>0</DocSecurity>
  <Lines>323</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00-c0-01 - 00-d0-03</dc:title>
  <dc:subject/>
  <dc:creator/>
  <cp:keywords/>
  <dc:description/>
  <cp:lastModifiedBy>Master Repository Process</cp:lastModifiedBy>
  <cp:revision>2</cp:revision>
  <cp:lastPrinted>2009-02-27T00:33:00Z</cp:lastPrinted>
  <dcterms:created xsi:type="dcterms:W3CDTF">2021-07-30T23:52:00Z</dcterms:created>
  <dcterms:modified xsi:type="dcterms:W3CDTF">2021-07-30T23:53:00Z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20130501</vt:lpwstr>
  </property>
  <property fmtid="{D5CDD505-2E9C-101B-9397-08002B2CF9AE}" pid="4" name="OwlsUID">
    <vt:i4>40811</vt:i4>
  </property>
  <property fmtid="{D5CDD505-2E9C-101B-9397-08002B2CF9AE}" pid="5" name="ThisVersion">
    <vt:lpwstr>00-a0-00</vt:lpwstr>
  </property>
  <property fmtid="{D5CDD505-2E9C-101B-9397-08002B2CF9AE}" pid="6" name="DocumentType">
    <vt:lpwstr>Reg</vt:lpwstr>
  </property>
  <property fmtid="{D5CDD505-2E9C-101B-9397-08002B2CF9AE}" pid="7" name="Status">
    <vt:lpwstr>NIF</vt:lpwstr>
  </property>
  <property fmtid="{D5CDD505-2E9C-101B-9397-08002B2CF9AE}" pid="8" name="FromSuffix">
    <vt:lpwstr>00-c0-01</vt:lpwstr>
  </property>
  <property fmtid="{D5CDD505-2E9C-101B-9397-08002B2CF9AE}" pid="9" name="FromAsAtDate">
    <vt:lpwstr>05 Feb 2013</vt:lpwstr>
  </property>
  <property fmtid="{D5CDD505-2E9C-101B-9397-08002B2CF9AE}" pid="10" name="ToSuffix">
    <vt:lpwstr>00-d0-03</vt:lpwstr>
  </property>
  <property fmtid="{D5CDD505-2E9C-101B-9397-08002B2CF9AE}" pid="11" name="ToAsAtDate">
    <vt:lpwstr>01 May 2013</vt:lpwstr>
  </property>
</Properties>
</file>