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375042010"/>
      <w:bookmarkStart w:id="2" w:name="_Toc415054127"/>
      <w:bookmarkStart w:id="3" w:name="_Toc347732993"/>
      <w:bookmarkStart w:id="4" w:name="_Toc347734780"/>
      <w:bookmarkStart w:id="5" w:name="_Toc34782435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75042011"/>
      <w:bookmarkStart w:id="8" w:name="_Toc415054128"/>
      <w:bookmarkStart w:id="9" w:name="_Toc347824353"/>
      <w:r>
        <w:rPr>
          <w:rStyle w:val="CharSectno"/>
        </w:rPr>
        <w:t>1</w:t>
      </w:r>
      <w:r>
        <w:t>.</w:t>
      </w:r>
      <w:r>
        <w:tab/>
        <w:t>Citation</w:t>
      </w:r>
      <w:bookmarkEnd w:id="7"/>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11" w:name="_Toc375042012"/>
      <w:bookmarkStart w:id="12" w:name="_Toc415054129"/>
      <w:bookmarkStart w:id="13" w:name="_Toc347824354"/>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Ednotesection"/>
        <w:rPr>
          <w:del w:id="14" w:author="Master Repository Process" w:date="2021-07-31T08:51:00Z"/>
        </w:rPr>
      </w:pPr>
      <w:bookmarkStart w:id="15" w:name="_Toc375042013"/>
      <w:bookmarkStart w:id="16" w:name="_Toc415054130"/>
      <w:del w:id="17" w:author="Master Repository Process" w:date="2021-07-31T08:51:00Z">
        <w:r>
          <w:delText>[</w:delText>
        </w:r>
        <w:r>
          <w:rPr>
            <w:b/>
          </w:rPr>
          <w:delText>3-6.</w:delText>
        </w:r>
        <w:r>
          <w:tab/>
          <w:delText>Have not come into operation.</w:delText>
        </w:r>
        <w:r>
          <w:rPr>
            <w:vertAlign w:val="superscript"/>
          </w:rPr>
          <w:delText> </w:delText>
        </w:r>
        <w:r>
          <w:rPr>
            <w:i w:val="0"/>
            <w:vertAlign w:val="superscript"/>
          </w:rPr>
          <w:delText>2</w:delText>
        </w:r>
        <w:r>
          <w:delText>]</w:delText>
        </w:r>
      </w:del>
    </w:p>
    <w:p>
      <w:pPr>
        <w:pStyle w:val="Ednotepart"/>
        <w:rPr>
          <w:del w:id="18" w:author="Master Repository Process" w:date="2021-07-31T08:51:00Z"/>
        </w:rPr>
      </w:pPr>
      <w:del w:id="19" w:author="Master Repository Process" w:date="2021-07-31T08:51:00Z">
        <w:r>
          <w:delText>[Part 2</w:delText>
        </w:r>
        <w:r>
          <w:noBreakHyphen/>
          <w:delText>12 have not come into operation.</w:delText>
        </w:r>
        <w:r>
          <w:rPr>
            <w:vertAlign w:val="superscript"/>
          </w:rPr>
          <w:delText> </w:delText>
        </w:r>
        <w:r>
          <w:rPr>
            <w:i w:val="0"/>
            <w:vertAlign w:val="superscript"/>
          </w:rPr>
          <w:delText>2</w:delText>
        </w:r>
        <w:r>
          <w:delText>]</w:delText>
        </w:r>
      </w:del>
    </w:p>
    <w:p>
      <w:pPr>
        <w:rPr>
          <w:del w:id="20" w:author="Master Repository Process" w:date="2021-07-31T08:51:00Z"/>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nHeading2"/>
        <w:rPr>
          <w:del w:id="21" w:author="Master Repository Process" w:date="2021-07-31T08:51:00Z"/>
        </w:rPr>
      </w:pPr>
      <w:bookmarkStart w:id="22" w:name="_Toc113695922"/>
      <w:bookmarkStart w:id="23" w:name="_Toc347734783"/>
      <w:bookmarkStart w:id="24" w:name="_Toc347824355"/>
      <w:del w:id="25" w:author="Master Repository Process" w:date="2021-07-31T08:51:00Z">
        <w:r>
          <w:delText>Notes</w:delText>
        </w:r>
        <w:bookmarkEnd w:id="22"/>
        <w:bookmarkEnd w:id="23"/>
        <w:bookmarkEnd w:id="24"/>
      </w:del>
    </w:p>
    <w:p>
      <w:pPr>
        <w:pStyle w:val="nSubsection"/>
        <w:rPr>
          <w:del w:id="26" w:author="Master Repository Process" w:date="2021-07-31T08:51:00Z"/>
          <w:snapToGrid w:val="0"/>
        </w:rPr>
      </w:pPr>
      <w:del w:id="27" w:author="Master Repository Process" w:date="2021-07-31T08:51:00Z">
        <w:r>
          <w:rPr>
            <w:snapToGrid w:val="0"/>
            <w:vertAlign w:val="superscript"/>
          </w:rPr>
          <w:delText>1</w:delText>
        </w:r>
        <w:r>
          <w:rPr>
            <w:snapToGrid w:val="0"/>
          </w:rPr>
          <w:tab/>
          <w:delText xml:space="preserve">This is a compilation of the </w:delText>
        </w:r>
        <w:r>
          <w:rPr>
            <w:i/>
          </w:rPr>
          <w:delText>Biosecurity and Agriculture Management (Identification and Movement of Stock and Apiaries) Regulations 2013.</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28" w:author="Master Repository Process" w:date="2021-07-31T08:51:00Z"/>
        </w:rPr>
      </w:pPr>
      <w:bookmarkStart w:id="29" w:name="_Toc70311430"/>
      <w:bookmarkStart w:id="30" w:name="_Toc113695923"/>
      <w:bookmarkStart w:id="31" w:name="_Toc347824356"/>
      <w:del w:id="32" w:author="Master Repository Process" w:date="2021-07-31T08:51:00Z">
        <w:r>
          <w:delText>Compilation table</w:delText>
        </w:r>
        <w:bookmarkEnd w:id="29"/>
        <w:bookmarkEnd w:id="30"/>
        <w:bookmarkEnd w:id="3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 w:author="Master Repository Process" w:date="2021-07-31T08:51:00Z"/>
        </w:trPr>
        <w:tc>
          <w:tcPr>
            <w:tcW w:w="3118" w:type="dxa"/>
          </w:tcPr>
          <w:p>
            <w:pPr>
              <w:pStyle w:val="nTable"/>
              <w:spacing w:after="40"/>
              <w:rPr>
                <w:del w:id="34" w:author="Master Repository Process" w:date="2021-07-31T08:51:00Z"/>
                <w:b/>
              </w:rPr>
            </w:pPr>
            <w:del w:id="35" w:author="Master Repository Process" w:date="2021-07-31T08:51:00Z">
              <w:r>
                <w:rPr>
                  <w:b/>
                </w:rPr>
                <w:delText>Citation</w:delText>
              </w:r>
            </w:del>
          </w:p>
        </w:tc>
        <w:tc>
          <w:tcPr>
            <w:tcW w:w="1276" w:type="dxa"/>
          </w:tcPr>
          <w:p>
            <w:pPr>
              <w:pStyle w:val="nTable"/>
              <w:spacing w:after="40"/>
              <w:rPr>
                <w:del w:id="36" w:author="Master Repository Process" w:date="2021-07-31T08:51:00Z"/>
                <w:b/>
              </w:rPr>
            </w:pPr>
            <w:del w:id="37" w:author="Master Repository Process" w:date="2021-07-31T08:51:00Z">
              <w:r>
                <w:rPr>
                  <w:b/>
                </w:rPr>
                <w:delText>Gazettal</w:delText>
              </w:r>
            </w:del>
          </w:p>
        </w:tc>
        <w:tc>
          <w:tcPr>
            <w:tcW w:w="2693" w:type="dxa"/>
          </w:tcPr>
          <w:p>
            <w:pPr>
              <w:pStyle w:val="nTable"/>
              <w:spacing w:after="40"/>
              <w:rPr>
                <w:del w:id="38" w:author="Master Repository Process" w:date="2021-07-31T08:51:00Z"/>
                <w:b/>
              </w:rPr>
            </w:pPr>
            <w:del w:id="39" w:author="Master Repository Process" w:date="2021-07-31T08:51:00Z">
              <w:r>
                <w:rPr>
                  <w:b/>
                </w:rPr>
                <w:delText>Commencement</w:delText>
              </w:r>
            </w:del>
          </w:p>
        </w:tc>
      </w:tr>
      <w:tr>
        <w:trPr>
          <w:del w:id="40" w:author="Master Repository Process" w:date="2021-07-31T08:51:00Z"/>
        </w:trPr>
        <w:tc>
          <w:tcPr>
            <w:tcW w:w="3118" w:type="dxa"/>
          </w:tcPr>
          <w:p>
            <w:pPr>
              <w:pStyle w:val="nTable"/>
              <w:spacing w:after="40"/>
              <w:rPr>
                <w:del w:id="41" w:author="Master Repository Process" w:date="2021-07-31T08:51:00Z"/>
              </w:rPr>
            </w:pPr>
            <w:del w:id="42" w:author="Master Repository Process" w:date="2021-07-31T08:51:00Z">
              <w:r>
                <w:rPr>
                  <w:i/>
                </w:rPr>
                <w:delText>Biosecurity and Agriculture Management (Identification and Movement of Stock and Apiaries) Regulations 2013</w:delText>
              </w:r>
              <w:r>
                <w:delText xml:space="preserve"> r. 1 and 2</w:delText>
              </w:r>
            </w:del>
          </w:p>
        </w:tc>
        <w:tc>
          <w:tcPr>
            <w:tcW w:w="1276" w:type="dxa"/>
          </w:tcPr>
          <w:p>
            <w:pPr>
              <w:pStyle w:val="nTable"/>
              <w:spacing w:after="40"/>
              <w:rPr>
                <w:del w:id="43" w:author="Master Repository Process" w:date="2021-07-31T08:51:00Z"/>
              </w:rPr>
            </w:pPr>
            <w:del w:id="44" w:author="Master Repository Process" w:date="2021-07-31T08:51:00Z">
              <w:r>
                <w:delText>5 Feb 2013 p. 593-761</w:delText>
              </w:r>
            </w:del>
          </w:p>
        </w:tc>
        <w:tc>
          <w:tcPr>
            <w:tcW w:w="2693" w:type="dxa"/>
          </w:tcPr>
          <w:p>
            <w:pPr>
              <w:pStyle w:val="nTable"/>
              <w:spacing w:after="40"/>
              <w:rPr>
                <w:del w:id="45" w:author="Master Repository Process" w:date="2021-07-31T08:51:00Z"/>
              </w:rPr>
            </w:pPr>
            <w:del w:id="46" w:author="Master Repository Process" w:date="2021-07-31T08:51:00Z">
              <w:r>
                <w:delText>5 Feb 2013 (see r. 2(a))</w:delText>
              </w:r>
            </w:del>
          </w:p>
        </w:tc>
      </w:tr>
    </w:tbl>
    <w:p>
      <w:pPr>
        <w:pStyle w:val="nSubsection"/>
        <w:tabs>
          <w:tab w:val="clear" w:pos="454"/>
          <w:tab w:val="left" w:pos="567"/>
        </w:tabs>
        <w:spacing w:before="120"/>
        <w:ind w:left="567" w:hanging="567"/>
        <w:rPr>
          <w:del w:id="47" w:author="Master Repository Process" w:date="2021-07-31T08:51:00Z"/>
          <w:snapToGrid w:val="0"/>
        </w:rPr>
      </w:pPr>
      <w:del w:id="48" w:author="Master Repository Process" w:date="2021-07-31T08: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 w:author="Master Repository Process" w:date="2021-07-31T08:51:00Z"/>
        </w:rPr>
      </w:pPr>
      <w:bookmarkStart w:id="50" w:name="_Toc347824357"/>
      <w:del w:id="51" w:author="Master Repository Process" w:date="2021-07-31T08:51:00Z">
        <w:r>
          <w:delText>Provisions that have not come into operation</w:delText>
        </w:r>
        <w:bookmarkEnd w:id="5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2" w:author="Master Repository Process" w:date="2021-07-31T08:51:00Z"/>
        </w:trPr>
        <w:tc>
          <w:tcPr>
            <w:tcW w:w="3118" w:type="dxa"/>
          </w:tcPr>
          <w:p>
            <w:pPr>
              <w:pStyle w:val="nTable"/>
              <w:spacing w:after="40"/>
              <w:rPr>
                <w:del w:id="53" w:author="Master Repository Process" w:date="2021-07-31T08:51:00Z"/>
                <w:b/>
              </w:rPr>
            </w:pPr>
            <w:del w:id="54" w:author="Master Repository Process" w:date="2021-07-31T08:51:00Z">
              <w:r>
                <w:rPr>
                  <w:b/>
                </w:rPr>
                <w:delText>Citation</w:delText>
              </w:r>
            </w:del>
          </w:p>
        </w:tc>
        <w:tc>
          <w:tcPr>
            <w:tcW w:w="1276" w:type="dxa"/>
          </w:tcPr>
          <w:p>
            <w:pPr>
              <w:pStyle w:val="nTable"/>
              <w:spacing w:after="40"/>
              <w:rPr>
                <w:del w:id="55" w:author="Master Repository Process" w:date="2021-07-31T08:51:00Z"/>
                <w:b/>
              </w:rPr>
            </w:pPr>
            <w:del w:id="56" w:author="Master Repository Process" w:date="2021-07-31T08:51:00Z">
              <w:r>
                <w:rPr>
                  <w:b/>
                </w:rPr>
                <w:delText>Gazettal</w:delText>
              </w:r>
            </w:del>
          </w:p>
        </w:tc>
        <w:tc>
          <w:tcPr>
            <w:tcW w:w="2693" w:type="dxa"/>
          </w:tcPr>
          <w:p>
            <w:pPr>
              <w:pStyle w:val="nTable"/>
              <w:spacing w:after="40"/>
              <w:rPr>
                <w:del w:id="57" w:author="Master Repository Process" w:date="2021-07-31T08:51:00Z"/>
                <w:b/>
              </w:rPr>
            </w:pPr>
            <w:del w:id="58" w:author="Master Repository Process" w:date="2021-07-31T08:51:00Z">
              <w:r>
                <w:rPr>
                  <w:b/>
                </w:rPr>
                <w:delText>Commencement</w:delText>
              </w:r>
            </w:del>
          </w:p>
        </w:tc>
      </w:tr>
      <w:tr>
        <w:trPr>
          <w:del w:id="59" w:author="Master Repository Process" w:date="2021-07-31T08:51:00Z"/>
        </w:trPr>
        <w:tc>
          <w:tcPr>
            <w:tcW w:w="3118" w:type="dxa"/>
          </w:tcPr>
          <w:p>
            <w:pPr>
              <w:pStyle w:val="nTable"/>
              <w:spacing w:after="40"/>
              <w:rPr>
                <w:del w:id="60" w:author="Master Repository Process" w:date="2021-07-31T08:51:00Z"/>
              </w:rPr>
            </w:pPr>
            <w:del w:id="61" w:author="Master Repository Process" w:date="2021-07-31T08:51:00Z">
              <w:r>
                <w:rPr>
                  <w:i/>
                </w:rPr>
                <w:delText>Biosecurity and Agriculture Management (Identification and Movement of Stock and Apiaries) Regulations 2013</w:delText>
              </w:r>
              <w:r>
                <w:delText xml:space="preserve"> r. 3-6 and Pt. 2-12</w:delText>
              </w:r>
              <w:r>
                <w:rPr>
                  <w:vertAlign w:val="superscript"/>
                </w:rPr>
                <w:delText> 2</w:delText>
              </w:r>
            </w:del>
          </w:p>
        </w:tc>
        <w:tc>
          <w:tcPr>
            <w:tcW w:w="1276" w:type="dxa"/>
          </w:tcPr>
          <w:p>
            <w:pPr>
              <w:pStyle w:val="nTable"/>
              <w:spacing w:after="40"/>
              <w:rPr>
                <w:del w:id="62" w:author="Master Repository Process" w:date="2021-07-31T08:51:00Z"/>
              </w:rPr>
            </w:pPr>
            <w:del w:id="63" w:author="Master Repository Process" w:date="2021-07-31T08:51:00Z">
              <w:r>
                <w:delText>5 Feb 2013 p. 593-761</w:delText>
              </w:r>
            </w:del>
          </w:p>
        </w:tc>
        <w:tc>
          <w:tcPr>
            <w:tcW w:w="2693" w:type="dxa"/>
          </w:tcPr>
          <w:p>
            <w:pPr>
              <w:pStyle w:val="nTable"/>
              <w:spacing w:after="40"/>
              <w:rPr>
                <w:del w:id="64" w:author="Master Repository Process" w:date="2021-07-31T08:51:00Z"/>
              </w:rPr>
            </w:pPr>
            <w:del w:id="65" w:author="Master Repository Process" w:date="2021-07-31T08:51:00Z">
              <w:r>
                <w:delText xml:space="preserve">1 May 2013 (see r. 2(b) and </w:delText>
              </w:r>
              <w:r>
                <w:rPr>
                  <w:i/>
                </w:rPr>
                <w:delText>Gazette</w:delText>
              </w:r>
              <w:r>
                <w:delText xml:space="preserve"> 5 Feb 2013 p. 823)</w:delText>
              </w:r>
            </w:del>
          </w:p>
        </w:tc>
      </w:tr>
    </w:tbl>
    <w:p>
      <w:pPr>
        <w:pStyle w:val="nSubsection"/>
        <w:spacing w:before="200"/>
        <w:rPr>
          <w:del w:id="66" w:author="Master Repository Process" w:date="2021-07-31T08:51:00Z"/>
          <w:snapToGrid w:val="0"/>
        </w:rPr>
      </w:pPr>
      <w:del w:id="67" w:author="Master Repository Process" w:date="2021-07-31T08:51: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Biosecurity and Agriculture Management (Identification and Movement of Stock and Apiaries) Regulations 2013</w:delText>
        </w:r>
        <w:r>
          <w:rPr>
            <w:snapToGrid w:val="0"/>
          </w:rPr>
          <w:delText xml:space="preserve"> r. 3-6 and Pt. 2-12 had not come into operation.  They read as follows:</w:delText>
        </w:r>
      </w:del>
    </w:p>
    <w:p>
      <w:pPr>
        <w:pStyle w:val="BlankOpen"/>
        <w:rPr>
          <w:del w:id="68" w:author="Master Repository Process" w:date="2021-07-31T08:51:00Z"/>
          <w:snapToGrid w:val="0"/>
        </w:rPr>
      </w:pPr>
    </w:p>
    <w:p>
      <w:pPr>
        <w:pStyle w:val="Heading5"/>
        <w:rPr>
          <w:snapToGrid w:val="0"/>
        </w:rPr>
      </w:pPr>
      <w:r>
        <w:rPr>
          <w:rStyle w:val="CharSectno"/>
        </w:rPr>
        <w:t>3</w:t>
      </w:r>
      <w:r>
        <w:rPr>
          <w:snapToGrid w:val="0"/>
        </w:rPr>
        <w:t>.</w:t>
      </w:r>
      <w:r>
        <w:rPr>
          <w:snapToGrid w:val="0"/>
        </w:rPr>
        <w:tab/>
        <w:t>Terms used</w:t>
      </w:r>
      <w:bookmarkEnd w:id="15"/>
      <w:bookmarkEnd w:id="16"/>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NLIS Ltd for use as an NLIS device;</w:t>
      </w:r>
    </w:p>
    <w:p>
      <w:pPr>
        <w:pStyle w:val="Defstart"/>
      </w:pPr>
      <w:r>
        <w:lastRenderedPageBreak/>
        <w:tab/>
      </w:r>
      <w:r>
        <w:rPr>
          <w:rStyle w:val="CharDefText"/>
        </w:rPr>
        <w:t>accredited tag</w:t>
      </w:r>
      <w:r>
        <w:t xml:space="preserve"> means a tag that is accredited by NLIS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tab/>
      </w:r>
      <w:r>
        <w:rPr>
          <w:rStyle w:val="CharDefText"/>
        </w:rPr>
        <w:t>NLIS Ltd</w:t>
      </w:r>
      <w:r>
        <w:t xml:space="preserve"> means National Livestock Identification System Limited ACN 134 745 038;</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r>
      <w:smartTag w:uri="urn:schemas-microsoft-com:office:smarttags" w:element="place">
        <w:smartTag w:uri="urn:schemas-microsoft-com:office:smarttags" w:element="City">
          <w:r>
            <w:t>Dundas</w:t>
          </w:r>
        </w:smartTag>
      </w:smartTag>
      <w:r>
        <w:t>;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pPr>
      <w:r>
        <w:tab/>
      </w:r>
      <w:r>
        <w:rPr>
          <w:rStyle w:val="CharDefText"/>
        </w:rPr>
        <w:t>waybill</w:t>
      </w:r>
      <w:r>
        <w:t xml:space="preserve"> means a waybill that meets the requirements of Part 8.</w:t>
      </w:r>
    </w:p>
    <w:p>
      <w:pPr>
        <w:pStyle w:val="Heading5"/>
      </w:pPr>
      <w:bookmarkStart w:id="69" w:name="_Toc375042014"/>
      <w:bookmarkStart w:id="70" w:name="_Toc415054131"/>
      <w:r>
        <w:rPr>
          <w:rStyle w:val="CharSectno"/>
        </w:rPr>
        <w:t>4</w:t>
      </w:r>
      <w:r>
        <w:t>.</w:t>
      </w:r>
      <w:r>
        <w:tab/>
        <w:t>Animals to which these regulations apply</w:t>
      </w:r>
      <w:bookmarkEnd w:id="69"/>
      <w:bookmarkEnd w:id="70"/>
    </w:p>
    <w:p>
      <w:pPr>
        <w:pStyle w:val="Subsection"/>
        <w:rPr>
          <w:snapToGrid w:val="0"/>
        </w:rPr>
      </w:pPr>
      <w:r>
        <w:rPr>
          <w:snapToGrid w:val="0"/>
        </w:rPr>
        <w:tab/>
      </w:r>
      <w:r>
        <w:rPr>
          <w:snapToGrid w:val="0"/>
        </w:rPr>
        <w:tab/>
        <w:t xml:space="preserve">Unless these regulations provide otherwise, a reference in these regulations to an animal, or stock, is a reference to each of the following — </w:t>
      </w:r>
    </w:p>
    <w:p>
      <w:pPr>
        <w:pStyle w:val="Indenta"/>
      </w:pPr>
      <w:r>
        <w:tab/>
        <w:t>(a)</w:t>
      </w:r>
      <w:r>
        <w:tab/>
        <w:t>a buffalo;</w:t>
      </w:r>
    </w:p>
    <w:p>
      <w:pPr>
        <w:pStyle w:val="Indenta"/>
      </w:pPr>
      <w:r>
        <w:tab/>
        <w:t>(b)</w:t>
      </w:r>
      <w:r>
        <w:tab/>
        <w:t>cattle;</w:t>
      </w:r>
    </w:p>
    <w:p>
      <w:pPr>
        <w:pStyle w:val="Indenta"/>
      </w:pPr>
      <w:r>
        <w:tab/>
        <w:t>(c)</w:t>
      </w:r>
      <w:r>
        <w:tab/>
        <w:t>a deer;</w:t>
      </w:r>
    </w:p>
    <w:p>
      <w:pPr>
        <w:pStyle w:val="Indenta"/>
      </w:pPr>
      <w:r>
        <w:tab/>
        <w:t>(d)</w:t>
      </w:r>
      <w:r>
        <w:tab/>
        <w:t>a goat;</w:t>
      </w:r>
    </w:p>
    <w:p>
      <w:pPr>
        <w:pStyle w:val="Indenta"/>
      </w:pPr>
      <w:r>
        <w:tab/>
        <w:t>(e)</w:t>
      </w:r>
      <w:r>
        <w:tab/>
        <w:t>a horse;</w:t>
      </w:r>
    </w:p>
    <w:p>
      <w:pPr>
        <w:pStyle w:val="Indenta"/>
      </w:pPr>
      <w:r>
        <w:tab/>
        <w:t>(f)</w:t>
      </w:r>
      <w:r>
        <w:tab/>
        <w:t>an ostrich;</w:t>
      </w:r>
    </w:p>
    <w:p>
      <w:pPr>
        <w:pStyle w:val="Indenta"/>
      </w:pPr>
      <w:r>
        <w:tab/>
        <w:t>(g)</w:t>
      </w:r>
      <w:r>
        <w:tab/>
        <w:t>a pig;</w:t>
      </w:r>
    </w:p>
    <w:p>
      <w:pPr>
        <w:pStyle w:val="Indenta"/>
      </w:pPr>
      <w:r>
        <w:tab/>
        <w:t>(h)</w:t>
      </w:r>
      <w:r>
        <w:tab/>
        <w:t>a sheep;</w:t>
      </w:r>
    </w:p>
    <w:p>
      <w:pPr>
        <w:pStyle w:val="Indenta"/>
      </w:pPr>
      <w:r>
        <w:tab/>
        <w:t>(i)</w:t>
      </w:r>
      <w:r>
        <w:tab/>
        <w:t>a South American camelid.</w:t>
      </w:r>
    </w:p>
    <w:p>
      <w:pPr>
        <w:pStyle w:val="Heading5"/>
      </w:pPr>
      <w:bookmarkStart w:id="71" w:name="_Toc375042015"/>
      <w:bookmarkStart w:id="72" w:name="_Toc415054132"/>
      <w:r>
        <w:rPr>
          <w:rStyle w:val="CharSectno"/>
        </w:rPr>
        <w:t>5</w:t>
      </w:r>
      <w:r>
        <w:t>.</w:t>
      </w:r>
      <w:r>
        <w:tab/>
        <w:t>Meaning of consignment</w:t>
      </w:r>
      <w:bookmarkEnd w:id="71"/>
      <w:bookmarkEnd w:id="72"/>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73" w:name="_Toc375042016"/>
      <w:bookmarkStart w:id="74" w:name="_Toc415054133"/>
      <w:r>
        <w:rPr>
          <w:rStyle w:val="CharSectno"/>
        </w:rPr>
        <w:t>6</w:t>
      </w:r>
      <w:r>
        <w:t>.</w:t>
      </w:r>
      <w:r>
        <w:tab/>
        <w:t>Meaning of owner of stock</w:t>
      </w:r>
      <w:bookmarkEnd w:id="73"/>
      <w:bookmarkEnd w:id="74"/>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75" w:name="_Toc375042017"/>
      <w:bookmarkStart w:id="76" w:name="_Toc415054134"/>
      <w:r>
        <w:rPr>
          <w:rStyle w:val="CharPartNo"/>
        </w:rPr>
        <w:t>Part 2</w:t>
      </w:r>
      <w:r>
        <w:t> — </w:t>
      </w:r>
      <w:r>
        <w:rPr>
          <w:rStyle w:val="CharPartText"/>
        </w:rPr>
        <w:t>Registration</w:t>
      </w:r>
      <w:bookmarkEnd w:id="75"/>
      <w:bookmarkEnd w:id="76"/>
    </w:p>
    <w:p>
      <w:pPr>
        <w:pStyle w:val="Heading3"/>
      </w:pPr>
      <w:bookmarkStart w:id="77" w:name="_Toc375042018"/>
      <w:bookmarkStart w:id="78" w:name="_Toc415054135"/>
      <w:r>
        <w:rPr>
          <w:rStyle w:val="CharDivNo"/>
        </w:rPr>
        <w:t>Division 1</w:t>
      </w:r>
      <w:r>
        <w:t> — </w:t>
      </w:r>
      <w:r>
        <w:rPr>
          <w:rStyle w:val="CharDivText"/>
        </w:rPr>
        <w:t>Owners and purchasers of stock</w:t>
      </w:r>
      <w:bookmarkEnd w:id="77"/>
      <w:bookmarkEnd w:id="78"/>
    </w:p>
    <w:p>
      <w:pPr>
        <w:pStyle w:val="Heading5"/>
      </w:pPr>
      <w:bookmarkStart w:id="79" w:name="_Toc375042019"/>
      <w:bookmarkStart w:id="80" w:name="_Toc415054136"/>
      <w:r>
        <w:rPr>
          <w:rStyle w:val="CharSectno"/>
        </w:rPr>
        <w:t>7</w:t>
      </w:r>
      <w:r>
        <w:t>.</w:t>
      </w:r>
      <w:r>
        <w:tab/>
        <w:t>Owners and purchasers of stock to be registered</w:t>
      </w:r>
      <w:bookmarkEnd w:id="79"/>
      <w:bookmarkEnd w:id="80"/>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Heading5"/>
      </w:pPr>
      <w:bookmarkStart w:id="81" w:name="_Toc375042020"/>
      <w:bookmarkStart w:id="82" w:name="_Toc415054137"/>
      <w:r>
        <w:rPr>
          <w:rStyle w:val="CharSectno"/>
        </w:rPr>
        <w:t>8</w:t>
      </w:r>
      <w:r>
        <w:t>.</w:t>
      </w:r>
      <w:r>
        <w:tab/>
        <w:t>Director General may allot identifiers, PICs and BICs as required</w:t>
      </w:r>
      <w:bookmarkEnd w:id="81"/>
      <w:bookmarkEnd w:id="82"/>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83" w:name="_Toc375042021"/>
      <w:bookmarkStart w:id="84" w:name="_Toc415054138"/>
      <w:r>
        <w:rPr>
          <w:rStyle w:val="CharSectno"/>
        </w:rPr>
        <w:t>9</w:t>
      </w:r>
      <w:r>
        <w:t>.</w:t>
      </w:r>
      <w:r>
        <w:tab/>
        <w:t>Review</w:t>
      </w:r>
      <w:bookmarkEnd w:id="83"/>
      <w:bookmarkEnd w:id="84"/>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85" w:name="_Toc375042022"/>
      <w:bookmarkStart w:id="86" w:name="_Toc415054139"/>
      <w:r>
        <w:rPr>
          <w:rStyle w:val="CharDivNo"/>
        </w:rPr>
        <w:t>Division 2</w:t>
      </w:r>
      <w:r>
        <w:t> — </w:t>
      </w:r>
      <w:r>
        <w:rPr>
          <w:rStyle w:val="CharDivText"/>
        </w:rPr>
        <w:t>Non</w:t>
      </w:r>
      <w:r>
        <w:rPr>
          <w:rStyle w:val="CharDivText"/>
        </w:rPr>
        <w:noBreakHyphen/>
        <w:t>farming property operators</w:t>
      </w:r>
      <w:bookmarkEnd w:id="85"/>
      <w:bookmarkEnd w:id="86"/>
    </w:p>
    <w:p>
      <w:pPr>
        <w:pStyle w:val="Heading5"/>
      </w:pPr>
      <w:bookmarkStart w:id="87" w:name="_Toc375042023"/>
      <w:bookmarkStart w:id="88" w:name="_Toc415054140"/>
      <w:r>
        <w:rPr>
          <w:rStyle w:val="CharSectno"/>
        </w:rPr>
        <w:t>10</w:t>
      </w:r>
      <w:r>
        <w:t>.</w:t>
      </w:r>
      <w:r>
        <w:tab/>
        <w:t>Non</w:t>
      </w:r>
      <w:r>
        <w:noBreakHyphen/>
        <w:t>farming property operators to be registered</w:t>
      </w:r>
      <w:bookmarkEnd w:id="87"/>
      <w:bookmarkEnd w:id="88"/>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Heading5"/>
      </w:pPr>
      <w:bookmarkStart w:id="89" w:name="_Toc375042024"/>
      <w:bookmarkStart w:id="90" w:name="_Toc415054141"/>
      <w:r>
        <w:rPr>
          <w:rStyle w:val="CharSectno"/>
        </w:rPr>
        <w:t>11</w:t>
      </w:r>
      <w:r>
        <w:t>.</w:t>
      </w:r>
      <w:r>
        <w:tab/>
        <w:t>Director General may allot PICs as required</w:t>
      </w:r>
      <w:bookmarkEnd w:id="89"/>
      <w:bookmarkEnd w:id="90"/>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91" w:name="_Toc375042025"/>
      <w:bookmarkStart w:id="92" w:name="_Toc415054142"/>
      <w:r>
        <w:rPr>
          <w:rStyle w:val="CharSectno"/>
        </w:rPr>
        <w:t>12</w:t>
      </w:r>
      <w:r>
        <w:t>.</w:t>
      </w:r>
      <w:r>
        <w:tab/>
        <w:t>Review</w:t>
      </w:r>
      <w:bookmarkEnd w:id="91"/>
      <w:bookmarkEnd w:id="92"/>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93" w:name="_Toc375042026"/>
      <w:bookmarkStart w:id="94" w:name="_Toc415054143"/>
      <w:r>
        <w:rPr>
          <w:rStyle w:val="CharDivNo"/>
        </w:rPr>
        <w:t>Division 3</w:t>
      </w:r>
      <w:r>
        <w:t> — </w:t>
      </w:r>
      <w:r>
        <w:rPr>
          <w:rStyle w:val="CharDivText"/>
        </w:rPr>
        <w:t>Beekeepers</w:t>
      </w:r>
      <w:bookmarkEnd w:id="93"/>
      <w:bookmarkEnd w:id="94"/>
    </w:p>
    <w:p>
      <w:pPr>
        <w:pStyle w:val="Heading5"/>
      </w:pPr>
      <w:bookmarkStart w:id="95" w:name="_Toc375042027"/>
      <w:bookmarkStart w:id="96" w:name="_Toc415054144"/>
      <w:r>
        <w:rPr>
          <w:rStyle w:val="CharSectno"/>
        </w:rPr>
        <w:t>13</w:t>
      </w:r>
      <w:r>
        <w:t>.</w:t>
      </w:r>
      <w:r>
        <w:tab/>
        <w:t>Beekeepers to be registered</w:t>
      </w:r>
      <w:bookmarkEnd w:id="95"/>
      <w:bookmarkEnd w:id="96"/>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Heading5"/>
      </w:pPr>
      <w:bookmarkStart w:id="97" w:name="_Toc375042028"/>
      <w:bookmarkStart w:id="98" w:name="_Toc415054145"/>
      <w:r>
        <w:rPr>
          <w:rStyle w:val="CharSectno"/>
        </w:rPr>
        <w:t>14</w:t>
      </w:r>
      <w:r>
        <w:t>.</w:t>
      </w:r>
      <w:r>
        <w:tab/>
        <w:t>Director General may allot identifiers as required</w:t>
      </w:r>
      <w:bookmarkEnd w:id="97"/>
      <w:bookmarkEnd w:id="98"/>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99" w:name="_Toc375042029"/>
      <w:bookmarkStart w:id="100" w:name="_Toc415054146"/>
      <w:r>
        <w:rPr>
          <w:rStyle w:val="CharSectno"/>
        </w:rPr>
        <w:t>15</w:t>
      </w:r>
      <w:r>
        <w:t>.</w:t>
      </w:r>
      <w:r>
        <w:tab/>
        <w:t>Review</w:t>
      </w:r>
      <w:bookmarkEnd w:id="99"/>
      <w:bookmarkEnd w:id="100"/>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101" w:name="_Toc375042030"/>
      <w:bookmarkStart w:id="102" w:name="_Toc415054147"/>
      <w:r>
        <w:rPr>
          <w:rStyle w:val="CharDivNo"/>
        </w:rPr>
        <w:t>Division 4</w:t>
      </w:r>
      <w:r>
        <w:t> — </w:t>
      </w:r>
      <w:r>
        <w:rPr>
          <w:rStyle w:val="CharDivText"/>
        </w:rPr>
        <w:t>The register</w:t>
      </w:r>
      <w:bookmarkEnd w:id="101"/>
      <w:bookmarkEnd w:id="102"/>
    </w:p>
    <w:p>
      <w:pPr>
        <w:pStyle w:val="Heading5"/>
      </w:pPr>
      <w:bookmarkStart w:id="103" w:name="_Toc375042031"/>
      <w:bookmarkStart w:id="104" w:name="_Toc415054148"/>
      <w:r>
        <w:rPr>
          <w:rStyle w:val="CharSectno"/>
        </w:rPr>
        <w:t>16</w:t>
      </w:r>
      <w:r>
        <w:t>.</w:t>
      </w:r>
      <w:r>
        <w:tab/>
        <w:t>Register to be kept</w:t>
      </w:r>
      <w:bookmarkEnd w:id="103"/>
      <w:bookmarkEnd w:id="104"/>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105" w:name="_Toc375042032"/>
      <w:bookmarkStart w:id="106" w:name="_Toc415054149"/>
      <w:r>
        <w:rPr>
          <w:rStyle w:val="CharSectno"/>
        </w:rPr>
        <w:t>17</w:t>
      </w:r>
      <w:r>
        <w:t>.</w:t>
      </w:r>
      <w:r>
        <w:tab/>
        <w:t>Access to register</w:t>
      </w:r>
      <w:bookmarkEnd w:id="105"/>
      <w:bookmarkEnd w:id="106"/>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107" w:name="_Toc375042033"/>
      <w:bookmarkStart w:id="108" w:name="_Toc415054150"/>
      <w:r>
        <w:rPr>
          <w:rStyle w:val="CharSectno"/>
        </w:rPr>
        <w:t>18</w:t>
      </w:r>
      <w:r>
        <w:t>.</w:t>
      </w:r>
      <w:r>
        <w:tab/>
        <w:t>Director General to be notified if owner moves stock to a farming property without relevant PIC</w:t>
      </w:r>
      <w:bookmarkEnd w:id="107"/>
      <w:bookmarkEnd w:id="108"/>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109" w:name="_Toc375042034"/>
      <w:bookmarkStart w:id="110" w:name="_Toc415054151"/>
      <w:r>
        <w:rPr>
          <w:rStyle w:val="CharSectno"/>
        </w:rPr>
        <w:t>19</w:t>
      </w:r>
      <w:r>
        <w:t>.</w:t>
      </w:r>
      <w:r>
        <w:tab/>
        <w:t>Director General to be notified of change of address</w:t>
      </w:r>
      <w:bookmarkEnd w:id="109"/>
      <w:bookmarkEnd w:id="110"/>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a fine of $2 000.</w:t>
      </w:r>
    </w:p>
    <w:p>
      <w:pPr>
        <w:pStyle w:val="Heading3"/>
      </w:pPr>
      <w:bookmarkStart w:id="111" w:name="_Toc375042035"/>
      <w:bookmarkStart w:id="112" w:name="_Toc415054152"/>
      <w:r>
        <w:rPr>
          <w:rStyle w:val="CharDivNo"/>
        </w:rPr>
        <w:t>Division 5</w:t>
      </w:r>
      <w:r>
        <w:t> — </w:t>
      </w:r>
      <w:r>
        <w:rPr>
          <w:rStyle w:val="CharDivText"/>
        </w:rPr>
        <w:t>Certificates of registration</w:t>
      </w:r>
      <w:bookmarkEnd w:id="111"/>
      <w:bookmarkEnd w:id="112"/>
    </w:p>
    <w:p>
      <w:pPr>
        <w:pStyle w:val="Heading5"/>
      </w:pPr>
      <w:bookmarkStart w:id="113" w:name="_Toc375042036"/>
      <w:bookmarkStart w:id="114" w:name="_Toc415054153"/>
      <w:r>
        <w:rPr>
          <w:rStyle w:val="CharSectno"/>
        </w:rPr>
        <w:t>20</w:t>
      </w:r>
      <w:r>
        <w:t>.</w:t>
      </w:r>
      <w:r>
        <w:tab/>
        <w:t>Certificates of registration</w:t>
      </w:r>
      <w:bookmarkEnd w:id="113"/>
      <w:bookmarkEnd w:id="114"/>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115" w:name="_Toc375042037"/>
      <w:bookmarkStart w:id="116" w:name="_Toc415054154"/>
      <w:r>
        <w:rPr>
          <w:rStyle w:val="CharDivNo"/>
        </w:rPr>
        <w:t>Division 6</w:t>
      </w:r>
      <w:r>
        <w:t> — </w:t>
      </w:r>
      <w:r>
        <w:rPr>
          <w:rStyle w:val="CharDivText"/>
        </w:rPr>
        <w:t>Term of registration, renewals and cancellations</w:t>
      </w:r>
      <w:bookmarkEnd w:id="115"/>
      <w:bookmarkEnd w:id="116"/>
    </w:p>
    <w:p>
      <w:pPr>
        <w:pStyle w:val="Heading5"/>
      </w:pPr>
      <w:bookmarkStart w:id="117" w:name="_Toc375042038"/>
      <w:bookmarkStart w:id="118" w:name="_Toc415054155"/>
      <w:r>
        <w:rPr>
          <w:rStyle w:val="CharSectno"/>
        </w:rPr>
        <w:t>21</w:t>
      </w:r>
      <w:r>
        <w:t>.</w:t>
      </w:r>
      <w:r>
        <w:tab/>
        <w:t>Term used: registration</w:t>
      </w:r>
      <w:bookmarkEnd w:id="117"/>
      <w:bookmarkEnd w:id="118"/>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19" w:name="_Toc375042039"/>
      <w:bookmarkStart w:id="120" w:name="_Toc415054156"/>
      <w:r>
        <w:rPr>
          <w:rStyle w:val="CharSectno"/>
        </w:rPr>
        <w:t>22</w:t>
      </w:r>
      <w:r>
        <w:t>.</w:t>
      </w:r>
      <w:r>
        <w:tab/>
        <w:t>Term of registration</w:t>
      </w:r>
      <w:bookmarkEnd w:id="119"/>
      <w:bookmarkEnd w:id="120"/>
    </w:p>
    <w:p>
      <w:pPr>
        <w:pStyle w:val="Subsection"/>
      </w:pPr>
      <w:r>
        <w:tab/>
      </w:r>
      <w:r>
        <w:tab/>
        <w:t>Unless cancelled under regulation 24, a registration expires 3 years after the day on which it is granted or renewed under these regulations.</w:t>
      </w:r>
    </w:p>
    <w:p>
      <w:pPr>
        <w:pStyle w:val="Heading5"/>
      </w:pPr>
      <w:bookmarkStart w:id="121" w:name="_Toc375042040"/>
      <w:bookmarkStart w:id="122" w:name="_Toc415054157"/>
      <w:r>
        <w:rPr>
          <w:rStyle w:val="CharSectno"/>
        </w:rPr>
        <w:t>23</w:t>
      </w:r>
      <w:r>
        <w:t>.</w:t>
      </w:r>
      <w:r>
        <w:tab/>
        <w:t>Renewal of registration</w:t>
      </w:r>
      <w:bookmarkEnd w:id="121"/>
      <w:bookmarkEnd w:id="122"/>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23" w:name="_Toc375042041"/>
      <w:bookmarkStart w:id="124" w:name="_Toc415054158"/>
      <w:r>
        <w:rPr>
          <w:rStyle w:val="CharSectno"/>
        </w:rPr>
        <w:t>24</w:t>
      </w:r>
      <w:r>
        <w:t>.</w:t>
      </w:r>
      <w:r>
        <w:tab/>
        <w:t>Cancellation of registration</w:t>
      </w:r>
      <w:bookmarkEnd w:id="123"/>
      <w:bookmarkEnd w:id="124"/>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25" w:name="_Toc375042042"/>
      <w:bookmarkStart w:id="126" w:name="_Toc415054159"/>
      <w:r>
        <w:rPr>
          <w:rStyle w:val="CharSectno"/>
        </w:rPr>
        <w:t>25</w:t>
      </w:r>
      <w:r>
        <w:t>.</w:t>
      </w:r>
      <w:r>
        <w:tab/>
        <w:t>Effect of expiry or cancellation of registration</w:t>
      </w:r>
      <w:bookmarkEnd w:id="125"/>
      <w:bookmarkEnd w:id="126"/>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27" w:name="_Toc375042043"/>
      <w:bookmarkStart w:id="128" w:name="_Toc415054160"/>
      <w:r>
        <w:rPr>
          <w:rStyle w:val="CharSectno"/>
        </w:rPr>
        <w:t>26</w:t>
      </w:r>
      <w:r>
        <w:t>.</w:t>
      </w:r>
      <w:r>
        <w:tab/>
        <w:t>Review</w:t>
      </w:r>
      <w:bookmarkEnd w:id="127"/>
      <w:bookmarkEnd w:id="128"/>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29" w:name="_Toc375042044"/>
      <w:bookmarkStart w:id="130" w:name="_Toc415054161"/>
      <w:r>
        <w:rPr>
          <w:rStyle w:val="CharDivNo"/>
        </w:rPr>
        <w:t>Division 7</w:t>
      </w:r>
      <w:r>
        <w:t> — </w:t>
      </w:r>
      <w:r>
        <w:rPr>
          <w:rStyle w:val="CharDivText"/>
        </w:rPr>
        <w:t>Transfer of registered identifiers and PICs</w:t>
      </w:r>
      <w:bookmarkEnd w:id="129"/>
      <w:bookmarkEnd w:id="130"/>
    </w:p>
    <w:p>
      <w:pPr>
        <w:pStyle w:val="Heading5"/>
      </w:pPr>
      <w:bookmarkStart w:id="131" w:name="_Toc375042045"/>
      <w:bookmarkStart w:id="132" w:name="_Toc415054162"/>
      <w:r>
        <w:rPr>
          <w:rStyle w:val="CharSectno"/>
        </w:rPr>
        <w:t>27</w:t>
      </w:r>
      <w:r>
        <w:t>.</w:t>
      </w:r>
      <w:r>
        <w:tab/>
        <w:t>Transfer of registered identifiers and PICs</w:t>
      </w:r>
      <w:bookmarkEnd w:id="131"/>
      <w:bookmarkEnd w:id="132"/>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33" w:name="_Toc375042046"/>
      <w:bookmarkStart w:id="134" w:name="_Toc415054163"/>
      <w:r>
        <w:rPr>
          <w:rStyle w:val="CharSectno"/>
        </w:rPr>
        <w:t>28</w:t>
      </w:r>
      <w:r>
        <w:t>.</w:t>
      </w:r>
      <w:r>
        <w:tab/>
        <w:t>Mortgagee’s right to use and transfer registered identifiers</w:t>
      </w:r>
      <w:bookmarkEnd w:id="133"/>
      <w:bookmarkEnd w:id="134"/>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35" w:name="_Toc375042047"/>
      <w:bookmarkStart w:id="136" w:name="_Toc415054164"/>
      <w:r>
        <w:rPr>
          <w:rStyle w:val="CharPartNo"/>
        </w:rPr>
        <w:t>Part 3</w:t>
      </w:r>
      <w:r>
        <w:t> — </w:t>
      </w:r>
      <w:r>
        <w:rPr>
          <w:rStyle w:val="CharPartText"/>
        </w:rPr>
        <w:t>Identifiers for stock</w:t>
      </w:r>
      <w:bookmarkEnd w:id="135"/>
      <w:bookmarkEnd w:id="136"/>
    </w:p>
    <w:p>
      <w:pPr>
        <w:pStyle w:val="Heading3"/>
      </w:pPr>
      <w:bookmarkStart w:id="137" w:name="_Toc375042048"/>
      <w:bookmarkStart w:id="138" w:name="_Toc415054165"/>
      <w:r>
        <w:rPr>
          <w:rStyle w:val="CharDivNo"/>
        </w:rPr>
        <w:t>Division 1</w:t>
      </w:r>
      <w:r>
        <w:t> — </w:t>
      </w:r>
      <w:r>
        <w:rPr>
          <w:rStyle w:val="CharDivText"/>
        </w:rPr>
        <w:t>Registered identifiers for stock</w:t>
      </w:r>
      <w:bookmarkEnd w:id="137"/>
      <w:bookmarkEnd w:id="138"/>
    </w:p>
    <w:p>
      <w:pPr>
        <w:pStyle w:val="Heading5"/>
      </w:pPr>
      <w:bookmarkStart w:id="139" w:name="_Toc375042049"/>
      <w:bookmarkStart w:id="140" w:name="_Toc415054166"/>
      <w:r>
        <w:rPr>
          <w:rStyle w:val="CharSectno"/>
        </w:rPr>
        <w:t>29</w:t>
      </w:r>
      <w:r>
        <w:t>.</w:t>
      </w:r>
      <w:r>
        <w:tab/>
        <w:t>Term used: certificate of registration</w:t>
      </w:r>
      <w:bookmarkEnd w:id="139"/>
      <w:bookmarkEnd w:id="140"/>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41" w:name="_Toc375042050"/>
      <w:bookmarkStart w:id="142" w:name="_Toc415054167"/>
      <w:r>
        <w:rPr>
          <w:rStyle w:val="CharSectno"/>
        </w:rPr>
        <w:t>30</w:t>
      </w:r>
      <w:r>
        <w:t>.</w:t>
      </w:r>
      <w:r>
        <w:tab/>
        <w:t>Registered identifiers for application as brand</w:t>
      </w:r>
      <w:bookmarkEnd w:id="141"/>
      <w:bookmarkEnd w:id="142"/>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43" w:name="_Toc375042051"/>
      <w:bookmarkStart w:id="144" w:name="_Toc415054168"/>
      <w:r>
        <w:rPr>
          <w:rStyle w:val="CharSectno"/>
        </w:rPr>
        <w:t>31</w:t>
      </w:r>
      <w:r>
        <w:t>.</w:t>
      </w:r>
      <w:r>
        <w:tab/>
        <w:t>Registered identifiers for application as earmark</w:t>
      </w:r>
      <w:bookmarkEnd w:id="143"/>
      <w:bookmarkEnd w:id="144"/>
    </w:p>
    <w:p>
      <w:pPr>
        <w:pStyle w:val="Subsection"/>
      </w:pPr>
      <w:r>
        <w:tab/>
      </w:r>
      <w:r>
        <w:tab/>
        <w:t>A registered identifier for application as an earmark to stock must consist of 2 symbols as allotted.</w:t>
      </w:r>
    </w:p>
    <w:p>
      <w:pPr>
        <w:pStyle w:val="Heading5"/>
      </w:pPr>
      <w:bookmarkStart w:id="145" w:name="_Toc375042052"/>
      <w:bookmarkStart w:id="146" w:name="_Toc415054169"/>
      <w:r>
        <w:rPr>
          <w:rStyle w:val="CharSectno"/>
        </w:rPr>
        <w:t>32</w:t>
      </w:r>
      <w:r>
        <w:t>.</w:t>
      </w:r>
      <w:r>
        <w:tab/>
        <w:t>Limit of one brand and one earmark for each relevant PIC</w:t>
      </w:r>
      <w:bookmarkEnd w:id="145"/>
      <w:bookmarkEnd w:id="146"/>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47" w:name="_Toc375042053"/>
      <w:bookmarkStart w:id="148" w:name="_Toc415054170"/>
      <w:r>
        <w:rPr>
          <w:rStyle w:val="CharSectno"/>
        </w:rPr>
        <w:t>33</w:t>
      </w:r>
      <w:r>
        <w:t>.</w:t>
      </w:r>
      <w:r>
        <w:tab/>
        <w:t>Confusing or misleading identifiers</w:t>
      </w:r>
      <w:bookmarkEnd w:id="147"/>
      <w:bookmarkEnd w:id="148"/>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49" w:name="_Toc375042054"/>
      <w:bookmarkStart w:id="150" w:name="_Toc415054171"/>
      <w:r>
        <w:rPr>
          <w:rStyle w:val="CharSectno"/>
        </w:rPr>
        <w:t>34</w:t>
      </w:r>
      <w:r>
        <w:t>.</w:t>
      </w:r>
      <w:r>
        <w:tab/>
        <w:t>Cross</w:t>
      </w:r>
      <w:r>
        <w:noBreakHyphen/>
        <w:t>border farming properties</w:t>
      </w:r>
      <w:bookmarkEnd w:id="149"/>
      <w:bookmarkEnd w:id="150"/>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51" w:name="_Toc375042055"/>
      <w:bookmarkStart w:id="152" w:name="_Toc415054172"/>
      <w:r>
        <w:rPr>
          <w:rStyle w:val="CharSectno"/>
        </w:rPr>
        <w:t>35</w:t>
      </w:r>
      <w:r>
        <w:t>.</w:t>
      </w:r>
      <w:r>
        <w:tab/>
        <w:t>Special identifiers</w:t>
      </w:r>
      <w:bookmarkEnd w:id="151"/>
      <w:bookmarkEnd w:id="152"/>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a fine of $5 000.</w:t>
      </w:r>
    </w:p>
    <w:p>
      <w:pPr>
        <w:pStyle w:val="Heading5"/>
      </w:pPr>
      <w:bookmarkStart w:id="153" w:name="_Toc375042056"/>
      <w:bookmarkStart w:id="154" w:name="_Toc415054173"/>
      <w:r>
        <w:rPr>
          <w:rStyle w:val="CharSectno"/>
        </w:rPr>
        <w:t>36</w:t>
      </w:r>
      <w:r>
        <w:t>.</w:t>
      </w:r>
      <w:r>
        <w:tab/>
        <w:t>Exclusive use of registered identifiers</w:t>
      </w:r>
      <w:bookmarkEnd w:id="153"/>
      <w:bookmarkEnd w:id="154"/>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55" w:name="_Toc375042057"/>
      <w:bookmarkStart w:id="156" w:name="_Toc415054174"/>
      <w:r>
        <w:rPr>
          <w:rStyle w:val="CharSectno"/>
        </w:rPr>
        <w:t>37</w:t>
      </w:r>
      <w:r>
        <w:t>.</w:t>
      </w:r>
      <w:r>
        <w:tab/>
        <w:t>Registered identifiers to be used to identify stock on property with corresponding PIC</w:t>
      </w:r>
      <w:bookmarkEnd w:id="155"/>
      <w:bookmarkEnd w:id="156"/>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Heading5"/>
        <w:rPr>
          <w:snapToGrid w:val="0"/>
        </w:rPr>
      </w:pPr>
      <w:bookmarkStart w:id="157" w:name="_Toc375042058"/>
      <w:bookmarkStart w:id="158" w:name="_Toc415054175"/>
      <w:r>
        <w:rPr>
          <w:rStyle w:val="CharSectno"/>
        </w:rPr>
        <w:t>38</w:t>
      </w:r>
      <w:r>
        <w:t>.</w:t>
      </w:r>
      <w:r>
        <w:tab/>
      </w:r>
      <w:r>
        <w:rPr>
          <w:snapToGrid w:val="0"/>
        </w:rPr>
        <w:t>Permit to use registered identifier to identify stock on property without corresponding PIC</w:t>
      </w:r>
      <w:bookmarkEnd w:id="157"/>
      <w:bookmarkEnd w:id="158"/>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device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a fine of $2 000.</w:t>
      </w:r>
    </w:p>
    <w:p>
      <w:pPr>
        <w:pStyle w:val="Heading5"/>
      </w:pPr>
      <w:bookmarkStart w:id="159" w:name="_Toc375042059"/>
      <w:bookmarkStart w:id="160" w:name="_Toc415054176"/>
      <w:r>
        <w:rPr>
          <w:rStyle w:val="CharSectno"/>
        </w:rPr>
        <w:t>39</w:t>
      </w:r>
      <w:r>
        <w:t>.</w:t>
      </w:r>
      <w:r>
        <w:tab/>
        <w:t>When unused devices and identification equipment to be given to inspector</w:t>
      </w:r>
      <w:bookmarkEnd w:id="159"/>
      <w:bookmarkEnd w:id="160"/>
    </w:p>
    <w:p>
      <w:pPr>
        <w:pStyle w:val="Subsection"/>
      </w:pPr>
      <w:r>
        <w:tab/>
      </w:r>
      <w:r>
        <w:tab/>
        <w:t>If, under these regulations, a registered identifier ceases to be allotted to a person, the person must, as soon as it is practicable to do so, give to an inspector any unused device or identification equipment in the person’s possession or control that is capable of identifying stock with the identifier.</w:t>
      </w:r>
    </w:p>
    <w:p>
      <w:pPr>
        <w:pStyle w:val="Penstart"/>
      </w:pPr>
      <w:r>
        <w:tab/>
        <w:t>Penalty: a fine of $5 000.</w:t>
      </w:r>
    </w:p>
    <w:p>
      <w:pPr>
        <w:pStyle w:val="Heading5"/>
      </w:pPr>
      <w:bookmarkStart w:id="161" w:name="_Toc375042060"/>
      <w:bookmarkStart w:id="162" w:name="_Toc415054177"/>
      <w:r>
        <w:rPr>
          <w:rStyle w:val="CharSectno"/>
        </w:rPr>
        <w:t>40</w:t>
      </w:r>
      <w:r>
        <w:t>.</w:t>
      </w:r>
      <w:r>
        <w:tab/>
        <w:t>Possession of identification devices and equipment</w:t>
      </w:r>
      <w:bookmarkEnd w:id="161"/>
      <w:bookmarkEnd w:id="162"/>
    </w:p>
    <w:p>
      <w:pPr>
        <w:pStyle w:val="Subsection"/>
      </w:pPr>
      <w:r>
        <w:tab/>
        <w:t>(1)</w:t>
      </w:r>
      <w:r>
        <w:tab/>
        <w:t>A person must not have in his or her possession a device or identification equipment capable of identifying stock with a registered identifier unless the person is, or is acting on behalf of, the registered owner of the identifier.</w:t>
      </w:r>
    </w:p>
    <w:p>
      <w:pPr>
        <w:pStyle w:val="Penstart"/>
      </w:pPr>
      <w:r>
        <w:tab/>
        <w:t>Penalty: a fine of $5 000.</w:t>
      </w:r>
    </w:p>
    <w:p>
      <w:pPr>
        <w:pStyle w:val="Subsection"/>
      </w:pPr>
      <w:r>
        <w:tab/>
        <w:t>(2)</w:t>
      </w:r>
      <w:r>
        <w:tab/>
        <w:t xml:space="preserve">A person must not have on any property a device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$5 000.</w:t>
      </w:r>
    </w:p>
    <w:p>
      <w:pPr>
        <w:pStyle w:val="Subsection"/>
      </w:pPr>
      <w:r>
        <w:tab/>
        <w:t>(3)</w:t>
      </w:r>
      <w:r>
        <w:tab/>
        <w:t xml:space="preserve">A person does not commit an offence under subregulation (1) or (2) if the person is in possession of the device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registered owner of the identifier.</w:t>
      </w:r>
    </w:p>
    <w:p>
      <w:pPr>
        <w:pStyle w:val="Subsection"/>
      </w:pPr>
      <w:r>
        <w:tab/>
        <w:t>(4)</w:t>
      </w:r>
      <w:r>
        <w:tab/>
        <w:t xml:space="preserve">A person must not remove any device or identification equipment capable of identifying stock with a registered identifier from a property with the registered identifier’s corresponding PIC unless the device or identification equipment — </w:t>
      </w:r>
    </w:p>
    <w:p>
      <w:pPr>
        <w:pStyle w:val="Indenta"/>
      </w:pPr>
      <w:r>
        <w:tab/>
        <w:t>(a)</w:t>
      </w:r>
      <w:r>
        <w:tab/>
        <w:t>is being moved directly to another property with the corresponding PIC and the person is in possession of a certificate of registration of the registered owner of the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a fine of $5 000.</w:t>
      </w:r>
    </w:p>
    <w:p>
      <w:pPr>
        <w:pStyle w:val="Heading5"/>
      </w:pPr>
      <w:bookmarkStart w:id="163" w:name="_Toc375042061"/>
      <w:bookmarkStart w:id="164" w:name="_Toc415054178"/>
      <w:r>
        <w:rPr>
          <w:rStyle w:val="CharSectno"/>
        </w:rPr>
        <w:t>41</w:t>
      </w:r>
      <w:r>
        <w:t>.</w:t>
      </w:r>
      <w:r>
        <w:tab/>
        <w:t>False representations relating to registered identifiers</w:t>
      </w:r>
      <w:bookmarkEnd w:id="163"/>
      <w:bookmarkEnd w:id="164"/>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165" w:name="_Toc375042062"/>
      <w:bookmarkStart w:id="166" w:name="_Toc415054179"/>
      <w:r>
        <w:rPr>
          <w:rStyle w:val="CharSectno"/>
        </w:rPr>
        <w:t>42</w:t>
      </w:r>
      <w:r>
        <w:t>.</w:t>
      </w:r>
      <w:r>
        <w:tab/>
        <w:t>Unauthorised removal of registered identifier from live animal</w:t>
      </w:r>
      <w:bookmarkEnd w:id="165"/>
      <w:bookmarkEnd w:id="166"/>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67" w:name="_Toc375042063"/>
      <w:bookmarkStart w:id="168" w:name="_Toc415054180"/>
      <w:r>
        <w:rPr>
          <w:rStyle w:val="CharDivNo"/>
        </w:rPr>
        <w:t>Division 2</w:t>
      </w:r>
      <w:r>
        <w:t> — </w:t>
      </w:r>
      <w:r>
        <w:rPr>
          <w:rStyle w:val="CharDivText"/>
        </w:rPr>
        <w:t>Approved identification systems</w:t>
      </w:r>
      <w:bookmarkEnd w:id="167"/>
      <w:bookmarkEnd w:id="168"/>
    </w:p>
    <w:p>
      <w:pPr>
        <w:pStyle w:val="Heading5"/>
      </w:pPr>
      <w:bookmarkStart w:id="169" w:name="_Toc375042064"/>
      <w:bookmarkStart w:id="170" w:name="_Toc415054181"/>
      <w:r>
        <w:rPr>
          <w:rStyle w:val="CharSectno"/>
        </w:rPr>
        <w:t>43</w:t>
      </w:r>
      <w:r>
        <w:t>.</w:t>
      </w:r>
      <w:r>
        <w:tab/>
        <w:t>Approved identifiers and databases</w:t>
      </w:r>
      <w:bookmarkEnd w:id="169"/>
      <w:bookmarkEnd w:id="170"/>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71" w:name="_Toc375042065"/>
      <w:bookmarkStart w:id="172" w:name="_Toc415054182"/>
      <w:r>
        <w:rPr>
          <w:rStyle w:val="CharSectno"/>
        </w:rPr>
        <w:t>44</w:t>
      </w:r>
      <w:r>
        <w:t>.</w:t>
      </w:r>
      <w:r>
        <w:tab/>
        <w:t>Use of approved identifiers</w:t>
      </w:r>
      <w:bookmarkEnd w:id="171"/>
      <w:bookmarkEnd w:id="172"/>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a fine of $20 000.</w:t>
      </w:r>
    </w:p>
    <w:p>
      <w:pPr>
        <w:pStyle w:val="Subsection"/>
      </w:pPr>
      <w:r>
        <w:tab/>
        <w:t>(3)</w:t>
      </w:r>
      <w:r>
        <w:tab/>
        <w:t>A person must not apply an approved identifier to an animal unless it is applied in the approved manner.</w:t>
      </w:r>
    </w:p>
    <w:p>
      <w:pPr>
        <w:pStyle w:val="Penstart"/>
      </w:pPr>
      <w:r>
        <w:tab/>
        <w:t>Penalty: a fine of $20 000.</w:t>
      </w:r>
    </w:p>
    <w:p>
      <w:pPr>
        <w:pStyle w:val="Heading5"/>
      </w:pPr>
      <w:bookmarkStart w:id="173" w:name="_Toc375042066"/>
      <w:bookmarkStart w:id="174" w:name="_Toc415054183"/>
      <w:r>
        <w:rPr>
          <w:rStyle w:val="CharSectno"/>
        </w:rPr>
        <w:t>45</w:t>
      </w:r>
      <w:r>
        <w:t>.</w:t>
      </w:r>
      <w:r>
        <w:tab/>
        <w:t>False representations relating to approved identifiers</w:t>
      </w:r>
      <w:bookmarkEnd w:id="173"/>
      <w:bookmarkEnd w:id="174"/>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175" w:name="_Toc375042067"/>
      <w:bookmarkStart w:id="176" w:name="_Toc415054184"/>
      <w:r>
        <w:rPr>
          <w:rStyle w:val="CharSectno"/>
        </w:rPr>
        <w:t>46</w:t>
      </w:r>
      <w:r>
        <w:t>.</w:t>
      </w:r>
      <w:r>
        <w:tab/>
        <w:t>Unauthorised removal of approved identifier from live animal</w:t>
      </w:r>
      <w:bookmarkEnd w:id="175"/>
      <w:bookmarkEnd w:id="176"/>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177" w:name="_Toc375042068"/>
      <w:bookmarkStart w:id="178" w:name="_Toc415054185"/>
      <w:r>
        <w:rPr>
          <w:rStyle w:val="CharDivNo"/>
        </w:rPr>
        <w:t>Division 3</w:t>
      </w:r>
      <w:r>
        <w:t> — </w:t>
      </w:r>
      <w:r>
        <w:rPr>
          <w:rStyle w:val="CharDivText"/>
        </w:rPr>
        <w:t>NLIS identifiers</w:t>
      </w:r>
      <w:bookmarkEnd w:id="177"/>
      <w:bookmarkEnd w:id="178"/>
    </w:p>
    <w:p>
      <w:pPr>
        <w:pStyle w:val="Heading4"/>
      </w:pPr>
      <w:bookmarkStart w:id="179" w:name="_Toc375042069"/>
      <w:bookmarkStart w:id="180" w:name="_Toc415054186"/>
      <w:r>
        <w:t>Subdivision 1 — NLIS devices</w:t>
      </w:r>
      <w:bookmarkEnd w:id="179"/>
      <w:bookmarkEnd w:id="180"/>
    </w:p>
    <w:p>
      <w:pPr>
        <w:pStyle w:val="Heading5"/>
      </w:pPr>
      <w:bookmarkStart w:id="181" w:name="_Toc375042070"/>
      <w:bookmarkStart w:id="182" w:name="_Toc415054187"/>
      <w:r>
        <w:rPr>
          <w:rStyle w:val="CharSectno"/>
        </w:rPr>
        <w:t>47</w:t>
      </w:r>
      <w:r>
        <w:t>.</w:t>
      </w:r>
      <w:r>
        <w:tab/>
        <w:t>Meaning of NLIS device</w:t>
      </w:r>
      <w:bookmarkEnd w:id="181"/>
      <w:bookmarkEnd w:id="182"/>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Heading5"/>
      </w:pPr>
      <w:bookmarkStart w:id="183" w:name="_Toc375042071"/>
      <w:bookmarkStart w:id="184" w:name="_Toc415054188"/>
      <w:r>
        <w:rPr>
          <w:rStyle w:val="CharSectno"/>
        </w:rPr>
        <w:t>48</w:t>
      </w:r>
      <w:r>
        <w:t>.</w:t>
      </w:r>
      <w:r>
        <w:tab/>
        <w:t>Applying NLIS devices to stock</w:t>
      </w:r>
      <w:bookmarkEnd w:id="183"/>
      <w:bookmarkEnd w:id="184"/>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a fine of $20 000.</w:t>
      </w:r>
    </w:p>
    <w:p>
      <w:pPr>
        <w:pStyle w:val="Subsection"/>
      </w:pPr>
      <w:r>
        <w:tab/>
        <w:t>(2)</w:t>
      </w:r>
      <w:r>
        <w:tab/>
        <w:t>A person must not apply an NLIS device to cattle or buffalo other than in the right ear of the animal.</w:t>
      </w:r>
    </w:p>
    <w:p>
      <w:pPr>
        <w:pStyle w:val="Penstart"/>
      </w:pPr>
      <w:r>
        <w:tab/>
        <w:t>Penalty: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a fine of $2 000.</w:t>
      </w:r>
    </w:p>
    <w:p>
      <w:pPr>
        <w:pStyle w:val="Heading5"/>
      </w:pPr>
      <w:bookmarkStart w:id="185" w:name="_Toc375042072"/>
      <w:bookmarkStart w:id="186" w:name="_Toc415054189"/>
      <w:r>
        <w:rPr>
          <w:rStyle w:val="CharSectno"/>
        </w:rPr>
        <w:t>49</w:t>
      </w:r>
      <w:r>
        <w:t>.</w:t>
      </w:r>
      <w:r>
        <w:tab/>
        <w:t>When unused NLIS devices to be given to inspector</w:t>
      </w:r>
      <w:bookmarkEnd w:id="185"/>
      <w:bookmarkEnd w:id="186"/>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Heading5"/>
      </w:pPr>
      <w:bookmarkStart w:id="187" w:name="_Toc375042073"/>
      <w:bookmarkStart w:id="188" w:name="_Toc415054190"/>
      <w:r>
        <w:rPr>
          <w:rStyle w:val="CharSectno"/>
        </w:rPr>
        <w:t>50</w:t>
      </w:r>
      <w:r>
        <w:t>.</w:t>
      </w:r>
      <w:r>
        <w:tab/>
        <w:t>False representations relating to NLIS devices</w:t>
      </w:r>
      <w:bookmarkEnd w:id="187"/>
      <w:bookmarkEnd w:id="188"/>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189" w:name="_Toc375042074"/>
      <w:bookmarkStart w:id="190" w:name="_Toc415054191"/>
      <w:r>
        <w:t>Subdivision 2 — NLIS tags</w:t>
      </w:r>
      <w:bookmarkEnd w:id="189"/>
      <w:bookmarkEnd w:id="190"/>
    </w:p>
    <w:p>
      <w:pPr>
        <w:pStyle w:val="Heading5"/>
      </w:pPr>
      <w:bookmarkStart w:id="191" w:name="_Toc375042075"/>
      <w:bookmarkStart w:id="192" w:name="_Toc415054192"/>
      <w:r>
        <w:rPr>
          <w:rStyle w:val="CharSectno"/>
        </w:rPr>
        <w:t>51</w:t>
      </w:r>
      <w:r>
        <w:t>.</w:t>
      </w:r>
      <w:r>
        <w:tab/>
        <w:t>Meaning of NLIS tag</w:t>
      </w:r>
      <w:bookmarkEnd w:id="191"/>
      <w:bookmarkEnd w:id="192"/>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Heading5"/>
      </w:pPr>
      <w:bookmarkStart w:id="193" w:name="_Toc375042076"/>
      <w:bookmarkStart w:id="194" w:name="_Toc415054193"/>
      <w:r>
        <w:rPr>
          <w:rStyle w:val="CharSectno"/>
        </w:rPr>
        <w:t>52</w:t>
      </w:r>
      <w:r>
        <w:t>.</w:t>
      </w:r>
      <w:r>
        <w:tab/>
        <w:t>Applying NLIS tags to stock</w:t>
      </w:r>
      <w:bookmarkEnd w:id="193"/>
      <w:bookmarkEnd w:id="194"/>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a fine of $20 000.</w:t>
      </w:r>
    </w:p>
    <w:p>
      <w:pPr>
        <w:pStyle w:val="Subsection"/>
      </w:pPr>
      <w:r>
        <w:tab/>
        <w:t>(2)</w:t>
      </w:r>
      <w:r>
        <w:tab/>
        <w:t xml:space="preserve">A person must not apply an NLIS tag (except an NLIS post breeder tag) to an animal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a fine of $2 000.</w:t>
      </w:r>
    </w:p>
    <w:p>
      <w:pPr>
        <w:pStyle w:val="Subsection"/>
      </w:pPr>
      <w:r>
        <w:tab/>
        <w:t>(3)</w:t>
      </w:r>
      <w:r>
        <w:tab/>
        <w:t xml:space="preserve">A person must not apply an NLIS post breeder tag to an animal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a fine of $2 000.</w:t>
      </w:r>
    </w:p>
    <w:p>
      <w:pPr>
        <w:pStyle w:val="Heading5"/>
      </w:pPr>
      <w:bookmarkStart w:id="195" w:name="_Toc375042077"/>
      <w:bookmarkStart w:id="196" w:name="_Toc415054194"/>
      <w:r>
        <w:rPr>
          <w:rStyle w:val="CharSectno"/>
        </w:rPr>
        <w:t>53</w:t>
      </w:r>
      <w:r>
        <w:t>.</w:t>
      </w:r>
      <w:r>
        <w:tab/>
        <w:t>False representations relating to NLIS tags</w:t>
      </w:r>
      <w:bookmarkEnd w:id="195"/>
      <w:bookmarkEnd w:id="196"/>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97" w:name="_Toc375042078"/>
      <w:bookmarkStart w:id="198" w:name="_Toc415054195"/>
      <w:r>
        <w:t>Subdivision 3 — Removal and disposal of NLIS identifiers</w:t>
      </w:r>
      <w:bookmarkEnd w:id="197"/>
      <w:bookmarkEnd w:id="198"/>
    </w:p>
    <w:p>
      <w:pPr>
        <w:pStyle w:val="Heading5"/>
      </w:pPr>
      <w:bookmarkStart w:id="199" w:name="_Toc375042079"/>
      <w:bookmarkStart w:id="200" w:name="_Toc415054196"/>
      <w:r>
        <w:rPr>
          <w:rStyle w:val="CharSectno"/>
        </w:rPr>
        <w:t>54</w:t>
      </w:r>
      <w:r>
        <w:t>.</w:t>
      </w:r>
      <w:r>
        <w:tab/>
        <w:t>Removal of NLIS identifiers</w:t>
      </w:r>
      <w:bookmarkEnd w:id="199"/>
      <w:bookmarkEnd w:id="200"/>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a fine of $20 000.</w:t>
      </w:r>
    </w:p>
    <w:p>
      <w:pPr>
        <w:pStyle w:val="Heading5"/>
      </w:pPr>
      <w:bookmarkStart w:id="201" w:name="_Toc375042080"/>
      <w:bookmarkStart w:id="202" w:name="_Toc415054197"/>
      <w:r>
        <w:rPr>
          <w:rStyle w:val="CharSectno"/>
        </w:rPr>
        <w:t>55</w:t>
      </w:r>
      <w:r>
        <w:t>.</w:t>
      </w:r>
      <w:r>
        <w:tab/>
        <w:t>Replacing NLIS identifiers</w:t>
      </w:r>
      <w:bookmarkEnd w:id="201"/>
      <w:bookmarkEnd w:id="202"/>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Heading5"/>
      </w:pPr>
      <w:bookmarkStart w:id="203" w:name="_Toc375042081"/>
      <w:bookmarkStart w:id="204" w:name="_Toc415054198"/>
      <w:r>
        <w:rPr>
          <w:rStyle w:val="CharSectno"/>
        </w:rPr>
        <w:t>56</w:t>
      </w:r>
      <w:r>
        <w:t>.</w:t>
      </w:r>
      <w:r>
        <w:tab/>
        <w:t>Disposal of NLIS identifiers</w:t>
      </w:r>
      <w:bookmarkEnd w:id="203"/>
      <w:bookmarkEnd w:id="204"/>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205" w:name="_Toc375042082"/>
      <w:bookmarkStart w:id="206" w:name="_Toc415054199"/>
      <w:r>
        <w:rPr>
          <w:rStyle w:val="CharSectno"/>
        </w:rPr>
        <w:t>57</w:t>
      </w:r>
      <w:r>
        <w:t>.</w:t>
      </w:r>
      <w:r>
        <w:tab/>
        <w:t>NLIS identifiers not to be damaged or defaced</w:t>
      </w:r>
      <w:bookmarkEnd w:id="205"/>
      <w:bookmarkEnd w:id="206"/>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207" w:name="_Toc375042083"/>
      <w:bookmarkStart w:id="208" w:name="_Toc415054200"/>
      <w:r>
        <w:t>Subdivision 4 — The NLIS database</w:t>
      </w:r>
      <w:bookmarkEnd w:id="207"/>
      <w:bookmarkEnd w:id="208"/>
    </w:p>
    <w:p>
      <w:pPr>
        <w:pStyle w:val="Heading5"/>
      </w:pPr>
      <w:bookmarkStart w:id="209" w:name="_Toc375042084"/>
      <w:bookmarkStart w:id="210" w:name="_Toc415054201"/>
      <w:r>
        <w:rPr>
          <w:rStyle w:val="CharSectno"/>
        </w:rPr>
        <w:t>58</w:t>
      </w:r>
      <w:r>
        <w:t>.</w:t>
      </w:r>
      <w:r>
        <w:tab/>
        <w:t>The NLIS database</w:t>
      </w:r>
      <w:bookmarkEnd w:id="209"/>
      <w:bookmarkEnd w:id="210"/>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211" w:name="_Toc375042085"/>
      <w:bookmarkStart w:id="212" w:name="_Toc415054202"/>
      <w:r>
        <w:rPr>
          <w:rStyle w:val="CharDivNo"/>
        </w:rPr>
        <w:t>Division 4</w:t>
      </w:r>
      <w:r>
        <w:t> — </w:t>
      </w:r>
      <w:r>
        <w:rPr>
          <w:rStyle w:val="CharDivText"/>
        </w:rPr>
        <w:t>Manufacture and supply of identifiers</w:t>
      </w:r>
      <w:bookmarkEnd w:id="211"/>
      <w:bookmarkEnd w:id="212"/>
    </w:p>
    <w:p>
      <w:pPr>
        <w:pStyle w:val="Heading4"/>
      </w:pPr>
      <w:bookmarkStart w:id="213" w:name="_Toc375042086"/>
      <w:bookmarkStart w:id="214" w:name="_Toc415054203"/>
      <w:r>
        <w:t>Subdivision 1 — Approved devices, approved identification equipment and approved manufacturers</w:t>
      </w:r>
      <w:bookmarkEnd w:id="213"/>
      <w:bookmarkEnd w:id="214"/>
    </w:p>
    <w:p>
      <w:pPr>
        <w:pStyle w:val="Heading5"/>
      </w:pPr>
      <w:bookmarkStart w:id="215" w:name="_Toc375042087"/>
      <w:bookmarkStart w:id="216" w:name="_Toc415054204"/>
      <w:r>
        <w:rPr>
          <w:rStyle w:val="CharSectno"/>
        </w:rPr>
        <w:t>59</w:t>
      </w:r>
      <w:r>
        <w:t>.</w:t>
      </w:r>
      <w:r>
        <w:tab/>
        <w:t>Approved devices and approved identification equipment</w:t>
      </w:r>
      <w:bookmarkEnd w:id="215"/>
      <w:bookmarkEnd w:id="216"/>
    </w:p>
    <w:p>
      <w:pPr>
        <w:pStyle w:val="Subsection"/>
      </w:pPr>
      <w:r>
        <w:tab/>
        <w:t>(1)</w:t>
      </w:r>
      <w:r>
        <w:tab/>
        <w:t xml:space="preserve">The Director General may approve for use in identifying stock under these regulations — </w:t>
      </w:r>
    </w:p>
    <w:p>
      <w:pPr>
        <w:pStyle w:val="Indenta"/>
      </w:pPr>
      <w:r>
        <w:tab/>
        <w:t>(a)</w:t>
      </w:r>
      <w:r>
        <w:tab/>
        <w:t xml:space="preserve">a particular device (an </w:t>
      </w:r>
      <w:r>
        <w:rPr>
          <w:rStyle w:val="CharDefText"/>
        </w:rPr>
        <w:t>approved device</w:t>
      </w:r>
      <w:r>
        <w:t>), including a device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devices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 device or identification equipment given under subregulation (1).</w:t>
      </w:r>
    </w:p>
    <w:p>
      <w:pPr>
        <w:pStyle w:val="Heading5"/>
      </w:pPr>
      <w:bookmarkStart w:id="217" w:name="_Toc375042088"/>
      <w:bookmarkStart w:id="218" w:name="_Toc415054205"/>
      <w:r>
        <w:rPr>
          <w:rStyle w:val="CharSectno"/>
        </w:rPr>
        <w:t>60</w:t>
      </w:r>
      <w:r>
        <w:t>.</w:t>
      </w:r>
      <w:r>
        <w:tab/>
        <w:t>Approved manufacturers</w:t>
      </w:r>
      <w:bookmarkEnd w:id="217"/>
      <w:bookmarkEnd w:id="218"/>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219" w:name="_Toc375042089"/>
      <w:bookmarkStart w:id="220" w:name="_Toc415054206"/>
      <w:r>
        <w:rPr>
          <w:rStyle w:val="CharSectno"/>
        </w:rPr>
        <w:t>61</w:t>
      </w:r>
      <w:r>
        <w:t>.</w:t>
      </w:r>
      <w:r>
        <w:tab/>
        <w:t>Review</w:t>
      </w:r>
      <w:bookmarkEnd w:id="219"/>
      <w:bookmarkEnd w:id="220"/>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221" w:name="_Toc375042090"/>
      <w:bookmarkStart w:id="222" w:name="_Toc415054207"/>
      <w:r>
        <w:t>Subdivision 2 — Registered identifiers</w:t>
      </w:r>
      <w:bookmarkEnd w:id="221"/>
      <w:bookmarkEnd w:id="222"/>
    </w:p>
    <w:p>
      <w:pPr>
        <w:pStyle w:val="Heading5"/>
      </w:pPr>
      <w:bookmarkStart w:id="223" w:name="_Toc375042091"/>
      <w:bookmarkStart w:id="224" w:name="_Toc415054208"/>
      <w:r>
        <w:rPr>
          <w:rStyle w:val="CharSectno"/>
        </w:rPr>
        <w:t>62</w:t>
      </w:r>
      <w:r>
        <w:t>.</w:t>
      </w:r>
      <w:r>
        <w:tab/>
        <w:t>Manufacture and supply of devices and identification equipment for registered identifiers</w:t>
      </w:r>
      <w:bookmarkEnd w:id="223"/>
      <w:bookmarkEnd w:id="224"/>
    </w:p>
    <w:p>
      <w:pPr>
        <w:pStyle w:val="Subsection"/>
      </w:pPr>
      <w:r>
        <w:tab/>
        <w:t>(1)</w:t>
      </w:r>
      <w:r>
        <w:tab/>
        <w:t xml:space="preserve">A person must not manufacture — </w:t>
      </w:r>
    </w:p>
    <w:p>
      <w:pPr>
        <w:pStyle w:val="Indenta"/>
      </w:pPr>
      <w:r>
        <w:tab/>
        <w:t>(a)</w:t>
      </w:r>
      <w:r>
        <w:tab/>
        <w:t>a device;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(2)</w:t>
      </w:r>
      <w:r>
        <w:tab/>
        <w:t xml:space="preserve">A person must not supply — </w:t>
      </w:r>
    </w:p>
    <w:p>
      <w:pPr>
        <w:pStyle w:val="Indenta"/>
      </w:pPr>
      <w:r>
        <w:tab/>
        <w:t>(a)</w:t>
      </w:r>
      <w:r>
        <w:tab/>
        <w:t>a device;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(3)</w:t>
      </w:r>
      <w:r>
        <w:tab/>
        <w:t xml:space="preserve">An approved manufacturer must not supply — </w:t>
      </w:r>
    </w:p>
    <w:p>
      <w:pPr>
        <w:pStyle w:val="Indenta"/>
      </w:pPr>
      <w:r>
        <w:tab/>
        <w:t>(a)</w:t>
      </w:r>
      <w:r>
        <w:tab/>
        <w:t>a device;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 device — it is an approved device; or</w:t>
      </w:r>
    </w:p>
    <w:p>
      <w:pPr>
        <w:pStyle w:val="Indenta"/>
      </w:pPr>
      <w:r>
        <w:tab/>
        <w:t>(d)</w:t>
      </w:r>
      <w:r>
        <w:tab/>
        <w:t>in the case of identification equipment — it is approved identification equipment.</w:t>
      </w:r>
    </w:p>
    <w:p>
      <w:pPr>
        <w:pStyle w:val="Penstart"/>
      </w:pPr>
      <w:r>
        <w:tab/>
        <w:t>Penalty: a fine of $5 000.</w:t>
      </w:r>
    </w:p>
    <w:p>
      <w:pPr>
        <w:pStyle w:val="Subsection"/>
      </w:pPr>
      <w:r>
        <w:tab/>
        <w:t>(4)</w:t>
      </w:r>
      <w:r>
        <w:tab/>
        <w:t xml:space="preserve">An approved manufacturer must not supply to a person — </w:t>
      </w:r>
    </w:p>
    <w:p>
      <w:pPr>
        <w:pStyle w:val="Indenta"/>
      </w:pPr>
      <w:r>
        <w:tab/>
        <w:t>(a)</w:t>
      </w:r>
      <w:r>
        <w:tab/>
        <w:t>a device;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registered owner of the identifier; and</w:t>
      </w:r>
    </w:p>
    <w:p>
      <w:pPr>
        <w:pStyle w:val="Indenta"/>
      </w:pPr>
      <w:r>
        <w:tab/>
        <w:t>(e)</w:t>
      </w:r>
      <w:r>
        <w:tab/>
        <w:t>the manufacturer has made a written record of that confirmation.</w:t>
      </w:r>
    </w:p>
    <w:p>
      <w:pPr>
        <w:pStyle w:val="Penstart"/>
      </w:pPr>
      <w:r>
        <w:tab/>
        <w:t>Penalty: a fine of $5 000.</w:t>
      </w:r>
    </w:p>
    <w:p>
      <w:pPr>
        <w:pStyle w:val="Subsection"/>
      </w:pPr>
      <w:r>
        <w:tab/>
        <w:t>(5)</w:t>
      </w:r>
      <w:r>
        <w:tab/>
        <w:t>An approved manufacturer must retain a record made under subregulation (4)(e) for not less than 7 years after it is made.</w:t>
      </w:r>
    </w:p>
    <w:p>
      <w:pPr>
        <w:pStyle w:val="Penstart"/>
      </w:pPr>
      <w:r>
        <w:tab/>
        <w:t>Penalty: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a fine of $5 000.</w:t>
      </w:r>
    </w:p>
    <w:p>
      <w:pPr>
        <w:pStyle w:val="Heading4"/>
      </w:pPr>
      <w:bookmarkStart w:id="225" w:name="_Toc375042092"/>
      <w:bookmarkStart w:id="226" w:name="_Toc415054209"/>
      <w:r>
        <w:t>Subdivision 3 — NLIS identifiers</w:t>
      </w:r>
      <w:bookmarkEnd w:id="225"/>
      <w:bookmarkEnd w:id="226"/>
    </w:p>
    <w:p>
      <w:pPr>
        <w:pStyle w:val="Heading5"/>
      </w:pPr>
      <w:bookmarkStart w:id="227" w:name="_Toc375042093"/>
      <w:bookmarkStart w:id="228" w:name="_Toc415054210"/>
      <w:r>
        <w:rPr>
          <w:rStyle w:val="CharSectno"/>
        </w:rPr>
        <w:t>63</w:t>
      </w:r>
      <w:r>
        <w:t>.</w:t>
      </w:r>
      <w:r>
        <w:tab/>
        <w:t>Term used: manufacture</w:t>
      </w:r>
      <w:bookmarkEnd w:id="227"/>
      <w:bookmarkEnd w:id="228"/>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229" w:name="_Toc375042094"/>
      <w:bookmarkStart w:id="230" w:name="_Toc415054211"/>
      <w:r>
        <w:rPr>
          <w:rStyle w:val="CharSectno"/>
        </w:rPr>
        <w:t>64</w:t>
      </w:r>
      <w:r>
        <w:t>.</w:t>
      </w:r>
      <w:r>
        <w:tab/>
        <w:t>Manufacture of NLIS devices</w:t>
      </w:r>
      <w:bookmarkEnd w:id="229"/>
      <w:bookmarkEnd w:id="230"/>
    </w:p>
    <w:p>
      <w:pPr>
        <w:pStyle w:val="Subsection"/>
      </w:pPr>
      <w:r>
        <w:tab/>
        <w:t>(1)</w:t>
      </w:r>
      <w:r>
        <w:tab/>
        <w:t>A person must not manufacture an NLIS device, except an accredited device, unless the person is an approved manufacturer.</w:t>
      </w:r>
    </w:p>
    <w:p>
      <w:pPr>
        <w:pStyle w:val="Penstart"/>
      </w:pPr>
      <w:r>
        <w:tab/>
        <w:t>Penalty: a fine of $5 000.</w:t>
      </w:r>
    </w:p>
    <w:p>
      <w:pPr>
        <w:pStyle w:val="Subsection"/>
      </w:pPr>
      <w:r>
        <w:tab/>
        <w:t>(2)</w:t>
      </w:r>
      <w:r>
        <w:tab/>
        <w:t>A person must not manufacture an accredited device unless the person is recognised by NLIS Ltd as a manufacturer of the accredited device.</w:t>
      </w:r>
    </w:p>
    <w:p>
      <w:pPr>
        <w:pStyle w:val="Penstart"/>
      </w:pPr>
      <w:r>
        <w:tab/>
        <w:t>Penalty: a fine of $5 000.</w:t>
      </w:r>
    </w:p>
    <w:p>
      <w:pPr>
        <w:pStyle w:val="Subsection"/>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NLIS Ltd as a manufacturer of the accredited device.</w:t>
      </w:r>
    </w:p>
    <w:p>
      <w:pPr>
        <w:pStyle w:val="Penstart"/>
      </w:pPr>
      <w:r>
        <w:tab/>
        <w:t>Penalty: a fine of $5 000.</w:t>
      </w:r>
    </w:p>
    <w:p>
      <w:pPr>
        <w:pStyle w:val="Heading5"/>
      </w:pPr>
      <w:bookmarkStart w:id="231" w:name="_Toc375042095"/>
      <w:bookmarkStart w:id="232" w:name="_Toc415054212"/>
      <w:r>
        <w:rPr>
          <w:rStyle w:val="CharSectno"/>
        </w:rPr>
        <w:t>65</w:t>
      </w:r>
      <w:r>
        <w:t>.</w:t>
      </w:r>
      <w:r>
        <w:tab/>
        <w:t>Supply of NLIS devices by manufacturers</w:t>
      </w:r>
      <w:bookmarkEnd w:id="231"/>
      <w:bookmarkEnd w:id="232"/>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a fine of $5 000.</w:t>
      </w:r>
    </w:p>
    <w:p>
      <w:pPr>
        <w:pStyle w:val="Subsection"/>
      </w:pPr>
      <w:r>
        <w:tab/>
        <w:t>(2)</w:t>
      </w:r>
      <w:r>
        <w:tab/>
        <w:t>A manufacturer must retain a record made under subregulation (1)(b)(ii) for not less than 7 years after it is made.</w:t>
      </w:r>
    </w:p>
    <w:p>
      <w:pPr>
        <w:pStyle w:val="Penstart"/>
      </w:pPr>
      <w:r>
        <w:tab/>
        <w:t>Penalty: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a fine of $2 000.</w:t>
      </w:r>
    </w:p>
    <w:p>
      <w:pPr>
        <w:pStyle w:val="Heading5"/>
      </w:pPr>
      <w:bookmarkStart w:id="233" w:name="_Toc375042096"/>
      <w:bookmarkStart w:id="234" w:name="_Toc415054213"/>
      <w:r>
        <w:rPr>
          <w:rStyle w:val="CharSectno"/>
        </w:rPr>
        <w:t>66</w:t>
      </w:r>
      <w:r>
        <w:t>.</w:t>
      </w:r>
      <w:r>
        <w:tab/>
        <w:t>Supply of NLIS devices by persons other than manufacturers</w:t>
      </w:r>
      <w:bookmarkEnd w:id="233"/>
      <w:bookmarkEnd w:id="234"/>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NLIS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a fine of $5 000.</w:t>
      </w:r>
    </w:p>
    <w:p>
      <w:pPr>
        <w:pStyle w:val="Heading5"/>
      </w:pPr>
      <w:bookmarkStart w:id="235" w:name="_Toc375042097"/>
      <w:bookmarkStart w:id="236" w:name="_Toc415054214"/>
      <w:r>
        <w:rPr>
          <w:rStyle w:val="CharSectno"/>
        </w:rPr>
        <w:t>67</w:t>
      </w:r>
      <w:r>
        <w:t>.</w:t>
      </w:r>
      <w:r>
        <w:tab/>
        <w:t>Manufacture of NLIS tags</w:t>
      </w:r>
      <w:bookmarkEnd w:id="235"/>
      <w:bookmarkEnd w:id="236"/>
    </w:p>
    <w:p>
      <w:pPr>
        <w:pStyle w:val="Subsection"/>
      </w:pPr>
      <w:r>
        <w:tab/>
        <w:t>(1)</w:t>
      </w:r>
      <w:r>
        <w:tab/>
        <w:t>A person must not manufacture an NLIS tag, except an accredited tag, unless the person is an approved manufacturer.</w:t>
      </w:r>
    </w:p>
    <w:p>
      <w:pPr>
        <w:pStyle w:val="Penstart"/>
      </w:pPr>
      <w:r>
        <w:tab/>
        <w:t>Penalty: a fine of $5 000.</w:t>
      </w:r>
    </w:p>
    <w:p>
      <w:pPr>
        <w:pStyle w:val="Subsection"/>
      </w:pPr>
      <w:r>
        <w:tab/>
        <w:t>(2)</w:t>
      </w:r>
      <w:r>
        <w:tab/>
        <w:t>A person must not manufacture an accredited tag unless the person is recognised by NLIS Ltd as a manufacturer of the accredited tag.</w:t>
      </w:r>
    </w:p>
    <w:p>
      <w:pPr>
        <w:pStyle w:val="Penstart"/>
      </w:pPr>
      <w:r>
        <w:tab/>
        <w:t>Penalty: a fine of $5 000.</w:t>
      </w:r>
    </w:p>
    <w:p>
      <w:pPr>
        <w:pStyle w:val="Subsection"/>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NLIS Ltd as a manufacturer of the accredited tag.</w:t>
      </w:r>
    </w:p>
    <w:p>
      <w:pPr>
        <w:pStyle w:val="Penstart"/>
      </w:pPr>
      <w:r>
        <w:tab/>
        <w:t>Penalty: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a fine of $5 000.</w:t>
      </w:r>
    </w:p>
    <w:p>
      <w:pPr>
        <w:pStyle w:val="Subsection"/>
      </w:pPr>
      <w:r>
        <w:tab/>
        <w:t>(5)</w:t>
      </w:r>
      <w:r>
        <w:tab/>
        <w:t>A manufacturer must retain a record made under subregulation (4)(c)(ii) for not less than 7 years after the record is made.</w:t>
      </w:r>
    </w:p>
    <w:p>
      <w:pPr>
        <w:pStyle w:val="Penstart"/>
      </w:pPr>
      <w:r>
        <w:tab/>
        <w:t>Penalty: a fine of $2 000.</w:t>
      </w:r>
    </w:p>
    <w:p>
      <w:pPr>
        <w:pStyle w:val="Subsection"/>
      </w:pPr>
      <w:r>
        <w:tab/>
        <w:t>(6)</w:t>
      </w:r>
      <w:r>
        <w:tab/>
        <w:t>An inspector may direct a person to give a record made under subregulation (4)(c)(ii) to an approved person.</w:t>
      </w:r>
    </w:p>
    <w:p>
      <w:pPr>
        <w:pStyle w:val="Subsection"/>
        <w:keepNext/>
      </w:pPr>
      <w:r>
        <w:tab/>
        <w:t>(7)</w:t>
      </w:r>
      <w:r>
        <w:tab/>
        <w:t>A person must comply with a direction given under subregulation (6) as soon as practicable after the direction is given.</w:t>
      </w:r>
    </w:p>
    <w:p>
      <w:pPr>
        <w:pStyle w:val="Penstart"/>
        <w:keepNext/>
      </w:pPr>
      <w:r>
        <w:tab/>
        <w:t>Penalty: a fine of $5 000.</w:t>
      </w:r>
    </w:p>
    <w:p>
      <w:pPr>
        <w:pStyle w:val="Heading2"/>
      </w:pPr>
      <w:bookmarkStart w:id="237" w:name="_Toc375042098"/>
      <w:bookmarkStart w:id="238" w:name="_Toc415054215"/>
      <w:r>
        <w:rPr>
          <w:rStyle w:val="CharPartNo"/>
        </w:rPr>
        <w:t>Part 4</w:t>
      </w:r>
      <w:r>
        <w:rPr>
          <w:rStyle w:val="CharDivNo"/>
        </w:rPr>
        <w:t> </w:t>
      </w:r>
      <w:r>
        <w:t>—</w:t>
      </w:r>
      <w:r>
        <w:rPr>
          <w:rStyle w:val="CharDivText"/>
        </w:rPr>
        <w:t> </w:t>
      </w:r>
      <w:r>
        <w:rPr>
          <w:rStyle w:val="CharPartText"/>
        </w:rPr>
        <w:t>General provisions for identifying stock</w:t>
      </w:r>
      <w:bookmarkEnd w:id="237"/>
      <w:bookmarkEnd w:id="238"/>
    </w:p>
    <w:p>
      <w:pPr>
        <w:pStyle w:val="Heading5"/>
      </w:pPr>
      <w:bookmarkStart w:id="239" w:name="_Toc375042099"/>
      <w:bookmarkStart w:id="240" w:name="_Toc415054216"/>
      <w:r>
        <w:rPr>
          <w:rStyle w:val="CharSectno"/>
        </w:rPr>
        <w:t>68</w:t>
      </w:r>
      <w:r>
        <w:t>.</w:t>
      </w:r>
      <w:r>
        <w:tab/>
        <w:t>Term used: identifier</w:t>
      </w:r>
      <w:bookmarkEnd w:id="239"/>
      <w:bookmarkEnd w:id="240"/>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241" w:name="_Toc375042100"/>
      <w:bookmarkStart w:id="242" w:name="_Toc415054217"/>
      <w:r>
        <w:rPr>
          <w:rStyle w:val="CharSectno"/>
        </w:rPr>
        <w:t>69</w:t>
      </w:r>
      <w:r>
        <w:t>.</w:t>
      </w:r>
      <w:r>
        <w:tab/>
        <w:t>Director General may exempt stock from identification requirements</w:t>
      </w:r>
      <w:bookmarkEnd w:id="241"/>
      <w:bookmarkEnd w:id="242"/>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243" w:name="_Toc375042101"/>
      <w:bookmarkStart w:id="244" w:name="_Toc415054218"/>
      <w:r>
        <w:rPr>
          <w:rStyle w:val="CharSectno"/>
        </w:rPr>
        <w:t>70</w:t>
      </w:r>
      <w:r>
        <w:t>.</w:t>
      </w:r>
      <w:r>
        <w:tab/>
        <w:t>Identification exemption certificates</w:t>
      </w:r>
      <w:bookmarkEnd w:id="243"/>
      <w:bookmarkEnd w:id="244"/>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a fine of $2 000.</w:t>
      </w:r>
    </w:p>
    <w:p>
      <w:pPr>
        <w:pStyle w:val="Heading5"/>
      </w:pPr>
      <w:bookmarkStart w:id="245" w:name="_Toc375042102"/>
      <w:bookmarkStart w:id="246" w:name="_Toc415054219"/>
      <w:r>
        <w:rPr>
          <w:rStyle w:val="CharSectno"/>
        </w:rPr>
        <w:t>71</w:t>
      </w:r>
      <w:r>
        <w:t>.</w:t>
      </w:r>
      <w:r>
        <w:tab/>
        <w:t>When stock not properly identified</w:t>
      </w:r>
      <w:bookmarkEnd w:id="245"/>
      <w:bookmarkEnd w:id="246"/>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247" w:name="_Toc375042103"/>
      <w:bookmarkStart w:id="248" w:name="_Toc415054220"/>
      <w:r>
        <w:rPr>
          <w:rStyle w:val="CharSectno"/>
        </w:rPr>
        <w:t>72</w:t>
      </w:r>
      <w:r>
        <w:t>.</w:t>
      </w:r>
      <w:r>
        <w:tab/>
        <w:t>Altered or damaged identifiers</w:t>
      </w:r>
      <w:bookmarkEnd w:id="247"/>
      <w:bookmarkEnd w:id="248"/>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Heading5"/>
      </w:pPr>
      <w:bookmarkStart w:id="249" w:name="_Toc375042104"/>
      <w:bookmarkStart w:id="250" w:name="_Toc415054221"/>
      <w:r>
        <w:rPr>
          <w:rStyle w:val="CharSectno"/>
        </w:rPr>
        <w:t>73</w:t>
      </w:r>
      <w:r>
        <w:t>.</w:t>
      </w:r>
      <w:r>
        <w:tab/>
        <w:t>Possession of unidentified stock</w:t>
      </w:r>
      <w:bookmarkEnd w:id="249"/>
      <w:bookmarkEnd w:id="250"/>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a fine of $5 000.</w:t>
      </w:r>
    </w:p>
    <w:p>
      <w:pPr>
        <w:pStyle w:val="Subsection"/>
      </w:pPr>
      <w:r>
        <w:tab/>
        <w:t>(2)</w:t>
      </w:r>
      <w:r>
        <w:tab/>
        <w:t>A person does not commit an offence under subregulation (1) if the person is in possession or control of a live animal for the purpose of impounding it.</w:t>
      </w:r>
    </w:p>
    <w:p>
      <w:pPr>
        <w:pStyle w:val="Heading5"/>
      </w:pPr>
      <w:bookmarkStart w:id="251" w:name="_Toc375042105"/>
      <w:bookmarkStart w:id="252" w:name="_Toc415054222"/>
      <w:r>
        <w:rPr>
          <w:rStyle w:val="CharSectno"/>
        </w:rPr>
        <w:t>74</w:t>
      </w:r>
      <w:r>
        <w:t>.</w:t>
      </w:r>
      <w:r>
        <w:tab/>
        <w:t>Things that may be confused with identifiers</w:t>
      </w:r>
      <w:bookmarkEnd w:id="251"/>
      <w:bookmarkEnd w:id="252"/>
      <w:r>
        <w:t xml:space="preserve"> </w:t>
      </w:r>
    </w:p>
    <w:p>
      <w:pPr>
        <w:pStyle w:val="Subsection"/>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253" w:name="_Toc375042106"/>
      <w:bookmarkStart w:id="254" w:name="_Toc415054223"/>
      <w:r>
        <w:rPr>
          <w:rStyle w:val="CharPartNo"/>
        </w:rPr>
        <w:t>Part 5</w:t>
      </w:r>
      <w:r>
        <w:t> — </w:t>
      </w:r>
      <w:r>
        <w:rPr>
          <w:rStyle w:val="CharPartText"/>
        </w:rPr>
        <w:t>Identifying cattle and buffalo</w:t>
      </w:r>
      <w:bookmarkEnd w:id="253"/>
      <w:bookmarkEnd w:id="254"/>
    </w:p>
    <w:p>
      <w:pPr>
        <w:pStyle w:val="Heading3"/>
      </w:pPr>
      <w:bookmarkStart w:id="255" w:name="_Toc375042107"/>
      <w:bookmarkStart w:id="256" w:name="_Toc415054224"/>
      <w:r>
        <w:rPr>
          <w:rStyle w:val="CharDivNo"/>
        </w:rPr>
        <w:t>Division 1</w:t>
      </w:r>
      <w:r>
        <w:t> — </w:t>
      </w:r>
      <w:r>
        <w:rPr>
          <w:rStyle w:val="CharDivText"/>
        </w:rPr>
        <w:t>Terms used</w:t>
      </w:r>
      <w:bookmarkEnd w:id="255"/>
      <w:bookmarkEnd w:id="256"/>
    </w:p>
    <w:p>
      <w:pPr>
        <w:pStyle w:val="Heading5"/>
      </w:pPr>
      <w:bookmarkStart w:id="257" w:name="_Toc375042108"/>
      <w:bookmarkStart w:id="258" w:name="_Toc415054225"/>
      <w:r>
        <w:rPr>
          <w:rStyle w:val="CharSectno"/>
        </w:rPr>
        <w:t>75</w:t>
      </w:r>
      <w:r>
        <w:t>.</w:t>
      </w:r>
      <w:r>
        <w:tab/>
        <w:t>Terms used</w:t>
      </w:r>
      <w:bookmarkEnd w:id="257"/>
      <w:bookmarkEnd w:id="258"/>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259" w:name="_Toc375042109"/>
      <w:bookmarkStart w:id="260" w:name="_Toc415054226"/>
      <w:r>
        <w:rPr>
          <w:rStyle w:val="CharDivNo"/>
        </w:rPr>
        <w:t>Division 2</w:t>
      </w:r>
      <w:r>
        <w:t> — </w:t>
      </w:r>
      <w:r>
        <w:rPr>
          <w:rStyle w:val="CharDivText"/>
        </w:rPr>
        <w:t>Owners of cattle or buffalo</w:t>
      </w:r>
      <w:bookmarkEnd w:id="259"/>
      <w:bookmarkEnd w:id="260"/>
    </w:p>
    <w:p>
      <w:pPr>
        <w:pStyle w:val="Heading4"/>
      </w:pPr>
      <w:bookmarkStart w:id="261" w:name="_Toc375042110"/>
      <w:bookmarkStart w:id="262" w:name="_Toc415054227"/>
      <w:r>
        <w:t>Subdivision 1 — Registered identifiers and approved identifiers</w:t>
      </w:r>
      <w:bookmarkEnd w:id="261"/>
      <w:bookmarkEnd w:id="262"/>
    </w:p>
    <w:p>
      <w:pPr>
        <w:pStyle w:val="Heading5"/>
      </w:pPr>
      <w:bookmarkStart w:id="263" w:name="_Toc375042111"/>
      <w:bookmarkStart w:id="264" w:name="_Toc415054228"/>
      <w:r>
        <w:rPr>
          <w:rStyle w:val="CharSectno"/>
        </w:rPr>
        <w:t>76</w:t>
      </w:r>
      <w:r>
        <w:t>.</w:t>
      </w:r>
      <w:r>
        <w:tab/>
        <w:t>Owners to identify cattle and buffalo</w:t>
      </w:r>
      <w:bookmarkEnd w:id="263"/>
      <w:bookmarkEnd w:id="264"/>
    </w:p>
    <w:p>
      <w:pPr>
        <w:pStyle w:val="Subsection"/>
        <w:rPr>
          <w:snapToGrid w:val="0"/>
        </w:rPr>
      </w:pPr>
      <w:r>
        <w:tab/>
        <w:t>(1)</w:t>
      </w:r>
      <w:r>
        <w:tab/>
        <w:t xml:space="preserve">An </w:t>
      </w:r>
      <w:r>
        <w:rPr>
          <w:snapToGrid w:val="0"/>
        </w:rPr>
        <w:t>owner of cattle or buffalo kept on a property in the south</w:t>
      </w:r>
      <w:r>
        <w:rPr>
          <w:snapToGrid w:val="0"/>
        </w:rPr>
        <w:noBreakHyphen/>
        <w:t xml:space="preserve">west of the State, other than — </w:t>
      </w:r>
    </w:p>
    <w:p>
      <w:pPr>
        <w:pStyle w:val="Indenta"/>
        <w:rPr>
          <w:snapToGrid w:val="0"/>
        </w:rPr>
      </w:pPr>
      <w:r>
        <w:rPr>
          <w:snapToGrid w:val="0"/>
        </w:rPr>
        <w:tab/>
        <w:t>(a)</w:t>
      </w:r>
      <w:r>
        <w:rPr>
          <w:snapToGrid w:val="0"/>
        </w:rPr>
        <w:tab/>
        <w:t xml:space="preserve">imported cattle or buffalo; or </w:t>
      </w:r>
    </w:p>
    <w:p>
      <w:pPr>
        <w:pStyle w:val="Indenta"/>
        <w:rPr>
          <w:snapToGrid w:val="0"/>
        </w:rPr>
      </w:pPr>
      <w:r>
        <w:rPr>
          <w:snapToGrid w:val="0"/>
        </w:rPr>
        <w:tab/>
        <w:t>(b)</w:t>
      </w:r>
      <w:r>
        <w:rPr>
          <w:snapToGrid w:val="0"/>
        </w:rPr>
        <w:tab/>
        <w:t xml:space="preserve">cattle or buffalo from a pound, </w:t>
      </w:r>
    </w:p>
    <w:p>
      <w:pPr>
        <w:pStyle w:val="Subsection"/>
        <w:rPr>
          <w:snapToGrid w:val="0"/>
        </w:rPr>
      </w:pPr>
      <w:r>
        <w:rPr>
          <w:snapToGrid w:val="0"/>
        </w:rPr>
        <w:tab/>
      </w:r>
      <w:r>
        <w:rPr>
          <w:snapToGrid w:val="0"/>
        </w:rPr>
        <w:tab/>
        <w:t xml:space="preserve">must identify each of the cattle or buffalo, or cause them to be identified, in accordance with this regulation — </w:t>
      </w:r>
    </w:p>
    <w:p>
      <w:pPr>
        <w:pStyle w:val="Indenta"/>
        <w:rPr>
          <w:snapToGrid w:val="0"/>
        </w:rPr>
      </w:pPr>
      <w:r>
        <w:tab/>
        <w:t>(c)</w:t>
      </w:r>
      <w:r>
        <w:tab/>
      </w:r>
      <w:r>
        <w:rPr>
          <w:snapToGrid w:val="0"/>
        </w:rPr>
        <w:t>if the animal is moved from the property on which it is kept before it reaches 6 months of age and before it is identified in accordance with this regulation — when it is moved; or</w:t>
      </w:r>
    </w:p>
    <w:p>
      <w:pPr>
        <w:pStyle w:val="Indenta"/>
        <w:rPr>
          <w:snapToGrid w:val="0"/>
        </w:rPr>
      </w:pPr>
      <w:r>
        <w:tab/>
        <w:t>(d)</w:t>
      </w:r>
      <w:r>
        <w:tab/>
      </w:r>
      <w:r>
        <w:rPr>
          <w:snapToGrid w:val="0"/>
        </w:rPr>
        <w:t>otherwise — before it reaches 6 months of age.</w:t>
      </w:r>
    </w:p>
    <w:p>
      <w:pPr>
        <w:pStyle w:val="Penstart"/>
      </w:pPr>
      <w:r>
        <w:tab/>
        <w:t>Penalty: a fine of $2 000.</w:t>
      </w:r>
    </w:p>
    <w:p>
      <w:pPr>
        <w:pStyle w:val="Subsection"/>
        <w:rPr>
          <w:snapToGrid w:val="0"/>
        </w:rPr>
      </w:pPr>
      <w:r>
        <w:tab/>
        <w:t>(2)</w:t>
      </w:r>
      <w:r>
        <w:tab/>
        <w:t xml:space="preserve">An </w:t>
      </w:r>
      <w:r>
        <w:rPr>
          <w:snapToGrid w:val="0"/>
        </w:rPr>
        <w:t xml:space="preserve">owner of cattle or buffalo, other than — </w:t>
      </w:r>
    </w:p>
    <w:p>
      <w:pPr>
        <w:pStyle w:val="Indenta"/>
      </w:pPr>
      <w:r>
        <w:tab/>
        <w:t>(a)</w:t>
      </w:r>
      <w:r>
        <w:tab/>
        <w:t>imported cattle or buffalo; or</w:t>
      </w:r>
    </w:p>
    <w:p>
      <w:pPr>
        <w:pStyle w:val="Indenta"/>
      </w:pPr>
      <w:r>
        <w:tab/>
        <w:t>(b)</w:t>
      </w:r>
      <w:r>
        <w:tab/>
        <w:t>cattle or buffalo from a pound; or</w:t>
      </w:r>
    </w:p>
    <w:p>
      <w:pPr>
        <w:pStyle w:val="Indenta"/>
        <w:rPr>
          <w:snapToGrid w:val="0"/>
        </w:rPr>
      </w:pPr>
      <w:r>
        <w:tab/>
        <w:t>(c)</w:t>
      </w:r>
      <w:r>
        <w:tab/>
        <w:t xml:space="preserve">cattle or buffalo kept on a property </w:t>
      </w:r>
      <w:r>
        <w:rPr>
          <w:snapToGrid w:val="0"/>
        </w:rPr>
        <w:t>in the south</w:t>
      </w:r>
      <w:r>
        <w:rPr>
          <w:snapToGrid w:val="0"/>
        </w:rPr>
        <w:noBreakHyphen/>
        <w:t>west of the State,</w:t>
      </w:r>
    </w:p>
    <w:p>
      <w:pPr>
        <w:pStyle w:val="Subsection"/>
        <w:rPr>
          <w:snapToGrid w:val="0"/>
        </w:rPr>
      </w:pPr>
      <w:r>
        <w:tab/>
      </w:r>
      <w:r>
        <w:tab/>
      </w:r>
      <w:r>
        <w:rPr>
          <w:snapToGrid w:val="0"/>
        </w:rPr>
        <w:t xml:space="preserve">must identify each of the cattle or buffalo, or cause them to be identified, in accordance with this regulation — </w:t>
      </w:r>
    </w:p>
    <w:p>
      <w:pPr>
        <w:pStyle w:val="Indenta"/>
        <w:rPr>
          <w:snapToGrid w:val="0"/>
        </w:rPr>
      </w:pPr>
      <w:r>
        <w:tab/>
        <w:t>(d)</w:t>
      </w:r>
      <w:r>
        <w:tab/>
      </w:r>
      <w:r>
        <w:rPr>
          <w:snapToGrid w:val="0"/>
        </w:rPr>
        <w:t>if the animal is moved from the property on which it is kept before it reaches 18 months of age</w:t>
      </w:r>
      <w:r>
        <w:t xml:space="preserve"> and before it is identified in accordance with this regulation</w:t>
      </w:r>
      <w:r>
        <w:rPr>
          <w:snapToGrid w:val="0"/>
        </w:rPr>
        <w:t> — when it is moved; or</w:t>
      </w:r>
    </w:p>
    <w:p>
      <w:pPr>
        <w:pStyle w:val="Indenta"/>
        <w:rPr>
          <w:snapToGrid w:val="0"/>
        </w:rPr>
      </w:pPr>
      <w:r>
        <w:tab/>
        <w:t>(e)</w:t>
      </w:r>
      <w:r>
        <w:tab/>
      </w:r>
      <w:r>
        <w:rPr>
          <w:snapToGrid w:val="0"/>
        </w:rPr>
        <w:t>otherwise — before it reaches 18 months of age.</w:t>
      </w:r>
    </w:p>
    <w:p>
      <w:pPr>
        <w:pStyle w:val="Penstart"/>
      </w:pPr>
      <w:r>
        <w:tab/>
        <w:t>Penalty: a fine of $2 000.</w:t>
      </w:r>
    </w:p>
    <w:p>
      <w:pPr>
        <w:pStyle w:val="Subsection"/>
      </w:pPr>
      <w:r>
        <w:tab/>
        <w:t>(3)</w:t>
      </w:r>
      <w:r>
        <w:tab/>
        <w:t xml:space="preserve">An owner of imported cattle or buffalo must identify each of the cattle or buffalo, or cause them to be identified, in accordance with this regulation — </w:t>
      </w:r>
    </w:p>
    <w:p>
      <w:pPr>
        <w:pStyle w:val="Indenta"/>
      </w:pPr>
      <w:r>
        <w:tab/>
        <w:t>(a)</w:t>
      </w:r>
      <w:r>
        <w:tab/>
        <w:t>if the animal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(4)</w:t>
      </w:r>
      <w:r>
        <w:tab/>
        <w:t>An owner of cattle or buffalo from a pound must identify each of the cattle or buffalo, or cause them to be identified, in accordance with this regulation —</w:t>
      </w:r>
    </w:p>
    <w:p>
      <w:pPr>
        <w:pStyle w:val="Indenta"/>
      </w:pPr>
      <w:r>
        <w:tab/>
        <w:t>(a)</w:t>
      </w:r>
      <w:r>
        <w:tab/>
        <w:t>if the animal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 xml:space="preserve">For the purposes of this regulation, an owner of cattle or buffalo may identify the cattle or buffalo, or cause them to be identified, with all or any of the following identifiers — </w:t>
      </w:r>
    </w:p>
    <w:p>
      <w:pPr>
        <w:pStyle w:val="Indenta"/>
      </w:pPr>
      <w:r>
        <w:tab/>
        <w:t>(a)</w:t>
      </w:r>
      <w:r>
        <w:tab/>
        <w:t xml:space="preserve">a registered identifier applied as a brand in accordance with regulation 78; </w:t>
      </w:r>
    </w:p>
    <w:p>
      <w:pPr>
        <w:pStyle w:val="Indenta"/>
      </w:pPr>
      <w:r>
        <w:tab/>
        <w:t>(b)</w:t>
      </w:r>
      <w:r>
        <w:tab/>
        <w:t xml:space="preserve">a registered identifier applied as an earmark in accordance with regulation 79; </w:t>
      </w:r>
    </w:p>
    <w:p>
      <w:pPr>
        <w:pStyle w:val="Indenta"/>
      </w:pPr>
      <w:r>
        <w:tab/>
        <w:t>(c)</w:t>
      </w:r>
      <w:r>
        <w:tab/>
        <w:t>an approved identifier for cattle or buffalo.</w:t>
      </w:r>
    </w:p>
    <w:p>
      <w:pPr>
        <w:pStyle w:val="Heading5"/>
      </w:pPr>
      <w:bookmarkStart w:id="265" w:name="_Toc375042112"/>
      <w:bookmarkStart w:id="266" w:name="_Toc415054229"/>
      <w:r>
        <w:rPr>
          <w:rStyle w:val="CharSectno"/>
        </w:rPr>
        <w:t>77</w:t>
      </w:r>
      <w:r>
        <w:t>.</w:t>
      </w:r>
      <w:r>
        <w:tab/>
        <w:t>Exemption for calves</w:t>
      </w:r>
      <w:bookmarkEnd w:id="265"/>
      <w:bookmarkEnd w:id="266"/>
      <w:r>
        <w:t xml:space="preserve"> </w:t>
      </w:r>
    </w:p>
    <w:p>
      <w:pPr>
        <w:pStyle w:val="Subsection"/>
      </w:pPr>
      <w:r>
        <w:tab/>
      </w:r>
      <w:r>
        <w:tab/>
        <w:t>It is not necessary for cattle or buffalo to be identified in accordance with regulation 76(1)(c), (2)(d), (3)(a) or (4)(a) if the animal is being moved with its mother from the property on which it is kept to another property with the same relevant PIC.</w:t>
      </w:r>
    </w:p>
    <w:p>
      <w:pPr>
        <w:pStyle w:val="Heading5"/>
      </w:pPr>
      <w:bookmarkStart w:id="267" w:name="_Toc375042113"/>
      <w:bookmarkStart w:id="268" w:name="_Toc415054230"/>
      <w:r>
        <w:rPr>
          <w:rStyle w:val="CharSectno"/>
        </w:rPr>
        <w:t>78</w:t>
      </w:r>
      <w:r>
        <w:t>.</w:t>
      </w:r>
      <w:r>
        <w:tab/>
        <w:t>Registered identifier applied as brand</w:t>
      </w:r>
      <w:bookmarkEnd w:id="267"/>
      <w:bookmarkEnd w:id="268"/>
    </w:p>
    <w:p>
      <w:pPr>
        <w:pStyle w:val="Subsection"/>
        <w:rPr>
          <w:snapToGrid w:val="0"/>
        </w:rPr>
      </w:pPr>
      <w:r>
        <w:tab/>
        <w:t>(1)</w:t>
      </w:r>
      <w:r>
        <w:tab/>
        <w:t xml:space="preserve">A </w:t>
      </w:r>
      <w:r>
        <w:rPr>
          <w:snapToGrid w:val="0"/>
        </w:rPr>
        <w:t>registered identifier applied as a brand to cattle or buffalo must be applied as a firebrand or a freezeband in accordance with this regulation.</w:t>
      </w:r>
    </w:p>
    <w:p>
      <w:pPr>
        <w:pStyle w:val="Subsection"/>
        <w:rPr>
          <w:snapToGrid w:val="0"/>
        </w:rPr>
      </w:pPr>
      <w:r>
        <w:tab/>
        <w:t>(2)</w:t>
      </w:r>
      <w:r>
        <w:tab/>
        <w:t>A</w:t>
      </w:r>
      <w:r>
        <w:rPr>
          <w:snapToGrid w:val="0"/>
        </w:rPr>
        <w:t xml:space="preserve"> firebrand must not be applied to the horn of cattle.</w:t>
      </w:r>
    </w:p>
    <w:p>
      <w:pPr>
        <w:pStyle w:val="Subsection"/>
        <w:rPr>
          <w:snapToGrid w:val="0"/>
        </w:rPr>
      </w:pPr>
      <w:r>
        <w:tab/>
        <w:t>(3)</w:t>
      </w:r>
      <w:r>
        <w:tab/>
      </w:r>
      <w:r>
        <w:rPr>
          <w:snapToGrid w:val="0"/>
        </w:rPr>
        <w:t>A firebrand or freezeband must —</w:t>
      </w:r>
    </w:p>
    <w:p>
      <w:pPr>
        <w:pStyle w:val="Indenta"/>
        <w:rPr>
          <w:snapToGrid w:val="0"/>
        </w:rPr>
      </w:pPr>
      <w:r>
        <w:tab/>
        <w:t>(a)</w:t>
      </w:r>
      <w:r>
        <w:tab/>
      </w:r>
      <w:r>
        <w:rPr>
          <w:snapToGrid w:val="0"/>
        </w:rPr>
        <w:t>if applied to cattle — be applied to the near or left rump or shoulder; or</w:t>
      </w:r>
    </w:p>
    <w:p>
      <w:pPr>
        <w:pStyle w:val="Indenta"/>
        <w:rPr>
          <w:snapToGrid w:val="0"/>
        </w:rPr>
      </w:pPr>
      <w:r>
        <w:tab/>
        <w:t>(b)</w:t>
      </w:r>
      <w:r>
        <w:tab/>
      </w:r>
      <w:r>
        <w:rPr>
          <w:snapToGrid w:val="0"/>
        </w:rPr>
        <w:t xml:space="preserve">if applied to buffalo — </w:t>
      </w:r>
    </w:p>
    <w:p>
      <w:pPr>
        <w:pStyle w:val="Indenti"/>
        <w:rPr>
          <w:snapToGrid w:val="0"/>
        </w:rPr>
      </w:pPr>
      <w:r>
        <w:rPr>
          <w:snapToGrid w:val="0"/>
        </w:rPr>
        <w:tab/>
        <w:t>(i)</w:t>
      </w:r>
      <w:r>
        <w:rPr>
          <w:snapToGrid w:val="0"/>
        </w:rPr>
        <w:tab/>
        <w:t>be applied to the near or left rump or shoulder; or</w:t>
      </w:r>
    </w:p>
    <w:p>
      <w:pPr>
        <w:pStyle w:val="Indenti"/>
        <w:rPr>
          <w:snapToGrid w:val="0"/>
        </w:rPr>
      </w:pPr>
      <w:r>
        <w:rPr>
          <w:snapToGrid w:val="0"/>
        </w:rPr>
        <w:tab/>
        <w:t>(ii)</w:t>
      </w:r>
      <w:r>
        <w:rPr>
          <w:snapToGrid w:val="0"/>
        </w:rPr>
        <w:tab/>
        <w:t>be applied to the horn.</w:t>
      </w:r>
    </w:p>
    <w:p>
      <w:pPr>
        <w:pStyle w:val="Subsection"/>
        <w:rPr>
          <w:snapToGrid w:val="0"/>
        </w:rPr>
      </w:pPr>
      <w:r>
        <w:tab/>
        <w:t>(4)</w:t>
      </w:r>
      <w:r>
        <w:tab/>
      </w:r>
      <w:r>
        <w:rPr>
          <w:snapToGrid w:val="0"/>
        </w:rPr>
        <w:t>A firebrand or freezeband must</w:t>
      </w:r>
      <w:r>
        <w:t xml:space="preserve"> be applied in the approved manner.</w:t>
      </w:r>
    </w:p>
    <w:p>
      <w:pPr>
        <w:pStyle w:val="Subsection"/>
      </w:pPr>
      <w:r>
        <w:tab/>
        <w:t>(5)</w:t>
      </w:r>
      <w:r>
        <w:tab/>
        <w:t xml:space="preserve">If — </w:t>
      </w:r>
    </w:p>
    <w:p>
      <w:pPr>
        <w:pStyle w:val="Indenta"/>
        <w:rPr>
          <w:snapToGrid w:val="0"/>
        </w:rPr>
      </w:pPr>
      <w:r>
        <w:rPr>
          <w:snapToGrid w:val="0"/>
        </w:rPr>
        <w:tab/>
        <w:t>(a)</w:t>
      </w:r>
      <w:r>
        <w:rPr>
          <w:snapToGrid w:val="0"/>
        </w:rPr>
        <w:tab/>
      </w:r>
      <w:r>
        <w:t>an animal</w:t>
      </w:r>
      <w:r>
        <w:rPr>
          <w:snapToGrid w:val="0"/>
        </w:rPr>
        <w:t xml:space="preserve"> is to be branded on the near or left rump or shoulder; and</w:t>
      </w:r>
    </w:p>
    <w:p>
      <w:pPr>
        <w:pStyle w:val="Indenta"/>
        <w:rPr>
          <w:snapToGrid w:val="0"/>
        </w:rPr>
      </w:pPr>
      <w:r>
        <w:rPr>
          <w:snapToGrid w:val="0"/>
        </w:rPr>
        <w:tab/>
        <w:t>(b)</w:t>
      </w:r>
      <w:r>
        <w:rPr>
          <w:snapToGrid w:val="0"/>
        </w:rPr>
        <w:tab/>
        <w:t>the animal has been previously branded, or has an age mark, on that rump or shoulder,</w:t>
      </w:r>
    </w:p>
    <w:p>
      <w:pPr>
        <w:pStyle w:val="Subsection"/>
        <w:rPr>
          <w:snapToGrid w:val="0"/>
        </w:rPr>
      </w:pPr>
      <w:r>
        <w:rPr>
          <w:snapToGrid w:val="0"/>
        </w:rPr>
        <w:tab/>
      </w:r>
      <w:r>
        <w:rPr>
          <w:snapToGrid w:val="0"/>
        </w:rPr>
        <w:tab/>
        <w:t>the brand must be applied immediately below the existing brand or age mark.</w:t>
      </w:r>
    </w:p>
    <w:p>
      <w:pPr>
        <w:pStyle w:val="Subsection"/>
        <w:keepNext/>
        <w:rPr>
          <w:snapToGrid w:val="0"/>
        </w:rPr>
      </w:pPr>
      <w:r>
        <w:tab/>
        <w:t>(6)</w:t>
      </w:r>
      <w:r>
        <w:tab/>
      </w:r>
      <w:r>
        <w:rPr>
          <w:snapToGrid w:val="0"/>
        </w:rPr>
        <w:t xml:space="preserve">A firebrand or freezeband must be — </w:t>
      </w:r>
    </w:p>
    <w:p>
      <w:pPr>
        <w:pStyle w:val="Indenta"/>
        <w:rPr>
          <w:snapToGrid w:val="0"/>
        </w:rPr>
      </w:pPr>
      <w:r>
        <w:rPr>
          <w:snapToGrid w:val="0"/>
        </w:rPr>
        <w:tab/>
        <w:t>(a)</w:t>
      </w:r>
      <w:r>
        <w:rPr>
          <w:snapToGrid w:val="0"/>
        </w:rPr>
        <w:tab/>
        <w:t>not less than 150 mm long and 50 mm in height at the time when it is applied; and</w:t>
      </w:r>
    </w:p>
    <w:p>
      <w:pPr>
        <w:pStyle w:val="Indenta"/>
      </w:pPr>
      <w:r>
        <w:tab/>
        <w:t>(b)</w:t>
      </w:r>
      <w:r>
        <w:tab/>
      </w:r>
      <w:r>
        <w:rPr>
          <w:snapToGrid w:val="0"/>
        </w:rPr>
        <w:t>clearly legible.</w:t>
      </w:r>
    </w:p>
    <w:p>
      <w:pPr>
        <w:pStyle w:val="Heading5"/>
      </w:pPr>
      <w:bookmarkStart w:id="269" w:name="_Toc375042114"/>
      <w:bookmarkStart w:id="270" w:name="_Toc415054231"/>
      <w:r>
        <w:rPr>
          <w:rStyle w:val="CharSectno"/>
        </w:rPr>
        <w:t>79</w:t>
      </w:r>
      <w:r>
        <w:t>.</w:t>
      </w:r>
      <w:r>
        <w:tab/>
        <w:t>Registered identifier applied as earmark</w:t>
      </w:r>
      <w:bookmarkEnd w:id="269"/>
      <w:bookmarkEnd w:id="270"/>
    </w:p>
    <w:p>
      <w:pPr>
        <w:pStyle w:val="Subsection"/>
        <w:rPr>
          <w:snapToGrid w:val="0"/>
        </w:rPr>
      </w:pPr>
      <w:r>
        <w:tab/>
        <w:t>(1)</w:t>
      </w:r>
      <w:r>
        <w:tab/>
      </w:r>
      <w:r>
        <w:rPr>
          <w:snapToGrid w:val="0"/>
        </w:rPr>
        <w:t xml:space="preserve">A registered identifier applied as an earmark to cattle or buffalo must — </w:t>
      </w:r>
    </w:p>
    <w:p>
      <w:pPr>
        <w:pStyle w:val="Indenta"/>
        <w:rPr>
          <w:snapToGrid w:val="0"/>
        </w:rPr>
      </w:pPr>
      <w:r>
        <w:rPr>
          <w:snapToGrid w:val="0"/>
        </w:rPr>
        <w:tab/>
        <w:t>(a)</w:t>
      </w:r>
      <w:r>
        <w:rPr>
          <w:snapToGrid w:val="0"/>
        </w:rPr>
        <w:tab/>
        <w:t>be applied to the ear of the animal specified for that purpose in the owner’s certificate of registration; and</w:t>
      </w:r>
    </w:p>
    <w:p>
      <w:pPr>
        <w:pStyle w:val="Indenta"/>
      </w:pPr>
      <w:r>
        <w:tab/>
        <w:t>(b)</w:t>
      </w:r>
      <w:r>
        <w:tab/>
        <w:t>meet the requirements of subregulation (2).</w:t>
      </w:r>
    </w:p>
    <w:p>
      <w:pPr>
        <w:pStyle w:val="Subsection"/>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Heading5"/>
      </w:pPr>
      <w:bookmarkStart w:id="271" w:name="_Toc375042115"/>
      <w:bookmarkStart w:id="272" w:name="_Toc415054232"/>
      <w:r>
        <w:rPr>
          <w:rStyle w:val="CharSectno"/>
        </w:rPr>
        <w:t>80</w:t>
      </w:r>
      <w:r>
        <w:t>.</w:t>
      </w:r>
      <w:r>
        <w:tab/>
        <w:t>Age marks, cullmarks and other markings</w:t>
      </w:r>
      <w:bookmarkEnd w:id="271"/>
      <w:bookmarkEnd w:id="272"/>
    </w:p>
    <w:p>
      <w:pPr>
        <w:pStyle w:val="Subsection"/>
        <w:rPr>
          <w:snapToGrid w:val="0"/>
        </w:rPr>
      </w:pPr>
      <w:r>
        <w:tab/>
      </w:r>
      <w:r>
        <w:tab/>
      </w:r>
      <w:r>
        <w:rPr>
          <w:snapToGrid w:val="0"/>
        </w:rPr>
        <w:t xml:space="preserve">A person must not apply an age mark, cullmark or other marking to cattle or buffalo unless — </w:t>
      </w:r>
    </w:p>
    <w:p>
      <w:pPr>
        <w:pStyle w:val="Indenta"/>
      </w:pPr>
      <w:r>
        <w:tab/>
        <w:t>(a)</w:t>
      </w:r>
      <w:r>
        <w:tab/>
        <w:t>if it is applied to the ear — it is not in the ear specified in the owner’s certificate of registration for the purpose of applying an earmark to cattle or buffalo, as the case may be; and</w:t>
      </w:r>
    </w:p>
    <w:p>
      <w:pPr>
        <w:pStyle w:val="Indenta"/>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pPr>
      <w:r>
        <w:tab/>
        <w:t>Penalty: a fine of $2 000.</w:t>
      </w:r>
    </w:p>
    <w:p>
      <w:pPr>
        <w:pStyle w:val="Heading5"/>
      </w:pPr>
      <w:bookmarkStart w:id="273" w:name="_Toc375042116"/>
      <w:bookmarkStart w:id="274" w:name="_Toc415054233"/>
      <w:r>
        <w:rPr>
          <w:rStyle w:val="CharSectno"/>
        </w:rPr>
        <w:t>81</w:t>
      </w:r>
      <w:r>
        <w:t>.</w:t>
      </w:r>
      <w:r>
        <w:tab/>
        <w:t>Spayed bovine females must be marked</w:t>
      </w:r>
      <w:bookmarkEnd w:id="273"/>
      <w:bookmarkEnd w:id="274"/>
    </w:p>
    <w:p>
      <w:pPr>
        <w:pStyle w:val="Subsection"/>
        <w:keepNext/>
        <w:rPr>
          <w:snapToGrid w:val="0"/>
        </w:rPr>
      </w:pPr>
      <w:r>
        <w:rPr>
          <w:snapToGrid w:val="0"/>
        </w:rPr>
        <w:tab/>
        <w:t>(1)</w:t>
      </w:r>
      <w:r>
        <w:rPr>
          <w:snapToGrid w:val="0"/>
        </w:rPr>
        <w:tab/>
        <w:t>An owner of a spayed bovine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Heading4"/>
      </w:pPr>
      <w:bookmarkStart w:id="275" w:name="_Toc375042117"/>
      <w:bookmarkStart w:id="276" w:name="_Toc415054234"/>
      <w:r>
        <w:t>Subdivision 2 — NLIS identification</w:t>
      </w:r>
      <w:bookmarkEnd w:id="275"/>
      <w:bookmarkEnd w:id="276"/>
    </w:p>
    <w:p>
      <w:pPr>
        <w:pStyle w:val="Heading5"/>
        <w:spacing w:before="180"/>
      </w:pPr>
      <w:bookmarkStart w:id="277" w:name="_Toc375042118"/>
      <w:bookmarkStart w:id="278" w:name="_Toc415054235"/>
      <w:r>
        <w:rPr>
          <w:rStyle w:val="CharSectno"/>
        </w:rPr>
        <w:t>82</w:t>
      </w:r>
      <w:r>
        <w:t>.</w:t>
      </w:r>
      <w:r>
        <w:tab/>
        <w:t>Responsibilities of owner before moving cattle or buffalo</w:t>
      </w:r>
      <w:bookmarkEnd w:id="277"/>
      <w:bookmarkEnd w:id="278"/>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279" w:name="_Toc375042119"/>
      <w:bookmarkStart w:id="280" w:name="_Toc415054236"/>
      <w:r>
        <w:rPr>
          <w:rStyle w:val="CharSectno"/>
        </w:rPr>
        <w:t>83</w:t>
      </w:r>
      <w:r>
        <w:t>.</w:t>
      </w:r>
      <w:r>
        <w:tab/>
        <w:t>Exemptions from NLIS identification</w:t>
      </w:r>
      <w:bookmarkEnd w:id="279"/>
      <w:bookmarkEnd w:id="280"/>
    </w:p>
    <w:p>
      <w:pPr>
        <w:pStyle w:val="Subsection"/>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281" w:name="_Toc375042120"/>
      <w:bookmarkStart w:id="282" w:name="_Toc415054237"/>
      <w:r>
        <w:rPr>
          <w:rStyle w:val="CharSectno"/>
        </w:rPr>
        <w:t>84</w:t>
      </w:r>
      <w:r>
        <w:t>.</w:t>
      </w:r>
      <w:r>
        <w:tab/>
        <w:t>Responsibilities of owner after moving animal</w:t>
      </w:r>
      <w:bookmarkEnd w:id="281"/>
      <w:bookmarkEnd w:id="282"/>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a fine of $5 000.</w:t>
      </w:r>
    </w:p>
    <w:p>
      <w:pPr>
        <w:pStyle w:val="Subsection"/>
      </w:pPr>
      <w:r>
        <w:tab/>
        <w:t>(2)</w:t>
      </w:r>
      <w:r>
        <w:tab/>
        <w:t>Subregulation (1) does not apply if —</w:t>
      </w:r>
    </w:p>
    <w:p>
      <w:pPr>
        <w:pStyle w:val="Indenta"/>
      </w:pPr>
      <w:r>
        <w:tab/>
        <w:t>(a)</w:t>
      </w:r>
      <w:r>
        <w:tab/>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pPr>
      <w:r>
        <w:tab/>
        <w:t>(d)</w:t>
      </w:r>
      <w:r>
        <w:tab/>
      </w:r>
      <w:r>
        <w:rPr>
          <w:snapToGrid w:val="0"/>
        </w:rPr>
        <w:t>the owner moves the animal directly to an abattoir for slaughter;</w:t>
      </w:r>
      <w:r>
        <w:t xml:space="preserve"> or</w:t>
      </w:r>
    </w:p>
    <w:p>
      <w:pPr>
        <w:pStyle w:val="Indenta"/>
        <w:rPr>
          <w:snapToGrid w:val="0"/>
        </w:rPr>
      </w:pPr>
      <w:r>
        <w:tab/>
        <w:t>(e)</w:t>
      </w:r>
      <w:r>
        <w:tab/>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NLIS database.</w:t>
      </w:r>
    </w:p>
    <w:p>
      <w:pPr>
        <w:pStyle w:val="Heading3"/>
      </w:pPr>
      <w:bookmarkStart w:id="283" w:name="_Toc375042121"/>
      <w:bookmarkStart w:id="284" w:name="_Toc415054238"/>
      <w:r>
        <w:rPr>
          <w:rStyle w:val="CharDivNo"/>
        </w:rPr>
        <w:t>Division 3</w:t>
      </w:r>
      <w:r>
        <w:t> — </w:t>
      </w:r>
      <w:r>
        <w:rPr>
          <w:rStyle w:val="CharDivText"/>
        </w:rPr>
        <w:t>Other requirements for cattle and buffalo</w:t>
      </w:r>
      <w:bookmarkEnd w:id="283"/>
      <w:bookmarkEnd w:id="284"/>
    </w:p>
    <w:p>
      <w:pPr>
        <w:pStyle w:val="Heading4"/>
      </w:pPr>
      <w:bookmarkStart w:id="285" w:name="_Toc375042122"/>
      <w:bookmarkStart w:id="286" w:name="_Toc415054239"/>
      <w:r>
        <w:t>Subdivision 1 — Imported animals, animals from a pound and dead stray animals</w:t>
      </w:r>
      <w:bookmarkEnd w:id="285"/>
      <w:bookmarkEnd w:id="286"/>
    </w:p>
    <w:p>
      <w:pPr>
        <w:pStyle w:val="Heading5"/>
      </w:pPr>
      <w:bookmarkStart w:id="287" w:name="_Toc375042123"/>
      <w:bookmarkStart w:id="288" w:name="_Toc415054240"/>
      <w:r>
        <w:rPr>
          <w:rStyle w:val="CharSectno"/>
        </w:rPr>
        <w:t>85</w:t>
      </w:r>
      <w:r>
        <w:t>.</w:t>
      </w:r>
      <w:r>
        <w:tab/>
        <w:t>Imported cattle and buffalo</w:t>
      </w:r>
      <w:bookmarkEnd w:id="287"/>
      <w:bookmarkEnd w:id="288"/>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289" w:name="_Toc375042124"/>
      <w:bookmarkStart w:id="290" w:name="_Toc415054241"/>
      <w:r>
        <w:rPr>
          <w:rStyle w:val="CharSectno"/>
        </w:rPr>
        <w:t>86</w:t>
      </w:r>
      <w:r>
        <w:t>.</w:t>
      </w:r>
      <w:r>
        <w:tab/>
        <w:t>Cattle and buffalo from a pound</w:t>
      </w:r>
      <w:bookmarkEnd w:id="289"/>
      <w:bookmarkEnd w:id="290"/>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291" w:name="_Toc375042125"/>
      <w:bookmarkStart w:id="292" w:name="_Toc415054242"/>
      <w:r>
        <w:rPr>
          <w:rStyle w:val="CharSectno"/>
        </w:rPr>
        <w:t>87</w:t>
      </w:r>
      <w:r>
        <w:t>.</w:t>
      </w:r>
      <w:r>
        <w:tab/>
        <w:t>Dead stray cattle and buffalo</w:t>
      </w:r>
      <w:bookmarkEnd w:id="291"/>
      <w:bookmarkEnd w:id="292"/>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293" w:name="_Toc375042126"/>
      <w:bookmarkStart w:id="294" w:name="_Toc415054243"/>
      <w:r>
        <w:t>Subdivision 2 — Carriers and purchasers</w:t>
      </w:r>
      <w:bookmarkEnd w:id="293"/>
      <w:bookmarkEnd w:id="294"/>
    </w:p>
    <w:p>
      <w:pPr>
        <w:pStyle w:val="Heading5"/>
      </w:pPr>
      <w:bookmarkStart w:id="295" w:name="_Toc375042127"/>
      <w:bookmarkStart w:id="296" w:name="_Toc415054244"/>
      <w:r>
        <w:rPr>
          <w:rStyle w:val="CharSectno"/>
        </w:rPr>
        <w:t>88</w:t>
      </w:r>
      <w:r>
        <w:t>.</w:t>
      </w:r>
      <w:r>
        <w:tab/>
        <w:t>Responsibilities of carriers</w:t>
      </w:r>
      <w:bookmarkEnd w:id="295"/>
      <w:bookmarkEnd w:id="296"/>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pPr>
      <w:r>
        <w:tab/>
        <w:t>(b)</w:t>
      </w:r>
      <w:r>
        <w:tab/>
        <w:t>any animal being moved from another property.</w:t>
      </w:r>
    </w:p>
    <w:p>
      <w:pPr>
        <w:pStyle w:val="Penstart"/>
      </w:pPr>
      <w:r>
        <w:tab/>
        <w:t>Penalty: a fine of $2 000.</w:t>
      </w:r>
    </w:p>
    <w:p>
      <w:pPr>
        <w:pStyle w:val="Heading5"/>
      </w:pPr>
      <w:bookmarkStart w:id="297" w:name="_Toc375042128"/>
      <w:bookmarkStart w:id="298" w:name="_Toc415054245"/>
      <w:r>
        <w:rPr>
          <w:rStyle w:val="CharSectno"/>
        </w:rPr>
        <w:t>89</w:t>
      </w:r>
      <w:r>
        <w:t>.</w:t>
      </w:r>
      <w:r>
        <w:tab/>
        <w:t>Responsibilities of purchasers</w:t>
      </w:r>
      <w:bookmarkEnd w:id="297"/>
      <w:bookmarkEnd w:id="298"/>
    </w:p>
    <w:p>
      <w:pPr>
        <w:pStyle w:val="Subsection"/>
      </w:pPr>
      <w:r>
        <w:tab/>
        <w:t>(1)</w:t>
      </w:r>
      <w:r>
        <w:tab/>
        <w:t>A purchaser of an animal at a property, other than a saleyard, must, when requested by the property operator, give the</w:t>
      </w:r>
      <w:r>
        <w:rPr>
          <w:snapToGrid w:val="0"/>
        </w:rPr>
        <w:t xml:space="preserve"> relevant PIC of the property on which the animal is to be kept or slaughtered, or from which the animal is to be exported, by the purchaser</w:t>
      </w:r>
      <w:r>
        <w:t>.</w:t>
      </w:r>
    </w:p>
    <w:p>
      <w:pPr>
        <w:pStyle w:val="Penstart"/>
      </w:pPr>
      <w:r>
        <w:tab/>
        <w:t>Penalty: a fine of $5 000.</w:t>
      </w:r>
    </w:p>
    <w:p>
      <w:pPr>
        <w:pStyle w:val="Subsection"/>
      </w:pPr>
      <w:r>
        <w:tab/>
        <w:t>(2)</w:t>
      </w:r>
      <w:r>
        <w:tab/>
        <w:t xml:space="preserve">A purchaser of an animal at a saleyard must, when requested by the saleyard operator, give — </w:t>
      </w:r>
    </w:p>
    <w:p>
      <w:pPr>
        <w:pStyle w:val="Indenta"/>
      </w:pPr>
      <w:r>
        <w:tab/>
        <w:t>(a)</w:t>
      </w:r>
      <w:r>
        <w:tab/>
        <w:t>the</w:t>
      </w:r>
      <w:r>
        <w:rPr>
          <w:snapToGrid w:val="0"/>
        </w:rPr>
        <w:t xml:space="preserve"> relevant PIC of the property on which the animal is to be kept or slaughtered, or from which the animal is to be exported, by the purchaser</w:t>
      </w:r>
      <w:r>
        <w:t>; or</w:t>
      </w:r>
    </w:p>
    <w:p>
      <w:pPr>
        <w:pStyle w:val="Indenta"/>
      </w:pPr>
      <w:r>
        <w:tab/>
        <w:t>(b)</w:t>
      </w:r>
      <w:r>
        <w:tab/>
        <w:t>the purchaser’s BIC.</w:t>
      </w:r>
    </w:p>
    <w:p>
      <w:pPr>
        <w:pStyle w:val="Penstart"/>
      </w:pPr>
      <w:r>
        <w:tab/>
        <w:t>Penalty: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the relevant PIC of the property on which the animal is to be kept or slaughtered, or from which the animal is to be exported, by the purchaser;</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a fine of $5 000.</w:t>
      </w:r>
    </w:p>
    <w:p>
      <w:pPr>
        <w:pStyle w:val="Subsection"/>
      </w:pPr>
      <w:r>
        <w:tab/>
        <w:t>(4)</w:t>
      </w:r>
      <w:r>
        <w:tab/>
        <w:t>A purchaser of an animal at a property must not take possession or control of the animal unless it is moved in accordance with this Part.</w:t>
      </w:r>
    </w:p>
    <w:p>
      <w:pPr>
        <w:pStyle w:val="Penstart"/>
      </w:pPr>
      <w:r>
        <w:tab/>
        <w:t>Penalty: a fine of $5 000.</w:t>
      </w:r>
    </w:p>
    <w:p>
      <w:pPr>
        <w:pStyle w:val="Heading4"/>
      </w:pPr>
      <w:bookmarkStart w:id="299" w:name="_Toc375042129"/>
      <w:bookmarkStart w:id="300" w:name="_Toc415054246"/>
      <w:r>
        <w:t>Subdivision 3 — General provisions relating to property operators</w:t>
      </w:r>
      <w:bookmarkEnd w:id="299"/>
      <w:bookmarkEnd w:id="300"/>
    </w:p>
    <w:p>
      <w:pPr>
        <w:pStyle w:val="Heading5"/>
      </w:pPr>
      <w:bookmarkStart w:id="301" w:name="_Toc375042130"/>
      <w:bookmarkStart w:id="302" w:name="_Toc415054247"/>
      <w:r>
        <w:rPr>
          <w:rStyle w:val="CharSectno"/>
        </w:rPr>
        <w:t>90</w:t>
      </w:r>
      <w:r>
        <w:t>.</w:t>
      </w:r>
      <w:r>
        <w:tab/>
        <w:t>Cattle or buffalo not to be delivered to property without relevant PIC</w:t>
      </w:r>
      <w:bookmarkEnd w:id="301"/>
      <w:bookmarkEnd w:id="302"/>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303" w:name="_Toc375042131"/>
      <w:bookmarkStart w:id="304" w:name="_Toc415054248"/>
      <w:r>
        <w:rPr>
          <w:rStyle w:val="CharSectno"/>
        </w:rPr>
        <w:t>91</w:t>
      </w:r>
      <w:r>
        <w:t>.</w:t>
      </w:r>
      <w:r>
        <w:tab/>
        <w:t>Responsibilities of property operator if animal dies on or while being moved to property other than a pound</w:t>
      </w:r>
      <w:bookmarkEnd w:id="303"/>
      <w:bookmarkEnd w:id="304"/>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previous property;</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pPr>
      <w:r>
        <w:tab/>
        <w:t>(d)</w:t>
      </w:r>
      <w:r>
        <w:tab/>
        <w:t>the date of death.</w:t>
      </w:r>
    </w:p>
    <w:p>
      <w:pPr>
        <w:pStyle w:val="Penstart"/>
      </w:pPr>
      <w:r>
        <w:tab/>
        <w:t>Penalty: a fine of $2 000.</w:t>
      </w:r>
    </w:p>
    <w:p>
      <w:pPr>
        <w:pStyle w:val="Heading4"/>
      </w:pPr>
      <w:bookmarkStart w:id="305" w:name="_Toc375042132"/>
      <w:bookmarkStart w:id="306" w:name="_Toc415054249"/>
      <w:r>
        <w:t>Subdivision 4 — Pounds</w:t>
      </w:r>
      <w:bookmarkEnd w:id="305"/>
      <w:bookmarkEnd w:id="306"/>
    </w:p>
    <w:p>
      <w:pPr>
        <w:pStyle w:val="Heading5"/>
      </w:pPr>
      <w:bookmarkStart w:id="307" w:name="_Toc375042133"/>
      <w:bookmarkStart w:id="308" w:name="_Toc415054250"/>
      <w:r>
        <w:rPr>
          <w:rStyle w:val="CharSectno"/>
        </w:rPr>
        <w:t>92</w:t>
      </w:r>
      <w:r>
        <w:t>.</w:t>
      </w:r>
      <w:r>
        <w:tab/>
        <w:t>Responsibilities of pound operator if no NLIS device applied to animal</w:t>
      </w:r>
      <w:bookmarkEnd w:id="307"/>
      <w:bookmarkEnd w:id="308"/>
    </w:p>
    <w:p>
      <w:pPr>
        <w:pStyle w:val="Subsection"/>
        <w:spacing w:before="120"/>
      </w:pPr>
      <w:r>
        <w:tab/>
        <w:t>(1)</w:t>
      </w:r>
      <w:r>
        <w:tab/>
        <w:t>The operator of a pound may, before an animal is moved there,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Heading5"/>
      </w:pPr>
      <w:bookmarkStart w:id="309" w:name="_Toc375042134"/>
      <w:bookmarkStart w:id="310" w:name="_Toc415054251"/>
      <w:r>
        <w:rPr>
          <w:rStyle w:val="CharSectno"/>
        </w:rPr>
        <w:t>93</w:t>
      </w:r>
      <w:r>
        <w:t>.</w:t>
      </w:r>
      <w:r>
        <w:tab/>
        <w:t>Responsibilities of pound operator if animal born at or while being moved to pound</w:t>
      </w:r>
      <w:bookmarkEnd w:id="309"/>
      <w:bookmarkEnd w:id="310"/>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311" w:name="_Toc375042135"/>
      <w:bookmarkStart w:id="312" w:name="_Toc415054252"/>
      <w:r>
        <w:rPr>
          <w:rStyle w:val="CharSectno"/>
        </w:rPr>
        <w:t>94</w:t>
      </w:r>
      <w:r>
        <w:t>.</w:t>
      </w:r>
      <w:r>
        <w:tab/>
        <w:t>Responsibilities of pound operator if NLIS device applied to animal</w:t>
      </w:r>
      <w:bookmarkEnd w:id="311"/>
      <w:bookmarkEnd w:id="312"/>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Heading5"/>
        <w:spacing w:before="180"/>
      </w:pPr>
      <w:bookmarkStart w:id="313" w:name="_Toc375042136"/>
      <w:bookmarkStart w:id="314" w:name="_Toc415054253"/>
      <w:r>
        <w:rPr>
          <w:rStyle w:val="CharSectno"/>
        </w:rPr>
        <w:t>95</w:t>
      </w:r>
      <w:r>
        <w:t>.</w:t>
      </w:r>
      <w:r>
        <w:tab/>
        <w:t>Responsibilities of pound operator if animal moved from pound</w:t>
      </w:r>
      <w:bookmarkEnd w:id="313"/>
      <w:bookmarkEnd w:id="314"/>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on which the animal is to be kept or slaughtered, or from which the animal is to be exported, by the person.</w:t>
      </w:r>
    </w:p>
    <w:p>
      <w:pPr>
        <w:pStyle w:val="Penstart"/>
      </w:pPr>
      <w:r>
        <w:tab/>
        <w:t>Penalty: a fine of $2 000.</w:t>
      </w:r>
    </w:p>
    <w:p>
      <w:pPr>
        <w:pStyle w:val="Subsection"/>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a fine of $2 000.</w:t>
      </w:r>
    </w:p>
    <w:p>
      <w:pPr>
        <w:pStyle w:val="Heading5"/>
      </w:pPr>
      <w:bookmarkStart w:id="315" w:name="_Toc375042137"/>
      <w:bookmarkStart w:id="316" w:name="_Toc415054254"/>
      <w:r>
        <w:rPr>
          <w:rStyle w:val="CharSectno"/>
        </w:rPr>
        <w:t>96</w:t>
      </w:r>
      <w:r>
        <w:t>.</w:t>
      </w:r>
      <w:r>
        <w:tab/>
        <w:t>Responsibilities of pound operator if animal dies on or while being moved to pound</w:t>
      </w:r>
      <w:bookmarkEnd w:id="315"/>
      <w:bookmarkEnd w:id="316"/>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317" w:name="_Toc375042138"/>
      <w:bookmarkStart w:id="318" w:name="_Toc415054255"/>
      <w:r>
        <w:t>Subdivision 5 — Holding yards</w:t>
      </w:r>
      <w:bookmarkEnd w:id="317"/>
      <w:bookmarkEnd w:id="318"/>
    </w:p>
    <w:p>
      <w:pPr>
        <w:pStyle w:val="Heading5"/>
      </w:pPr>
      <w:bookmarkStart w:id="319" w:name="_Toc375042139"/>
      <w:bookmarkStart w:id="320" w:name="_Toc415054256"/>
      <w:r>
        <w:rPr>
          <w:rStyle w:val="CharSectno"/>
        </w:rPr>
        <w:t>97</w:t>
      </w:r>
      <w:r>
        <w:t>.</w:t>
      </w:r>
      <w:r>
        <w:tab/>
        <w:t>Responsibilities of holding yard operator if no NLIS device applied to animal</w:t>
      </w:r>
      <w:bookmarkEnd w:id="319"/>
      <w:bookmarkEnd w:id="320"/>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inform an inspector accordingly, and comply with any directions given to the operator by the inspector under regulation 98.</w:t>
      </w:r>
    </w:p>
    <w:p>
      <w:pPr>
        <w:pStyle w:val="Penstart"/>
      </w:pPr>
      <w:r>
        <w:tab/>
        <w:t>Penalty: a fine of $2 000.</w:t>
      </w:r>
    </w:p>
    <w:p>
      <w:pPr>
        <w:pStyle w:val="Heading5"/>
      </w:pPr>
      <w:bookmarkStart w:id="321" w:name="_Toc375042140"/>
      <w:bookmarkStart w:id="322" w:name="_Toc415054257"/>
      <w:r>
        <w:rPr>
          <w:rStyle w:val="CharSectno"/>
        </w:rPr>
        <w:t>98</w:t>
      </w:r>
      <w:r>
        <w:t>.</w:t>
      </w:r>
      <w:r>
        <w:tab/>
        <w:t>Directions by inspectors</w:t>
      </w:r>
      <w:bookmarkEnd w:id="321"/>
      <w:bookmarkEnd w:id="322"/>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323" w:name="_Toc375042141"/>
      <w:bookmarkStart w:id="324" w:name="_Toc415054258"/>
      <w:r>
        <w:rPr>
          <w:rStyle w:val="CharSectno"/>
        </w:rPr>
        <w:t>99</w:t>
      </w:r>
      <w:r>
        <w:t>.</w:t>
      </w:r>
      <w:r>
        <w:tab/>
        <w:t>Responsibilities of holding yard operator if animal born at or while being moved to holding yard</w:t>
      </w:r>
      <w:bookmarkEnd w:id="323"/>
      <w:bookmarkEnd w:id="324"/>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325" w:name="_Toc375042142"/>
      <w:bookmarkStart w:id="326" w:name="_Toc415054259"/>
      <w:r>
        <w:rPr>
          <w:rStyle w:val="CharSectno"/>
        </w:rPr>
        <w:t>100</w:t>
      </w:r>
      <w:r>
        <w:t>.</w:t>
      </w:r>
      <w:r>
        <w:tab/>
        <w:t>Responsibilities of holding yard operator if consignment held for less than 48 hours and moved from holding yard in a single consignment</w:t>
      </w:r>
      <w:bookmarkEnd w:id="325"/>
      <w:bookmarkEnd w:id="326"/>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keepNext/>
      </w:pPr>
      <w:r>
        <w:tab/>
        <w:t>Penalty: a fine of $2 000.</w:t>
      </w:r>
    </w:p>
    <w:p>
      <w:pPr>
        <w:pStyle w:val="Heading5"/>
      </w:pPr>
      <w:bookmarkStart w:id="327" w:name="_Toc375042143"/>
      <w:bookmarkStart w:id="328" w:name="_Toc415054260"/>
      <w:r>
        <w:rPr>
          <w:rStyle w:val="CharSectno"/>
        </w:rPr>
        <w:t>101</w:t>
      </w:r>
      <w:r>
        <w:t>.</w:t>
      </w:r>
      <w:r>
        <w:tab/>
        <w:t>Responsibilities of holding yard operator if animal held for less than 48 hours and moved from holding yard in different consignment</w:t>
      </w:r>
      <w:bookmarkEnd w:id="327"/>
      <w:bookmarkEnd w:id="328"/>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5"/>
      </w:pPr>
      <w:bookmarkStart w:id="329" w:name="_Toc375042144"/>
      <w:bookmarkStart w:id="330" w:name="_Toc415054261"/>
      <w:r>
        <w:rPr>
          <w:rStyle w:val="CharSectno"/>
        </w:rPr>
        <w:t>102</w:t>
      </w:r>
      <w:r>
        <w:t>.</w:t>
      </w:r>
      <w:r>
        <w:tab/>
        <w:t>Responsibilities of holding yard operator if animal held for more than 48 hours</w:t>
      </w:r>
      <w:bookmarkEnd w:id="329"/>
      <w:bookmarkEnd w:id="330"/>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331" w:name="_Toc375042145"/>
      <w:bookmarkStart w:id="332" w:name="_Toc415054262"/>
      <w:r>
        <w:t>Subdivision 6 — Saleyards</w:t>
      </w:r>
      <w:bookmarkEnd w:id="331"/>
      <w:bookmarkEnd w:id="332"/>
    </w:p>
    <w:p>
      <w:pPr>
        <w:pStyle w:val="Heading5"/>
      </w:pPr>
      <w:bookmarkStart w:id="333" w:name="_Toc375042146"/>
      <w:bookmarkStart w:id="334" w:name="_Toc415054263"/>
      <w:r>
        <w:rPr>
          <w:rStyle w:val="CharSectno"/>
        </w:rPr>
        <w:t>103</w:t>
      </w:r>
      <w:r>
        <w:t>.</w:t>
      </w:r>
      <w:r>
        <w:tab/>
        <w:t>When saleyard to be treated as holding yard</w:t>
      </w:r>
      <w:bookmarkEnd w:id="333"/>
      <w:bookmarkEnd w:id="334"/>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335" w:name="_Toc375042147"/>
      <w:bookmarkStart w:id="336" w:name="_Toc415054264"/>
      <w:r>
        <w:rPr>
          <w:rStyle w:val="CharSectno"/>
        </w:rPr>
        <w:t>104</w:t>
      </w:r>
      <w:r>
        <w:t>.</w:t>
      </w:r>
      <w:r>
        <w:tab/>
        <w:t>Responsibilities of saleyard operator if no NLIS device applied to animal</w:t>
      </w:r>
      <w:bookmarkEnd w:id="335"/>
      <w:bookmarkEnd w:id="336"/>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 and comply with any directions given to the operator by the inspector under regulation 105.</w:t>
      </w:r>
    </w:p>
    <w:p>
      <w:pPr>
        <w:pStyle w:val="Penstart"/>
      </w:pPr>
      <w:r>
        <w:tab/>
        <w:t>Penalty: a fine of $2 000.</w:t>
      </w:r>
    </w:p>
    <w:p>
      <w:pPr>
        <w:pStyle w:val="Subsection"/>
      </w:pPr>
      <w:r>
        <w:tab/>
        <w:t>(4)</w:t>
      </w:r>
      <w:r>
        <w:tab/>
        <w:t>Subregulation (3) does not apply to a consignment of animals to which an NLIS device is not applied that is moved to a saleyard under an exemption in regulation 83(1).</w:t>
      </w:r>
    </w:p>
    <w:p>
      <w:pPr>
        <w:pStyle w:val="Heading5"/>
      </w:pPr>
      <w:bookmarkStart w:id="337" w:name="_Toc375042148"/>
      <w:bookmarkStart w:id="338" w:name="_Toc415054265"/>
      <w:r>
        <w:rPr>
          <w:rStyle w:val="CharSectno"/>
        </w:rPr>
        <w:t>105</w:t>
      </w:r>
      <w:r>
        <w:t>.</w:t>
      </w:r>
      <w:r>
        <w:tab/>
        <w:t>Directions by inspectors</w:t>
      </w:r>
      <w:bookmarkEnd w:id="337"/>
      <w:bookmarkEnd w:id="338"/>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339" w:name="_Toc375042149"/>
      <w:bookmarkStart w:id="340" w:name="_Toc415054266"/>
      <w:r>
        <w:rPr>
          <w:rStyle w:val="CharSectno"/>
        </w:rPr>
        <w:t>106</w:t>
      </w:r>
      <w:r>
        <w:t>.</w:t>
      </w:r>
      <w:r>
        <w:tab/>
        <w:t>Responsibilities of saleyard operator if animal born at or while being moved to saleyard</w:t>
      </w:r>
      <w:bookmarkEnd w:id="339"/>
      <w:bookmarkEnd w:id="340"/>
    </w:p>
    <w:p>
      <w:pPr>
        <w:pStyle w:val="Subsection"/>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341" w:name="_Toc375042150"/>
      <w:bookmarkStart w:id="342" w:name="_Toc415054267"/>
      <w:r>
        <w:rPr>
          <w:rStyle w:val="CharSectno"/>
        </w:rPr>
        <w:t>107</w:t>
      </w:r>
      <w:r>
        <w:t>.</w:t>
      </w:r>
      <w:r>
        <w:tab/>
        <w:t>Responsibilities of saleyard operator if NLIS device applied to animal</w:t>
      </w:r>
      <w:bookmarkEnd w:id="341"/>
      <w:bookmarkEnd w:id="342"/>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343" w:name="_Toc375042151"/>
      <w:bookmarkStart w:id="344" w:name="_Toc415054268"/>
      <w:r>
        <w:rPr>
          <w:rStyle w:val="CharSectno"/>
        </w:rPr>
        <w:t>108</w:t>
      </w:r>
      <w:r>
        <w:t>.</w:t>
      </w:r>
      <w:r>
        <w:tab/>
        <w:t>Responsibilities of saleyard operator if animal moved from saleyard</w:t>
      </w:r>
      <w:bookmarkEnd w:id="343"/>
      <w:bookmarkEnd w:id="344"/>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saleyard operator has obtained from the person to whom the animal is sold or otherwise supplied —</w:t>
      </w:r>
    </w:p>
    <w:p>
      <w:pPr>
        <w:pStyle w:val="Indenti"/>
      </w:pPr>
      <w:r>
        <w:tab/>
        <w:t>(i)</w:t>
      </w:r>
      <w:r>
        <w:tab/>
        <w:t>the relevant PIC of the property on which the animal is to be kept or slaughtered, or from which the animal is to be exported, by the person; or</w:t>
      </w:r>
    </w:p>
    <w:p>
      <w:pPr>
        <w:pStyle w:val="Indenti"/>
      </w:pPr>
      <w:r>
        <w:tab/>
        <w:t>(ii)</w:t>
      </w:r>
      <w:r>
        <w:tab/>
        <w:t>the person’s BIC.</w:t>
      </w:r>
    </w:p>
    <w:p>
      <w:pPr>
        <w:pStyle w:val="Penstart"/>
      </w:pPr>
      <w:r>
        <w:tab/>
        <w:t>Penalty: a fine of $5 000.</w:t>
      </w:r>
    </w:p>
    <w:p>
      <w:pPr>
        <w:pStyle w:val="Subsection"/>
      </w:pPr>
      <w:r>
        <w:tab/>
        <w:t>(2)</w:t>
      </w:r>
      <w:r>
        <w:tab/>
        <w:t xml:space="preserve">If an animal to which an NLIS device is applied is moved from a saleyard after being sold there,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pPr>
      <w:r>
        <w:tab/>
        <w:t>(c)</w:t>
      </w:r>
      <w:r>
        <w:tab/>
        <w:t>the date the animal was sold.</w:t>
      </w:r>
    </w:p>
    <w:p>
      <w:pPr>
        <w:pStyle w:val="Penstart"/>
      </w:pPr>
      <w:r>
        <w:tab/>
        <w:t>Penalty: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a fine of $5 000.</w:t>
      </w:r>
    </w:p>
    <w:p>
      <w:pPr>
        <w:pStyle w:val="Heading4"/>
      </w:pPr>
      <w:bookmarkStart w:id="345" w:name="_Toc375042152"/>
      <w:bookmarkStart w:id="346" w:name="_Toc415054269"/>
      <w:r>
        <w:t>Subdivision 7 — Abattoirs</w:t>
      </w:r>
      <w:bookmarkEnd w:id="345"/>
      <w:bookmarkEnd w:id="346"/>
    </w:p>
    <w:p>
      <w:pPr>
        <w:pStyle w:val="Heading5"/>
      </w:pPr>
      <w:bookmarkStart w:id="347" w:name="_Toc375042153"/>
      <w:bookmarkStart w:id="348" w:name="_Toc415054270"/>
      <w:r>
        <w:rPr>
          <w:rStyle w:val="CharSectno"/>
        </w:rPr>
        <w:t>109</w:t>
      </w:r>
      <w:r>
        <w:t>.</w:t>
      </w:r>
      <w:r>
        <w:tab/>
        <w:t>Responsibilities of abattoir operator if no NLIS device is applied to animal</w:t>
      </w:r>
      <w:bookmarkEnd w:id="347"/>
      <w:bookmarkEnd w:id="348"/>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w:t>
      </w:r>
      <w:r>
        <w:rPr>
          <w:snapToGrid w:val="0"/>
        </w:rPr>
        <w:t>110</w:t>
      </w:r>
      <w:r>
        <w:t>.</w:t>
      </w:r>
    </w:p>
    <w:p>
      <w:pPr>
        <w:pStyle w:val="Penstart"/>
      </w:pPr>
      <w:r>
        <w:tab/>
        <w:t>Penalty: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pPr>
      <w:r>
        <w:tab/>
        <w:t>(b)</w:t>
      </w:r>
      <w:r>
        <w:tab/>
        <w:t>an abattoir inspector approves the slaughter of the consignment at the abattoir without subregulation </w:t>
      </w:r>
      <w:r>
        <w:rPr>
          <w:snapToGrid w:val="0"/>
        </w:rPr>
        <w:t>(3)</w:t>
      </w:r>
      <w:r>
        <w:t xml:space="preserve"> being complied with,</w:t>
      </w:r>
    </w:p>
    <w:p>
      <w:pPr>
        <w:pStyle w:val="Subsection"/>
      </w:pPr>
      <w:r>
        <w:tab/>
      </w:r>
      <w:r>
        <w:tab/>
        <w:t xml:space="preserve">the abattoir operator must, within 7 days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a fine of $5 000.</w:t>
      </w:r>
    </w:p>
    <w:p>
      <w:pPr>
        <w:pStyle w:val="Heading5"/>
      </w:pPr>
      <w:bookmarkStart w:id="349" w:name="_Toc375042154"/>
      <w:bookmarkStart w:id="350" w:name="_Toc415054271"/>
      <w:r>
        <w:rPr>
          <w:rStyle w:val="CharSectno"/>
        </w:rPr>
        <w:t>110</w:t>
      </w:r>
      <w:r>
        <w:t>.</w:t>
      </w:r>
      <w:r>
        <w:tab/>
        <w:t>Directions by inspectors</w:t>
      </w:r>
      <w:bookmarkEnd w:id="349"/>
      <w:bookmarkEnd w:id="350"/>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Heading5"/>
      </w:pPr>
      <w:bookmarkStart w:id="351" w:name="_Toc375042155"/>
      <w:bookmarkStart w:id="352" w:name="_Toc415054272"/>
      <w:r>
        <w:rPr>
          <w:rStyle w:val="CharSectno"/>
        </w:rPr>
        <w:t>111</w:t>
      </w:r>
      <w:r>
        <w:t>.</w:t>
      </w:r>
      <w:r>
        <w:tab/>
        <w:t>Responsibilities of abattoir operator if animal born at or while being moved to abattoir</w:t>
      </w:r>
      <w:bookmarkEnd w:id="351"/>
      <w:bookmarkEnd w:id="352"/>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353" w:name="_Toc375042156"/>
      <w:bookmarkStart w:id="354" w:name="_Toc415054273"/>
      <w:r>
        <w:rPr>
          <w:rStyle w:val="CharSectno"/>
        </w:rPr>
        <w:t>112</w:t>
      </w:r>
      <w:r>
        <w:t>.</w:t>
      </w:r>
      <w:r>
        <w:tab/>
      </w:r>
      <w:r>
        <w:rPr>
          <w:snapToGrid w:val="0"/>
        </w:rPr>
        <w:t>Responsibilities of abattoir operator if NLIS device applied to animal</w:t>
      </w:r>
      <w:bookmarkEnd w:id="353"/>
      <w:bookmarkEnd w:id="354"/>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7 days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on which the animal is to be kept or slaughtered, or from which the animal is to be exported, by the person.</w:t>
      </w:r>
    </w:p>
    <w:p>
      <w:pPr>
        <w:pStyle w:val="Penstart"/>
      </w:pPr>
      <w:r>
        <w:tab/>
        <w:t>Penalty: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pPr>
      <w:r>
        <w:tab/>
        <w:t>(d)</w:t>
      </w:r>
      <w:r>
        <w:tab/>
      </w:r>
      <w:r>
        <w:rPr>
          <w:snapToGrid w:val="0"/>
        </w:rPr>
        <w:t>the date the animal was moved from the abattoir.</w:t>
      </w:r>
    </w:p>
    <w:p>
      <w:pPr>
        <w:pStyle w:val="Penstart"/>
      </w:pPr>
      <w:r>
        <w:tab/>
        <w:t>Penalty: a fine of $5 000.</w:t>
      </w:r>
    </w:p>
    <w:p>
      <w:pPr>
        <w:pStyle w:val="Heading5"/>
      </w:pPr>
      <w:bookmarkStart w:id="355" w:name="_Toc375042157"/>
      <w:bookmarkStart w:id="356" w:name="_Toc415054274"/>
      <w:r>
        <w:rPr>
          <w:rStyle w:val="CharSectno"/>
        </w:rPr>
        <w:t>113</w:t>
      </w:r>
      <w:r>
        <w:t>.</w:t>
      </w:r>
      <w:r>
        <w:tab/>
        <w:t>Responsibilities of abattoir operator if animal exempt from NLIS identification</w:t>
      </w:r>
      <w:bookmarkEnd w:id="355"/>
      <w:bookmarkEnd w:id="356"/>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7 days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rPr>
          <w:snapToGrid w:val="0"/>
        </w:rPr>
      </w:pPr>
      <w:r>
        <w:tab/>
        <w:t>(iii)</w:t>
      </w:r>
      <w:r>
        <w:tab/>
      </w:r>
      <w:r>
        <w:rPr>
          <w:snapToGrid w:val="0"/>
        </w:rPr>
        <w:t>the date the animal was moved from the abattoir.</w:t>
      </w:r>
    </w:p>
    <w:p>
      <w:pPr>
        <w:pStyle w:val="Penstart"/>
      </w:pPr>
      <w:r>
        <w:tab/>
        <w:t>Penalty: a fine of $5 000.</w:t>
      </w:r>
    </w:p>
    <w:p>
      <w:pPr>
        <w:pStyle w:val="Heading5"/>
        <w:rPr>
          <w:snapToGrid w:val="0"/>
        </w:rPr>
      </w:pPr>
      <w:bookmarkStart w:id="357" w:name="_Toc375042158"/>
      <w:bookmarkStart w:id="358" w:name="_Toc415054275"/>
      <w:r>
        <w:rPr>
          <w:rStyle w:val="CharSectno"/>
        </w:rPr>
        <w:t>114</w:t>
      </w:r>
      <w:r>
        <w:t>.</w:t>
      </w:r>
      <w:r>
        <w:tab/>
      </w:r>
      <w:r>
        <w:rPr>
          <w:snapToGrid w:val="0"/>
        </w:rPr>
        <w:t>Slaughtered animals moved to pet food processing plants</w:t>
      </w:r>
      <w:bookmarkEnd w:id="357"/>
      <w:bookmarkEnd w:id="358"/>
    </w:p>
    <w:p>
      <w:pPr>
        <w:pStyle w:val="Subsection"/>
      </w:pPr>
      <w:r>
        <w:tab/>
        <w:t>(1)</w:t>
      </w:r>
      <w:r>
        <w:tab/>
        <w:t>If a slaughtered animal to which an NLIS device is applied is moved to a pet food processing plant, the operator of the pet food processing plant must, within 7 days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a fine of $5 000.</w:t>
      </w:r>
    </w:p>
    <w:p>
      <w:pPr>
        <w:pStyle w:val="Subsection"/>
      </w:pPr>
      <w:r>
        <w:tab/>
        <w:t>(2)</w:t>
      </w:r>
      <w:r>
        <w:tab/>
        <w:t>If a consignment of one or more slaughtered animals to which an NLIS device is not applied is moved to a pet food processing plant, the operator of the pet food processing plant must, within 7 days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a fine of $5 000.</w:t>
      </w:r>
    </w:p>
    <w:p>
      <w:pPr>
        <w:pStyle w:val="Heading4"/>
      </w:pPr>
      <w:bookmarkStart w:id="359" w:name="_Toc375042159"/>
      <w:bookmarkStart w:id="360" w:name="_Toc415054276"/>
      <w:r>
        <w:t>Subdivision 8 — Export depots</w:t>
      </w:r>
      <w:bookmarkEnd w:id="359"/>
      <w:bookmarkEnd w:id="360"/>
    </w:p>
    <w:p>
      <w:pPr>
        <w:pStyle w:val="Heading5"/>
      </w:pPr>
      <w:bookmarkStart w:id="361" w:name="_Toc375042160"/>
      <w:bookmarkStart w:id="362" w:name="_Toc415054277"/>
      <w:r>
        <w:rPr>
          <w:rStyle w:val="CharSectno"/>
        </w:rPr>
        <w:t>115</w:t>
      </w:r>
      <w:r>
        <w:t>.</w:t>
      </w:r>
      <w:r>
        <w:tab/>
        <w:t>Responsibilities of export depot operator if no NLIS device applied to animal</w:t>
      </w:r>
      <w:bookmarkEnd w:id="361"/>
      <w:bookmarkEnd w:id="362"/>
    </w:p>
    <w:p>
      <w:pPr>
        <w:pStyle w:val="Subsection"/>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116.</w:t>
      </w:r>
    </w:p>
    <w:p>
      <w:pPr>
        <w:pStyle w:val="Penstart"/>
      </w:pPr>
      <w:r>
        <w:tab/>
        <w:t>Penalty: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Heading5"/>
      </w:pPr>
      <w:bookmarkStart w:id="363" w:name="_Toc375042161"/>
      <w:bookmarkStart w:id="364" w:name="_Toc415054278"/>
      <w:r>
        <w:rPr>
          <w:rStyle w:val="CharSectno"/>
        </w:rPr>
        <w:t>116</w:t>
      </w:r>
      <w:r>
        <w:t>.</w:t>
      </w:r>
      <w:r>
        <w:tab/>
        <w:t>Directions by inspectors</w:t>
      </w:r>
      <w:bookmarkEnd w:id="363"/>
      <w:bookmarkEnd w:id="364"/>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a fine of $5 000.</w:t>
      </w:r>
    </w:p>
    <w:p>
      <w:pPr>
        <w:pStyle w:val="Heading5"/>
      </w:pPr>
      <w:bookmarkStart w:id="365" w:name="_Toc375042162"/>
      <w:bookmarkStart w:id="366" w:name="_Toc415054279"/>
      <w:r>
        <w:rPr>
          <w:rStyle w:val="CharSectno"/>
        </w:rPr>
        <w:t>117</w:t>
      </w:r>
      <w:r>
        <w:t>.</w:t>
      </w:r>
      <w:r>
        <w:tab/>
        <w:t>Responsibilities of export depot operator if animal born at or while being moved to export depot</w:t>
      </w:r>
      <w:bookmarkEnd w:id="365"/>
      <w:bookmarkEnd w:id="366"/>
    </w:p>
    <w:p>
      <w:pPr>
        <w:pStyle w:val="Subsection"/>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367" w:name="_Toc375042163"/>
      <w:bookmarkStart w:id="368" w:name="_Toc415054280"/>
      <w:r>
        <w:rPr>
          <w:rStyle w:val="CharSectno"/>
        </w:rPr>
        <w:t>118</w:t>
      </w:r>
      <w:r>
        <w:t>.</w:t>
      </w:r>
      <w:r>
        <w:tab/>
        <w:t>Other responsibilities of export depot operators</w:t>
      </w:r>
      <w:bookmarkEnd w:id="367"/>
      <w:bookmarkEnd w:id="368"/>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a fine of $5 000.</w:t>
      </w:r>
    </w:p>
    <w:p>
      <w:pPr>
        <w:pStyle w:val="Subsection"/>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exported or otherwise moved from the export depot within that period — as soon as practicable after the animal has been exported or otherwise moved from the export depot.</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on which the animal is to be kept or slaughtered, or from which the animal is to be exported, by the person.</w:t>
      </w:r>
    </w:p>
    <w:p>
      <w:pPr>
        <w:pStyle w:val="Penstart"/>
      </w:pPr>
      <w:r>
        <w:tab/>
        <w:t>Penalty: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a fine of $5 000.</w:t>
      </w:r>
    </w:p>
    <w:p>
      <w:pPr>
        <w:pStyle w:val="Heading2"/>
      </w:pPr>
      <w:bookmarkStart w:id="369" w:name="_Toc375042164"/>
      <w:bookmarkStart w:id="370" w:name="_Toc415054281"/>
      <w:r>
        <w:rPr>
          <w:rStyle w:val="CharPartNo"/>
        </w:rPr>
        <w:t>Part 6</w:t>
      </w:r>
      <w:r>
        <w:t> — </w:t>
      </w:r>
      <w:r>
        <w:rPr>
          <w:rStyle w:val="CharPartText"/>
        </w:rPr>
        <w:t>Identifying sheep and goats</w:t>
      </w:r>
      <w:bookmarkEnd w:id="369"/>
      <w:bookmarkEnd w:id="370"/>
    </w:p>
    <w:p>
      <w:pPr>
        <w:pStyle w:val="Heading3"/>
      </w:pPr>
      <w:bookmarkStart w:id="371" w:name="_Toc375042165"/>
      <w:bookmarkStart w:id="372" w:name="_Toc415054282"/>
      <w:r>
        <w:rPr>
          <w:rStyle w:val="CharDivNo"/>
        </w:rPr>
        <w:t>Division 1</w:t>
      </w:r>
      <w:r>
        <w:t> — </w:t>
      </w:r>
      <w:r>
        <w:rPr>
          <w:rStyle w:val="CharDivText"/>
        </w:rPr>
        <w:t>Term used: animal</w:t>
      </w:r>
      <w:bookmarkEnd w:id="371"/>
      <w:bookmarkEnd w:id="372"/>
    </w:p>
    <w:p>
      <w:pPr>
        <w:pStyle w:val="Heading5"/>
      </w:pPr>
      <w:bookmarkStart w:id="373" w:name="_Toc375042166"/>
      <w:bookmarkStart w:id="374" w:name="_Toc415054283"/>
      <w:r>
        <w:rPr>
          <w:rStyle w:val="CharSectno"/>
        </w:rPr>
        <w:t>119</w:t>
      </w:r>
      <w:r>
        <w:t>.</w:t>
      </w:r>
      <w:r>
        <w:tab/>
        <w:t>Term used: animal</w:t>
      </w:r>
      <w:bookmarkEnd w:id="373"/>
      <w:bookmarkEnd w:id="374"/>
    </w:p>
    <w:p>
      <w:pPr>
        <w:pStyle w:val="Subsection"/>
      </w:pPr>
      <w:r>
        <w:tab/>
      </w:r>
      <w:r>
        <w:tab/>
        <w:t xml:space="preserve">In this Part, unless the contrary intention appears — </w:t>
      </w:r>
    </w:p>
    <w:p>
      <w:pPr>
        <w:pStyle w:val="Defstart"/>
      </w:pPr>
      <w:r>
        <w:tab/>
      </w:r>
      <w:r>
        <w:rPr>
          <w:rStyle w:val="CharDefText"/>
        </w:rPr>
        <w:t>animal</w:t>
      </w:r>
      <w:r>
        <w:t xml:space="preserve"> means a sheep or a goat.</w:t>
      </w:r>
    </w:p>
    <w:p>
      <w:pPr>
        <w:pStyle w:val="Heading3"/>
      </w:pPr>
      <w:bookmarkStart w:id="375" w:name="_Toc375042167"/>
      <w:bookmarkStart w:id="376" w:name="_Toc415054284"/>
      <w:r>
        <w:rPr>
          <w:rStyle w:val="CharDivNo"/>
        </w:rPr>
        <w:t>Division 2</w:t>
      </w:r>
      <w:r>
        <w:t> — </w:t>
      </w:r>
      <w:r>
        <w:rPr>
          <w:rStyle w:val="CharDivText"/>
        </w:rPr>
        <w:t>Owners of sheep or goats</w:t>
      </w:r>
      <w:bookmarkEnd w:id="375"/>
      <w:bookmarkEnd w:id="376"/>
    </w:p>
    <w:p>
      <w:pPr>
        <w:pStyle w:val="Heading4"/>
      </w:pPr>
      <w:bookmarkStart w:id="377" w:name="_Toc375042168"/>
      <w:bookmarkStart w:id="378" w:name="_Toc415054285"/>
      <w:r>
        <w:t>Subdivision 1 — Registered identifiers and approved identifiers for sheep</w:t>
      </w:r>
      <w:bookmarkEnd w:id="377"/>
      <w:bookmarkEnd w:id="378"/>
    </w:p>
    <w:p>
      <w:pPr>
        <w:pStyle w:val="Heading5"/>
      </w:pPr>
      <w:bookmarkStart w:id="379" w:name="_Toc375042169"/>
      <w:bookmarkStart w:id="380" w:name="_Toc415054286"/>
      <w:r>
        <w:rPr>
          <w:rStyle w:val="CharSectno"/>
        </w:rPr>
        <w:t>120</w:t>
      </w:r>
      <w:r>
        <w:t>.</w:t>
      </w:r>
      <w:r>
        <w:tab/>
        <w:t>Owners to identify sheep</w:t>
      </w:r>
      <w:bookmarkEnd w:id="379"/>
      <w:bookmarkEnd w:id="380"/>
    </w:p>
    <w:p>
      <w:pPr>
        <w:pStyle w:val="Subsection"/>
        <w:rPr>
          <w:snapToGrid w:val="0"/>
        </w:rPr>
      </w:pPr>
      <w:r>
        <w:tab/>
        <w:t>(1)</w:t>
      </w:r>
      <w:r>
        <w:tab/>
        <w:t>An</w:t>
      </w:r>
      <w:r>
        <w:rPr>
          <w:snapToGrid w:val="0"/>
        </w:rPr>
        <w:t xml:space="preserve"> owner of a sheep, other than an imported sheep or a sheep from a pound, that is </w:t>
      </w:r>
      <w:r>
        <w:t>kept on a property in</w:t>
      </w:r>
      <w:r>
        <w:rPr>
          <w:snapToGrid w:val="0"/>
        </w:rPr>
        <w:t xml:space="preserve"> the south</w:t>
      </w:r>
      <w:r>
        <w:rPr>
          <w:snapToGrid w:val="0"/>
        </w:rPr>
        <w:noBreakHyphen/>
        <w:t>west of the State</w:t>
      </w:r>
      <w:r>
        <w:t xml:space="preserve"> </w:t>
      </w:r>
      <w:r>
        <w:rPr>
          <w:snapToGrid w:val="0"/>
        </w:rPr>
        <w:t>must identify the sheep, or cause it to be identified, in accordance with this regulation —</w:t>
      </w:r>
    </w:p>
    <w:p>
      <w:pPr>
        <w:pStyle w:val="Indenta"/>
      </w:pPr>
      <w:r>
        <w:tab/>
        <w:t>(a)</w:t>
      </w:r>
      <w:r>
        <w:tab/>
        <w:t>if it is weaned before it reaches 6 months of age and before it is identified in accordance with this regulation — when it is weaned; or</w:t>
      </w:r>
    </w:p>
    <w:p>
      <w:pPr>
        <w:pStyle w:val="Indenta"/>
      </w:pPr>
      <w:r>
        <w:tab/>
        <w:t>(b)</w:t>
      </w:r>
      <w:r>
        <w:tab/>
        <w:t>if it is moved from the property on which it is kept before it reaches 6 months of age and before it is identified in accordance with this regulation — when it is moved; or</w:t>
      </w:r>
    </w:p>
    <w:p>
      <w:pPr>
        <w:pStyle w:val="Indenta"/>
      </w:pPr>
      <w:r>
        <w:tab/>
        <w:t>(c)</w:t>
      </w:r>
      <w:r>
        <w:tab/>
        <w:t>otherwise — before it reaches 6 months of age.</w:t>
      </w:r>
    </w:p>
    <w:p>
      <w:pPr>
        <w:pStyle w:val="Penstart"/>
      </w:pPr>
      <w:r>
        <w:tab/>
        <w:t>Penalty: a fine of $2 000.</w:t>
      </w:r>
    </w:p>
    <w:p>
      <w:pPr>
        <w:pStyle w:val="Subsection"/>
      </w:pPr>
      <w:r>
        <w:tab/>
        <w:t>(2)</w:t>
      </w:r>
      <w:r>
        <w:tab/>
        <w:t>An</w:t>
      </w:r>
      <w:r>
        <w:rPr>
          <w:snapToGrid w:val="0"/>
        </w:rPr>
        <w:t xml:space="preserve"> owner of a sheep </w:t>
      </w:r>
      <w:r>
        <w:t xml:space="preserve">other than — </w:t>
      </w:r>
    </w:p>
    <w:p>
      <w:pPr>
        <w:pStyle w:val="Indenta"/>
      </w:pPr>
      <w:r>
        <w:tab/>
        <w:t>(a)</w:t>
      </w:r>
      <w:r>
        <w:tab/>
        <w:t>an imported sheep; or</w:t>
      </w:r>
    </w:p>
    <w:p>
      <w:pPr>
        <w:pStyle w:val="Indenta"/>
      </w:pPr>
      <w:r>
        <w:tab/>
        <w:t>(b)</w:t>
      </w:r>
      <w:r>
        <w:tab/>
        <w:t>a sheep from a pound; or</w:t>
      </w:r>
    </w:p>
    <w:p>
      <w:pPr>
        <w:pStyle w:val="Indenta"/>
        <w:keepNext/>
        <w:rPr>
          <w:snapToGrid w:val="0"/>
        </w:rPr>
      </w:pPr>
      <w:r>
        <w:tab/>
        <w:t>(c)</w:t>
      </w:r>
      <w:r>
        <w:tab/>
        <w:t>a sheep that is kept on a property in</w:t>
      </w:r>
      <w:r>
        <w:rPr>
          <w:snapToGrid w:val="0"/>
        </w:rPr>
        <w:t xml:space="preserve"> the south</w:t>
      </w:r>
      <w:r>
        <w:rPr>
          <w:snapToGrid w:val="0"/>
        </w:rPr>
        <w:noBreakHyphen/>
        <w:t>west of the State,</w:t>
      </w:r>
    </w:p>
    <w:p>
      <w:pPr>
        <w:pStyle w:val="Subsection"/>
        <w:rPr>
          <w:snapToGrid w:val="0"/>
        </w:rPr>
      </w:pPr>
      <w:r>
        <w:tab/>
      </w:r>
      <w:r>
        <w:tab/>
        <w:t>must identify the sheep, or cause it to be identified, in accordance with this regulation</w:t>
      </w:r>
      <w:r>
        <w:rPr>
          <w:snapToGrid w:val="0"/>
        </w:rPr>
        <w:t xml:space="preserve"> — </w:t>
      </w:r>
    </w:p>
    <w:p>
      <w:pPr>
        <w:pStyle w:val="Indenta"/>
      </w:pPr>
      <w:r>
        <w:tab/>
        <w:t>(d)</w:t>
      </w:r>
      <w:r>
        <w:tab/>
        <w:t>if it is moved from the property on which it is kept before it is first shorn and before it is identified in accordance with this regulation — when it is moved; or</w:t>
      </w:r>
    </w:p>
    <w:p>
      <w:pPr>
        <w:pStyle w:val="Indenta"/>
      </w:pPr>
      <w:r>
        <w:tab/>
        <w:t>(e)</w:t>
      </w:r>
      <w:r>
        <w:tab/>
        <w:t>otherwise — when it is first shorn.</w:t>
      </w:r>
    </w:p>
    <w:p>
      <w:pPr>
        <w:pStyle w:val="Penstart"/>
      </w:pPr>
      <w:r>
        <w:tab/>
        <w:t>Penalty: a fine of $2 000.</w:t>
      </w:r>
    </w:p>
    <w:p>
      <w:pPr>
        <w:pStyle w:val="Subsection"/>
        <w:rPr>
          <w:snapToGrid w:val="0"/>
        </w:rPr>
      </w:pPr>
      <w:r>
        <w:tab/>
        <w:t>(3)</w:t>
      </w:r>
      <w:r>
        <w:tab/>
        <w:t>An owner of an imported sheep must identify the sheep, or cause it to be identified, in accordance with this regulation</w:t>
      </w:r>
      <w:r>
        <w:rPr>
          <w:snapToGrid w:val="0"/>
        </w:rPr>
        <w:t> —</w:t>
      </w:r>
    </w:p>
    <w:p>
      <w:pPr>
        <w:pStyle w:val="Indenta"/>
      </w:pPr>
      <w:r>
        <w:tab/>
        <w:t>(a)</w:t>
      </w:r>
      <w:r>
        <w:tab/>
        <w:t>if the sheep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(4)</w:t>
      </w:r>
      <w:r>
        <w:tab/>
        <w:t xml:space="preserve">An owner of a sheep from a pound must identify the sheep, or cause it to be identified, in accordance with this regulation — </w:t>
      </w:r>
    </w:p>
    <w:p>
      <w:pPr>
        <w:pStyle w:val="Indenta"/>
      </w:pPr>
      <w:r>
        <w:tab/>
        <w:t>(a)</w:t>
      </w:r>
      <w:r>
        <w:tab/>
        <w:t>if the sheep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For the purposes of this regulation, an owner of a sheep may identify the sheep, or cause it be identified, with either or both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Heading5"/>
        <w:keepNext w:val="0"/>
        <w:keepLines w:val="0"/>
        <w:spacing w:before="180"/>
      </w:pPr>
      <w:bookmarkStart w:id="381" w:name="_Toc375042170"/>
      <w:bookmarkStart w:id="382" w:name="_Toc415054287"/>
      <w:r>
        <w:rPr>
          <w:rStyle w:val="CharSectno"/>
        </w:rPr>
        <w:t>121</w:t>
      </w:r>
      <w:r>
        <w:t>.</w:t>
      </w:r>
      <w:r>
        <w:tab/>
        <w:t>Exemption for lambs</w:t>
      </w:r>
      <w:bookmarkEnd w:id="381"/>
      <w:bookmarkEnd w:id="382"/>
    </w:p>
    <w:p>
      <w:pPr>
        <w:pStyle w:val="Subsection"/>
      </w:pPr>
      <w:r>
        <w:tab/>
      </w:r>
      <w:r>
        <w:tab/>
        <w:t>It is not necessary for a sheep to be identified in accordance with regulation 120(1)(b), (2)(d), (3)(a) or (4)(a) if it is being moved with its mother from the property on which it is kept to another property with the same relevant PIC.</w:t>
      </w:r>
    </w:p>
    <w:p>
      <w:pPr>
        <w:pStyle w:val="Heading5"/>
        <w:spacing w:before="180"/>
      </w:pPr>
      <w:bookmarkStart w:id="383" w:name="_Toc375042171"/>
      <w:bookmarkStart w:id="384" w:name="_Toc415054288"/>
      <w:r>
        <w:rPr>
          <w:rStyle w:val="CharSectno"/>
        </w:rPr>
        <w:t>122</w:t>
      </w:r>
      <w:r>
        <w:t>.</w:t>
      </w:r>
      <w:r>
        <w:tab/>
        <w:t>Registered identifier applied as earmark</w:t>
      </w:r>
      <w:bookmarkEnd w:id="383"/>
      <w:bookmarkEnd w:id="384"/>
    </w:p>
    <w:p>
      <w:pPr>
        <w:pStyle w:val="Subsection"/>
        <w:spacing w:before="120"/>
        <w:rPr>
          <w:snapToGrid w:val="0"/>
        </w:rPr>
      </w:pPr>
      <w:r>
        <w:tab/>
        <w:t>(1)</w:t>
      </w:r>
      <w:r>
        <w:tab/>
      </w:r>
      <w:r>
        <w:rPr>
          <w:snapToGrid w:val="0"/>
        </w:rPr>
        <w:t>A registered identifier applied as an earmark to a sheep must —</w:t>
      </w:r>
    </w:p>
    <w:p>
      <w:pPr>
        <w:pStyle w:val="Indenta"/>
      </w:pPr>
      <w:r>
        <w:tab/>
        <w:t>(a)</w:t>
      </w:r>
      <w:r>
        <w:tab/>
        <w:t xml:space="preserve">be applied — </w:t>
      </w:r>
    </w:p>
    <w:p>
      <w:pPr>
        <w:pStyle w:val="Indenti"/>
      </w:pPr>
      <w:r>
        <w:tab/>
        <w:t>(i)</w:t>
      </w:r>
      <w:r>
        <w:tab/>
        <w:t>in the right ear of a male animal; or</w:t>
      </w:r>
    </w:p>
    <w:p>
      <w:pPr>
        <w:pStyle w:val="Indenti"/>
      </w:pPr>
      <w:r>
        <w:tab/>
        <w:t>(ii)</w:t>
      </w:r>
      <w:r>
        <w:tab/>
        <w:t>in the left ear of a female animal;</w:t>
      </w:r>
    </w:p>
    <w:p>
      <w:pPr>
        <w:pStyle w:val="Indenta"/>
      </w:pPr>
      <w:r>
        <w:tab/>
      </w:r>
      <w:r>
        <w:tab/>
        <w:t>and</w:t>
      </w:r>
    </w:p>
    <w:p>
      <w:pPr>
        <w:pStyle w:val="Indenta"/>
      </w:pPr>
      <w:r>
        <w:tab/>
        <w:t>(b)</w:t>
      </w:r>
      <w:r>
        <w:tab/>
        <w:t xml:space="preserve">meet the requirements of subregulation (2). </w:t>
      </w:r>
    </w:p>
    <w:p>
      <w:pPr>
        <w:pStyle w:val="Subsection"/>
        <w:spacing w:before="120"/>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Heading5"/>
        <w:spacing w:before="180"/>
      </w:pPr>
      <w:bookmarkStart w:id="385" w:name="_Toc375042172"/>
      <w:bookmarkStart w:id="386" w:name="_Toc415054289"/>
      <w:r>
        <w:rPr>
          <w:rStyle w:val="CharSectno"/>
        </w:rPr>
        <w:t>123</w:t>
      </w:r>
      <w:r>
        <w:t>.</w:t>
      </w:r>
      <w:r>
        <w:tab/>
        <w:t>Age marks, cullmarks and other markings</w:t>
      </w:r>
      <w:bookmarkEnd w:id="385"/>
      <w:bookmarkEnd w:id="386"/>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Heading4"/>
      </w:pPr>
      <w:bookmarkStart w:id="387" w:name="_Toc375042173"/>
      <w:bookmarkStart w:id="388" w:name="_Toc415054290"/>
      <w:r>
        <w:t>Subdivision 2 — Registered identifiers and approved identifiers for goats</w:t>
      </w:r>
      <w:bookmarkEnd w:id="387"/>
      <w:bookmarkEnd w:id="388"/>
    </w:p>
    <w:p>
      <w:pPr>
        <w:pStyle w:val="Heading5"/>
      </w:pPr>
      <w:bookmarkStart w:id="389" w:name="_Toc375042174"/>
      <w:bookmarkStart w:id="390" w:name="_Toc415054291"/>
      <w:r>
        <w:rPr>
          <w:rStyle w:val="CharSectno"/>
        </w:rPr>
        <w:t>124</w:t>
      </w:r>
      <w:r>
        <w:t>.</w:t>
      </w:r>
      <w:r>
        <w:tab/>
        <w:t>Owners must identify goats in south</w:t>
      </w:r>
      <w:r>
        <w:noBreakHyphen/>
        <w:t>west of State</w:t>
      </w:r>
      <w:bookmarkEnd w:id="389"/>
      <w:bookmarkEnd w:id="390"/>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before it reaches 6 months of age and before it is identified in accordance with this regulation — when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For the purposes of this regulation, an owner of a goat may identify the goat, or cause it be identified, with all or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Heading5"/>
      </w:pPr>
      <w:bookmarkStart w:id="391" w:name="_Toc375042175"/>
      <w:bookmarkStart w:id="392" w:name="_Toc415054292"/>
      <w:r>
        <w:rPr>
          <w:rStyle w:val="CharSectno"/>
        </w:rPr>
        <w:t>125</w:t>
      </w:r>
      <w:r>
        <w:t>.</w:t>
      </w:r>
      <w:r>
        <w:tab/>
        <w:t>Exemption for kids</w:t>
      </w:r>
      <w:bookmarkEnd w:id="391"/>
      <w:bookmarkEnd w:id="392"/>
    </w:p>
    <w:p>
      <w:pPr>
        <w:pStyle w:val="Subsection"/>
      </w:pPr>
      <w:r>
        <w:tab/>
      </w:r>
      <w:r>
        <w:tab/>
        <w:t>It is not necessary for a goat to be identified in accordance with regulation 124(1)(a), (2)(a) or (3)(a) if it is being moved with its mother from the property on which it is kept to another property with the same relevant PIC.</w:t>
      </w:r>
    </w:p>
    <w:p>
      <w:pPr>
        <w:pStyle w:val="Heading5"/>
      </w:pPr>
      <w:bookmarkStart w:id="393" w:name="_Toc375042176"/>
      <w:bookmarkStart w:id="394" w:name="_Toc415054293"/>
      <w:r>
        <w:rPr>
          <w:rStyle w:val="CharSectno"/>
        </w:rPr>
        <w:t>126</w:t>
      </w:r>
      <w:r>
        <w:t>.</w:t>
      </w:r>
      <w:r>
        <w:tab/>
        <w:t>Registered identifier applied as earmark</w:t>
      </w:r>
      <w:bookmarkEnd w:id="393"/>
      <w:bookmarkEnd w:id="394"/>
    </w:p>
    <w:p>
      <w:pPr>
        <w:pStyle w:val="Subsection"/>
        <w:rPr>
          <w:snapToGrid w:val="0"/>
        </w:rPr>
      </w:pPr>
      <w:r>
        <w:tab/>
        <w:t>(1)</w:t>
      </w:r>
      <w:r>
        <w:tab/>
      </w:r>
      <w:r>
        <w:rPr>
          <w:snapToGrid w:val="0"/>
        </w:rPr>
        <w:t>A registered identifier applied as an earmark to a goat must —</w:t>
      </w:r>
    </w:p>
    <w:p>
      <w:pPr>
        <w:pStyle w:val="Indenta"/>
      </w:pPr>
      <w:r>
        <w:tab/>
        <w:t>(a)</w:t>
      </w:r>
      <w:r>
        <w:tab/>
        <w:t xml:space="preserve">be applied — </w:t>
      </w:r>
    </w:p>
    <w:p>
      <w:pPr>
        <w:pStyle w:val="Indenti"/>
      </w:pPr>
      <w:r>
        <w:tab/>
        <w:t>(i)</w:t>
      </w:r>
      <w:r>
        <w:tab/>
        <w:t>in the right ear of a male animal; or</w:t>
      </w:r>
    </w:p>
    <w:p>
      <w:pPr>
        <w:pStyle w:val="Indenti"/>
      </w:pPr>
      <w:r>
        <w:tab/>
        <w:t>(ii)</w:t>
      </w:r>
      <w:r>
        <w:tab/>
        <w:t>in the left ear of a female animal;</w:t>
      </w:r>
    </w:p>
    <w:p>
      <w:pPr>
        <w:pStyle w:val="Indenta"/>
      </w:pPr>
      <w:r>
        <w:tab/>
      </w:r>
      <w:r>
        <w:tab/>
        <w:t>and</w:t>
      </w:r>
    </w:p>
    <w:p>
      <w:pPr>
        <w:pStyle w:val="Indenta"/>
      </w:pPr>
      <w:r>
        <w:tab/>
        <w:t>(b)</w:t>
      </w:r>
      <w:r>
        <w:tab/>
        <w:t xml:space="preserve">meet the requirements of subregulation (2). </w:t>
      </w:r>
    </w:p>
    <w:p>
      <w:pPr>
        <w:pStyle w:val="Subsection"/>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Heading5"/>
      </w:pPr>
      <w:bookmarkStart w:id="395" w:name="_Toc375042177"/>
      <w:bookmarkStart w:id="396" w:name="_Toc415054294"/>
      <w:r>
        <w:rPr>
          <w:rStyle w:val="CharSectno"/>
        </w:rPr>
        <w:t>127</w:t>
      </w:r>
      <w:r>
        <w:t>.</w:t>
      </w:r>
      <w:r>
        <w:tab/>
        <w:t>Age marks, cullmarks and other markings</w:t>
      </w:r>
      <w:bookmarkEnd w:id="395"/>
      <w:bookmarkEnd w:id="396"/>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Heading4"/>
      </w:pPr>
      <w:bookmarkStart w:id="397" w:name="_Toc375042178"/>
      <w:bookmarkStart w:id="398" w:name="_Toc415054295"/>
      <w:r>
        <w:t>Subdivision 3 — NLIS identification for sheep and goats</w:t>
      </w:r>
      <w:bookmarkEnd w:id="397"/>
      <w:bookmarkEnd w:id="398"/>
    </w:p>
    <w:p>
      <w:pPr>
        <w:pStyle w:val="Heading5"/>
      </w:pPr>
      <w:bookmarkStart w:id="399" w:name="_Toc375042179"/>
      <w:bookmarkStart w:id="400" w:name="_Toc415054296"/>
      <w:r>
        <w:rPr>
          <w:rStyle w:val="CharSectno"/>
        </w:rPr>
        <w:t>128</w:t>
      </w:r>
      <w:r>
        <w:t>.</w:t>
      </w:r>
      <w:r>
        <w:tab/>
        <w:t>Responsibilities of owner before moving sheep or goat</w:t>
      </w:r>
      <w:bookmarkEnd w:id="399"/>
      <w:bookmarkEnd w:id="400"/>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401" w:name="_Toc375042180"/>
      <w:bookmarkStart w:id="402" w:name="_Toc415054297"/>
      <w:r>
        <w:rPr>
          <w:rStyle w:val="CharSectno"/>
        </w:rPr>
        <w:t>129</w:t>
      </w:r>
      <w:r>
        <w:t>.</w:t>
      </w:r>
      <w:r>
        <w:tab/>
        <w:t>Exemptions from NLIS identification</w:t>
      </w:r>
      <w:bookmarkEnd w:id="401"/>
      <w:bookmarkEnd w:id="402"/>
    </w:p>
    <w:p>
      <w:pPr>
        <w:pStyle w:val="Subsection"/>
        <w:keepNext/>
      </w:pPr>
      <w:r>
        <w:tab/>
        <w:t>(1)</w:t>
      </w:r>
      <w:r>
        <w:tab/>
        <w:t>Regulation 128 does not apply —</w:t>
      </w:r>
    </w:p>
    <w:p>
      <w:pPr>
        <w:pStyle w:val="Indenta"/>
      </w:pPr>
      <w:r>
        <w:tab/>
        <w:t>(a)</w:t>
      </w:r>
      <w:r>
        <w:tab/>
        <w:t>to a sheep or a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Heading5"/>
      </w:pPr>
      <w:bookmarkStart w:id="403" w:name="_Toc375042181"/>
      <w:bookmarkStart w:id="404" w:name="_Toc415054298"/>
      <w:r>
        <w:rPr>
          <w:rStyle w:val="CharSectno"/>
        </w:rPr>
        <w:t>130</w:t>
      </w:r>
      <w:r>
        <w:t>.</w:t>
      </w:r>
      <w:r>
        <w:tab/>
        <w:t>Responsibilities of owner after moving animal</w:t>
      </w:r>
      <w:bookmarkEnd w:id="403"/>
      <w:bookmarkEnd w:id="404"/>
    </w:p>
    <w:p>
      <w:pPr>
        <w:pStyle w:val="Subsection"/>
        <w:rPr>
          <w:snapToGrid w:val="0"/>
        </w:rPr>
      </w:pPr>
      <w:r>
        <w:tab/>
        <w:t>(1)</w:t>
      </w:r>
      <w:r>
        <w:tab/>
        <w:t xml:space="preserve">Except as provided in subregulation (3), if an owner of a sheep or a goat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following</w:t>
      </w:r>
      <w:r>
        <w:t xml:space="preserve">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Subsection"/>
      </w:pPr>
      <w:r>
        <w:tab/>
        <w:t>(3)</w:t>
      </w:r>
      <w:r>
        <w:tab/>
        <w:t>Subregulation (1) does not apply if —</w:t>
      </w:r>
    </w:p>
    <w:p>
      <w:pPr>
        <w:pStyle w:val="Indenta"/>
      </w:pPr>
      <w:r>
        <w:tab/>
        <w:t>(a)</w:t>
      </w:r>
      <w:r>
        <w:tab/>
        <w:t>the owner moves the consignment to a holding yard; or</w:t>
      </w:r>
    </w:p>
    <w:p>
      <w:pPr>
        <w:pStyle w:val="Indenta"/>
      </w:pPr>
      <w:r>
        <w:tab/>
        <w:t>(b)</w:t>
      </w:r>
      <w:r>
        <w:tab/>
        <w:t>the owner moves the consignment to a saleyard; or</w:t>
      </w:r>
    </w:p>
    <w:p>
      <w:pPr>
        <w:pStyle w:val="Indenta"/>
      </w:pPr>
      <w:r>
        <w:tab/>
        <w:t>(c)</w:t>
      </w:r>
      <w:r>
        <w:tab/>
        <w:t>the owner moves the consignment from a saleyard after purchasing the animal or animals there; or</w:t>
      </w:r>
    </w:p>
    <w:p>
      <w:pPr>
        <w:pStyle w:val="Indenta"/>
      </w:pPr>
      <w:r>
        <w:tab/>
        <w:t>(d)</w:t>
      </w:r>
      <w:r>
        <w:tab/>
      </w:r>
      <w:r>
        <w:rPr>
          <w:snapToGrid w:val="0"/>
        </w:rPr>
        <w:t>the owner moves the consignment directly to an abattoir for slaughter;</w:t>
      </w:r>
      <w:r>
        <w:t xml:space="preserve"> or</w:t>
      </w:r>
    </w:p>
    <w:p>
      <w:pPr>
        <w:pStyle w:val="Indenta"/>
        <w:rPr>
          <w:snapToGrid w:val="0"/>
        </w:rPr>
      </w:pPr>
      <w:r>
        <w:tab/>
        <w:t>(e)</w:t>
      </w:r>
      <w:r>
        <w:tab/>
        <w:t xml:space="preserve">the owner moves the consignment directly to </w:t>
      </w:r>
      <w:r>
        <w:rPr>
          <w:snapToGrid w:val="0"/>
        </w:rPr>
        <w:t>an export depot for export; or</w:t>
      </w:r>
    </w:p>
    <w:p>
      <w:pPr>
        <w:pStyle w:val="Indenta"/>
      </w:pPr>
      <w:r>
        <w:tab/>
        <w:t>(f)</w:t>
      </w:r>
      <w:r>
        <w:tab/>
        <w:t>an inspector has, in a particular case, given written approval for the owner to move the consignment to another property without updating the NLIS database.</w:t>
      </w:r>
    </w:p>
    <w:p>
      <w:pPr>
        <w:pStyle w:val="Heading3"/>
      </w:pPr>
      <w:bookmarkStart w:id="405" w:name="_Toc375042182"/>
      <w:bookmarkStart w:id="406" w:name="_Toc415054299"/>
      <w:r>
        <w:rPr>
          <w:rStyle w:val="CharDivNo"/>
        </w:rPr>
        <w:t>Division 3</w:t>
      </w:r>
      <w:r>
        <w:t> — </w:t>
      </w:r>
      <w:r>
        <w:rPr>
          <w:rStyle w:val="CharDivText"/>
        </w:rPr>
        <w:t>Other requirements for sheep and goats</w:t>
      </w:r>
      <w:bookmarkEnd w:id="405"/>
      <w:bookmarkEnd w:id="406"/>
    </w:p>
    <w:p>
      <w:pPr>
        <w:pStyle w:val="Heading4"/>
      </w:pPr>
      <w:bookmarkStart w:id="407" w:name="_Toc375042183"/>
      <w:bookmarkStart w:id="408" w:name="_Toc415054300"/>
      <w:r>
        <w:t>Subdivision 1 — Imported animals, animals from a pound and dead stray animals</w:t>
      </w:r>
      <w:bookmarkEnd w:id="407"/>
      <w:bookmarkEnd w:id="408"/>
    </w:p>
    <w:p>
      <w:pPr>
        <w:pStyle w:val="Heading5"/>
      </w:pPr>
      <w:bookmarkStart w:id="409" w:name="_Toc375042184"/>
      <w:bookmarkStart w:id="410" w:name="_Toc415054301"/>
      <w:r>
        <w:rPr>
          <w:rStyle w:val="CharSectno"/>
        </w:rPr>
        <w:t>131</w:t>
      </w:r>
      <w:r>
        <w:t>.</w:t>
      </w:r>
      <w:r>
        <w:tab/>
        <w:t>Imported sheep and goats</w:t>
      </w:r>
      <w:bookmarkEnd w:id="409"/>
      <w:bookmarkEnd w:id="410"/>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411" w:name="_Toc375042185"/>
      <w:bookmarkStart w:id="412" w:name="_Toc415054302"/>
      <w:r>
        <w:rPr>
          <w:rStyle w:val="CharSectno"/>
        </w:rPr>
        <w:t>132</w:t>
      </w:r>
      <w:r>
        <w:t>.</w:t>
      </w:r>
      <w:r>
        <w:tab/>
        <w:t>Sheep and goats from a pound</w:t>
      </w:r>
      <w:bookmarkEnd w:id="411"/>
      <w:bookmarkEnd w:id="412"/>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413" w:name="_Toc375042186"/>
      <w:bookmarkStart w:id="414" w:name="_Toc415054303"/>
      <w:r>
        <w:rPr>
          <w:rStyle w:val="CharSectno"/>
        </w:rPr>
        <w:t>133</w:t>
      </w:r>
      <w:r>
        <w:t>.</w:t>
      </w:r>
      <w:r>
        <w:tab/>
        <w:t>Dead stray sheep and goats</w:t>
      </w:r>
      <w:bookmarkEnd w:id="413"/>
      <w:bookmarkEnd w:id="414"/>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415" w:name="_Toc375042187"/>
      <w:bookmarkStart w:id="416" w:name="_Toc415054304"/>
      <w:r>
        <w:t>Subdivision 2 — Carriers and purchasers</w:t>
      </w:r>
      <w:bookmarkEnd w:id="415"/>
      <w:bookmarkEnd w:id="416"/>
    </w:p>
    <w:p>
      <w:pPr>
        <w:pStyle w:val="Heading5"/>
      </w:pPr>
      <w:bookmarkStart w:id="417" w:name="_Toc375042188"/>
      <w:bookmarkStart w:id="418" w:name="_Toc415054305"/>
      <w:r>
        <w:rPr>
          <w:rStyle w:val="CharSectno"/>
        </w:rPr>
        <w:t>134</w:t>
      </w:r>
      <w:r>
        <w:t>.</w:t>
      </w:r>
      <w:r>
        <w:tab/>
        <w:t>Responsibilities of carriers</w:t>
      </w:r>
      <w:bookmarkEnd w:id="417"/>
      <w:bookmarkEnd w:id="418"/>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a fine of $2 000.</w:t>
      </w:r>
    </w:p>
    <w:p>
      <w:pPr>
        <w:pStyle w:val="Heading5"/>
      </w:pPr>
      <w:bookmarkStart w:id="419" w:name="_Toc375042189"/>
      <w:bookmarkStart w:id="420" w:name="_Toc415054306"/>
      <w:r>
        <w:rPr>
          <w:rStyle w:val="CharSectno"/>
        </w:rPr>
        <w:t>135</w:t>
      </w:r>
      <w:r>
        <w:t>.</w:t>
      </w:r>
      <w:r>
        <w:tab/>
        <w:t>Responsibilities of purchasers</w:t>
      </w:r>
      <w:bookmarkEnd w:id="419"/>
      <w:bookmarkEnd w:id="420"/>
    </w:p>
    <w:p>
      <w:pPr>
        <w:pStyle w:val="Subsection"/>
      </w:pPr>
      <w:r>
        <w:tab/>
        <w:t>(1)</w:t>
      </w:r>
      <w:r>
        <w:tab/>
        <w:t>A purchaser of an animal at a property, other than a saleyard, must, when requested by the property operator, give the</w:t>
      </w:r>
      <w:r>
        <w:rPr>
          <w:snapToGrid w:val="0"/>
        </w:rPr>
        <w:t xml:space="preserve"> relevant PIC of the property on which the animal is to be kept or slaughtered, or from which the animal is to be exported, by the purchaser</w:t>
      </w:r>
      <w:r>
        <w:t>.</w:t>
      </w:r>
    </w:p>
    <w:p>
      <w:pPr>
        <w:pStyle w:val="Penstart"/>
      </w:pPr>
      <w:r>
        <w:tab/>
        <w:t>Penalty: a fine of $5 000.</w:t>
      </w:r>
    </w:p>
    <w:p>
      <w:pPr>
        <w:pStyle w:val="Subsection"/>
      </w:pPr>
      <w:r>
        <w:tab/>
        <w:t>(2)</w:t>
      </w:r>
      <w:r>
        <w:tab/>
        <w:t xml:space="preserve">A purchaser of an animal at a saleyard must, when requested by the saleyard operator, give — </w:t>
      </w:r>
    </w:p>
    <w:p>
      <w:pPr>
        <w:pStyle w:val="Indenta"/>
      </w:pPr>
      <w:r>
        <w:tab/>
        <w:t>(a)</w:t>
      </w:r>
      <w:r>
        <w:tab/>
        <w:t>the relevant</w:t>
      </w:r>
      <w:r>
        <w:rPr>
          <w:snapToGrid w:val="0"/>
        </w:rPr>
        <w:t xml:space="preserve"> PIC of the property on which the animal is to be kept or slaughtered, or from which the animal is to be exported, by the purchaser</w:t>
      </w:r>
      <w:r>
        <w:t>; or</w:t>
      </w:r>
    </w:p>
    <w:p>
      <w:pPr>
        <w:pStyle w:val="Indenta"/>
      </w:pPr>
      <w:r>
        <w:tab/>
        <w:t>(b)</w:t>
      </w:r>
      <w:r>
        <w:tab/>
        <w:t>the purchaser’s BIC.</w:t>
      </w:r>
    </w:p>
    <w:p>
      <w:pPr>
        <w:pStyle w:val="Penstart"/>
      </w:pPr>
      <w:r>
        <w:tab/>
        <w:t>Penalty: a fine of $5 000.</w:t>
      </w:r>
    </w:p>
    <w:p>
      <w:pPr>
        <w:pStyle w:val="Subsection"/>
      </w:pPr>
      <w:r>
        <w:tab/>
        <w:t>(3)</w:t>
      </w:r>
      <w:r>
        <w:tab/>
        <w:t>A purchaser of a consignment of one or more animals at a property, other than a saleyard, must, within 24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on which the consignment is to be kept or slaughtered, or from which the consignment is to be exported, by the purchaser;</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a fine of $5 000.</w:t>
      </w:r>
    </w:p>
    <w:p>
      <w:pPr>
        <w:pStyle w:val="Subsection"/>
      </w:pPr>
      <w:r>
        <w:tab/>
        <w:t>(4)</w:t>
      </w:r>
      <w:r>
        <w:tab/>
        <w:t xml:space="preserve">It is sufficient compliance with subregulation (3), in relation to any animal in a consignment to which an NLIS device is applied, if, within 24 hours after the animal is moved from the property, the purchaser updates the NLIS database in relation to the device by recording the following — </w:t>
      </w:r>
    </w:p>
    <w:p>
      <w:pPr>
        <w:pStyle w:val="Indenta"/>
      </w:pPr>
      <w:r>
        <w:tab/>
        <w:t>(a)</w:t>
      </w:r>
      <w:r>
        <w:tab/>
        <w:t>the relevant PIC of the property from which the animal was moved;</w:t>
      </w:r>
    </w:p>
    <w:p>
      <w:pPr>
        <w:pStyle w:val="Indenta"/>
        <w:rPr>
          <w:snapToGrid w:val="0"/>
        </w:rPr>
      </w:pPr>
      <w:r>
        <w:tab/>
        <w:t>(b)</w:t>
      </w:r>
      <w:r>
        <w:tab/>
      </w:r>
      <w:r>
        <w:rPr>
          <w:snapToGrid w:val="0"/>
        </w:rPr>
        <w:t>the PIC of the property on which the animal is to be kept or slaughtered, or from which the animal is to be exported, by the purchaser;</w:t>
      </w:r>
    </w:p>
    <w:p>
      <w:pPr>
        <w:pStyle w:val="Indenta"/>
      </w:pPr>
      <w:r>
        <w:tab/>
        <w:t>(c)</w:t>
      </w:r>
      <w:r>
        <w:tab/>
        <w:t>the serial number of the transport document relating to the movement of the animal from the property;</w:t>
      </w:r>
    </w:p>
    <w:p>
      <w:pPr>
        <w:pStyle w:val="Indenta"/>
      </w:pPr>
      <w:r>
        <w:tab/>
        <w:t>(d)</w:t>
      </w:r>
      <w:r>
        <w:tab/>
        <w:t>the date the animal was moved from the property.</w:t>
      </w:r>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on which the consignment is to be kept or slaughtered, or from which the consignment is to be exported, by the purchaser;</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a fine of $5 000.</w:t>
      </w:r>
    </w:p>
    <w:p>
      <w:pPr>
        <w:pStyle w:val="Subsection"/>
      </w:pPr>
      <w:r>
        <w:tab/>
        <w:t>(6)</w:t>
      </w:r>
      <w:r>
        <w:tab/>
        <w:t xml:space="preserve">It is sufficient compliance with subregulation (5), in relation to any animal in a consignment to which an NLIS device is applied, if, within 24 hours after the animal is moved from the saleyard, the purchaser updates the NLIS database in relation to the device by recording the following — </w:t>
      </w:r>
    </w:p>
    <w:p>
      <w:pPr>
        <w:pStyle w:val="Indenta"/>
      </w:pPr>
      <w:r>
        <w:tab/>
        <w:t>(a)</w:t>
      </w:r>
      <w:r>
        <w:tab/>
        <w:t>the purchaser’s BIC;</w:t>
      </w:r>
    </w:p>
    <w:p>
      <w:pPr>
        <w:pStyle w:val="Indenta"/>
      </w:pPr>
      <w:r>
        <w:tab/>
        <w:t>(b)</w:t>
      </w:r>
      <w:r>
        <w:tab/>
        <w:t>the relevant PIC of the saleyard;</w:t>
      </w:r>
    </w:p>
    <w:p>
      <w:pPr>
        <w:pStyle w:val="Indenta"/>
        <w:rPr>
          <w:snapToGrid w:val="0"/>
        </w:rPr>
      </w:pPr>
      <w:r>
        <w:tab/>
        <w:t>(c)</w:t>
      </w:r>
      <w:r>
        <w:tab/>
      </w:r>
      <w:r>
        <w:rPr>
          <w:snapToGrid w:val="0"/>
        </w:rPr>
        <w:t>the PIC of the property on which the animal is to be kept or slaughtered, or from which the animal is to be exported, by the purchaser;</w:t>
      </w:r>
    </w:p>
    <w:p>
      <w:pPr>
        <w:pStyle w:val="Indenta"/>
      </w:pPr>
      <w:r>
        <w:tab/>
        <w:t>(d)</w:t>
      </w:r>
      <w:r>
        <w:tab/>
        <w:t>the serial number of the transport document relating to the movement of the animal from the saleyard;</w:t>
      </w:r>
    </w:p>
    <w:p>
      <w:pPr>
        <w:pStyle w:val="Indenta"/>
      </w:pPr>
      <w:r>
        <w:tab/>
        <w:t>(e)</w:t>
      </w:r>
      <w:r>
        <w:tab/>
        <w:t>the date the animal was moved from the saleyard.</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a fine of $5 000.</w:t>
      </w:r>
    </w:p>
    <w:p>
      <w:pPr>
        <w:pStyle w:val="Heading4"/>
      </w:pPr>
      <w:bookmarkStart w:id="421" w:name="_Toc375042190"/>
      <w:bookmarkStart w:id="422" w:name="_Toc415054307"/>
      <w:r>
        <w:t>Subdivision 3 — General provisions relating to property operators</w:t>
      </w:r>
      <w:bookmarkEnd w:id="421"/>
      <w:bookmarkEnd w:id="422"/>
    </w:p>
    <w:p>
      <w:pPr>
        <w:pStyle w:val="Heading5"/>
      </w:pPr>
      <w:bookmarkStart w:id="423" w:name="_Toc375042191"/>
      <w:bookmarkStart w:id="424" w:name="_Toc415054308"/>
      <w:r>
        <w:rPr>
          <w:rStyle w:val="CharSectno"/>
        </w:rPr>
        <w:t>136</w:t>
      </w:r>
      <w:r>
        <w:t>.</w:t>
      </w:r>
      <w:r>
        <w:tab/>
        <w:t>Sheep or goats not to be delivered to property without relevant PIC</w:t>
      </w:r>
      <w:bookmarkEnd w:id="423"/>
      <w:bookmarkEnd w:id="424"/>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425" w:name="_Toc375042192"/>
      <w:bookmarkStart w:id="426" w:name="_Toc415054309"/>
      <w:r>
        <w:rPr>
          <w:rStyle w:val="CharSectno"/>
        </w:rPr>
        <w:t>137</w:t>
      </w:r>
      <w:r>
        <w:t>.</w:t>
      </w:r>
      <w:r>
        <w:tab/>
        <w:t>Responsibilities of property operator if animal dies on or while being moved to property</w:t>
      </w:r>
      <w:bookmarkEnd w:id="425"/>
      <w:bookmarkEnd w:id="426"/>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previous property;</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w:t>
      </w:r>
    </w:p>
    <w:p>
      <w:pPr>
        <w:pStyle w:val="Penstart"/>
      </w:pPr>
      <w:r>
        <w:tab/>
        <w:t>Penalty: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following — </w:t>
      </w:r>
    </w:p>
    <w:p>
      <w:pPr>
        <w:pStyle w:val="Indenta"/>
      </w:pPr>
      <w:r>
        <w:tab/>
        <w:t>(a)</w:t>
      </w:r>
      <w:r>
        <w:tab/>
        <w:t>the relevant PIC of the previous property;</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w:t>
      </w:r>
    </w:p>
    <w:p>
      <w:pPr>
        <w:pStyle w:val="Indenta"/>
      </w:pPr>
      <w:r>
        <w:tab/>
        <w:t>(d)</w:t>
      </w:r>
      <w:r>
        <w:tab/>
        <w:t>the date of death.</w:t>
      </w:r>
    </w:p>
    <w:p>
      <w:pPr>
        <w:pStyle w:val="Heading4"/>
      </w:pPr>
      <w:bookmarkStart w:id="427" w:name="_Toc375042193"/>
      <w:bookmarkStart w:id="428" w:name="_Toc415054310"/>
      <w:r>
        <w:t>Subdivision 4 — Pounds</w:t>
      </w:r>
      <w:bookmarkEnd w:id="427"/>
      <w:bookmarkEnd w:id="428"/>
    </w:p>
    <w:p>
      <w:pPr>
        <w:pStyle w:val="Heading5"/>
      </w:pPr>
      <w:bookmarkStart w:id="429" w:name="_Toc375042194"/>
      <w:bookmarkStart w:id="430" w:name="_Toc415054311"/>
      <w:r>
        <w:rPr>
          <w:rStyle w:val="CharSectno"/>
        </w:rPr>
        <w:t>138</w:t>
      </w:r>
      <w:r>
        <w:t>.</w:t>
      </w:r>
      <w:r>
        <w:tab/>
        <w:t>Responsibilities of pound operator if no NLIS device applied to animal</w:t>
      </w:r>
      <w:bookmarkEnd w:id="429"/>
      <w:bookmarkEnd w:id="430"/>
    </w:p>
    <w:p>
      <w:pPr>
        <w:pStyle w:val="Subsection"/>
      </w:pPr>
      <w:r>
        <w:tab/>
        <w:t>(1)</w:t>
      </w:r>
      <w:r>
        <w:tab/>
        <w:t>This regulation does not apply to an animal to which an NLIS device is applied.</w:t>
      </w:r>
    </w:p>
    <w:p>
      <w:pPr>
        <w:pStyle w:val="Subsection"/>
      </w:pPr>
      <w:r>
        <w:tab/>
        <w:t>(2)</w:t>
      </w:r>
      <w:r>
        <w:tab/>
        <w:t>The operator of a pound may, before an animal is moved there, apply, or cause to be applied, to the animal an NLIS post breeder tag.</w:t>
      </w:r>
    </w:p>
    <w:p>
      <w:pPr>
        <w:pStyle w:val="Subsection"/>
      </w:pPr>
      <w:r>
        <w:tab/>
        <w:t>(3)</w:t>
      </w:r>
      <w:r>
        <w:tab/>
        <w:t xml:space="preserve">Unless an inspector in a particular case approves otherwise, if an animal is moved to a pound, the pound operator </w:t>
      </w:r>
      <w:r>
        <w:rPr>
          <w:snapToGrid w:val="0"/>
        </w:rPr>
        <w:t>must</w:t>
      </w:r>
      <w:r>
        <w:t>, within the period specified in subregulation (4), apply, or cause to be applied, to the animal an NLIS post breeder tag.</w:t>
      </w:r>
    </w:p>
    <w:p>
      <w:pPr>
        <w:pStyle w:val="Penstart"/>
      </w:pPr>
      <w:r>
        <w:tab/>
        <w:t>Penalty: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Heading5"/>
      </w:pPr>
      <w:bookmarkStart w:id="431" w:name="_Toc375042195"/>
      <w:bookmarkStart w:id="432" w:name="_Toc415054312"/>
      <w:r>
        <w:rPr>
          <w:rStyle w:val="CharSectno"/>
        </w:rPr>
        <w:t>139</w:t>
      </w:r>
      <w:r>
        <w:t>.</w:t>
      </w:r>
      <w:r>
        <w:tab/>
        <w:t>Responsibilities of pound operator if animal born at or while being moved to pound</w:t>
      </w:r>
      <w:bookmarkEnd w:id="431"/>
      <w:bookmarkEnd w:id="432"/>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433" w:name="_Toc375042196"/>
      <w:bookmarkStart w:id="434" w:name="_Toc415054313"/>
      <w:r>
        <w:rPr>
          <w:rStyle w:val="CharSectno"/>
        </w:rPr>
        <w:t>140</w:t>
      </w:r>
      <w:r>
        <w:t>.</w:t>
      </w:r>
      <w:r>
        <w:tab/>
        <w:t>Responsibilities of pound operator if NLIS device applied to animal</w:t>
      </w:r>
      <w:bookmarkEnd w:id="433"/>
      <w:bookmarkEnd w:id="434"/>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Heading5"/>
      </w:pPr>
      <w:bookmarkStart w:id="435" w:name="_Toc375042197"/>
      <w:bookmarkStart w:id="436" w:name="_Toc415054314"/>
      <w:r>
        <w:rPr>
          <w:rStyle w:val="CharSectno"/>
        </w:rPr>
        <w:t>141</w:t>
      </w:r>
      <w:r>
        <w:t>.</w:t>
      </w:r>
      <w:r>
        <w:tab/>
        <w:t>Responsibilities of pound operator if animal moved from pound</w:t>
      </w:r>
      <w:bookmarkEnd w:id="435"/>
      <w:bookmarkEnd w:id="436"/>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on which the animal is to be kept or slaughtered, or from which the animal is to be exported, by the person.</w:t>
      </w:r>
    </w:p>
    <w:p>
      <w:pPr>
        <w:pStyle w:val="Penstart"/>
      </w:pPr>
      <w:r>
        <w:tab/>
        <w:t>Penalty: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Heading4"/>
        <w:keepLines/>
        <w:pageBreakBefore/>
      </w:pPr>
      <w:bookmarkStart w:id="437" w:name="_Toc375042198"/>
      <w:bookmarkStart w:id="438" w:name="_Toc415054315"/>
      <w:r>
        <w:t>Subdivision 5 — Holding yards</w:t>
      </w:r>
      <w:bookmarkEnd w:id="437"/>
      <w:bookmarkEnd w:id="438"/>
    </w:p>
    <w:p>
      <w:pPr>
        <w:pStyle w:val="Heading5"/>
      </w:pPr>
      <w:bookmarkStart w:id="439" w:name="_Toc375042199"/>
      <w:bookmarkStart w:id="440" w:name="_Toc415054316"/>
      <w:r>
        <w:rPr>
          <w:rStyle w:val="CharSectno"/>
        </w:rPr>
        <w:t>142</w:t>
      </w:r>
      <w:r>
        <w:t>.</w:t>
      </w:r>
      <w:r>
        <w:tab/>
        <w:t>Responsibility of holding yard operator if no NLIS identifier applied to animal</w:t>
      </w:r>
      <w:bookmarkEnd w:id="439"/>
      <w:bookmarkEnd w:id="440"/>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tab/>
        <w:t>(b)</w:t>
      </w:r>
      <w:r>
        <w:tab/>
        <w:t>inform an inspector accordingly, and comply with any directions given to the operator by the inspector under regulation 143.</w:t>
      </w:r>
    </w:p>
    <w:p>
      <w:pPr>
        <w:pStyle w:val="Penstart"/>
      </w:pPr>
      <w:r>
        <w:tab/>
        <w:t>Penalty: a fine of $2 000.</w:t>
      </w:r>
    </w:p>
    <w:p>
      <w:pPr>
        <w:pStyle w:val="Heading5"/>
      </w:pPr>
      <w:bookmarkStart w:id="441" w:name="_Toc375042200"/>
      <w:bookmarkStart w:id="442" w:name="_Toc415054317"/>
      <w:r>
        <w:rPr>
          <w:rStyle w:val="CharSectno"/>
        </w:rPr>
        <w:t>143</w:t>
      </w:r>
      <w:r>
        <w:t>.</w:t>
      </w:r>
      <w:r>
        <w:tab/>
        <w:t>Directions by inspectors</w:t>
      </w:r>
      <w:bookmarkEnd w:id="441"/>
      <w:bookmarkEnd w:id="442"/>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443" w:name="_Toc375042201"/>
      <w:bookmarkStart w:id="444" w:name="_Toc415054318"/>
      <w:r>
        <w:rPr>
          <w:rStyle w:val="CharSectno"/>
        </w:rPr>
        <w:t>144</w:t>
      </w:r>
      <w:r>
        <w:t>.</w:t>
      </w:r>
      <w:r>
        <w:tab/>
        <w:t>Responsibilities of holding yard operator if animal born at or while being moved to holding yard</w:t>
      </w:r>
      <w:bookmarkEnd w:id="443"/>
      <w:bookmarkEnd w:id="444"/>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445" w:name="_Toc375042202"/>
      <w:bookmarkStart w:id="446" w:name="_Toc415054319"/>
      <w:r>
        <w:rPr>
          <w:rStyle w:val="CharSectno"/>
        </w:rPr>
        <w:t>145</w:t>
      </w:r>
      <w:r>
        <w:t>.</w:t>
      </w:r>
      <w:r>
        <w:tab/>
        <w:t>Responsibilities of holding yard operator if animal held at holding yard for more than 48 hours or moved from holding yard in different consignment</w:t>
      </w:r>
      <w:bookmarkEnd w:id="445"/>
      <w:bookmarkEnd w:id="446"/>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Heading5"/>
      </w:pPr>
      <w:bookmarkStart w:id="447" w:name="_Toc375042203"/>
      <w:bookmarkStart w:id="448" w:name="_Toc415054320"/>
      <w:r>
        <w:rPr>
          <w:rStyle w:val="CharSectno"/>
        </w:rPr>
        <w:t>146</w:t>
      </w:r>
      <w:r>
        <w:t>.</w:t>
      </w:r>
      <w:r>
        <w:tab/>
        <w:t>Other responsibilities of holding yard operators</w:t>
      </w:r>
      <w:bookmarkEnd w:id="447"/>
      <w:bookmarkEnd w:id="448"/>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PIC and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a fine of $2 000.</w:t>
      </w:r>
    </w:p>
    <w:p>
      <w:pPr>
        <w:pStyle w:val="Subsection"/>
      </w:pPr>
      <w:r>
        <w:tab/>
        <w:t>(2)</w:t>
      </w:r>
      <w:r>
        <w:tab/>
        <w:t xml:space="preserve">It is sufficient compliance with subregulation (1), in relation to any animal in a consignment to which an NLIS device is applied, if the holding yard operator, before the animal is moved from the holding yard, updates the NLIS database in relation to the device by recording the following — </w:t>
      </w:r>
    </w:p>
    <w:p>
      <w:pPr>
        <w:pStyle w:val="Indenta"/>
      </w:pPr>
      <w:r>
        <w:tab/>
        <w:t>(a)</w:t>
      </w:r>
      <w:r>
        <w:tab/>
        <w:t>the relevant PIC of the previous property or, if applicable, the BIC of the owner of the animal;</w:t>
      </w:r>
    </w:p>
    <w:p>
      <w:pPr>
        <w:pStyle w:val="Indenta"/>
      </w:pPr>
      <w:r>
        <w:tab/>
        <w:t>(b)</w:t>
      </w:r>
      <w:r>
        <w:tab/>
        <w:t>the relevant PIC of the holding yard;</w:t>
      </w:r>
    </w:p>
    <w:p>
      <w:pPr>
        <w:pStyle w:val="Indenta"/>
        <w:rPr>
          <w:snapToGrid w:val="0"/>
        </w:rPr>
      </w:pPr>
      <w:r>
        <w:tab/>
        <w:t>(c)</w:t>
      </w:r>
      <w:r>
        <w:tab/>
        <w:t xml:space="preserve">the serial number of the transport document </w:t>
      </w:r>
      <w:r>
        <w:rPr>
          <w:snapToGrid w:val="0"/>
        </w:rPr>
        <w:t>relating to the movement of the animal to the holding yard;</w:t>
      </w:r>
    </w:p>
    <w:p>
      <w:pPr>
        <w:pStyle w:val="Indenta"/>
      </w:pPr>
      <w:r>
        <w:tab/>
        <w:t>(d)</w:t>
      </w:r>
      <w:r>
        <w:tab/>
        <w:t>the date the animal arrived at the holding yard.</w:t>
      </w:r>
    </w:p>
    <w:p>
      <w:pPr>
        <w:pStyle w:val="Heading4"/>
      </w:pPr>
      <w:bookmarkStart w:id="449" w:name="_Toc375042204"/>
      <w:bookmarkStart w:id="450" w:name="_Toc415054321"/>
      <w:r>
        <w:t>Subdivision 6 — Saleyards</w:t>
      </w:r>
      <w:bookmarkEnd w:id="449"/>
      <w:bookmarkEnd w:id="450"/>
    </w:p>
    <w:p>
      <w:pPr>
        <w:pStyle w:val="Heading5"/>
      </w:pPr>
      <w:bookmarkStart w:id="451" w:name="_Toc375042205"/>
      <w:bookmarkStart w:id="452" w:name="_Toc415054322"/>
      <w:r>
        <w:rPr>
          <w:rStyle w:val="CharSectno"/>
        </w:rPr>
        <w:t>147</w:t>
      </w:r>
      <w:r>
        <w:t>.</w:t>
      </w:r>
      <w:r>
        <w:tab/>
        <w:t>When saleyard to be treated as holding yard</w:t>
      </w:r>
      <w:bookmarkEnd w:id="451"/>
      <w:bookmarkEnd w:id="452"/>
    </w:p>
    <w:p>
      <w:pPr>
        <w:pStyle w:val="Subsection"/>
      </w:pPr>
      <w:r>
        <w:tab/>
      </w:r>
      <w:r>
        <w:tab/>
        <w:t>If a sheep or a goat is moved to a saleyard for purposes other than for sale, and while the sheep or goat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or goat as if the saleyard were a holding yard.</w:t>
      </w:r>
    </w:p>
    <w:p>
      <w:pPr>
        <w:pStyle w:val="Heading5"/>
      </w:pPr>
      <w:bookmarkStart w:id="453" w:name="_Toc375042206"/>
      <w:bookmarkStart w:id="454" w:name="_Toc415054323"/>
      <w:r>
        <w:rPr>
          <w:rStyle w:val="CharSectno"/>
        </w:rPr>
        <w:t>148</w:t>
      </w:r>
      <w:r>
        <w:t>.</w:t>
      </w:r>
      <w:r>
        <w:tab/>
        <w:t>Responsibilities of saleyard operator if no NLIS identifier applied to animal</w:t>
      </w:r>
      <w:bookmarkEnd w:id="453"/>
      <w:bookmarkEnd w:id="454"/>
    </w:p>
    <w:p>
      <w:pPr>
        <w:pStyle w:val="Subsection"/>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149.</w:t>
      </w:r>
    </w:p>
    <w:p>
      <w:pPr>
        <w:pStyle w:val="Penstart"/>
      </w:pPr>
      <w:r>
        <w:tab/>
        <w:t>Penalty: a fine of $2 000.</w:t>
      </w:r>
    </w:p>
    <w:p>
      <w:pPr>
        <w:pStyle w:val="Subsection"/>
      </w:pPr>
      <w:r>
        <w:tab/>
        <w:t>(5)</w:t>
      </w:r>
      <w:r>
        <w:tab/>
        <w:t>Subregulation (4) does not apply to a consignment of animals to which an NLIS identifier is not applied that is moved to a saleyard under the exemption in regulation 129(1)(d).</w:t>
      </w:r>
    </w:p>
    <w:p>
      <w:pPr>
        <w:pStyle w:val="Heading5"/>
      </w:pPr>
      <w:bookmarkStart w:id="455" w:name="_Toc375042207"/>
      <w:bookmarkStart w:id="456" w:name="_Toc415054324"/>
      <w:r>
        <w:rPr>
          <w:rStyle w:val="CharSectno"/>
        </w:rPr>
        <w:t>149</w:t>
      </w:r>
      <w:r>
        <w:t>.</w:t>
      </w:r>
      <w:r>
        <w:tab/>
        <w:t>Directions by inspectors</w:t>
      </w:r>
      <w:bookmarkEnd w:id="455"/>
      <w:bookmarkEnd w:id="456"/>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457" w:name="_Toc375042208"/>
      <w:bookmarkStart w:id="458" w:name="_Toc415054325"/>
      <w:r>
        <w:rPr>
          <w:rStyle w:val="CharSectno"/>
        </w:rPr>
        <w:t>150</w:t>
      </w:r>
      <w:r>
        <w:t>.</w:t>
      </w:r>
      <w:r>
        <w:tab/>
        <w:t>Responsibilities of saleyard operator if animal born at or while being moved to saleyard</w:t>
      </w:r>
      <w:bookmarkEnd w:id="457"/>
      <w:bookmarkEnd w:id="458"/>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459" w:name="_Toc375042209"/>
      <w:bookmarkStart w:id="460" w:name="_Toc415054326"/>
      <w:r>
        <w:rPr>
          <w:rStyle w:val="CharSectno"/>
        </w:rPr>
        <w:t>151</w:t>
      </w:r>
      <w:r>
        <w:t>.</w:t>
      </w:r>
      <w:r>
        <w:tab/>
        <w:t>Responsibilities of saleyard operator if animal moved from saleyard</w:t>
      </w:r>
      <w:bookmarkEnd w:id="459"/>
      <w:bookmarkEnd w:id="460"/>
    </w:p>
    <w:p>
      <w:pPr>
        <w:pStyle w:val="Subsection"/>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 xml:space="preserve">the saleyard operator has obtained from the person to whom the animal is sold or otherwise supplied — </w:t>
      </w:r>
    </w:p>
    <w:p>
      <w:pPr>
        <w:pStyle w:val="Indenti"/>
      </w:pPr>
      <w:r>
        <w:tab/>
        <w:t>(i)</w:t>
      </w:r>
      <w:r>
        <w:tab/>
        <w:t>the relevant PIC of the property on which the animal is to be kept or slaughtered, or from which the animal is to be exported, by the person; or</w:t>
      </w:r>
    </w:p>
    <w:p>
      <w:pPr>
        <w:pStyle w:val="Indenti"/>
      </w:pPr>
      <w:r>
        <w:tab/>
        <w:t>(ii)</w:t>
      </w:r>
      <w:r>
        <w:tab/>
        <w:t>the person’s BIC.</w:t>
      </w:r>
    </w:p>
    <w:p>
      <w:pPr>
        <w:pStyle w:val="Penstart"/>
      </w:pPr>
      <w:r>
        <w:tab/>
        <w:t>Penalty: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a fine of $5 000.</w:t>
      </w:r>
    </w:p>
    <w:p>
      <w:pPr>
        <w:pStyle w:val="Heading5"/>
      </w:pPr>
      <w:bookmarkStart w:id="461" w:name="_Toc375042210"/>
      <w:bookmarkStart w:id="462" w:name="_Toc415054327"/>
      <w:r>
        <w:rPr>
          <w:rStyle w:val="CharSectno"/>
        </w:rPr>
        <w:t>152</w:t>
      </w:r>
      <w:r>
        <w:t>.</w:t>
      </w:r>
      <w:r>
        <w:tab/>
        <w:t>Other responsibilities of saleyard operators</w:t>
      </w:r>
      <w:bookmarkEnd w:id="461"/>
      <w:bookmarkEnd w:id="462"/>
    </w:p>
    <w:p>
      <w:pPr>
        <w:pStyle w:val="Subsection"/>
      </w:pPr>
      <w:r>
        <w:tab/>
        <w:t>(1)</w:t>
      </w:r>
      <w:r>
        <w:tab/>
        <w:t>The operator of a saleyard must, within the period specified in subregulation (3), record in the NLIS database the movement of a consignment of sheep or goats to the saleyard, and any subsequent sale or other movement of a consignment of sheep or goats from the saleyard, including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relevant PIC and serial number displayed of any NLIS post breeder tag applied to the animal or animals at the saleyard;</w:t>
      </w:r>
    </w:p>
    <w:p>
      <w:pPr>
        <w:pStyle w:val="Indenta"/>
      </w:pPr>
      <w:r>
        <w:tab/>
        <w:t>(i)</w:t>
      </w:r>
      <w:r>
        <w:tab/>
        <w:t>the date the consignment was sold at the saleyard.</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saleyard operator, within the period specified in subregulation (3), updates the NLIS database in relation to the device by recording the following — </w:t>
      </w:r>
    </w:p>
    <w:p>
      <w:pPr>
        <w:pStyle w:val="Indenta"/>
      </w:pPr>
      <w:r>
        <w:tab/>
        <w:t>(a)</w:t>
      </w:r>
      <w:r>
        <w:tab/>
        <w:t>the relevant PIC of the previous property;</w:t>
      </w:r>
    </w:p>
    <w:p>
      <w:pPr>
        <w:pStyle w:val="Indenta"/>
      </w:pPr>
      <w:r>
        <w:tab/>
        <w:t>(b)</w:t>
      </w:r>
      <w:r>
        <w:tab/>
        <w:t>the relevant PIC of the saleyard;</w:t>
      </w:r>
    </w:p>
    <w:p>
      <w:pPr>
        <w:pStyle w:val="Indenta"/>
      </w:pPr>
      <w:r>
        <w:tab/>
        <w:t>(c)</w:t>
      </w:r>
      <w:r>
        <w:tab/>
        <w:t>the serial number of the transport document relating to the movement of the animal to the saleyard;</w:t>
      </w:r>
    </w:p>
    <w:p>
      <w:pPr>
        <w:pStyle w:val="Indenta"/>
      </w:pPr>
      <w:r>
        <w:tab/>
        <w:t>(d)</w:t>
      </w:r>
      <w:r>
        <w:tab/>
        <w:t>the date the animal arrived at the saleyard;</w:t>
      </w:r>
    </w:p>
    <w:p>
      <w:pPr>
        <w:pStyle w:val="Indenta"/>
      </w:pPr>
      <w:r>
        <w:tab/>
        <w:t>(e)</w:t>
      </w:r>
      <w:r>
        <w:tab/>
        <w:t>the PIC of the property to which the animal has been moved from the saleyard or, if applicable, the BIC of the purchaser;</w:t>
      </w:r>
    </w:p>
    <w:p>
      <w:pPr>
        <w:pStyle w:val="Indenta"/>
      </w:pPr>
      <w:r>
        <w:tab/>
        <w:t>(f)</w:t>
      </w:r>
      <w:r>
        <w:tab/>
        <w:t>the date the animal was sold at the saleyard.</w:t>
      </w:r>
    </w:p>
    <w:p>
      <w:pPr>
        <w:pStyle w:val="Subsection"/>
      </w:pPr>
      <w:r>
        <w:tab/>
        <w:t>(3)</w:t>
      </w:r>
      <w:r>
        <w:tab/>
        <w:t>The saleyard operator must comply with the requirements of subregulation (1) or (2) within 48 hours after the consignment is moved from the saleyard.</w:t>
      </w:r>
    </w:p>
    <w:p>
      <w:pPr>
        <w:pStyle w:val="Heading4"/>
      </w:pPr>
      <w:bookmarkStart w:id="463" w:name="_Toc375042211"/>
      <w:bookmarkStart w:id="464" w:name="_Toc415054328"/>
      <w:r>
        <w:t>Subdivision 7 — Abattoirs</w:t>
      </w:r>
      <w:bookmarkEnd w:id="463"/>
      <w:bookmarkEnd w:id="464"/>
    </w:p>
    <w:p>
      <w:pPr>
        <w:pStyle w:val="Heading5"/>
      </w:pPr>
      <w:bookmarkStart w:id="465" w:name="_Toc375042212"/>
      <w:bookmarkStart w:id="466" w:name="_Toc415054329"/>
      <w:r>
        <w:rPr>
          <w:rStyle w:val="CharSectno"/>
        </w:rPr>
        <w:t>153</w:t>
      </w:r>
      <w:r>
        <w:t>.</w:t>
      </w:r>
      <w:r>
        <w:tab/>
        <w:t>Responsibilities of abattoir operator if no NLIS identifier applied to animal</w:t>
      </w:r>
      <w:bookmarkEnd w:id="465"/>
      <w:bookmarkEnd w:id="466"/>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154.</w:t>
      </w:r>
    </w:p>
    <w:p>
      <w:pPr>
        <w:pStyle w:val="Penstart"/>
      </w:pPr>
      <w:r>
        <w:tab/>
        <w:t>Penalty: a fine of $2 000.</w:t>
      </w:r>
    </w:p>
    <w:p>
      <w:pPr>
        <w:pStyle w:val="Heading5"/>
      </w:pPr>
      <w:bookmarkStart w:id="467" w:name="_Toc375042213"/>
      <w:bookmarkStart w:id="468" w:name="_Toc415054330"/>
      <w:r>
        <w:rPr>
          <w:rStyle w:val="CharSectno"/>
        </w:rPr>
        <w:t>154</w:t>
      </w:r>
      <w:r>
        <w:t>.</w:t>
      </w:r>
      <w:r>
        <w:tab/>
        <w:t>Directions by inspectors</w:t>
      </w:r>
      <w:bookmarkEnd w:id="467"/>
      <w:bookmarkEnd w:id="468"/>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a fine of $5 000.</w:t>
      </w:r>
    </w:p>
    <w:p>
      <w:pPr>
        <w:pStyle w:val="Heading5"/>
      </w:pPr>
      <w:bookmarkStart w:id="469" w:name="_Toc375042214"/>
      <w:bookmarkStart w:id="470" w:name="_Toc415054331"/>
      <w:r>
        <w:rPr>
          <w:rStyle w:val="CharSectno"/>
        </w:rPr>
        <w:t>155</w:t>
      </w:r>
      <w:r>
        <w:t>.</w:t>
      </w:r>
      <w:r>
        <w:tab/>
        <w:t>Responsibilities of abattoir operator if animal born at or while being moved to abattoir</w:t>
      </w:r>
      <w:bookmarkEnd w:id="469"/>
      <w:bookmarkEnd w:id="470"/>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471" w:name="_Toc375042215"/>
      <w:bookmarkStart w:id="472" w:name="_Toc415054332"/>
      <w:r>
        <w:rPr>
          <w:rStyle w:val="CharSectno"/>
        </w:rPr>
        <w:t>156</w:t>
      </w:r>
      <w:r>
        <w:t>.</w:t>
      </w:r>
      <w:r>
        <w:tab/>
        <w:t>Responsibilities of abattoir operator if animal moved to abattoir</w:t>
      </w:r>
      <w:bookmarkEnd w:id="471"/>
      <w:bookmarkEnd w:id="472"/>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PIC and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abattoir operator, within 48 hours after the animal arrives at the abattoir, updates the NLIS database in relation to the device by recording the following — </w:t>
      </w:r>
    </w:p>
    <w:p>
      <w:pPr>
        <w:pStyle w:val="Indenta"/>
      </w:pPr>
      <w:r>
        <w:tab/>
        <w:t>(a)</w:t>
      </w:r>
      <w:r>
        <w:tab/>
        <w:t>the relevant PIC of the previous property;</w:t>
      </w:r>
    </w:p>
    <w:p>
      <w:pPr>
        <w:pStyle w:val="Indenta"/>
      </w:pPr>
      <w:r>
        <w:tab/>
        <w:t>(b)</w:t>
      </w:r>
      <w:r>
        <w:tab/>
        <w:t>the relevant PIC of the abattoir;</w:t>
      </w:r>
    </w:p>
    <w:p>
      <w:pPr>
        <w:pStyle w:val="Indenta"/>
      </w:pPr>
      <w:r>
        <w:tab/>
        <w:t>(c)</w:t>
      </w:r>
      <w:r>
        <w:tab/>
        <w:t>the serial number of the transport document relating to the movement of the animal to the abattoir;</w:t>
      </w:r>
    </w:p>
    <w:p>
      <w:pPr>
        <w:pStyle w:val="Indenta"/>
      </w:pPr>
      <w:r>
        <w:tab/>
        <w:t>(d)</w:t>
      </w:r>
      <w:r>
        <w:tab/>
        <w:t>the date the animal arrived at the abattoir.</w:t>
      </w:r>
    </w:p>
    <w:p>
      <w:pPr>
        <w:pStyle w:val="Heading5"/>
      </w:pPr>
      <w:bookmarkStart w:id="473" w:name="_Toc375042216"/>
      <w:bookmarkStart w:id="474" w:name="_Toc415054333"/>
      <w:r>
        <w:rPr>
          <w:rStyle w:val="CharSectno"/>
        </w:rPr>
        <w:t>157</w:t>
      </w:r>
      <w:r>
        <w:t>.</w:t>
      </w:r>
      <w:r>
        <w:tab/>
        <w:t>Responsibilities of abattoir operator after animal slaughtered</w:t>
      </w:r>
      <w:bookmarkEnd w:id="473"/>
      <w:bookmarkEnd w:id="474"/>
    </w:p>
    <w:p>
      <w:pPr>
        <w:pStyle w:val="Subsection"/>
      </w:pPr>
      <w:r>
        <w:tab/>
        <w:t>(1)</w:t>
      </w:r>
      <w:r>
        <w:tab/>
        <w:t xml:space="preserve">If a consignment of one or more animals is moved to an abattoir and is slaughtered there, the abattoir operator must, within 7 days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abattoir operator, within 7 days after the animal is slaughtered, updates the NLIS database in relation to the NLIS device by recording the following — </w:t>
      </w:r>
    </w:p>
    <w:p>
      <w:pPr>
        <w:pStyle w:val="Indenta"/>
      </w:pPr>
      <w:r>
        <w:tab/>
        <w:t>(a)</w:t>
      </w:r>
      <w:r>
        <w:tab/>
        <w:t xml:space="preserve">the relevant PIC of the previous property; </w:t>
      </w:r>
    </w:p>
    <w:p>
      <w:pPr>
        <w:pStyle w:val="Indenta"/>
      </w:pPr>
      <w:r>
        <w:tab/>
        <w:t>(b)</w:t>
      </w:r>
      <w:r>
        <w:tab/>
        <w:t>the relevant PIC of the abattoir;</w:t>
      </w:r>
    </w:p>
    <w:p>
      <w:pPr>
        <w:pStyle w:val="Indenta"/>
      </w:pPr>
      <w:r>
        <w:tab/>
        <w:t>(c)</w:t>
      </w:r>
      <w:r>
        <w:tab/>
        <w:t>the date of slaughter.</w:t>
      </w:r>
    </w:p>
    <w:p>
      <w:pPr>
        <w:pStyle w:val="Heading5"/>
      </w:pPr>
      <w:bookmarkStart w:id="475" w:name="_Toc375042217"/>
      <w:bookmarkStart w:id="476" w:name="_Toc415054334"/>
      <w:r>
        <w:rPr>
          <w:rStyle w:val="CharSectno"/>
        </w:rPr>
        <w:t>158</w:t>
      </w:r>
      <w:r>
        <w:t>.</w:t>
      </w:r>
      <w:r>
        <w:tab/>
        <w:t>Responsibilities of abattoir operator if live animal moved from abattoir</w:t>
      </w:r>
      <w:bookmarkEnd w:id="475"/>
      <w:bookmarkEnd w:id="476"/>
    </w:p>
    <w:p>
      <w:pPr>
        <w:pStyle w:val="Subsection"/>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on which the animal is to be kept or slaughtered, or from which the animal is to be exported, by the person;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PIC and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spacing w:before="100"/>
      </w:pPr>
      <w:r>
        <w:tab/>
        <w:t>(g)</w:t>
      </w:r>
      <w:r>
        <w:tab/>
        <w:t>the date the consignment was moved from the abattoir.</w:t>
      </w:r>
    </w:p>
    <w:p>
      <w:pPr>
        <w:pStyle w:val="Penstart"/>
      </w:pPr>
      <w:r>
        <w:tab/>
        <w:t>Penalty: a fine of $5 000.</w:t>
      </w:r>
    </w:p>
    <w:p>
      <w:pPr>
        <w:pStyle w:val="Subsection"/>
        <w:spacing w:before="200"/>
      </w:pPr>
      <w:r>
        <w:tab/>
        <w:t>(3)</w:t>
      </w:r>
      <w:r>
        <w:tab/>
        <w:t xml:space="preserve">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following — </w:t>
      </w:r>
    </w:p>
    <w:p>
      <w:pPr>
        <w:pStyle w:val="Indenta"/>
        <w:spacing w:before="100"/>
      </w:pPr>
      <w:r>
        <w:tab/>
        <w:t>(a)</w:t>
      </w:r>
      <w:r>
        <w:tab/>
        <w:t>the relevant PIC of the abattoir;</w:t>
      </w:r>
    </w:p>
    <w:p>
      <w:pPr>
        <w:pStyle w:val="Indenta"/>
        <w:spacing w:before="100"/>
      </w:pPr>
      <w:r>
        <w:tab/>
        <w:t>(b)</w:t>
      </w:r>
      <w:r>
        <w:tab/>
        <w:t>the relevant PIC of the property to which the animal has been moved;</w:t>
      </w:r>
    </w:p>
    <w:p>
      <w:pPr>
        <w:pStyle w:val="Indenta"/>
        <w:spacing w:before="100"/>
      </w:pPr>
      <w:r>
        <w:tab/>
        <w:t>(c)</w:t>
      </w:r>
      <w:r>
        <w:tab/>
        <w:t>the serial number of the transport document relating to the movement of the animal from the abattoir;</w:t>
      </w:r>
    </w:p>
    <w:p>
      <w:pPr>
        <w:pStyle w:val="Indenta"/>
        <w:spacing w:before="100"/>
      </w:pPr>
      <w:r>
        <w:tab/>
        <w:t>(d)</w:t>
      </w:r>
      <w:r>
        <w:tab/>
        <w:t>the date the animal was moved from the abattoir.</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a fine of $5 000.</w:t>
      </w:r>
    </w:p>
    <w:p>
      <w:pPr>
        <w:pStyle w:val="Heading5"/>
        <w:rPr>
          <w:snapToGrid w:val="0"/>
        </w:rPr>
      </w:pPr>
      <w:bookmarkStart w:id="477" w:name="_Toc375042218"/>
      <w:bookmarkStart w:id="478" w:name="_Toc415054335"/>
      <w:r>
        <w:rPr>
          <w:rStyle w:val="CharSectno"/>
        </w:rPr>
        <w:t>159</w:t>
      </w:r>
      <w:r>
        <w:t>.</w:t>
      </w:r>
      <w:r>
        <w:tab/>
      </w:r>
      <w:r>
        <w:rPr>
          <w:snapToGrid w:val="0"/>
        </w:rPr>
        <w:t>Slaughtered animals moved to pet food processing plants</w:t>
      </w:r>
      <w:bookmarkEnd w:id="477"/>
      <w:bookmarkEnd w:id="478"/>
    </w:p>
    <w:p>
      <w:pPr>
        <w:pStyle w:val="Subsection"/>
      </w:pPr>
      <w:r>
        <w:tab/>
        <w:t>(1)</w:t>
      </w:r>
      <w:r>
        <w:tab/>
        <w:t>If a consignment of one or more slaughtered animals to which an NLIS identifier is applied is moved to a pet food processing plant, the operator of the pet food processing plant must, within 7 days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operator of the pet food processing plant, within 7 days after the animal arrives there, updates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 xml:space="preserve">the serial number of the transport document relating to the movement of the animal to the </w:t>
      </w:r>
      <w:r>
        <w:rPr>
          <w:snapToGrid w:val="0"/>
        </w:rPr>
        <w:t>pet food processing plant</w:t>
      </w:r>
      <w:r>
        <w:t>;</w:t>
      </w:r>
    </w:p>
    <w:p>
      <w:pPr>
        <w:pStyle w:val="Indenta"/>
        <w:rPr>
          <w:snapToGrid w:val="0"/>
        </w:rPr>
      </w:pPr>
      <w:r>
        <w:tab/>
        <w:t>(d)</w:t>
      </w:r>
      <w:r>
        <w:tab/>
      </w:r>
      <w:r>
        <w:rPr>
          <w:snapToGrid w:val="0"/>
        </w:rPr>
        <w:t>the date the animal arrived at the pet food processing plant.</w:t>
      </w:r>
    </w:p>
    <w:p>
      <w:pPr>
        <w:pStyle w:val="Heading4"/>
      </w:pPr>
      <w:bookmarkStart w:id="479" w:name="_Toc375042219"/>
      <w:bookmarkStart w:id="480" w:name="_Toc415054336"/>
      <w:r>
        <w:t>Subdivision 8 — Export depots</w:t>
      </w:r>
      <w:bookmarkEnd w:id="479"/>
      <w:bookmarkEnd w:id="480"/>
    </w:p>
    <w:p>
      <w:pPr>
        <w:pStyle w:val="Heading5"/>
      </w:pPr>
      <w:bookmarkStart w:id="481" w:name="_Toc375042220"/>
      <w:bookmarkStart w:id="482" w:name="_Toc415054337"/>
      <w:r>
        <w:rPr>
          <w:rStyle w:val="CharSectno"/>
        </w:rPr>
        <w:t>160</w:t>
      </w:r>
      <w:r>
        <w:t>.</w:t>
      </w:r>
      <w:r>
        <w:tab/>
        <w:t>Responsibilities of export depot operator if no NLIS identifier applied to animal</w:t>
      </w:r>
      <w:bookmarkEnd w:id="481"/>
      <w:bookmarkEnd w:id="482"/>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 and comply with any directions given to the export depot operator by the inspector under regulation </w:t>
      </w:r>
      <w:r>
        <w:rPr>
          <w:snapToGrid w:val="0"/>
        </w:rPr>
        <w:t>161</w:t>
      </w:r>
      <w:r>
        <w:t>.</w:t>
      </w:r>
    </w:p>
    <w:p>
      <w:pPr>
        <w:pStyle w:val="Penstart"/>
      </w:pPr>
      <w:r>
        <w:tab/>
        <w:t>Penalty: a fine of $2 000.</w:t>
      </w:r>
    </w:p>
    <w:p>
      <w:pPr>
        <w:pStyle w:val="Heading5"/>
      </w:pPr>
      <w:bookmarkStart w:id="483" w:name="_Toc375042221"/>
      <w:bookmarkStart w:id="484" w:name="_Toc415054338"/>
      <w:r>
        <w:rPr>
          <w:rStyle w:val="CharSectno"/>
        </w:rPr>
        <w:t>161</w:t>
      </w:r>
      <w:r>
        <w:t>.</w:t>
      </w:r>
      <w:r>
        <w:tab/>
        <w:t>Directions by inspectors</w:t>
      </w:r>
      <w:bookmarkEnd w:id="483"/>
      <w:bookmarkEnd w:id="484"/>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Heading5"/>
      </w:pPr>
      <w:bookmarkStart w:id="485" w:name="_Toc375042222"/>
      <w:bookmarkStart w:id="486" w:name="_Toc415054339"/>
      <w:r>
        <w:rPr>
          <w:rStyle w:val="CharSectno"/>
        </w:rPr>
        <w:t>162</w:t>
      </w:r>
      <w:r>
        <w:t>.</w:t>
      </w:r>
      <w:r>
        <w:tab/>
        <w:t>Responsibilities of export depot operator if animal born at or while being moved to export depot</w:t>
      </w:r>
      <w:bookmarkEnd w:id="485"/>
      <w:bookmarkEnd w:id="486"/>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487" w:name="_Toc375042223"/>
      <w:bookmarkStart w:id="488" w:name="_Toc415054340"/>
      <w:r>
        <w:rPr>
          <w:rStyle w:val="CharSectno"/>
        </w:rPr>
        <w:t>163</w:t>
      </w:r>
      <w:r>
        <w:t>.</w:t>
      </w:r>
      <w:r>
        <w:tab/>
        <w:t>Responsibilities of export depot operator if animal moved to export depot</w:t>
      </w:r>
      <w:bookmarkEnd w:id="487"/>
      <w:bookmarkEnd w:id="488"/>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PIC and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Heading5"/>
        <w:spacing w:before="260"/>
      </w:pPr>
      <w:bookmarkStart w:id="489" w:name="_Toc375042224"/>
      <w:bookmarkStart w:id="490" w:name="_Toc415054341"/>
      <w:r>
        <w:rPr>
          <w:rStyle w:val="CharSectno"/>
        </w:rPr>
        <w:t>164</w:t>
      </w:r>
      <w:r>
        <w:t>.</w:t>
      </w:r>
      <w:r>
        <w:tab/>
        <w:t>Responsibilities of export depot operator if animal exported or otherwise moved from export depot</w:t>
      </w:r>
      <w:bookmarkEnd w:id="489"/>
      <w:bookmarkEnd w:id="490"/>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a fine of $5 000.</w:t>
      </w:r>
    </w:p>
    <w:p>
      <w:pPr>
        <w:pStyle w:val="Subsection"/>
        <w:spacing w:before="240"/>
      </w:pPr>
      <w:r>
        <w:tab/>
        <w:t>(2)</w:t>
      </w:r>
      <w:r>
        <w:tab/>
        <w:t xml:space="preserve">It is sufficient compliance with subregulation (1), in relation to any animal in a consignment to which an NLIS device is applied, if the export depot operator, within 48 hours after the animal is moved, updates the NLIS database in relation to the device by recording the following — </w:t>
      </w:r>
    </w:p>
    <w:p>
      <w:pPr>
        <w:pStyle w:val="Indenta"/>
        <w:spacing w:before="120"/>
      </w:pPr>
      <w:r>
        <w:tab/>
        <w:t>(a)</w:t>
      </w:r>
      <w:r>
        <w:tab/>
        <w:t>the relevant PIC of the export depot;</w:t>
      </w:r>
    </w:p>
    <w:p>
      <w:pPr>
        <w:pStyle w:val="Indenta"/>
        <w:spacing w:before="120"/>
      </w:pPr>
      <w:r>
        <w:tab/>
        <w:t>(b)</w:t>
      </w:r>
      <w:r>
        <w:tab/>
        <w:t>the relevant PIC of the port to which the animal has been moved;</w:t>
      </w:r>
    </w:p>
    <w:p>
      <w:pPr>
        <w:pStyle w:val="Indenta"/>
        <w:spacing w:before="120"/>
        <w:rPr>
          <w:snapToGrid w:val="0"/>
        </w:rPr>
      </w:pPr>
      <w:r>
        <w:tab/>
        <w:t>(c)</w:t>
      </w:r>
      <w:r>
        <w:tab/>
        <w:t xml:space="preserve">the serial number of the transport document </w:t>
      </w:r>
      <w:r>
        <w:rPr>
          <w:snapToGrid w:val="0"/>
        </w:rPr>
        <w:t>relating to the movement of the animal from the export depot;</w:t>
      </w:r>
    </w:p>
    <w:p>
      <w:pPr>
        <w:pStyle w:val="Indenta"/>
        <w:spacing w:before="120"/>
      </w:pPr>
      <w:r>
        <w:tab/>
        <w:t>(d)</w:t>
      </w:r>
      <w:r>
        <w:tab/>
        <w:t>the date the animal was moved from the export depot.</w:t>
      </w:r>
    </w:p>
    <w:p>
      <w:pPr>
        <w:pStyle w:val="Subsection"/>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on which the animal is to be kept or slaughtered, or from which the animal is to be exported, by the person; and</w:t>
      </w:r>
    </w:p>
    <w:p>
      <w:pPr>
        <w:pStyle w:val="Indenta"/>
      </w:pPr>
      <w:r>
        <w:tab/>
        <w:t>(c)</w:t>
      </w:r>
      <w:r>
        <w:tab/>
        <w:t>the export depot operator has applied, or caused to be applied, to the animal an NLIS post breeder tag.</w:t>
      </w:r>
    </w:p>
    <w:p>
      <w:pPr>
        <w:pStyle w:val="Penstart"/>
      </w:pPr>
      <w:r>
        <w:tab/>
        <w:t>Penalty: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PIC and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a fine of $5 000.</w:t>
      </w:r>
    </w:p>
    <w:p>
      <w:pPr>
        <w:pStyle w:val="Subsection"/>
      </w:pPr>
      <w:r>
        <w:tab/>
        <w:t>(6)</w:t>
      </w:r>
      <w:r>
        <w:tab/>
        <w:t xml:space="preserve">It is sufficient compliance with subregulation (5), in relation to any animal in a consignment to which an NLIS device is applied, if the export depot operator, within 48 hours after the animal is moved, updates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property to which the animal has been moved;</w:t>
      </w:r>
    </w:p>
    <w:p>
      <w:pPr>
        <w:pStyle w:val="Indenta"/>
        <w:rPr>
          <w:snapToGrid w:val="0"/>
        </w:rPr>
      </w:pPr>
      <w:r>
        <w:tab/>
        <w:t>(c)</w:t>
      </w:r>
      <w:r>
        <w:tab/>
        <w:t xml:space="preserve">the serial number of the waybill </w:t>
      </w:r>
      <w:r>
        <w:rPr>
          <w:snapToGrid w:val="0"/>
        </w:rPr>
        <w:t>relating to the movement of the animal from the export depot;</w:t>
      </w:r>
    </w:p>
    <w:p>
      <w:pPr>
        <w:pStyle w:val="Indenta"/>
      </w:pPr>
      <w:r>
        <w:tab/>
        <w:t>(d)</w:t>
      </w:r>
      <w:r>
        <w:tab/>
        <w:t>the date the animal was moved from the export depot.</w:t>
      </w:r>
    </w:p>
    <w:p>
      <w:pPr>
        <w:pStyle w:val="Heading2"/>
      </w:pPr>
      <w:bookmarkStart w:id="491" w:name="_Toc375042225"/>
      <w:bookmarkStart w:id="492" w:name="_Toc415054342"/>
      <w:r>
        <w:rPr>
          <w:rStyle w:val="CharPartNo"/>
        </w:rPr>
        <w:t>Part 7</w:t>
      </w:r>
      <w:r>
        <w:t> — </w:t>
      </w:r>
      <w:r>
        <w:rPr>
          <w:rStyle w:val="CharPartText"/>
        </w:rPr>
        <w:t>Identifying other species of stock</w:t>
      </w:r>
      <w:bookmarkEnd w:id="491"/>
      <w:bookmarkEnd w:id="492"/>
    </w:p>
    <w:p>
      <w:pPr>
        <w:pStyle w:val="Heading3"/>
      </w:pPr>
      <w:bookmarkStart w:id="493" w:name="_Toc375042226"/>
      <w:bookmarkStart w:id="494" w:name="_Toc415054343"/>
      <w:r>
        <w:rPr>
          <w:rStyle w:val="CharDivNo"/>
        </w:rPr>
        <w:t>Division 1</w:t>
      </w:r>
      <w:r>
        <w:t> — </w:t>
      </w:r>
      <w:r>
        <w:rPr>
          <w:rStyle w:val="CharDivText"/>
        </w:rPr>
        <w:t>Deer</w:t>
      </w:r>
      <w:bookmarkEnd w:id="493"/>
      <w:bookmarkEnd w:id="494"/>
    </w:p>
    <w:p>
      <w:pPr>
        <w:pStyle w:val="Heading5"/>
      </w:pPr>
      <w:bookmarkStart w:id="495" w:name="_Toc375042227"/>
      <w:bookmarkStart w:id="496" w:name="_Toc415054344"/>
      <w:r>
        <w:rPr>
          <w:rStyle w:val="CharSectno"/>
        </w:rPr>
        <w:t>165</w:t>
      </w:r>
      <w:r>
        <w:t>.</w:t>
      </w:r>
      <w:r>
        <w:tab/>
        <w:t>Owners to identify deer</w:t>
      </w:r>
      <w:bookmarkEnd w:id="495"/>
      <w:bookmarkEnd w:id="496"/>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if it is moved from the property on which it is kept before it reaches 12 months of age and before it is identified in accordance with this regulation — when it is moved; or</w:t>
      </w:r>
    </w:p>
    <w:p>
      <w:pPr>
        <w:pStyle w:val="Indenta"/>
      </w:pPr>
      <w:r>
        <w:tab/>
        <w:t>(c)</w:t>
      </w:r>
      <w:r>
        <w:tab/>
        <w:t>otherwise — before it reaches 12 months of age.</w:t>
      </w:r>
    </w:p>
    <w:p>
      <w:pPr>
        <w:pStyle w:val="Penstart"/>
      </w:pPr>
      <w:r>
        <w:tab/>
        <w:t>Penalty: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when it is moved; or</w:t>
      </w:r>
    </w:p>
    <w:p>
      <w:pPr>
        <w:pStyle w:val="Indenta"/>
      </w:pPr>
      <w:r>
        <w:tab/>
        <w:t>(b)</w:t>
      </w:r>
      <w:r>
        <w:tab/>
        <w:t>otherwise — within 14 days of it being imported.</w:t>
      </w:r>
    </w:p>
    <w:p>
      <w:pPr>
        <w:pStyle w:val="Penstart"/>
      </w:pPr>
      <w:r>
        <w:tab/>
        <w:t>Penalty: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 xml:space="preserve">For the purposes of this regulation, an owner of a deer may identify the deer, or cause it to be identified, with all or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Heading5"/>
      </w:pPr>
      <w:bookmarkStart w:id="497" w:name="_Toc375042228"/>
      <w:bookmarkStart w:id="498" w:name="_Toc415054345"/>
      <w:r>
        <w:rPr>
          <w:rStyle w:val="CharSectno"/>
        </w:rPr>
        <w:t>166</w:t>
      </w:r>
      <w:r>
        <w:t>.</w:t>
      </w:r>
      <w:r>
        <w:tab/>
        <w:t>Exemption for deer under 12 months</w:t>
      </w:r>
      <w:bookmarkEnd w:id="497"/>
      <w:bookmarkEnd w:id="498"/>
    </w:p>
    <w:p>
      <w:pPr>
        <w:pStyle w:val="Subsection"/>
        <w:rPr>
          <w:snapToGrid w:val="0"/>
        </w:rPr>
      </w:pPr>
      <w:r>
        <w:tab/>
        <w:t>(1)</w:t>
      </w:r>
      <w:r>
        <w:tab/>
        <w:t xml:space="preserve">It is not necessary for a deer to be identified in accordance with </w:t>
      </w:r>
      <w:r>
        <w:rPr>
          <w:snapToGrid w:val="0"/>
        </w:rPr>
        <w:t>regulation 165(1)(b) if</w:t>
      </w:r>
      <w:r>
        <w:t xml:space="preserve"> it is being moved with its mother from the property on which it is kept to another property with the same relevant PIC</w:t>
      </w:r>
      <w:r>
        <w:rPr>
          <w:snapToGrid w:val="0"/>
        </w:rPr>
        <w:t>.</w:t>
      </w:r>
    </w:p>
    <w:p>
      <w:pPr>
        <w:pStyle w:val="Subsection"/>
      </w:pPr>
      <w:r>
        <w:tab/>
        <w:t>(2)</w:t>
      </w:r>
      <w:r>
        <w:tab/>
        <w:t xml:space="preserve">It is not necessary for a deer to be identified in accordance with </w:t>
      </w:r>
      <w:r>
        <w:rPr>
          <w:snapToGrid w:val="0"/>
        </w:rPr>
        <w:t>regulation 165(2)(a) or (3)(a) if</w:t>
      </w:r>
      <w:r>
        <w:t xml:space="preserve"> it — </w:t>
      </w:r>
    </w:p>
    <w:p>
      <w:pPr>
        <w:pStyle w:val="Indenta"/>
      </w:pPr>
      <w:r>
        <w:tab/>
        <w:t>(a)</w:t>
      </w:r>
      <w:r>
        <w:tab/>
        <w:t>has not reached 12 months of age; and</w:t>
      </w:r>
    </w:p>
    <w:p>
      <w:pPr>
        <w:pStyle w:val="Indenta"/>
      </w:pPr>
      <w:r>
        <w:tab/>
        <w:t>(b)</w:t>
      </w:r>
      <w:r>
        <w:tab/>
        <w:t>is being moved with its mother from the property on which it is kept to another property with the same relevant PIC</w:t>
      </w:r>
      <w:r>
        <w:rPr>
          <w:snapToGrid w:val="0"/>
        </w:rPr>
        <w:t>.</w:t>
      </w:r>
    </w:p>
    <w:p>
      <w:pPr>
        <w:pStyle w:val="Heading5"/>
      </w:pPr>
      <w:bookmarkStart w:id="499" w:name="_Toc375042229"/>
      <w:bookmarkStart w:id="500" w:name="_Toc415054346"/>
      <w:r>
        <w:rPr>
          <w:rStyle w:val="CharSectno"/>
        </w:rPr>
        <w:t>167</w:t>
      </w:r>
      <w:r>
        <w:t>.</w:t>
      </w:r>
      <w:r>
        <w:tab/>
        <w:t>Deer identified by previous owner</w:t>
      </w:r>
      <w:bookmarkEnd w:id="499"/>
      <w:bookmarkEnd w:id="500"/>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501" w:name="_Toc375042230"/>
      <w:bookmarkStart w:id="502" w:name="_Toc415054347"/>
      <w:r>
        <w:rPr>
          <w:rStyle w:val="CharSectno"/>
        </w:rPr>
        <w:t>168</w:t>
      </w:r>
      <w:r>
        <w:t>.</w:t>
      </w:r>
      <w:r>
        <w:tab/>
        <w:t>Registered identifier applied as brand</w:t>
      </w:r>
      <w:bookmarkEnd w:id="501"/>
      <w:bookmarkEnd w:id="502"/>
    </w:p>
    <w:p>
      <w:pPr>
        <w:pStyle w:val="Subsection"/>
        <w:rPr>
          <w:snapToGrid w:val="0"/>
        </w:rPr>
      </w:pPr>
      <w:r>
        <w:tab/>
      </w:r>
      <w:r>
        <w:tab/>
      </w:r>
      <w:r>
        <w:rPr>
          <w:snapToGrid w:val="0"/>
        </w:rPr>
        <w:t xml:space="preserve">A registered identifier applied as a brand </w:t>
      </w:r>
      <w:r>
        <w:t>to a deer must be legibly displayed on an eartag</w:t>
      </w:r>
      <w:r>
        <w:rPr>
          <w:snapToGrid w:val="0"/>
        </w:rPr>
        <w:t xml:space="preserve"> that is —</w:t>
      </w:r>
    </w:p>
    <w:p>
      <w:pPr>
        <w:pStyle w:val="Indenta"/>
      </w:pPr>
      <w:r>
        <w:tab/>
        <w:t>(a)</w:t>
      </w:r>
      <w:r>
        <w:tab/>
        <w:t>an approved device; and</w:t>
      </w:r>
    </w:p>
    <w:p>
      <w:pPr>
        <w:pStyle w:val="Indenta"/>
      </w:pPr>
      <w:r>
        <w:tab/>
        <w:t>(b)</w:t>
      </w:r>
      <w:r>
        <w:tab/>
        <w:t>applied to the ear of the animal specified for that purpose in the owner’s certificate of registration as an owner of stock.</w:t>
      </w:r>
    </w:p>
    <w:p>
      <w:pPr>
        <w:pStyle w:val="Heading5"/>
      </w:pPr>
      <w:bookmarkStart w:id="503" w:name="_Toc375042231"/>
      <w:bookmarkStart w:id="504" w:name="_Toc415054348"/>
      <w:r>
        <w:rPr>
          <w:rStyle w:val="CharSectno"/>
        </w:rPr>
        <w:t>169</w:t>
      </w:r>
      <w:r>
        <w:t>.</w:t>
      </w:r>
      <w:r>
        <w:tab/>
        <w:t>Registered identifier applied as an earmark</w:t>
      </w:r>
      <w:bookmarkEnd w:id="503"/>
      <w:bookmarkEnd w:id="504"/>
    </w:p>
    <w:p>
      <w:pPr>
        <w:pStyle w:val="Subsection"/>
      </w:pPr>
      <w:r>
        <w:tab/>
        <w:t>(1)</w:t>
      </w:r>
      <w:r>
        <w:tab/>
      </w:r>
      <w:r>
        <w:rPr>
          <w:snapToGrid w:val="0"/>
        </w:rPr>
        <w:t xml:space="preserve">A registered identifier applied as an earmark </w:t>
      </w:r>
      <w:r>
        <w:t>to a deer must —</w:t>
      </w:r>
    </w:p>
    <w:p>
      <w:pPr>
        <w:pStyle w:val="Indenta"/>
      </w:pPr>
      <w:r>
        <w:tab/>
        <w:t>(a)</w:t>
      </w:r>
      <w:r>
        <w:tab/>
        <w:t>be applied to the ear of the animal specified for that purpose in the owner’s certificate of registration as an owner of stock; and</w:t>
      </w:r>
    </w:p>
    <w:p>
      <w:pPr>
        <w:pStyle w:val="Indenta"/>
      </w:pPr>
      <w:r>
        <w:tab/>
        <w:t>(b)</w:t>
      </w:r>
      <w:r>
        <w:tab/>
        <w:t>meet the requirements of subregulation (2).</w:t>
      </w:r>
    </w:p>
    <w:p>
      <w:pPr>
        <w:pStyle w:val="Subsection"/>
      </w:pPr>
      <w:r>
        <w:tab/>
        <w:t>(2)</w:t>
      </w:r>
      <w:r>
        <w:tab/>
        <w:t>Each</w:t>
      </w:r>
      <w:r>
        <w:rPr>
          <w:snapToGrid w:val="0"/>
        </w:rPr>
        <w:t xml:space="preserve"> symbol forming part of an earmark must be not less than 12 mm across its maximum dimension at the time when the earmark is applied.</w:t>
      </w:r>
    </w:p>
    <w:p>
      <w:pPr>
        <w:pStyle w:val="Heading3"/>
      </w:pPr>
      <w:bookmarkStart w:id="505" w:name="_Toc375042232"/>
      <w:bookmarkStart w:id="506" w:name="_Toc415054349"/>
      <w:r>
        <w:rPr>
          <w:rStyle w:val="CharDivNo"/>
        </w:rPr>
        <w:t>Division 2</w:t>
      </w:r>
      <w:r>
        <w:t> — </w:t>
      </w:r>
      <w:r>
        <w:rPr>
          <w:rStyle w:val="CharDivText"/>
        </w:rPr>
        <w:t>Horses</w:t>
      </w:r>
      <w:bookmarkEnd w:id="505"/>
      <w:bookmarkEnd w:id="506"/>
    </w:p>
    <w:p>
      <w:pPr>
        <w:pStyle w:val="Heading5"/>
      </w:pPr>
      <w:bookmarkStart w:id="507" w:name="_Toc375042233"/>
      <w:bookmarkStart w:id="508" w:name="_Toc415054350"/>
      <w:r>
        <w:rPr>
          <w:rStyle w:val="CharSectno"/>
        </w:rPr>
        <w:t>170</w:t>
      </w:r>
      <w:r>
        <w:t>.</w:t>
      </w:r>
      <w:r>
        <w:tab/>
        <w:t>Owners to identify horses</w:t>
      </w:r>
      <w:bookmarkEnd w:id="507"/>
      <w:bookmarkEnd w:id="508"/>
    </w:p>
    <w:p>
      <w:pPr>
        <w:pStyle w:val="Subsection"/>
        <w:rPr>
          <w:snapToGrid w:val="0"/>
        </w:rPr>
      </w:pPr>
      <w:r>
        <w:tab/>
        <w:t>(1)</w:t>
      </w:r>
      <w:r>
        <w:tab/>
        <w:t>An</w:t>
      </w:r>
      <w:r>
        <w:rPr>
          <w:snapToGrid w:val="0"/>
        </w:rPr>
        <w:t xml:space="preserve"> owner of a horse, other than an imported horse or a horse from a pound, that is kept on a property in the south</w:t>
      </w:r>
      <w:r>
        <w:rPr>
          <w:snapToGrid w:val="0"/>
        </w:rPr>
        <w:noBreakHyphen/>
        <w:t xml:space="preserve">west of the State must identify the horse, or cause it to be identified, in accordance with this regulation — </w:t>
      </w:r>
    </w:p>
    <w:p>
      <w:pPr>
        <w:pStyle w:val="Indenta"/>
        <w:rPr>
          <w:snapToGrid w:val="0"/>
        </w:rPr>
      </w:pPr>
      <w:r>
        <w:tab/>
        <w:t>(a)</w:t>
      </w:r>
      <w:r>
        <w:tab/>
      </w:r>
      <w:r>
        <w:rPr>
          <w:snapToGrid w:val="0"/>
        </w:rPr>
        <w:t>if it is moved from the property on which it is kept before it reaches 6 months of age and before it is identified in accordance with this regulation — when it is moved; or</w:t>
      </w:r>
    </w:p>
    <w:p>
      <w:pPr>
        <w:pStyle w:val="Indenta"/>
      </w:pPr>
      <w:r>
        <w:tab/>
        <w:t>(b)</w:t>
      </w:r>
      <w:r>
        <w:tab/>
        <w:t>otherwise — before it reaches 6 months of age.</w:t>
      </w:r>
    </w:p>
    <w:p>
      <w:pPr>
        <w:pStyle w:val="Penstart"/>
      </w:pPr>
      <w:r>
        <w:tab/>
        <w:t>Penalty: a fine of $2 000.</w:t>
      </w:r>
    </w:p>
    <w:p>
      <w:pPr>
        <w:pStyle w:val="Subsection"/>
        <w:rPr>
          <w:snapToGrid w:val="0"/>
        </w:rPr>
      </w:pPr>
      <w:r>
        <w:tab/>
        <w:t>(2)</w:t>
      </w:r>
      <w:r>
        <w:tab/>
        <w:t>An</w:t>
      </w:r>
      <w:r>
        <w:rPr>
          <w:snapToGrid w:val="0"/>
        </w:rPr>
        <w:t xml:space="preserve"> owner of a horse other than — </w:t>
      </w:r>
    </w:p>
    <w:p>
      <w:pPr>
        <w:pStyle w:val="Indenta"/>
        <w:rPr>
          <w:snapToGrid w:val="0"/>
        </w:rPr>
      </w:pPr>
      <w:r>
        <w:rPr>
          <w:snapToGrid w:val="0"/>
        </w:rPr>
        <w:tab/>
        <w:t>(a)</w:t>
      </w:r>
      <w:r>
        <w:rPr>
          <w:snapToGrid w:val="0"/>
        </w:rPr>
        <w:tab/>
        <w:t>an imported horse; or</w:t>
      </w:r>
    </w:p>
    <w:p>
      <w:pPr>
        <w:pStyle w:val="Indenta"/>
        <w:rPr>
          <w:snapToGrid w:val="0"/>
        </w:rPr>
      </w:pPr>
      <w:r>
        <w:rPr>
          <w:snapToGrid w:val="0"/>
        </w:rPr>
        <w:tab/>
        <w:t>(b)</w:t>
      </w:r>
      <w:r>
        <w:rPr>
          <w:snapToGrid w:val="0"/>
        </w:rPr>
        <w:tab/>
        <w:t>a horse from a pound; or</w:t>
      </w:r>
    </w:p>
    <w:p>
      <w:pPr>
        <w:pStyle w:val="Indenta"/>
        <w:rPr>
          <w:snapToGrid w:val="0"/>
        </w:rPr>
      </w:pPr>
      <w:r>
        <w:rPr>
          <w:snapToGrid w:val="0"/>
        </w:rPr>
        <w:tab/>
        <w:t>(c)</w:t>
      </w:r>
      <w:r>
        <w:rPr>
          <w:snapToGrid w:val="0"/>
        </w:rPr>
        <w:tab/>
        <w:t>a horse that is kept on a property in the south</w:t>
      </w:r>
      <w:r>
        <w:rPr>
          <w:snapToGrid w:val="0"/>
        </w:rPr>
        <w:noBreakHyphen/>
        <w:t>west of the State,</w:t>
      </w:r>
    </w:p>
    <w:p>
      <w:pPr>
        <w:pStyle w:val="Subsection"/>
        <w:rPr>
          <w:snapToGrid w:val="0"/>
        </w:rPr>
      </w:pPr>
      <w:r>
        <w:rPr>
          <w:snapToGrid w:val="0"/>
        </w:rPr>
        <w:tab/>
      </w:r>
      <w:r>
        <w:rPr>
          <w:snapToGrid w:val="0"/>
        </w:rPr>
        <w:tab/>
        <w:t xml:space="preserve">must identify the horse, or cause it to be identified, in accordance with this regulation — </w:t>
      </w:r>
    </w:p>
    <w:p>
      <w:pPr>
        <w:pStyle w:val="Indenta"/>
        <w:rPr>
          <w:snapToGrid w:val="0"/>
        </w:rPr>
      </w:pPr>
      <w:r>
        <w:tab/>
        <w:t>(d)</w:t>
      </w:r>
      <w:r>
        <w:tab/>
      </w:r>
      <w:r>
        <w:rPr>
          <w:snapToGrid w:val="0"/>
        </w:rPr>
        <w:t>if it is moved from the property on which it is kept before it reaches 18 months of age and before it is identified in accordance with this regulation — when it is moved; or</w:t>
      </w:r>
    </w:p>
    <w:p>
      <w:pPr>
        <w:pStyle w:val="Indenta"/>
      </w:pPr>
      <w:r>
        <w:tab/>
        <w:t>(e)</w:t>
      </w:r>
      <w:r>
        <w:tab/>
        <w:t>otherwise — before it reaches 18 months of age.</w:t>
      </w:r>
    </w:p>
    <w:p>
      <w:pPr>
        <w:pStyle w:val="Penstart"/>
      </w:pPr>
      <w:r>
        <w:tab/>
        <w:t>Penalty: a fine of $2 000.</w:t>
      </w:r>
    </w:p>
    <w:p>
      <w:pPr>
        <w:pStyle w:val="Subsection"/>
      </w:pPr>
      <w:r>
        <w:tab/>
        <w:t>(3)</w:t>
      </w:r>
      <w:r>
        <w:tab/>
        <w:t xml:space="preserve">An owner of an imported horse must identify the horse, or cause it to be identified, in accordance with this regulation — </w:t>
      </w:r>
    </w:p>
    <w:p>
      <w:pPr>
        <w:pStyle w:val="Indenta"/>
      </w:pPr>
      <w:r>
        <w:tab/>
        <w:t>(a)</w:t>
      </w:r>
      <w:r>
        <w:tab/>
        <w:t>if the horse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(4)</w:t>
      </w:r>
      <w:r>
        <w:tab/>
        <w:t xml:space="preserve">An owner of a horse from a pound must identify the horse, or cause it to be identified, in accordance with this regulation — </w:t>
      </w:r>
    </w:p>
    <w:p>
      <w:pPr>
        <w:pStyle w:val="Indenta"/>
      </w:pPr>
      <w:r>
        <w:tab/>
        <w:t>(a)</w:t>
      </w:r>
      <w:r>
        <w:tab/>
        <w:t>if the horse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For the purposes of this regulation, an owner of a horse may identify the horse, or cause it to be identified, with either or both of the following identifiers —</w:t>
      </w:r>
    </w:p>
    <w:p>
      <w:pPr>
        <w:pStyle w:val="Indenta"/>
      </w:pPr>
      <w:r>
        <w:tab/>
        <w:t>(a)</w:t>
      </w:r>
      <w:r>
        <w:tab/>
        <w:t>a registered identifier applied as a brand in accordance with regulation 173;</w:t>
      </w:r>
    </w:p>
    <w:p>
      <w:pPr>
        <w:pStyle w:val="Indenta"/>
      </w:pPr>
      <w:r>
        <w:tab/>
        <w:t>(b)</w:t>
      </w:r>
      <w:r>
        <w:tab/>
        <w:t>an approved identifier for horses.</w:t>
      </w:r>
    </w:p>
    <w:p>
      <w:pPr>
        <w:pStyle w:val="Heading5"/>
      </w:pPr>
      <w:bookmarkStart w:id="509" w:name="_Toc375042234"/>
      <w:bookmarkStart w:id="510" w:name="_Toc415054351"/>
      <w:r>
        <w:rPr>
          <w:rStyle w:val="CharSectno"/>
        </w:rPr>
        <w:t>171</w:t>
      </w:r>
      <w:r>
        <w:t>.</w:t>
      </w:r>
      <w:r>
        <w:tab/>
        <w:t>Exemption for foals</w:t>
      </w:r>
      <w:bookmarkEnd w:id="509"/>
      <w:bookmarkEnd w:id="510"/>
    </w:p>
    <w:p>
      <w:pPr>
        <w:pStyle w:val="Subsection"/>
      </w:pPr>
      <w:r>
        <w:tab/>
        <w:t>(1)</w:t>
      </w:r>
      <w:r>
        <w:tab/>
        <w:t>It is not necessary for a horse to be identified in accordance with regulation 170(1)(a) if the horse is being moved with its mother from the property on which it is kept.</w:t>
      </w:r>
    </w:p>
    <w:p>
      <w:pPr>
        <w:pStyle w:val="Subsection"/>
      </w:pPr>
      <w:r>
        <w:tab/>
        <w:t>(2)</w:t>
      </w:r>
      <w:r>
        <w:tab/>
        <w:t xml:space="preserve">It is not necessary for a horse to be identified in accordance with regulation 170(2)(d), (3)(a) or (4)(a) if it — </w:t>
      </w:r>
    </w:p>
    <w:p>
      <w:pPr>
        <w:pStyle w:val="Indenta"/>
      </w:pPr>
      <w:r>
        <w:tab/>
        <w:t>(a)</w:t>
      </w:r>
      <w:r>
        <w:tab/>
        <w:t>has not reached 6 months of age; and</w:t>
      </w:r>
    </w:p>
    <w:p>
      <w:pPr>
        <w:pStyle w:val="Indenta"/>
      </w:pPr>
      <w:r>
        <w:tab/>
        <w:t>(b)</w:t>
      </w:r>
      <w:r>
        <w:tab/>
        <w:t>is being moved with its mother from the property on which it is kept.</w:t>
      </w:r>
    </w:p>
    <w:p>
      <w:pPr>
        <w:pStyle w:val="Heading5"/>
      </w:pPr>
      <w:bookmarkStart w:id="511" w:name="_Toc375042235"/>
      <w:bookmarkStart w:id="512" w:name="_Toc415054352"/>
      <w:r>
        <w:rPr>
          <w:rStyle w:val="CharSectno"/>
        </w:rPr>
        <w:t>172</w:t>
      </w:r>
      <w:r>
        <w:t>.</w:t>
      </w:r>
      <w:r>
        <w:tab/>
        <w:t>Horses identified by previous owner</w:t>
      </w:r>
      <w:bookmarkEnd w:id="511"/>
      <w:bookmarkEnd w:id="512"/>
    </w:p>
    <w:p>
      <w:pPr>
        <w:pStyle w:val="Subsection"/>
        <w:rPr>
          <w:snapToGrid w:val="0"/>
        </w:rPr>
      </w:pPr>
      <w:r>
        <w:tab/>
      </w:r>
      <w:r>
        <w:tab/>
        <w:t xml:space="preserve">It is not necessary for the current owner of a horse to identify the horse, or cause it to be identified, in accordance with </w:t>
      </w:r>
      <w:r>
        <w:rPr>
          <w:snapToGrid w:val="0"/>
        </w:rPr>
        <w:t>regulation </w:t>
      </w:r>
      <w:r>
        <w:t>170</w:t>
      </w:r>
      <w:r>
        <w:rPr>
          <w:snapToGrid w:val="0"/>
        </w:rPr>
        <w:t xml:space="preserve"> if —</w:t>
      </w:r>
    </w:p>
    <w:p>
      <w:pPr>
        <w:pStyle w:val="Indenta"/>
        <w:rPr>
          <w:snapToGrid w:val="0"/>
        </w:rPr>
      </w:pPr>
      <w:r>
        <w:tab/>
        <w:t>(a)</w:t>
      </w:r>
      <w:r>
        <w:tab/>
      </w:r>
      <w:r>
        <w:rPr>
          <w:snapToGrid w:val="0"/>
        </w:rPr>
        <w:t>the horse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horse.</w:t>
      </w:r>
    </w:p>
    <w:p>
      <w:pPr>
        <w:pStyle w:val="Heading5"/>
      </w:pPr>
      <w:bookmarkStart w:id="513" w:name="_Toc375042236"/>
      <w:bookmarkStart w:id="514" w:name="_Toc415054353"/>
      <w:r>
        <w:rPr>
          <w:rStyle w:val="CharSectno"/>
        </w:rPr>
        <w:t>173</w:t>
      </w:r>
      <w:r>
        <w:t>.</w:t>
      </w:r>
      <w:r>
        <w:tab/>
        <w:t>Registered identifier applied as brand</w:t>
      </w:r>
      <w:bookmarkEnd w:id="513"/>
      <w:bookmarkEnd w:id="514"/>
    </w:p>
    <w:p>
      <w:pPr>
        <w:pStyle w:val="Subsection"/>
        <w:rPr>
          <w:snapToGrid w:val="0"/>
        </w:rPr>
      </w:pPr>
      <w:r>
        <w:tab/>
        <w:t>(1)</w:t>
      </w:r>
      <w:r>
        <w:tab/>
      </w:r>
      <w:r>
        <w:rPr>
          <w:snapToGrid w:val="0"/>
        </w:rPr>
        <w:t>A registered identifier applied as a brand to a horse must be applied as a firebrand or freezebrand in accordance with this regulation.</w:t>
      </w:r>
    </w:p>
    <w:p>
      <w:pPr>
        <w:pStyle w:val="Subsection"/>
        <w:rPr>
          <w:snapToGrid w:val="0"/>
        </w:rPr>
      </w:pPr>
      <w:r>
        <w:rPr>
          <w:snapToGrid w:val="0"/>
        </w:rPr>
        <w:tab/>
      </w:r>
      <w:r>
        <w:t>(2)</w:t>
      </w:r>
      <w:r>
        <w:rPr>
          <w:snapToGrid w:val="0"/>
        </w:rPr>
        <w:tab/>
        <w:t>A firebrand or freezebrand must —</w:t>
      </w:r>
    </w:p>
    <w:p>
      <w:pPr>
        <w:pStyle w:val="Indenta"/>
        <w:rPr>
          <w:snapToGrid w:val="0"/>
        </w:rPr>
      </w:pPr>
      <w:r>
        <w:tab/>
        <w:t>(a)</w:t>
      </w:r>
      <w:r>
        <w:tab/>
      </w:r>
      <w:r>
        <w:rPr>
          <w:snapToGrid w:val="0"/>
        </w:rPr>
        <w:t xml:space="preserve">if the horse has previously been branded — </w:t>
      </w:r>
    </w:p>
    <w:p>
      <w:pPr>
        <w:pStyle w:val="Indenti"/>
        <w:rPr>
          <w:snapToGrid w:val="0"/>
        </w:rPr>
      </w:pPr>
      <w:r>
        <w:rPr>
          <w:snapToGrid w:val="0"/>
        </w:rPr>
        <w:tab/>
        <w:t>(i)</w:t>
      </w:r>
      <w:r>
        <w:rPr>
          <w:snapToGrid w:val="0"/>
        </w:rPr>
        <w:tab/>
        <w:t>be applied to the left shoulder, if there is sufficient room; or</w:t>
      </w:r>
    </w:p>
    <w:p>
      <w:pPr>
        <w:pStyle w:val="Indenti"/>
        <w:rPr>
          <w:snapToGrid w:val="0"/>
        </w:rPr>
      </w:pPr>
      <w:r>
        <w:rPr>
          <w:snapToGrid w:val="0"/>
        </w:rPr>
        <w:tab/>
        <w:t>(ii)</w:t>
      </w:r>
      <w:r>
        <w:rPr>
          <w:snapToGrid w:val="0"/>
        </w:rPr>
        <w:tab/>
        <w:t>be applied on the right shoulder;</w:t>
      </w:r>
    </w:p>
    <w:p>
      <w:pPr>
        <w:pStyle w:val="Indenta"/>
        <w:rPr>
          <w:snapToGrid w:val="0"/>
        </w:rPr>
      </w:pPr>
      <w:r>
        <w:rPr>
          <w:snapToGrid w:val="0"/>
        </w:rPr>
        <w:tab/>
      </w:r>
      <w:r>
        <w:rPr>
          <w:snapToGrid w:val="0"/>
        </w:rPr>
        <w:tab/>
        <w:t>and</w:t>
      </w:r>
    </w:p>
    <w:p>
      <w:pPr>
        <w:pStyle w:val="Indenta"/>
        <w:rPr>
          <w:snapToGrid w:val="0"/>
        </w:rPr>
      </w:pPr>
      <w:r>
        <w:tab/>
        <w:t>(b)</w:t>
      </w:r>
      <w:r>
        <w:tab/>
      </w:r>
      <w:r>
        <w:rPr>
          <w:snapToGrid w:val="0"/>
        </w:rPr>
        <w:t>if the horse has not previously been branded — be applied to the left shoulder.</w:t>
      </w:r>
    </w:p>
    <w:p>
      <w:pPr>
        <w:pStyle w:val="Subsection"/>
        <w:rPr>
          <w:snapToGrid w:val="0"/>
        </w:rPr>
      </w:pPr>
      <w:r>
        <w:tab/>
        <w:t>(3)</w:t>
      </w:r>
      <w:r>
        <w:tab/>
      </w:r>
      <w:r>
        <w:rPr>
          <w:snapToGrid w:val="0"/>
        </w:rPr>
        <w:t xml:space="preserve">A firebrand or freezebrand must be — </w:t>
      </w:r>
    </w:p>
    <w:p>
      <w:pPr>
        <w:pStyle w:val="Indenta"/>
        <w:rPr>
          <w:snapToGrid w:val="0"/>
        </w:rPr>
      </w:pPr>
      <w:r>
        <w:rPr>
          <w:snapToGrid w:val="0"/>
        </w:rPr>
        <w:tab/>
        <w:t>(a)</w:t>
      </w:r>
      <w:r>
        <w:rPr>
          <w:snapToGrid w:val="0"/>
        </w:rPr>
        <w:tab/>
        <w:t>not less than 100 mm long and 30 mm in height at the time when the brand is applied; and</w:t>
      </w:r>
    </w:p>
    <w:p>
      <w:pPr>
        <w:pStyle w:val="Indenta"/>
      </w:pPr>
      <w:r>
        <w:tab/>
        <w:t>(b)</w:t>
      </w:r>
      <w:r>
        <w:tab/>
        <w:t>applied in the approved manner.</w:t>
      </w:r>
    </w:p>
    <w:p>
      <w:pPr>
        <w:pStyle w:val="Heading3"/>
      </w:pPr>
      <w:bookmarkStart w:id="515" w:name="_Toc375042237"/>
      <w:bookmarkStart w:id="516" w:name="_Toc415054354"/>
      <w:r>
        <w:rPr>
          <w:rStyle w:val="CharDivNo"/>
        </w:rPr>
        <w:t>Division 3</w:t>
      </w:r>
      <w:r>
        <w:t> — </w:t>
      </w:r>
      <w:r>
        <w:rPr>
          <w:rStyle w:val="CharDivText"/>
        </w:rPr>
        <w:t>Ostriches</w:t>
      </w:r>
      <w:bookmarkEnd w:id="515"/>
      <w:bookmarkEnd w:id="516"/>
    </w:p>
    <w:p>
      <w:pPr>
        <w:pStyle w:val="Heading5"/>
      </w:pPr>
      <w:bookmarkStart w:id="517" w:name="_Toc375042238"/>
      <w:bookmarkStart w:id="518" w:name="_Toc415054355"/>
      <w:r>
        <w:rPr>
          <w:rStyle w:val="CharSectno"/>
        </w:rPr>
        <w:t>174</w:t>
      </w:r>
      <w:r>
        <w:t>.</w:t>
      </w:r>
      <w:r>
        <w:tab/>
        <w:t>Identification of ostriches not required</w:t>
      </w:r>
      <w:bookmarkEnd w:id="517"/>
      <w:bookmarkEnd w:id="518"/>
    </w:p>
    <w:p>
      <w:pPr>
        <w:pStyle w:val="Subsection"/>
      </w:pPr>
      <w:r>
        <w:tab/>
      </w:r>
      <w:r>
        <w:tab/>
        <w:t>Nothing in these regulations requires a person to identify an ostrich or cause it to be identified.</w:t>
      </w:r>
    </w:p>
    <w:p>
      <w:pPr>
        <w:pStyle w:val="Heading5"/>
      </w:pPr>
      <w:bookmarkStart w:id="519" w:name="_Toc375042239"/>
      <w:bookmarkStart w:id="520" w:name="_Toc415054356"/>
      <w:r>
        <w:rPr>
          <w:rStyle w:val="CharSectno"/>
        </w:rPr>
        <w:t>175</w:t>
      </w:r>
      <w:r>
        <w:t>.</w:t>
      </w:r>
      <w:r>
        <w:tab/>
        <w:t>How ostriches may be identified</w:t>
      </w:r>
      <w:bookmarkEnd w:id="519"/>
      <w:bookmarkEnd w:id="520"/>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521" w:name="_Toc375042240"/>
      <w:bookmarkStart w:id="522" w:name="_Toc415054357"/>
      <w:r>
        <w:rPr>
          <w:rStyle w:val="CharSectno"/>
        </w:rPr>
        <w:t>176</w:t>
      </w:r>
      <w:r>
        <w:t>.</w:t>
      </w:r>
      <w:r>
        <w:tab/>
        <w:t>Registered identifier applied as brand</w:t>
      </w:r>
      <w:bookmarkEnd w:id="521"/>
      <w:bookmarkEnd w:id="522"/>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523" w:name="_Toc375042241"/>
      <w:bookmarkStart w:id="524" w:name="_Toc415054358"/>
      <w:r>
        <w:rPr>
          <w:rStyle w:val="CharSectno"/>
        </w:rPr>
        <w:t>177</w:t>
      </w:r>
      <w:r>
        <w:t>.</w:t>
      </w:r>
      <w:r>
        <w:tab/>
        <w:t>Other markings on neck tags and leg bands</w:t>
      </w:r>
      <w:bookmarkEnd w:id="523"/>
      <w:bookmarkEnd w:id="524"/>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Heading3"/>
      </w:pPr>
      <w:bookmarkStart w:id="525" w:name="_Toc375042242"/>
      <w:bookmarkStart w:id="526" w:name="_Toc415054359"/>
      <w:r>
        <w:rPr>
          <w:rStyle w:val="CharDivNo"/>
        </w:rPr>
        <w:t>Division 4</w:t>
      </w:r>
      <w:r>
        <w:t> — </w:t>
      </w:r>
      <w:r>
        <w:rPr>
          <w:rStyle w:val="CharDivText"/>
        </w:rPr>
        <w:t>Pigs</w:t>
      </w:r>
      <w:bookmarkEnd w:id="525"/>
      <w:bookmarkEnd w:id="526"/>
    </w:p>
    <w:p>
      <w:pPr>
        <w:pStyle w:val="Heading5"/>
      </w:pPr>
      <w:bookmarkStart w:id="527" w:name="_Toc375042243"/>
      <w:bookmarkStart w:id="528" w:name="_Toc415054360"/>
      <w:r>
        <w:rPr>
          <w:rStyle w:val="CharSectno"/>
        </w:rPr>
        <w:t>178</w:t>
      </w:r>
      <w:r>
        <w:t>.</w:t>
      </w:r>
      <w:r>
        <w:tab/>
        <w:t>Owners to identify pigs</w:t>
      </w:r>
      <w:bookmarkEnd w:id="527"/>
      <w:bookmarkEnd w:id="528"/>
    </w:p>
    <w:p>
      <w:pPr>
        <w:pStyle w:val="Subsection"/>
      </w:pPr>
      <w:r>
        <w:tab/>
        <w:t>(1)</w:t>
      </w:r>
      <w:r>
        <w:tab/>
        <w:t>An owner of a pig must identify the pig, or cause it to be identified, in accordance with this regulation not more than 7 days before it is moved from the property on which it is kept.</w:t>
      </w:r>
    </w:p>
    <w:p>
      <w:pPr>
        <w:pStyle w:val="Penstart"/>
      </w:pPr>
      <w:r>
        <w:tab/>
        <w:t>Penalty: a fine of $5 000.</w:t>
      </w:r>
    </w:p>
    <w:p>
      <w:pPr>
        <w:pStyle w:val="Subsection"/>
      </w:pPr>
      <w:r>
        <w:tab/>
        <w:t>(2)</w:t>
      </w:r>
      <w:r>
        <w:tab/>
        <w:t xml:space="preserve">For the purposes of subregulation (1), an owner of a pig may identify the pig, or cause it to be identified, with either or both of the following identifiers — </w:t>
      </w:r>
    </w:p>
    <w:p>
      <w:pPr>
        <w:pStyle w:val="Indenta"/>
      </w:pPr>
      <w:r>
        <w:tab/>
        <w:t>(a)</w:t>
      </w:r>
      <w:r>
        <w:tab/>
        <w:t>a registered identifier applied as a brand in accordance with regulation 180;</w:t>
      </w:r>
    </w:p>
    <w:p>
      <w:pPr>
        <w:pStyle w:val="Indenta"/>
      </w:pPr>
      <w:r>
        <w:tab/>
        <w:t>(b)</w:t>
      </w:r>
      <w:r>
        <w:tab/>
        <w:t>an approved identifier for pigs.</w:t>
      </w:r>
    </w:p>
    <w:p>
      <w:pPr>
        <w:pStyle w:val="Heading5"/>
      </w:pPr>
      <w:bookmarkStart w:id="529" w:name="_Toc375042244"/>
      <w:bookmarkStart w:id="530" w:name="_Toc415054361"/>
      <w:r>
        <w:rPr>
          <w:rStyle w:val="CharSectno"/>
        </w:rPr>
        <w:t>179</w:t>
      </w:r>
      <w:r>
        <w:t>.</w:t>
      </w:r>
      <w:r>
        <w:tab/>
        <w:t>Exemptions for piglets and stud animals</w:t>
      </w:r>
      <w:bookmarkEnd w:id="529"/>
      <w:bookmarkEnd w:id="530"/>
    </w:p>
    <w:p>
      <w:pPr>
        <w:pStyle w:val="Subsection"/>
      </w:pPr>
      <w:r>
        <w:tab/>
        <w:t>(1)</w:t>
      </w:r>
      <w:r>
        <w:tab/>
        <w:t xml:space="preserve">In this regulation — </w:t>
      </w:r>
    </w:p>
    <w:p>
      <w:pPr>
        <w:pStyle w:val="Defstart"/>
      </w:pPr>
      <w:r>
        <w:tab/>
      </w:r>
      <w:r>
        <w:rPr>
          <w:rStyle w:val="CharDefText"/>
        </w:rPr>
        <w:t>stud prefix</w:t>
      </w:r>
      <w:r>
        <w:t xml:space="preserve"> means a stud prefix recognised by the Australian Pig Breeders Association Ltd ABN 26 905 086 209.</w:t>
      </w:r>
    </w:p>
    <w:p>
      <w:pPr>
        <w:pStyle w:val="Subsection"/>
      </w:pPr>
      <w:r>
        <w:tab/>
        <w:t>(2)</w:t>
      </w:r>
      <w:r>
        <w:tab/>
        <w:t xml:space="preserve">It is not necessary for a pig to be identified in accordance with regulation 178 if — </w:t>
      </w:r>
    </w:p>
    <w:p>
      <w:pPr>
        <w:pStyle w:val="Indenta"/>
      </w:pPr>
      <w:r>
        <w:tab/>
        <w:t>(a)</w:t>
      </w:r>
      <w:r>
        <w:tab/>
        <w:t>the pig has not reached 10 weeks of age; or</w:t>
      </w:r>
    </w:p>
    <w:p>
      <w:pPr>
        <w:pStyle w:val="Indenta"/>
      </w:pPr>
      <w:r>
        <w:tab/>
        <w:t>(b)</w:t>
      </w:r>
      <w:r>
        <w:tab/>
        <w:t xml:space="preserve">it is a stud animal that — </w:t>
      </w:r>
    </w:p>
    <w:p>
      <w:pPr>
        <w:pStyle w:val="Indenti"/>
      </w:pPr>
      <w:r>
        <w:tab/>
        <w:t>(i)</w:t>
      </w:r>
      <w:r>
        <w:tab/>
        <w:t>is marked with the current owner’s, or a previous owner’s, stud prefix; and</w:t>
      </w:r>
    </w:p>
    <w:p>
      <w:pPr>
        <w:pStyle w:val="Indenti"/>
      </w:pPr>
      <w:r>
        <w:tab/>
        <w:t>(ii)</w:t>
      </w:r>
      <w:r>
        <w:tab/>
        <w:t>is being moved to a property other than a saleyard or abattoir.</w:t>
      </w:r>
    </w:p>
    <w:p>
      <w:pPr>
        <w:pStyle w:val="Heading5"/>
      </w:pPr>
      <w:bookmarkStart w:id="531" w:name="_Toc375042245"/>
      <w:bookmarkStart w:id="532" w:name="_Toc415054362"/>
      <w:r>
        <w:rPr>
          <w:rStyle w:val="CharSectno"/>
        </w:rPr>
        <w:t>180</w:t>
      </w:r>
      <w:r>
        <w:t>.</w:t>
      </w:r>
      <w:r>
        <w:tab/>
        <w:t>Registered identifier applied as brand</w:t>
      </w:r>
      <w:bookmarkEnd w:id="531"/>
      <w:bookmarkEnd w:id="532"/>
    </w:p>
    <w:p>
      <w:pPr>
        <w:pStyle w:val="Subsection"/>
        <w:rPr>
          <w:snapToGrid w:val="0"/>
        </w:rPr>
      </w:pPr>
      <w:r>
        <w:tab/>
        <w:t>(1)</w:t>
      </w:r>
      <w:r>
        <w:tab/>
        <w:t>A</w:t>
      </w:r>
      <w:r>
        <w:rPr>
          <w:snapToGrid w:val="0"/>
        </w:rPr>
        <w:t xml:space="preserve"> registered identifier applied as a brand to a pig must be applied — </w:t>
      </w:r>
    </w:p>
    <w:p>
      <w:pPr>
        <w:pStyle w:val="Indenta"/>
        <w:rPr>
          <w:snapToGrid w:val="0"/>
        </w:rPr>
      </w:pPr>
      <w:r>
        <w:rPr>
          <w:snapToGrid w:val="0"/>
        </w:rPr>
        <w:tab/>
        <w:t>(a)</w:t>
      </w:r>
      <w:r>
        <w:rPr>
          <w:snapToGrid w:val="0"/>
        </w:rPr>
        <w:tab/>
        <w:t xml:space="preserve">using equipment that is </w:t>
      </w:r>
      <w:r>
        <w:t>approved identification equipment for that purpose</w:t>
      </w:r>
      <w:r>
        <w:rPr>
          <w:snapToGrid w:val="0"/>
        </w:rPr>
        <w:t>; and</w:t>
      </w:r>
    </w:p>
    <w:p>
      <w:pPr>
        <w:pStyle w:val="Indenta"/>
        <w:rPr>
          <w:snapToGrid w:val="0"/>
        </w:rPr>
      </w:pPr>
      <w:r>
        <w:tab/>
        <w:t>(b)</w:t>
      </w:r>
      <w:r>
        <w:tab/>
      </w:r>
      <w:r>
        <w:rPr>
          <w:snapToGrid w:val="0"/>
        </w:rPr>
        <w:t>in accordance with this regulation.</w:t>
      </w:r>
    </w:p>
    <w:p>
      <w:pPr>
        <w:pStyle w:val="Subsection"/>
      </w:pPr>
      <w:r>
        <w:tab/>
        <w:t>(2)</w:t>
      </w:r>
      <w:r>
        <w:tab/>
      </w:r>
      <w:r>
        <w:rPr>
          <w:snapToGrid w:val="0"/>
        </w:rPr>
        <w:t>A brand must be applied</w:t>
      </w:r>
      <w:r>
        <w:t xml:space="preserve"> using carbon black paste or such tattooing ink or dye of such colour as approved for that purpose.</w:t>
      </w:r>
    </w:p>
    <w:p>
      <w:pPr>
        <w:pStyle w:val="Subsection"/>
        <w:rPr>
          <w:snapToGrid w:val="0"/>
        </w:rPr>
      </w:pPr>
      <w:r>
        <w:tab/>
        <w:t>(3)</w:t>
      </w:r>
      <w:r>
        <w:tab/>
      </w:r>
      <w:r>
        <w:rPr>
          <w:snapToGrid w:val="0"/>
        </w:rPr>
        <w:t>A brand must be applied</w:t>
      </w:r>
      <w:r>
        <w:t xml:space="preserve"> — </w:t>
      </w:r>
    </w:p>
    <w:p>
      <w:pPr>
        <w:pStyle w:val="Indenta"/>
        <w:rPr>
          <w:snapToGrid w:val="0"/>
        </w:rPr>
      </w:pPr>
      <w:r>
        <w:rPr>
          <w:snapToGrid w:val="0"/>
        </w:rPr>
        <w:tab/>
        <w:t>(a)</w:t>
      </w:r>
      <w:r>
        <w:rPr>
          <w:snapToGrid w:val="0"/>
        </w:rPr>
        <w:tab/>
      </w:r>
      <w:r>
        <w:t xml:space="preserve">if it is applied by, or on behalf of, the breeder of the pig — </w:t>
      </w:r>
      <w:r>
        <w:rPr>
          <w:snapToGrid w:val="0"/>
        </w:rPr>
        <w:t>to the left shoulder of the pig; or</w:t>
      </w:r>
    </w:p>
    <w:p>
      <w:pPr>
        <w:pStyle w:val="Indenta"/>
      </w:pPr>
      <w:r>
        <w:tab/>
        <w:t>(b)</w:t>
      </w:r>
      <w:r>
        <w:tab/>
        <w:t>in each other case — to the right shoulder of the pig.</w:t>
      </w:r>
    </w:p>
    <w:p>
      <w:pPr>
        <w:pStyle w:val="Heading3"/>
      </w:pPr>
      <w:bookmarkStart w:id="533" w:name="_Toc375042246"/>
      <w:bookmarkStart w:id="534" w:name="_Toc415054363"/>
      <w:r>
        <w:rPr>
          <w:rStyle w:val="CharDivNo"/>
        </w:rPr>
        <w:t>Division 5</w:t>
      </w:r>
      <w:r>
        <w:t> — </w:t>
      </w:r>
      <w:r>
        <w:rPr>
          <w:rStyle w:val="CharDivText"/>
        </w:rPr>
        <w:t>South American camelids</w:t>
      </w:r>
      <w:bookmarkEnd w:id="533"/>
      <w:bookmarkEnd w:id="534"/>
    </w:p>
    <w:p>
      <w:pPr>
        <w:pStyle w:val="Heading5"/>
      </w:pPr>
      <w:bookmarkStart w:id="535" w:name="_Toc375042247"/>
      <w:bookmarkStart w:id="536" w:name="_Toc415054364"/>
      <w:r>
        <w:rPr>
          <w:rStyle w:val="CharSectno"/>
        </w:rPr>
        <w:t>181</w:t>
      </w:r>
      <w:r>
        <w:t>.</w:t>
      </w:r>
      <w:r>
        <w:tab/>
        <w:t>Owners to identify South American camelids</w:t>
      </w:r>
      <w:bookmarkEnd w:id="535"/>
      <w:bookmarkEnd w:id="536"/>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before it reaches 6 months of age and before it is identified in accordance with this regulation — when it is moved; or</w:t>
      </w:r>
    </w:p>
    <w:p>
      <w:pPr>
        <w:pStyle w:val="Indenta"/>
      </w:pPr>
      <w:r>
        <w:tab/>
        <w:t>(b)</w:t>
      </w:r>
      <w:r>
        <w:tab/>
        <w:t>otherwise — before it reaches 6 months of age.</w:t>
      </w:r>
    </w:p>
    <w:p>
      <w:pPr>
        <w:pStyle w:val="Penstart"/>
      </w:pPr>
      <w:r>
        <w:tab/>
        <w:t>Penalty: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For the purposes of this regulation, an owner of a South American camelid may identify the South American camelid, or cause it be identified, with all or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Heading5"/>
      </w:pPr>
      <w:bookmarkStart w:id="537" w:name="_Toc375042248"/>
      <w:bookmarkStart w:id="538" w:name="_Toc415054365"/>
      <w:r>
        <w:rPr>
          <w:rStyle w:val="CharSectno"/>
        </w:rPr>
        <w:t>182</w:t>
      </w:r>
      <w:r>
        <w:t>.</w:t>
      </w:r>
      <w:r>
        <w:tab/>
        <w:t>Exemption for South American camelids under 6 months</w:t>
      </w:r>
      <w:bookmarkEnd w:id="537"/>
      <w:bookmarkEnd w:id="538"/>
    </w:p>
    <w:p>
      <w:pPr>
        <w:pStyle w:val="Subsection"/>
      </w:pPr>
      <w:r>
        <w:tab/>
        <w:t>(1)</w:t>
      </w:r>
      <w:r>
        <w:tab/>
        <w:t>It is not necessary for a South American camelid to be identified in accordance with regulation 181(1)(a) if it is being moved with its mother from the property on which it is kept to another property with the same relevant PIC.</w:t>
      </w:r>
    </w:p>
    <w:p>
      <w:pPr>
        <w:pStyle w:val="Subsection"/>
      </w:pPr>
      <w:r>
        <w:tab/>
        <w:t>(2)</w:t>
      </w:r>
      <w:r>
        <w:tab/>
        <w:t xml:space="preserve">It is not necessary for a South American camelid to be identified in accordance with regulation 181(2)(a) or (3)(a) if it — </w:t>
      </w:r>
    </w:p>
    <w:p>
      <w:pPr>
        <w:pStyle w:val="Indenta"/>
      </w:pPr>
      <w:r>
        <w:tab/>
        <w:t>(a)</w:t>
      </w:r>
      <w:r>
        <w:tab/>
        <w:t>has not reached 6 months of age; and</w:t>
      </w:r>
    </w:p>
    <w:p>
      <w:pPr>
        <w:pStyle w:val="Indenta"/>
      </w:pPr>
      <w:r>
        <w:tab/>
        <w:t>(b)</w:t>
      </w:r>
      <w:r>
        <w:tab/>
        <w:t>is being moved with its mother from the property on which it is kept to another property with the same relevant PIC.</w:t>
      </w:r>
    </w:p>
    <w:p>
      <w:pPr>
        <w:pStyle w:val="Heading5"/>
      </w:pPr>
      <w:bookmarkStart w:id="539" w:name="_Toc375042249"/>
      <w:bookmarkStart w:id="540" w:name="_Toc415054366"/>
      <w:r>
        <w:rPr>
          <w:rStyle w:val="CharSectno"/>
        </w:rPr>
        <w:t>183</w:t>
      </w:r>
      <w:r>
        <w:t>.</w:t>
      </w:r>
      <w:r>
        <w:tab/>
        <w:t>South American camelids identified by previous owner</w:t>
      </w:r>
      <w:bookmarkEnd w:id="539"/>
      <w:bookmarkEnd w:id="540"/>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541" w:name="_Toc375042250"/>
      <w:bookmarkStart w:id="542" w:name="_Toc415054367"/>
      <w:r>
        <w:rPr>
          <w:rStyle w:val="CharSectno"/>
        </w:rPr>
        <w:t>184</w:t>
      </w:r>
      <w:r>
        <w:t>.</w:t>
      </w:r>
      <w:r>
        <w:tab/>
        <w:t>Registered identifier applied as brand</w:t>
      </w:r>
      <w:bookmarkEnd w:id="541"/>
      <w:bookmarkEnd w:id="542"/>
    </w:p>
    <w:p>
      <w:pPr>
        <w:pStyle w:val="Subsection"/>
        <w:rPr>
          <w:snapToGrid w:val="0"/>
        </w:rPr>
      </w:pPr>
      <w:r>
        <w:tab/>
      </w:r>
      <w:r>
        <w:tab/>
      </w:r>
      <w:r>
        <w:rPr>
          <w:snapToGrid w:val="0"/>
        </w:rPr>
        <w:t xml:space="preserve">A registered identifier applied as a brand </w:t>
      </w:r>
      <w:r>
        <w:t>to a South American camelid must be legibly displayed on an eartag</w:t>
      </w:r>
      <w:r>
        <w:rPr>
          <w:snapToGrid w:val="0"/>
        </w:rPr>
        <w:t xml:space="preserve"> that is —</w:t>
      </w:r>
    </w:p>
    <w:p>
      <w:pPr>
        <w:pStyle w:val="Indenta"/>
      </w:pPr>
      <w:r>
        <w:tab/>
        <w:t>(a)</w:t>
      </w:r>
      <w:r>
        <w:tab/>
        <w:t>an approved device; and</w:t>
      </w:r>
    </w:p>
    <w:p>
      <w:pPr>
        <w:pStyle w:val="Indenta"/>
      </w:pPr>
      <w:r>
        <w:tab/>
        <w:t>(b)</w:t>
      </w:r>
      <w:r>
        <w:tab/>
        <w:t xml:space="preserve">applied — </w:t>
      </w:r>
    </w:p>
    <w:p>
      <w:pPr>
        <w:pStyle w:val="Indenti"/>
      </w:pPr>
      <w:r>
        <w:tab/>
        <w:t>(i)</w:t>
      </w:r>
      <w:r>
        <w:tab/>
        <w:t>to the left ear of a male animal; or</w:t>
      </w:r>
    </w:p>
    <w:p>
      <w:pPr>
        <w:pStyle w:val="Indenti"/>
      </w:pPr>
      <w:r>
        <w:tab/>
        <w:t>(ii)</w:t>
      </w:r>
      <w:r>
        <w:tab/>
        <w:t>to the right ear of a female animal.</w:t>
      </w:r>
    </w:p>
    <w:p>
      <w:pPr>
        <w:pStyle w:val="Heading5"/>
      </w:pPr>
      <w:bookmarkStart w:id="543" w:name="_Toc375042251"/>
      <w:bookmarkStart w:id="544" w:name="_Toc415054368"/>
      <w:r>
        <w:rPr>
          <w:rStyle w:val="CharSectno"/>
        </w:rPr>
        <w:t>185</w:t>
      </w:r>
      <w:r>
        <w:t>.</w:t>
      </w:r>
      <w:r>
        <w:tab/>
        <w:t>Registered identifier applied as earmark</w:t>
      </w:r>
      <w:bookmarkEnd w:id="543"/>
      <w:bookmarkEnd w:id="544"/>
    </w:p>
    <w:p>
      <w:pPr>
        <w:pStyle w:val="Subsection"/>
      </w:pPr>
      <w:r>
        <w:tab/>
        <w:t>(1)</w:t>
      </w:r>
      <w:r>
        <w:tab/>
      </w:r>
      <w:r>
        <w:rPr>
          <w:snapToGrid w:val="0"/>
        </w:rPr>
        <w:t xml:space="preserve">A registered identifier applied as an earmark </w:t>
      </w:r>
      <w:r>
        <w:t>to a South American camelid must —</w:t>
      </w:r>
    </w:p>
    <w:p>
      <w:pPr>
        <w:pStyle w:val="Indenta"/>
      </w:pPr>
      <w:r>
        <w:tab/>
        <w:t>(a)</w:t>
      </w:r>
      <w:r>
        <w:tab/>
        <w:t xml:space="preserve">be applied — </w:t>
      </w:r>
    </w:p>
    <w:p>
      <w:pPr>
        <w:pStyle w:val="Indenti"/>
      </w:pPr>
      <w:r>
        <w:tab/>
        <w:t>(i)</w:t>
      </w:r>
      <w:r>
        <w:tab/>
      </w:r>
      <w:r>
        <w:rPr>
          <w:snapToGrid w:val="0"/>
        </w:rPr>
        <w:t>to the right ear of a male animal; or</w:t>
      </w:r>
    </w:p>
    <w:p>
      <w:pPr>
        <w:pStyle w:val="Indenti"/>
      </w:pPr>
      <w:r>
        <w:tab/>
        <w:t>(ii)</w:t>
      </w:r>
      <w:r>
        <w:tab/>
      </w:r>
      <w:r>
        <w:rPr>
          <w:snapToGrid w:val="0"/>
        </w:rPr>
        <w:t>to the left ear of a female animal;</w:t>
      </w:r>
    </w:p>
    <w:p>
      <w:pPr>
        <w:pStyle w:val="Indenta"/>
      </w:pPr>
      <w:r>
        <w:tab/>
      </w:r>
      <w:r>
        <w:tab/>
        <w:t>and</w:t>
      </w:r>
    </w:p>
    <w:p>
      <w:pPr>
        <w:pStyle w:val="Indenta"/>
      </w:pPr>
      <w:r>
        <w:tab/>
        <w:t>(b)</w:t>
      </w:r>
      <w:r>
        <w:tab/>
        <w:t>meet the requirements of subregulation (2).</w:t>
      </w:r>
    </w:p>
    <w:p>
      <w:pPr>
        <w:pStyle w:val="Subsection"/>
      </w:pPr>
      <w:r>
        <w:tab/>
        <w:t>(2)</w:t>
      </w:r>
      <w:r>
        <w:tab/>
        <w:t>Each</w:t>
      </w:r>
      <w:r>
        <w:rPr>
          <w:snapToGrid w:val="0"/>
        </w:rPr>
        <w:t xml:space="preserve"> symbol forming part of an earmark must be not less than 12 mm across its maximum dimension at the time when the earmark is applied.</w:t>
      </w:r>
    </w:p>
    <w:p>
      <w:pPr>
        <w:pStyle w:val="Heading5"/>
      </w:pPr>
      <w:bookmarkStart w:id="545" w:name="_Toc375042252"/>
      <w:bookmarkStart w:id="546" w:name="_Toc415054369"/>
      <w:r>
        <w:rPr>
          <w:rStyle w:val="CharSectno"/>
        </w:rPr>
        <w:t>186</w:t>
      </w:r>
      <w:r>
        <w:t>.</w:t>
      </w:r>
      <w:r>
        <w:tab/>
        <w:t>Other earmarks</w:t>
      </w:r>
      <w:bookmarkEnd w:id="545"/>
      <w:bookmarkEnd w:id="546"/>
    </w:p>
    <w:p>
      <w:pPr>
        <w:pStyle w:val="Subsection"/>
        <w:rPr>
          <w:snapToGrid w:val="0"/>
        </w:rPr>
      </w:pPr>
      <w:r>
        <w:tab/>
      </w:r>
      <w:r>
        <w:tab/>
      </w:r>
      <w:r>
        <w:rPr>
          <w:snapToGrid w:val="0"/>
        </w:rPr>
        <w:t xml:space="preserve">A person must not apply an earmark to a </w:t>
      </w:r>
      <w:r>
        <w:t>South American camelid</w:t>
      </w:r>
      <w:r>
        <w:rPr>
          <w:snapToGrid w:val="0"/>
        </w:rPr>
        <w:t>, other than an identifier applied under regulation 181, unless it is applied —</w:t>
      </w:r>
    </w:p>
    <w:p>
      <w:pPr>
        <w:pStyle w:val="Indenta"/>
      </w:pPr>
      <w:r>
        <w:tab/>
        <w:t>(a)</w:t>
      </w:r>
      <w:r>
        <w:tab/>
        <w:t>to the left ear of a male animal; or</w:t>
      </w:r>
    </w:p>
    <w:p>
      <w:pPr>
        <w:pStyle w:val="Indenta"/>
      </w:pPr>
      <w:r>
        <w:tab/>
        <w:t>(b)</w:t>
      </w:r>
      <w:r>
        <w:tab/>
        <w:t>to the right ear of a female animal,</w:t>
      </w:r>
    </w:p>
    <w:p>
      <w:pPr>
        <w:pStyle w:val="Subsection"/>
      </w:pPr>
      <w:r>
        <w:tab/>
      </w:r>
      <w:r>
        <w:tab/>
        <w:t>in such a manner, and in such a position, as to render it clearly distinguishable from an identifier applied to the animal under regulation </w:t>
      </w:r>
      <w:r>
        <w:rPr>
          <w:snapToGrid w:val="0"/>
        </w:rPr>
        <w:t>181</w:t>
      </w:r>
      <w:r>
        <w:t>.</w:t>
      </w:r>
    </w:p>
    <w:p>
      <w:pPr>
        <w:pStyle w:val="Penstart"/>
      </w:pPr>
      <w:r>
        <w:tab/>
        <w:t>Penalty: a fine of $2 000.</w:t>
      </w:r>
    </w:p>
    <w:p>
      <w:pPr>
        <w:pStyle w:val="Heading2"/>
      </w:pPr>
      <w:bookmarkStart w:id="547" w:name="_Toc375042253"/>
      <w:bookmarkStart w:id="548" w:name="_Toc415054370"/>
      <w:r>
        <w:rPr>
          <w:rStyle w:val="CharPartNo"/>
        </w:rPr>
        <w:t>Part 8</w:t>
      </w:r>
      <w:r>
        <w:rPr>
          <w:rStyle w:val="CharDivNo"/>
        </w:rPr>
        <w:t> </w:t>
      </w:r>
      <w:r>
        <w:t>—</w:t>
      </w:r>
      <w:r>
        <w:rPr>
          <w:rStyle w:val="CharDivText"/>
        </w:rPr>
        <w:t> </w:t>
      </w:r>
      <w:r>
        <w:rPr>
          <w:rStyle w:val="CharPartText"/>
        </w:rPr>
        <w:t>Movement of animals</w:t>
      </w:r>
      <w:bookmarkEnd w:id="547"/>
      <w:bookmarkEnd w:id="548"/>
    </w:p>
    <w:p>
      <w:pPr>
        <w:pStyle w:val="Heading5"/>
      </w:pPr>
      <w:bookmarkStart w:id="549" w:name="_Toc375042254"/>
      <w:bookmarkStart w:id="550" w:name="_Toc415054371"/>
      <w:r>
        <w:rPr>
          <w:rStyle w:val="CharSectno"/>
        </w:rPr>
        <w:t>187</w:t>
      </w:r>
      <w:r>
        <w:t>.</w:t>
      </w:r>
      <w:r>
        <w:tab/>
        <w:t>Terms used</w:t>
      </w:r>
      <w:bookmarkEnd w:id="549"/>
      <w:bookmarkEnd w:id="550"/>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551" w:name="_Toc375042255"/>
      <w:bookmarkStart w:id="552" w:name="_Toc415054372"/>
      <w:r>
        <w:rPr>
          <w:rStyle w:val="CharSectno"/>
        </w:rPr>
        <w:t>188</w:t>
      </w:r>
      <w:r>
        <w:t>.</w:t>
      </w:r>
      <w:r>
        <w:tab/>
        <w:t>Application of Part</w:t>
      </w:r>
      <w:bookmarkEnd w:id="551"/>
      <w:bookmarkEnd w:id="552"/>
    </w:p>
    <w:p>
      <w:pPr>
        <w:pStyle w:val="Subsection"/>
      </w:pPr>
      <w:r>
        <w:tab/>
      </w:r>
      <w:r>
        <w:tab/>
        <w:t xml:space="preserve">This Part does not apply to the movement of — </w:t>
      </w:r>
    </w:p>
    <w:p>
      <w:pPr>
        <w:pStyle w:val="Indenta"/>
      </w:pPr>
      <w:r>
        <w:tab/>
        <w:t>(a)</w:t>
      </w:r>
      <w:r>
        <w:tab/>
        <w:t>a horse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Heading5"/>
      </w:pPr>
      <w:bookmarkStart w:id="553" w:name="_Toc375042256"/>
      <w:bookmarkStart w:id="554" w:name="_Toc415054373"/>
      <w:r>
        <w:rPr>
          <w:rStyle w:val="CharSectno"/>
        </w:rPr>
        <w:t>189</w:t>
      </w:r>
      <w:r>
        <w:t>.</w:t>
      </w:r>
      <w:r>
        <w:tab/>
        <w:t>When waybill is required</w:t>
      </w:r>
      <w:bookmarkEnd w:id="553"/>
      <w:bookmarkEnd w:id="554"/>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555" w:name="_Toc375042257"/>
      <w:bookmarkStart w:id="556" w:name="_Toc415054374"/>
      <w:r>
        <w:rPr>
          <w:rStyle w:val="CharSectno"/>
        </w:rPr>
        <w:t>190</w:t>
      </w:r>
      <w:r>
        <w:t>.</w:t>
      </w:r>
      <w:r>
        <w:tab/>
        <w:t>General requirements for waybills</w:t>
      </w:r>
      <w:bookmarkEnd w:id="555"/>
      <w:bookmarkEnd w:id="556"/>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a fine of $5 000.</w:t>
      </w:r>
    </w:p>
    <w:p>
      <w:pPr>
        <w:pStyle w:val="Heading5"/>
      </w:pPr>
      <w:bookmarkStart w:id="557" w:name="_Toc375042258"/>
      <w:bookmarkStart w:id="558" w:name="_Toc415054375"/>
      <w:r>
        <w:rPr>
          <w:rStyle w:val="CharSectno"/>
        </w:rPr>
        <w:t>191</w:t>
      </w:r>
      <w:r>
        <w:t>.</w:t>
      </w:r>
      <w:r>
        <w:tab/>
        <w:t>Movements from saleyards</w:t>
      </w:r>
      <w:bookmarkEnd w:id="557"/>
      <w:bookmarkEnd w:id="558"/>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on which the consignment is to be kept or slaughtered, or from which the consignment is to be exported, by the purchaser — that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Heading5"/>
      </w:pPr>
      <w:bookmarkStart w:id="559" w:name="_Toc375042259"/>
      <w:bookmarkStart w:id="560" w:name="_Toc415054376"/>
      <w:r>
        <w:rPr>
          <w:rStyle w:val="CharSectno"/>
        </w:rPr>
        <w:t>192</w:t>
      </w:r>
      <w:r>
        <w:t>.</w:t>
      </w:r>
      <w:r>
        <w:tab/>
        <w:t>When purchaser must provide waybill</w:t>
      </w:r>
      <w:bookmarkEnd w:id="559"/>
      <w:bookmarkEnd w:id="560"/>
    </w:p>
    <w:p>
      <w:pPr>
        <w:pStyle w:val="Subsection"/>
      </w:pPr>
      <w:r>
        <w:tab/>
        <w:t>(1)</w:t>
      </w:r>
      <w:r>
        <w:tab/>
        <w:t xml:space="preserve">If a purchaser of an animal at a saleyard does not give the saleyard operator the relevant PIC of the property on which the animal is to be kept or slaughtered, or from which the animal is to be exported, by the purchaser,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on which the animal is to be kept or slaughtered, or from which the animal is to be exported, by the purchaser;</w:t>
      </w:r>
    </w:p>
    <w:p>
      <w:pPr>
        <w:pStyle w:val="Indenta"/>
      </w:pPr>
      <w:r>
        <w:tab/>
        <w:t>(e)</w:t>
      </w:r>
      <w:r>
        <w:tab/>
        <w:t>the date of the movement of the animal from the saleyard.</w:t>
      </w:r>
    </w:p>
    <w:p>
      <w:pPr>
        <w:pStyle w:val="Penstart"/>
      </w:pPr>
      <w:r>
        <w:tab/>
        <w:t>Penalty: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a fine of $2 000.</w:t>
      </w:r>
    </w:p>
    <w:p>
      <w:pPr>
        <w:pStyle w:val="Heading5"/>
      </w:pPr>
      <w:bookmarkStart w:id="561" w:name="_Toc375042260"/>
      <w:bookmarkStart w:id="562" w:name="_Toc415054377"/>
      <w:r>
        <w:rPr>
          <w:rStyle w:val="CharSectno"/>
        </w:rPr>
        <w:t>193</w:t>
      </w:r>
      <w:r>
        <w:t>.</w:t>
      </w:r>
      <w:r>
        <w:tab/>
        <w:t>Movements from export depots</w:t>
      </w:r>
      <w:bookmarkEnd w:id="561"/>
      <w:bookmarkEnd w:id="562"/>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563" w:name="_Toc375042261"/>
      <w:bookmarkStart w:id="564" w:name="_Toc415054378"/>
      <w:r>
        <w:rPr>
          <w:rStyle w:val="CharSectno"/>
        </w:rPr>
        <w:t>194</w:t>
      </w:r>
      <w:r>
        <w:t>.</w:t>
      </w:r>
      <w:r>
        <w:tab/>
        <w:t>Recording identifiers on waybills</w:t>
      </w:r>
      <w:bookmarkEnd w:id="563"/>
      <w:bookmarkEnd w:id="564"/>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or approved identifier applied to the animal or animals;</w:t>
      </w:r>
    </w:p>
    <w:p>
      <w:pPr>
        <w:pStyle w:val="Indenta"/>
      </w:pPr>
      <w:r>
        <w:tab/>
        <w:t>(d)</w:t>
      </w:r>
      <w:r>
        <w:tab/>
        <w:t>the details of any identifier, approved by an inspector under regulation 83(2)(a), applied to the animal or animals;</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Heading5"/>
      </w:pPr>
      <w:bookmarkStart w:id="565" w:name="_Toc375042262"/>
      <w:bookmarkStart w:id="566" w:name="_Toc415054379"/>
      <w:r>
        <w:rPr>
          <w:rStyle w:val="CharSectno"/>
        </w:rPr>
        <w:t>195</w:t>
      </w:r>
      <w:r>
        <w:t>.</w:t>
      </w:r>
      <w:r>
        <w:tab/>
        <w:t>When waybill is not required</w:t>
      </w:r>
      <w:bookmarkEnd w:id="565"/>
      <w:bookmarkEnd w:id="566"/>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567" w:name="_Toc375042263"/>
      <w:bookmarkStart w:id="568" w:name="_Toc415054380"/>
      <w:r>
        <w:rPr>
          <w:rStyle w:val="CharSectno"/>
        </w:rPr>
        <w:t>196</w:t>
      </w:r>
      <w:r>
        <w:t>.</w:t>
      </w:r>
      <w:r>
        <w:tab/>
        <w:t>Movement permits</w:t>
      </w:r>
      <w:bookmarkEnd w:id="567"/>
      <w:bookmarkEnd w:id="568"/>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a fine of $2 000.</w:t>
      </w:r>
    </w:p>
    <w:p>
      <w:pPr>
        <w:pStyle w:val="Heading5"/>
      </w:pPr>
      <w:bookmarkStart w:id="569" w:name="_Toc375042264"/>
      <w:bookmarkStart w:id="570" w:name="_Toc415054381"/>
      <w:r>
        <w:rPr>
          <w:rStyle w:val="CharSectno"/>
        </w:rPr>
        <w:t>197</w:t>
      </w:r>
      <w:r>
        <w:t>.</w:t>
      </w:r>
      <w:r>
        <w:tab/>
        <w:t>When carrier may make out waybill</w:t>
      </w:r>
      <w:bookmarkEnd w:id="569"/>
      <w:bookmarkEnd w:id="570"/>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571" w:name="_Toc375042265"/>
      <w:bookmarkStart w:id="572" w:name="_Toc415054382"/>
      <w:r>
        <w:rPr>
          <w:rStyle w:val="CharSectno"/>
        </w:rPr>
        <w:t>198</w:t>
      </w:r>
      <w:r>
        <w:t>.</w:t>
      </w:r>
      <w:r>
        <w:tab/>
        <w:t>Movement of animals if transport documents retained by inspector</w:t>
      </w:r>
      <w:bookmarkEnd w:id="571"/>
      <w:bookmarkEnd w:id="572"/>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an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a fine of $2 000.</w:t>
      </w:r>
    </w:p>
    <w:p>
      <w:pPr>
        <w:pStyle w:val="Heading5"/>
      </w:pPr>
      <w:bookmarkStart w:id="573" w:name="_Toc375042266"/>
      <w:bookmarkStart w:id="574" w:name="_Toc415054383"/>
      <w:r>
        <w:rPr>
          <w:rStyle w:val="CharSectno"/>
        </w:rPr>
        <w:t>199</w:t>
      </w:r>
      <w:r>
        <w:t>.</w:t>
      </w:r>
      <w:r>
        <w:tab/>
        <w:t>Transport document must accompany animal being moved</w:t>
      </w:r>
      <w:bookmarkEnd w:id="573"/>
      <w:bookmarkEnd w:id="574"/>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Heading5"/>
      </w:pPr>
      <w:bookmarkStart w:id="575" w:name="_Toc375042267"/>
      <w:bookmarkStart w:id="576" w:name="_Toc415054384"/>
      <w:r>
        <w:rPr>
          <w:rStyle w:val="CharSectno"/>
        </w:rPr>
        <w:t>200</w:t>
      </w:r>
      <w:r>
        <w:t>.</w:t>
      </w:r>
      <w:r>
        <w:tab/>
        <w:t>Carrier to deliver transport document to operator of destination property</w:t>
      </w:r>
      <w:bookmarkEnd w:id="575"/>
      <w:bookmarkEnd w:id="576"/>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a fine of $2 000.</w:t>
      </w:r>
    </w:p>
    <w:p>
      <w:pPr>
        <w:pStyle w:val="Heading5"/>
      </w:pPr>
      <w:bookmarkStart w:id="577" w:name="_Toc375042268"/>
      <w:bookmarkStart w:id="578" w:name="_Toc415054385"/>
      <w:r>
        <w:rPr>
          <w:rStyle w:val="CharSectno"/>
        </w:rPr>
        <w:t>201</w:t>
      </w:r>
      <w:r>
        <w:t>.</w:t>
      </w:r>
      <w:r>
        <w:tab/>
        <w:t>Property operator to obtain transport document</w:t>
      </w:r>
      <w:bookmarkEnd w:id="577"/>
      <w:bookmarkEnd w:id="578"/>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a fine of $2 000.</w:t>
      </w:r>
    </w:p>
    <w:p>
      <w:pPr>
        <w:pStyle w:val="Heading2"/>
      </w:pPr>
      <w:bookmarkStart w:id="579" w:name="_Toc375042269"/>
      <w:bookmarkStart w:id="580" w:name="_Toc415054386"/>
      <w:r>
        <w:rPr>
          <w:rStyle w:val="CharPartNo"/>
        </w:rPr>
        <w:t>Part 9</w:t>
      </w:r>
      <w:r>
        <w:rPr>
          <w:rStyle w:val="CharDivNo"/>
        </w:rPr>
        <w:t> </w:t>
      </w:r>
      <w:r>
        <w:t>—</w:t>
      </w:r>
      <w:r>
        <w:rPr>
          <w:rStyle w:val="CharDivText"/>
        </w:rPr>
        <w:t> </w:t>
      </w:r>
      <w:r>
        <w:rPr>
          <w:rStyle w:val="CharPartText"/>
        </w:rPr>
        <w:t>Identification and movement of apiaries</w:t>
      </w:r>
      <w:bookmarkEnd w:id="579"/>
      <w:bookmarkEnd w:id="580"/>
    </w:p>
    <w:p>
      <w:pPr>
        <w:pStyle w:val="Heading5"/>
      </w:pPr>
      <w:bookmarkStart w:id="581" w:name="_Toc375042270"/>
      <w:bookmarkStart w:id="582" w:name="_Toc415054387"/>
      <w:r>
        <w:rPr>
          <w:rStyle w:val="CharSectno"/>
        </w:rPr>
        <w:t>202</w:t>
      </w:r>
      <w:r>
        <w:t>.</w:t>
      </w:r>
      <w:r>
        <w:tab/>
        <w:t>Beekeepers to identify hives</w:t>
      </w:r>
      <w:bookmarkEnd w:id="581"/>
      <w:bookmarkEnd w:id="582"/>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583" w:name="_Toc375042271"/>
      <w:bookmarkStart w:id="584" w:name="_Toc415054388"/>
      <w:r>
        <w:rPr>
          <w:rStyle w:val="CharSectno"/>
        </w:rPr>
        <w:t>203</w:t>
      </w:r>
      <w:r>
        <w:t>.</w:t>
      </w:r>
      <w:r>
        <w:tab/>
        <w:t>Identifying hives</w:t>
      </w:r>
      <w:bookmarkEnd w:id="583"/>
      <w:bookmarkEnd w:id="584"/>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585" w:name="_Toc375042272"/>
      <w:bookmarkStart w:id="586" w:name="_Toc415054389"/>
      <w:r>
        <w:rPr>
          <w:rStyle w:val="CharSectno"/>
        </w:rPr>
        <w:t>204</w:t>
      </w:r>
      <w:r>
        <w:t>.</w:t>
      </w:r>
      <w:r>
        <w:tab/>
        <w:t>Exclusive use of registered identifiers</w:t>
      </w:r>
      <w:bookmarkEnd w:id="585"/>
      <w:bookmarkEnd w:id="586"/>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keepNext/>
      </w:pPr>
      <w:r>
        <w:tab/>
        <w:t>Penalty: a fine of $5 000.</w:t>
      </w:r>
    </w:p>
    <w:p>
      <w:pPr>
        <w:pStyle w:val="Heading5"/>
      </w:pPr>
      <w:bookmarkStart w:id="587" w:name="_Toc375042273"/>
      <w:bookmarkStart w:id="588" w:name="_Toc415054390"/>
      <w:r>
        <w:rPr>
          <w:rStyle w:val="CharSectno"/>
        </w:rPr>
        <w:t>205</w:t>
      </w:r>
      <w:r>
        <w:t>.</w:t>
      </w:r>
      <w:r>
        <w:tab/>
        <w:t>Successive owners of hives</w:t>
      </w:r>
      <w:bookmarkEnd w:id="587"/>
      <w:bookmarkEnd w:id="588"/>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589" w:name="_Toc375042274"/>
      <w:bookmarkStart w:id="590" w:name="_Toc415054391"/>
      <w:r>
        <w:rPr>
          <w:rStyle w:val="CharSectno"/>
        </w:rPr>
        <w:t>206</w:t>
      </w:r>
      <w:r>
        <w:t>.</w:t>
      </w:r>
      <w:r>
        <w:tab/>
        <w:t>Altered or defaced identifiers</w:t>
      </w:r>
      <w:bookmarkEnd w:id="589"/>
      <w:bookmarkEnd w:id="590"/>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Heading5"/>
      </w:pPr>
      <w:bookmarkStart w:id="591" w:name="_Toc375042275"/>
      <w:bookmarkStart w:id="592" w:name="_Toc415054392"/>
      <w:r>
        <w:rPr>
          <w:rStyle w:val="CharSectno"/>
        </w:rPr>
        <w:t>207</w:t>
      </w:r>
      <w:r>
        <w:t>.</w:t>
      </w:r>
      <w:r>
        <w:tab/>
        <w:t>Possession of unidentified hives</w:t>
      </w:r>
      <w:bookmarkEnd w:id="591"/>
      <w:bookmarkEnd w:id="592"/>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593" w:name="_Toc375042276"/>
      <w:bookmarkStart w:id="594" w:name="_Toc415054393"/>
      <w:r>
        <w:rPr>
          <w:rStyle w:val="CharSectno"/>
        </w:rPr>
        <w:t>208</w:t>
      </w:r>
      <w:r>
        <w:t>.</w:t>
      </w:r>
      <w:r>
        <w:tab/>
        <w:t>Notices for apiaries</w:t>
      </w:r>
      <w:bookmarkEnd w:id="593"/>
      <w:bookmarkEnd w:id="594"/>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Heading5"/>
      </w:pPr>
      <w:bookmarkStart w:id="595" w:name="_Toc375042277"/>
      <w:bookmarkStart w:id="596" w:name="_Toc415054394"/>
      <w:r>
        <w:rPr>
          <w:rStyle w:val="CharSectno"/>
        </w:rPr>
        <w:t>209</w:t>
      </w:r>
      <w:r>
        <w:t>.</w:t>
      </w:r>
      <w:r>
        <w:tab/>
        <w:t>Establishment and movement of apiaries</w:t>
      </w:r>
      <w:bookmarkEnd w:id="595"/>
      <w:bookmarkEnd w:id="596"/>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a fine of $2 000.</w:t>
      </w:r>
    </w:p>
    <w:p>
      <w:pPr>
        <w:pStyle w:val="Heading5"/>
      </w:pPr>
      <w:bookmarkStart w:id="597" w:name="_Toc375042278"/>
      <w:bookmarkStart w:id="598" w:name="_Toc415054395"/>
      <w:r>
        <w:rPr>
          <w:rStyle w:val="CharSectno"/>
        </w:rPr>
        <w:t>210</w:t>
      </w:r>
      <w:r>
        <w:t>.</w:t>
      </w:r>
      <w:r>
        <w:tab/>
        <w:t>Lease, supply or disposal of apiaries</w:t>
      </w:r>
      <w:bookmarkEnd w:id="597"/>
      <w:bookmarkEnd w:id="598"/>
    </w:p>
    <w:p>
      <w:pPr>
        <w:pStyle w:val="Subsection"/>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a fine of $2 000.</w:t>
      </w:r>
    </w:p>
    <w:p>
      <w:pPr>
        <w:pStyle w:val="Subsection"/>
      </w:pPr>
      <w:r>
        <w:tab/>
        <w:t>(2)</w:t>
      </w:r>
      <w:r>
        <w:tab/>
        <w:t>A beekeeper must retain a record made under regulation 210(1)(b)(ii) for not less than 7 years after the record is made.</w:t>
      </w:r>
    </w:p>
    <w:p>
      <w:pPr>
        <w:pStyle w:val="Penstart"/>
      </w:pPr>
      <w:r>
        <w:tab/>
        <w:t>Penalty: a fine of $2 000.</w:t>
      </w:r>
    </w:p>
    <w:p>
      <w:pPr>
        <w:pStyle w:val="Heading2"/>
      </w:pPr>
      <w:bookmarkStart w:id="599" w:name="_Toc375042279"/>
      <w:bookmarkStart w:id="600" w:name="_Toc415054396"/>
      <w:r>
        <w:rPr>
          <w:rStyle w:val="CharPartNo"/>
        </w:rPr>
        <w:t>Part 10</w:t>
      </w:r>
      <w:r>
        <w:rPr>
          <w:rStyle w:val="CharDivNo"/>
        </w:rPr>
        <w:t> </w:t>
      </w:r>
      <w:r>
        <w:t>—</w:t>
      </w:r>
      <w:r>
        <w:rPr>
          <w:rStyle w:val="CharDivText"/>
        </w:rPr>
        <w:t> </w:t>
      </w:r>
      <w:r>
        <w:rPr>
          <w:rStyle w:val="CharPartText"/>
        </w:rPr>
        <w:t>Miscellaneous</w:t>
      </w:r>
      <w:bookmarkEnd w:id="599"/>
      <w:bookmarkEnd w:id="600"/>
    </w:p>
    <w:p>
      <w:pPr>
        <w:pStyle w:val="Heading5"/>
      </w:pPr>
      <w:bookmarkStart w:id="601" w:name="_Toc375042280"/>
      <w:bookmarkStart w:id="602" w:name="_Toc415054397"/>
      <w:r>
        <w:rPr>
          <w:rStyle w:val="CharSectno"/>
        </w:rPr>
        <w:t>211</w:t>
      </w:r>
      <w:r>
        <w:t>.</w:t>
      </w:r>
      <w:r>
        <w:tab/>
        <w:t>False or misleading information</w:t>
      </w:r>
      <w:bookmarkEnd w:id="601"/>
      <w:bookmarkEnd w:id="602"/>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03" w:name="_Toc375042281"/>
      <w:bookmarkStart w:id="604" w:name="_Toc415054398"/>
      <w:r>
        <w:rPr>
          <w:rStyle w:val="CharSectno"/>
        </w:rPr>
        <w:t>212</w:t>
      </w:r>
      <w:r>
        <w:t>.</w:t>
      </w:r>
      <w:r>
        <w:tab/>
        <w:t>Directions may be given orally or in writing</w:t>
      </w:r>
      <w:bookmarkEnd w:id="603"/>
      <w:bookmarkEnd w:id="604"/>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605" w:name="_Toc375042282"/>
      <w:bookmarkStart w:id="606" w:name="_Toc415054399"/>
      <w:r>
        <w:rPr>
          <w:rStyle w:val="CharPartNo"/>
        </w:rPr>
        <w:t>Part 11</w:t>
      </w:r>
      <w:r>
        <w:t> — </w:t>
      </w:r>
      <w:r>
        <w:rPr>
          <w:rStyle w:val="CharPartText"/>
        </w:rPr>
        <w:t>Repeal of regulations and transitional provisions</w:t>
      </w:r>
      <w:bookmarkEnd w:id="605"/>
      <w:bookmarkEnd w:id="606"/>
    </w:p>
    <w:p>
      <w:pPr>
        <w:pStyle w:val="Heading3"/>
      </w:pPr>
      <w:bookmarkStart w:id="607" w:name="_Toc375042283"/>
      <w:bookmarkStart w:id="608" w:name="_Toc415054400"/>
      <w:r>
        <w:rPr>
          <w:rStyle w:val="CharDivNo"/>
        </w:rPr>
        <w:t>Division 1</w:t>
      </w:r>
      <w:r>
        <w:t> — </w:t>
      </w:r>
      <w:r>
        <w:rPr>
          <w:rStyle w:val="CharDivText"/>
        </w:rPr>
        <w:t>Repeals</w:t>
      </w:r>
      <w:bookmarkEnd w:id="607"/>
      <w:bookmarkEnd w:id="608"/>
    </w:p>
    <w:p>
      <w:pPr>
        <w:pStyle w:val="Heading5"/>
      </w:pPr>
      <w:bookmarkStart w:id="609" w:name="_Toc375042284"/>
      <w:bookmarkStart w:id="610" w:name="_Toc415054401"/>
      <w:r>
        <w:rPr>
          <w:rStyle w:val="CharSectno"/>
        </w:rPr>
        <w:t>213</w:t>
      </w:r>
      <w:r>
        <w:t>.</w:t>
      </w:r>
      <w:r>
        <w:tab/>
        <w:t>Repeals</w:t>
      </w:r>
      <w:bookmarkEnd w:id="609"/>
      <w:bookmarkEnd w:id="610"/>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611" w:name="_Toc375042285"/>
      <w:bookmarkStart w:id="612" w:name="_Toc415054402"/>
      <w:r>
        <w:rPr>
          <w:rStyle w:val="CharDivNo"/>
        </w:rPr>
        <w:t>Division 2</w:t>
      </w:r>
      <w:r>
        <w:t> — </w:t>
      </w:r>
      <w:r>
        <w:rPr>
          <w:rStyle w:val="CharDivText"/>
          <w:i/>
        </w:rPr>
        <w:t>Enzootic Diseases Regulations 1970</w:t>
      </w:r>
      <w:r>
        <w:rPr>
          <w:rStyle w:val="CharDivText"/>
        </w:rPr>
        <w:t>: transitional provisions</w:t>
      </w:r>
      <w:bookmarkEnd w:id="611"/>
      <w:bookmarkEnd w:id="612"/>
    </w:p>
    <w:p>
      <w:pPr>
        <w:pStyle w:val="Heading5"/>
      </w:pPr>
      <w:bookmarkStart w:id="613" w:name="_Toc375042286"/>
      <w:bookmarkStart w:id="614" w:name="_Toc415054403"/>
      <w:r>
        <w:rPr>
          <w:rStyle w:val="CharSectno"/>
        </w:rPr>
        <w:t>214</w:t>
      </w:r>
      <w:r>
        <w:t>.</w:t>
      </w:r>
      <w:r>
        <w:tab/>
        <w:t>Terms used</w:t>
      </w:r>
      <w:bookmarkEnd w:id="613"/>
      <w:bookmarkEnd w:id="614"/>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615" w:name="_Toc375042287"/>
      <w:bookmarkStart w:id="616" w:name="_Toc415054404"/>
      <w:r>
        <w:rPr>
          <w:rStyle w:val="CharSectno"/>
        </w:rPr>
        <w:t>215</w:t>
      </w:r>
      <w:r>
        <w:t>.</w:t>
      </w:r>
      <w:r>
        <w:tab/>
        <w:t>Identification codes</w:t>
      </w:r>
      <w:bookmarkEnd w:id="615"/>
      <w:bookmarkEnd w:id="616"/>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617" w:name="_Toc375042288"/>
      <w:bookmarkStart w:id="618" w:name="_Toc415054405"/>
      <w:r>
        <w:rPr>
          <w:rStyle w:val="CharSectno"/>
        </w:rPr>
        <w:t>216</w:t>
      </w:r>
      <w:r>
        <w:t>.</w:t>
      </w:r>
      <w:r>
        <w:tab/>
        <w:t xml:space="preserve">Notices given under </w:t>
      </w:r>
      <w:r>
        <w:rPr>
          <w:i/>
        </w:rPr>
        <w:t xml:space="preserve">Enzootic Diseases Regulations 1970 </w:t>
      </w:r>
      <w:r>
        <w:t>regulation 11(1)(a)</w:t>
      </w:r>
      <w:bookmarkEnd w:id="617"/>
      <w:bookmarkEnd w:id="618"/>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619" w:name="_Toc375042289"/>
      <w:bookmarkStart w:id="620" w:name="_Toc415054406"/>
      <w:r>
        <w:rPr>
          <w:rStyle w:val="CharSectno"/>
        </w:rPr>
        <w:t>217</w:t>
      </w:r>
      <w:r>
        <w:t>.</w:t>
      </w:r>
      <w:r>
        <w:tab/>
        <w:t xml:space="preserve">Notices given under </w:t>
      </w:r>
      <w:r>
        <w:rPr>
          <w:i/>
        </w:rPr>
        <w:t xml:space="preserve">Enzootic Diseases Regulations 1970 </w:t>
      </w:r>
      <w:r>
        <w:t>regulation 11(1)(b)</w:t>
      </w:r>
      <w:bookmarkEnd w:id="619"/>
      <w:bookmarkEnd w:id="620"/>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621" w:name="_Toc375042290"/>
      <w:bookmarkStart w:id="622" w:name="_Toc415054407"/>
      <w:r>
        <w:rPr>
          <w:rStyle w:val="CharPartNo"/>
        </w:rPr>
        <w:t>Part 12</w:t>
      </w:r>
      <w:r>
        <w:t> — </w:t>
      </w:r>
      <w:r>
        <w:rPr>
          <w:rStyle w:val="CharPartText"/>
        </w:rPr>
        <w:t>Repealed Acts: transitional provisions</w:t>
      </w:r>
      <w:bookmarkEnd w:id="621"/>
      <w:bookmarkEnd w:id="622"/>
    </w:p>
    <w:p>
      <w:pPr>
        <w:pStyle w:val="Heading3"/>
      </w:pPr>
      <w:bookmarkStart w:id="623" w:name="_Toc375042291"/>
      <w:bookmarkStart w:id="624" w:name="_Toc415054408"/>
      <w:r>
        <w:rPr>
          <w:rStyle w:val="CharDivNo"/>
        </w:rPr>
        <w:t>Division 1</w:t>
      </w:r>
      <w:r>
        <w:t> — </w:t>
      </w:r>
      <w:r>
        <w:rPr>
          <w:rStyle w:val="CharDivText"/>
          <w:i/>
        </w:rPr>
        <w:t>Beekeepers Act 1963</w:t>
      </w:r>
      <w:bookmarkEnd w:id="623"/>
      <w:bookmarkEnd w:id="624"/>
    </w:p>
    <w:p>
      <w:pPr>
        <w:pStyle w:val="Heading5"/>
      </w:pPr>
      <w:bookmarkStart w:id="625" w:name="_Toc375042292"/>
      <w:bookmarkStart w:id="626" w:name="_Toc415054409"/>
      <w:r>
        <w:rPr>
          <w:rStyle w:val="CharSectno"/>
        </w:rPr>
        <w:t>218</w:t>
      </w:r>
      <w:r>
        <w:t>.</w:t>
      </w:r>
      <w:r>
        <w:tab/>
        <w:t>Terms used</w:t>
      </w:r>
      <w:bookmarkEnd w:id="625"/>
      <w:bookmarkEnd w:id="62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627" w:name="_Toc375042293"/>
      <w:bookmarkStart w:id="628" w:name="_Toc415054410"/>
      <w:r>
        <w:rPr>
          <w:rStyle w:val="CharSectno"/>
        </w:rPr>
        <w:t>219</w:t>
      </w:r>
      <w:r>
        <w:t>.</w:t>
      </w:r>
      <w:r>
        <w:tab/>
        <w:t>Beekeepers</w:t>
      </w:r>
      <w:bookmarkEnd w:id="627"/>
      <w:bookmarkEnd w:id="628"/>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629" w:name="_Toc375042294"/>
      <w:bookmarkStart w:id="630" w:name="_Toc415054411"/>
      <w:r>
        <w:rPr>
          <w:rStyle w:val="CharSectno"/>
        </w:rPr>
        <w:t>220</w:t>
      </w:r>
      <w:r>
        <w:t>.</w:t>
      </w:r>
      <w:r>
        <w:tab/>
        <w:t>Brands</w:t>
      </w:r>
      <w:bookmarkEnd w:id="629"/>
      <w:bookmarkEnd w:id="630"/>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631" w:name="_Toc375042295"/>
      <w:bookmarkStart w:id="632" w:name="_Toc415054412"/>
      <w:r>
        <w:rPr>
          <w:rStyle w:val="CharDivNo"/>
        </w:rPr>
        <w:t>Division 2</w:t>
      </w:r>
      <w:r>
        <w:t> — </w:t>
      </w:r>
      <w:r>
        <w:rPr>
          <w:rStyle w:val="CharDivText"/>
          <w:i/>
        </w:rPr>
        <w:t>Stock (Identification and Movement) Act 1970</w:t>
      </w:r>
      <w:bookmarkEnd w:id="631"/>
      <w:bookmarkEnd w:id="632"/>
    </w:p>
    <w:p>
      <w:pPr>
        <w:pStyle w:val="Heading5"/>
      </w:pPr>
      <w:bookmarkStart w:id="633" w:name="_Toc375042296"/>
      <w:bookmarkStart w:id="634" w:name="_Toc415054413"/>
      <w:r>
        <w:rPr>
          <w:rStyle w:val="CharSectno"/>
        </w:rPr>
        <w:t>221</w:t>
      </w:r>
      <w:r>
        <w:t>.</w:t>
      </w:r>
      <w:r>
        <w:tab/>
        <w:t>Terms used</w:t>
      </w:r>
      <w:bookmarkEnd w:id="633"/>
      <w:bookmarkEnd w:id="63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635" w:name="_Toc375042297"/>
      <w:bookmarkStart w:id="636" w:name="_Toc415054414"/>
      <w:r>
        <w:rPr>
          <w:rStyle w:val="CharSectno"/>
        </w:rPr>
        <w:t>222</w:t>
      </w:r>
      <w:r>
        <w:t>.</w:t>
      </w:r>
      <w:r>
        <w:tab/>
        <w:t>Owners of brands</w:t>
      </w:r>
      <w:bookmarkEnd w:id="635"/>
      <w:bookmarkEnd w:id="636"/>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
      <w:pPr>
        <w:rPr>
          <w:ins w:id="637" w:author="Master Repository Process" w:date="2021-07-31T08:51:00Z"/>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rPr>
          <w:ins w:id="638" w:author="Master Repository Process" w:date="2021-07-31T08:51:00Z"/>
        </w:rPr>
      </w:pPr>
      <w:bookmarkStart w:id="639" w:name="_Toc375042298"/>
      <w:bookmarkStart w:id="640" w:name="_Toc415054415"/>
      <w:ins w:id="641" w:author="Master Repository Process" w:date="2021-07-31T08:51:00Z">
        <w:r>
          <w:t>Notes</w:t>
        </w:r>
        <w:bookmarkEnd w:id="639"/>
        <w:bookmarkEnd w:id="640"/>
      </w:ins>
    </w:p>
    <w:p>
      <w:pPr>
        <w:pStyle w:val="nSubsection"/>
        <w:rPr>
          <w:ins w:id="642" w:author="Master Repository Process" w:date="2021-07-31T08:51:00Z"/>
          <w:snapToGrid w:val="0"/>
        </w:rPr>
      </w:pPr>
      <w:ins w:id="643" w:author="Master Repository Process" w:date="2021-07-31T08:51:00Z">
        <w:r>
          <w:rPr>
            <w:snapToGrid w:val="0"/>
            <w:vertAlign w:val="superscript"/>
          </w:rPr>
          <w:t>1</w:t>
        </w:r>
        <w:r>
          <w:rPr>
            <w:snapToGrid w:val="0"/>
          </w:rPr>
          <w:tab/>
          <w:t xml:space="preserve">This is a compilation of the </w:t>
        </w:r>
        <w:r>
          <w:rPr>
            <w:i/>
          </w:rPr>
          <w:t>Biosecurity and Agriculture Management (Identification and Movement of Stock and Apiaries) Regulations 2013.</w:t>
        </w:r>
        <w:r>
          <w:t xml:space="preserve">  </w:t>
        </w:r>
        <w:r>
          <w:rPr>
            <w:snapToGrid w:val="0"/>
          </w:rPr>
          <w:t>The following table contains information about those regulations.</w:t>
        </w:r>
      </w:ins>
    </w:p>
    <w:p>
      <w:pPr>
        <w:pStyle w:val="nHeading3"/>
        <w:rPr>
          <w:ins w:id="644" w:author="Master Repository Process" w:date="2021-07-31T08:51:00Z"/>
        </w:rPr>
      </w:pPr>
      <w:bookmarkStart w:id="645" w:name="_Toc375042299"/>
      <w:bookmarkStart w:id="646" w:name="_Toc415054416"/>
      <w:ins w:id="647" w:author="Master Repository Process" w:date="2021-07-31T08:51:00Z">
        <w:r>
          <w:t>Compilation table</w:t>
        </w:r>
        <w:bookmarkEnd w:id="645"/>
        <w:bookmarkEnd w:id="64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48" w:author="Master Repository Process" w:date="2021-07-31T08:51:00Z"/>
        </w:trPr>
        <w:tc>
          <w:tcPr>
            <w:tcW w:w="3118" w:type="dxa"/>
          </w:tcPr>
          <w:p>
            <w:pPr>
              <w:pStyle w:val="nTable"/>
              <w:spacing w:after="40"/>
              <w:rPr>
                <w:ins w:id="649" w:author="Master Repository Process" w:date="2021-07-31T08:51:00Z"/>
                <w:b/>
              </w:rPr>
            </w:pPr>
            <w:ins w:id="650" w:author="Master Repository Process" w:date="2021-07-31T08:51:00Z">
              <w:r>
                <w:rPr>
                  <w:b/>
                </w:rPr>
                <w:t>Citation</w:t>
              </w:r>
            </w:ins>
          </w:p>
        </w:tc>
        <w:tc>
          <w:tcPr>
            <w:tcW w:w="1276" w:type="dxa"/>
          </w:tcPr>
          <w:p>
            <w:pPr>
              <w:pStyle w:val="nTable"/>
              <w:spacing w:after="40"/>
              <w:rPr>
                <w:ins w:id="651" w:author="Master Repository Process" w:date="2021-07-31T08:51:00Z"/>
                <w:b/>
              </w:rPr>
            </w:pPr>
            <w:ins w:id="652" w:author="Master Repository Process" w:date="2021-07-31T08:51:00Z">
              <w:r>
                <w:rPr>
                  <w:b/>
                </w:rPr>
                <w:t>Gazettal</w:t>
              </w:r>
            </w:ins>
          </w:p>
        </w:tc>
        <w:tc>
          <w:tcPr>
            <w:tcW w:w="2693" w:type="dxa"/>
          </w:tcPr>
          <w:p>
            <w:pPr>
              <w:pStyle w:val="nTable"/>
              <w:spacing w:after="40"/>
              <w:rPr>
                <w:ins w:id="653" w:author="Master Repository Process" w:date="2021-07-31T08:51:00Z"/>
                <w:b/>
              </w:rPr>
            </w:pPr>
            <w:ins w:id="654" w:author="Master Repository Process" w:date="2021-07-31T08:51:00Z">
              <w:r>
                <w:rPr>
                  <w:b/>
                </w:rPr>
                <w:t>Commencement</w:t>
              </w:r>
            </w:ins>
          </w:p>
        </w:tc>
      </w:tr>
      <w:tr>
        <w:trPr>
          <w:ins w:id="655" w:author="Master Repository Process" w:date="2021-07-31T08:51:00Z"/>
        </w:trPr>
        <w:tc>
          <w:tcPr>
            <w:tcW w:w="3118" w:type="dxa"/>
          </w:tcPr>
          <w:p>
            <w:pPr>
              <w:pStyle w:val="nTable"/>
              <w:spacing w:after="40"/>
              <w:rPr>
                <w:ins w:id="656" w:author="Master Repository Process" w:date="2021-07-31T08:51:00Z"/>
              </w:rPr>
            </w:pPr>
            <w:ins w:id="657" w:author="Master Repository Process" w:date="2021-07-31T08:51:00Z">
              <w:r>
                <w:rPr>
                  <w:i/>
                </w:rPr>
                <w:t>Biosecurity and Agriculture Management (Identification and Movement of Stock and Apiaries) Regulations 2013</w:t>
              </w:r>
              <w:r>
                <w:t xml:space="preserve"> </w:t>
              </w:r>
            </w:ins>
          </w:p>
        </w:tc>
        <w:tc>
          <w:tcPr>
            <w:tcW w:w="1276" w:type="dxa"/>
          </w:tcPr>
          <w:p>
            <w:pPr>
              <w:pStyle w:val="nTable"/>
              <w:spacing w:after="40"/>
              <w:rPr>
                <w:ins w:id="658" w:author="Master Repository Process" w:date="2021-07-31T08:51:00Z"/>
              </w:rPr>
            </w:pPr>
            <w:ins w:id="659" w:author="Master Repository Process" w:date="2021-07-31T08:51:00Z">
              <w:r>
                <w:t>5 Feb 2013 p. 593-761</w:t>
              </w:r>
            </w:ins>
          </w:p>
        </w:tc>
        <w:tc>
          <w:tcPr>
            <w:tcW w:w="2693" w:type="dxa"/>
          </w:tcPr>
          <w:p>
            <w:pPr>
              <w:pStyle w:val="nTable"/>
              <w:spacing w:after="40"/>
              <w:rPr>
                <w:ins w:id="660" w:author="Master Repository Process" w:date="2021-07-31T08:51:00Z"/>
              </w:rPr>
            </w:pPr>
            <w:ins w:id="661" w:author="Master Repository Process" w:date="2021-07-31T08:51:00Z">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(Identification and Movement of Stock and Apiaries)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(Identification and Movement of Stock and Apiaries)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2" w:name="Compilation"/>
    <w:bookmarkEnd w:id="66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3" w:name="Coversheet"/>
    <w:bookmarkEnd w:id="6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22446"/>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CC476A5D-3665-4114-9C17-9AE06739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47EE4-994D-4881-91ED-A14A6C31E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36140</Words>
  <Characters>169136</Characters>
  <Application>Microsoft Office Word</Application>
  <DocSecurity>0</DocSecurity>
  <Lines>4571</Lines>
  <Paragraphs>2773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00-a0-01 - 00-b0-06</dc:title>
  <dc:subject/>
  <dc:creator/>
  <cp:keywords/>
  <dc:description/>
  <cp:lastModifiedBy>Master Repository Process</cp:lastModifiedBy>
  <cp:revision>2</cp:revision>
  <cp:lastPrinted>2013-01-07T01:31:00Z</cp:lastPrinted>
  <dcterms:created xsi:type="dcterms:W3CDTF">2021-07-31T00:51:00Z</dcterms:created>
  <dcterms:modified xsi:type="dcterms:W3CDTF">2021-07-31T00:51:00Z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CommencementDate">
    <vt:lpwstr>20130501</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05 Feb 2013</vt:lpwstr>
  </property>
  <property fmtid="{D5CDD505-2E9C-101B-9397-08002B2CF9AE}" pid="7" name="ToSuffix">
    <vt:lpwstr>00-b0-06</vt:lpwstr>
  </property>
  <property fmtid="{D5CDD505-2E9C-101B-9397-08002B2CF9AE}" pid="8" name="ToAsAtDate">
    <vt:lpwstr>01 May 2013</vt:lpwstr>
  </property>
</Properties>
</file>