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Wagering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Apr 2013</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15 Jun 2013</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2:29:00Z"/>
        </w:trPr>
        <w:tc>
          <w:tcPr>
            <w:tcW w:w="2434" w:type="dxa"/>
            <w:vMerge w:val="restart"/>
          </w:tcPr>
          <w:p>
            <w:pPr>
              <w:rPr>
                <w:del w:id="1" w:author="Master Repository Process" w:date="2021-09-12T12:29:00Z"/>
              </w:rPr>
            </w:pPr>
          </w:p>
        </w:tc>
        <w:tc>
          <w:tcPr>
            <w:tcW w:w="2434" w:type="dxa"/>
            <w:vMerge w:val="restart"/>
          </w:tcPr>
          <w:p>
            <w:pPr>
              <w:jc w:val="center"/>
              <w:rPr>
                <w:del w:id="2" w:author="Master Repository Process" w:date="2021-09-12T12:29:00Z"/>
              </w:rPr>
            </w:pPr>
          </w:p>
        </w:tc>
        <w:tc>
          <w:tcPr>
            <w:tcW w:w="2434" w:type="dxa"/>
          </w:tcPr>
          <w:p>
            <w:pPr>
              <w:rPr>
                <w:del w:id="3" w:author="Master Repository Process" w:date="2021-09-12T12:29:00Z"/>
              </w:rPr>
            </w:pPr>
            <w:del w:id="4" w:author="Master Repository Process" w:date="2021-09-12T12:29:00Z">
              <w:r>
                <w:rPr>
                  <w:b/>
                  <w:sz w:val="22"/>
                </w:rPr>
                <w:delText xml:space="preserve">Reprinted under the </w:delText>
              </w:r>
              <w:r>
                <w:rPr>
                  <w:b/>
                  <w:i/>
                  <w:sz w:val="22"/>
                </w:rPr>
                <w:delText>Reprints Act 1984</w:delText>
              </w:r>
              <w:r>
                <w:rPr>
                  <w:b/>
                  <w:sz w:val="22"/>
                </w:rPr>
                <w:delText xml:space="preserve"> as </w:delText>
              </w:r>
            </w:del>
          </w:p>
        </w:tc>
      </w:tr>
      <w:tr>
        <w:trPr>
          <w:cantSplit/>
          <w:del w:id="5" w:author="Master Repository Process" w:date="2021-09-12T12:29:00Z"/>
        </w:trPr>
        <w:tc>
          <w:tcPr>
            <w:tcW w:w="2434" w:type="dxa"/>
            <w:vMerge/>
          </w:tcPr>
          <w:p>
            <w:pPr>
              <w:rPr>
                <w:del w:id="6" w:author="Master Repository Process" w:date="2021-09-12T12:29:00Z"/>
              </w:rPr>
            </w:pPr>
          </w:p>
        </w:tc>
        <w:tc>
          <w:tcPr>
            <w:tcW w:w="2434" w:type="dxa"/>
            <w:vMerge/>
          </w:tcPr>
          <w:p>
            <w:pPr>
              <w:jc w:val="center"/>
              <w:rPr>
                <w:del w:id="7" w:author="Master Repository Process" w:date="2021-09-12T12:29:00Z"/>
              </w:rPr>
            </w:pPr>
          </w:p>
        </w:tc>
        <w:tc>
          <w:tcPr>
            <w:tcW w:w="2434" w:type="dxa"/>
          </w:tcPr>
          <w:p>
            <w:pPr>
              <w:keepNext/>
              <w:rPr>
                <w:del w:id="8" w:author="Master Repository Process" w:date="2021-09-12T12:29:00Z"/>
                <w:b/>
                <w:sz w:val="22"/>
              </w:rPr>
            </w:pPr>
            <w:del w:id="9" w:author="Master Repository Process" w:date="2021-09-12T12:29:00Z">
              <w:r>
                <w:rPr>
                  <w:b/>
                  <w:sz w:val="22"/>
                </w:rPr>
                <w:delText>at 12 April 2013</w:delText>
              </w:r>
            </w:del>
          </w:p>
        </w:tc>
      </w:tr>
    </w:tbl>
    <w:p>
      <w:pPr>
        <w:pStyle w:val="WA"/>
        <w:spacing w:before="120"/>
      </w:pPr>
      <w:r>
        <w:t>Western Australia</w:t>
      </w:r>
    </w:p>
    <w:p>
      <w:pPr>
        <w:pStyle w:val="NameofActRegPage1"/>
      </w:pPr>
      <w:r>
        <w:rPr>
          <w:noProof/>
        </w:rPr>
        <w:t>Rules of Wagering 2005</w:t>
      </w:r>
    </w:p>
    <w:p>
      <w:pPr>
        <w:pStyle w:val="TOC2"/>
        <w:tabs>
          <w:tab w:val="right" w:leader="dot" w:pos="7086"/>
        </w:tabs>
        <w:spacing w:before="0" w:after="240"/>
        <w:jc w:val="center"/>
      </w:pPr>
      <w:r>
        <w:t>Contents</w:t>
      </w:r>
    </w:p>
    <w:p>
      <w:pPr>
        <w:rPr>
          <w:del w:id="10" w:author="Master Repository Process" w:date="2021-09-12T12:29:00Z"/>
        </w:rPr>
      </w:pPr>
    </w:p>
    <w:p>
      <w:pPr>
        <w:pStyle w:val="TOC2"/>
        <w:tabs>
          <w:tab w:val="right" w:leader="dot" w:pos="7086"/>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1.</w:t>
      </w:r>
      <w:r>
        <w:tab/>
        <w:t>Citation</w:t>
      </w:r>
      <w:r>
        <w:tab/>
        <w:t>1</w:t>
      </w:r>
    </w:p>
    <w:p>
      <w:pPr>
        <w:pStyle w:val="TOC8"/>
        <w:rPr>
          <w:rFonts w:asciiTheme="minorHAnsi" w:eastAsiaTheme="minorEastAsia" w:hAnsiTheme="minorHAnsi" w:cstheme="minorBidi"/>
          <w:szCs w:val="22"/>
        </w:rPr>
      </w:pPr>
      <w:r>
        <w:t>2.</w:t>
      </w:r>
      <w:r>
        <w:tab/>
        <w:t>Commencement</w:t>
      </w:r>
      <w:r>
        <w:tab/>
        <w:t>1</w:t>
      </w:r>
    </w:p>
    <w:p>
      <w:pPr>
        <w:pStyle w:val="TOC8"/>
        <w:rPr>
          <w:rFonts w:asciiTheme="minorHAnsi" w:eastAsiaTheme="minorEastAsia" w:hAnsiTheme="minorHAnsi" w:cstheme="minorBidi"/>
          <w:szCs w:val="22"/>
        </w:rPr>
      </w:pPr>
      <w:r>
        <w:t>3.</w:t>
      </w:r>
      <w:r>
        <w:tab/>
        <w:t>Terms used</w:t>
      </w:r>
      <w:r>
        <w:tab/>
        <w:t>1</w:t>
      </w:r>
    </w:p>
    <w:p>
      <w:pPr>
        <w:pStyle w:val="TOC8"/>
        <w:rPr>
          <w:rFonts w:asciiTheme="minorHAnsi" w:eastAsiaTheme="minorEastAsia" w:hAnsiTheme="minorHAnsi" w:cstheme="minorBidi"/>
          <w:szCs w:val="22"/>
        </w:rPr>
      </w:pPr>
      <w:r>
        <w:t>4.</w:t>
      </w:r>
      <w:r>
        <w:tab/>
        <w:t>Application</w:t>
      </w:r>
      <w:r>
        <w:tab/>
        <w:t>5</w:t>
      </w:r>
    </w:p>
    <w:p>
      <w:pPr>
        <w:pStyle w:val="TOC8"/>
        <w:rPr>
          <w:rFonts w:asciiTheme="minorHAnsi" w:eastAsiaTheme="minorEastAsia" w:hAnsiTheme="minorHAnsi" w:cstheme="minorBidi"/>
          <w:szCs w:val="22"/>
        </w:rPr>
      </w:pPr>
      <w:r>
        <w:t>5.</w:t>
      </w:r>
      <w:r>
        <w:tab/>
        <w:t>Matters not covered by these rules</w:t>
      </w:r>
      <w:r>
        <w:tab/>
        <w:t>6</w:t>
      </w:r>
    </w:p>
    <w:p>
      <w:pPr>
        <w:pStyle w:val="TOC8"/>
        <w:rPr>
          <w:rFonts w:asciiTheme="minorHAnsi" w:eastAsiaTheme="minorEastAsia" w:hAnsiTheme="minorHAnsi" w:cstheme="minorBidi"/>
          <w:szCs w:val="22"/>
        </w:rPr>
      </w:pPr>
      <w:r>
        <w:t>6.</w:t>
      </w:r>
      <w:r>
        <w:tab/>
        <w:t>Copy of these rules to be available</w:t>
      </w:r>
      <w:r>
        <w:tab/>
        <w:t>7</w:t>
      </w:r>
    </w:p>
    <w:p>
      <w:pPr>
        <w:pStyle w:val="TOC2"/>
        <w:tabs>
          <w:tab w:val="right" w:leader="dot" w:pos="7086"/>
        </w:tabs>
        <w:rPr>
          <w:rFonts w:asciiTheme="minorHAnsi" w:eastAsiaTheme="minorEastAsia" w:hAnsiTheme="minorHAnsi" w:cstheme="minorBidi"/>
          <w:b w:val="0"/>
          <w:sz w:val="22"/>
          <w:szCs w:val="22"/>
        </w:rPr>
      </w:pPr>
      <w:r>
        <w:t>Part 2 — Conduct of totalisator wagering generally</w:t>
      </w:r>
    </w:p>
    <w:p>
      <w:pPr>
        <w:pStyle w:val="TOC8"/>
        <w:rPr>
          <w:rFonts w:asciiTheme="minorHAnsi" w:eastAsiaTheme="minorEastAsia" w:hAnsiTheme="minorHAnsi" w:cstheme="minorBidi"/>
          <w:szCs w:val="22"/>
        </w:rPr>
      </w:pPr>
      <w:r>
        <w:t>7.</w:t>
      </w:r>
      <w:r>
        <w:tab/>
        <w:t>Supervision of wagering by on</w:t>
      </w:r>
      <w:r>
        <w:noBreakHyphen/>
        <w:t>course totalisators</w:t>
      </w:r>
      <w:r>
        <w:tab/>
        <w:t>8</w:t>
      </w:r>
    </w:p>
    <w:p>
      <w:pPr>
        <w:pStyle w:val="TOC8"/>
        <w:rPr>
          <w:rFonts w:asciiTheme="minorHAnsi" w:eastAsiaTheme="minorEastAsia" w:hAnsiTheme="minorHAnsi" w:cstheme="minorBidi"/>
          <w:szCs w:val="22"/>
        </w:rPr>
      </w:pPr>
      <w:r>
        <w:t>8.</w:t>
      </w:r>
      <w:r>
        <w:tab/>
        <w:t>Racing club to appoint on</w:t>
      </w:r>
      <w:r>
        <w:noBreakHyphen/>
        <w:t>course totalisator manager</w:t>
      </w:r>
      <w:r>
        <w:tab/>
        <w:t>8</w:t>
      </w:r>
    </w:p>
    <w:p>
      <w:pPr>
        <w:pStyle w:val="TOC8"/>
        <w:rPr>
          <w:rFonts w:asciiTheme="minorHAnsi" w:eastAsiaTheme="minorEastAsia" w:hAnsiTheme="minorHAnsi" w:cstheme="minorBidi"/>
          <w:szCs w:val="22"/>
        </w:rPr>
      </w:pPr>
      <w:r>
        <w:t>9.</w:t>
      </w:r>
      <w:r>
        <w:tab/>
        <w:t>Duty to report non</w:t>
      </w:r>
      <w:r>
        <w:noBreakHyphen/>
        <w:t>compliance</w:t>
      </w:r>
      <w:r>
        <w:tab/>
        <w:t>8</w:t>
      </w:r>
    </w:p>
    <w:p>
      <w:pPr>
        <w:pStyle w:val="TOC8"/>
        <w:rPr>
          <w:rFonts w:asciiTheme="minorHAnsi" w:eastAsiaTheme="minorEastAsia" w:hAnsiTheme="minorHAnsi" w:cstheme="minorBidi"/>
          <w:szCs w:val="22"/>
        </w:rPr>
      </w:pPr>
      <w:r>
        <w:t>10.</w:t>
      </w:r>
      <w:r>
        <w:tab/>
        <w:t>Changes affecting wagering to be advised</w:t>
      </w:r>
      <w:r>
        <w:tab/>
        <w:t>8</w:t>
      </w:r>
    </w:p>
    <w:p>
      <w:pPr>
        <w:pStyle w:val="TOC8"/>
        <w:rPr>
          <w:rFonts w:asciiTheme="minorHAnsi" w:eastAsiaTheme="minorEastAsia" w:hAnsiTheme="minorHAnsi" w:cstheme="minorBidi"/>
          <w:szCs w:val="22"/>
        </w:rPr>
      </w:pPr>
      <w:r>
        <w:t>11.</w:t>
      </w:r>
      <w:r>
        <w:tab/>
        <w:t>Numbering of runner on totalisator</w:t>
      </w:r>
      <w:r>
        <w:tab/>
        <w:t>9</w:t>
      </w:r>
    </w:p>
    <w:p>
      <w:pPr>
        <w:pStyle w:val="TOC8"/>
        <w:rPr>
          <w:rFonts w:asciiTheme="minorHAnsi" w:eastAsiaTheme="minorEastAsia" w:hAnsiTheme="minorHAnsi" w:cstheme="minorBidi"/>
          <w:szCs w:val="22"/>
        </w:rPr>
      </w:pPr>
      <w:r>
        <w:t>12.</w:t>
      </w:r>
      <w:r>
        <w:tab/>
        <w:t>Display of anticipated dividends</w:t>
      </w:r>
      <w:r>
        <w:tab/>
        <w:t>9</w:t>
      </w:r>
    </w:p>
    <w:p>
      <w:pPr>
        <w:pStyle w:val="TOC8"/>
        <w:rPr>
          <w:rFonts w:asciiTheme="minorHAnsi" w:eastAsiaTheme="minorEastAsia" w:hAnsiTheme="minorHAnsi" w:cstheme="minorBidi"/>
          <w:szCs w:val="22"/>
        </w:rPr>
      </w:pPr>
      <w:r>
        <w:t>13.</w:t>
      </w:r>
      <w:r>
        <w:tab/>
        <w:t>When dividends become payable</w:t>
      </w:r>
      <w:r>
        <w:tab/>
        <w:t>9</w:t>
      </w:r>
    </w:p>
    <w:p>
      <w:pPr>
        <w:pStyle w:val="TOC8"/>
        <w:rPr>
          <w:rFonts w:asciiTheme="minorHAnsi" w:eastAsiaTheme="minorEastAsia" w:hAnsiTheme="minorHAnsi" w:cstheme="minorBidi"/>
          <w:szCs w:val="22"/>
        </w:rPr>
      </w:pPr>
      <w:r>
        <w:t>14.</w:t>
      </w:r>
      <w:r>
        <w:tab/>
        <w:t>Exhibiting of dividends</w:t>
      </w:r>
      <w:r>
        <w:tab/>
        <w:t>10</w:t>
      </w:r>
    </w:p>
    <w:p>
      <w:pPr>
        <w:pStyle w:val="TOC8"/>
        <w:rPr>
          <w:rFonts w:asciiTheme="minorHAnsi" w:eastAsiaTheme="minorEastAsia" w:hAnsiTheme="minorHAnsi" w:cstheme="minorBidi"/>
          <w:szCs w:val="22"/>
        </w:rPr>
      </w:pPr>
      <w:r>
        <w:t>15.</w:t>
      </w:r>
      <w:r>
        <w:tab/>
        <w:t>Wagers that contravene rules of racing not permitted</w:t>
      </w:r>
      <w:r>
        <w:tab/>
        <w:t>10</w:t>
      </w:r>
    </w:p>
    <w:p>
      <w:pPr>
        <w:pStyle w:val="TOC2"/>
        <w:tabs>
          <w:tab w:val="right" w:leader="dot" w:pos="7086"/>
        </w:tabs>
        <w:rPr>
          <w:rFonts w:asciiTheme="minorHAnsi" w:eastAsiaTheme="minorEastAsia" w:hAnsiTheme="minorHAnsi" w:cstheme="minorBidi"/>
          <w:b w:val="0"/>
          <w:sz w:val="22"/>
          <w:szCs w:val="22"/>
        </w:rPr>
      </w:pPr>
      <w:r>
        <w:t>Part 3 — Rules of totalisator wagering</w:t>
      </w:r>
    </w:p>
    <w:p>
      <w:pPr>
        <w:pStyle w:val="TOC8"/>
        <w:rPr>
          <w:rFonts w:asciiTheme="minorHAnsi" w:eastAsiaTheme="minorEastAsia" w:hAnsiTheme="minorHAnsi" w:cstheme="minorBidi"/>
          <w:szCs w:val="22"/>
        </w:rPr>
      </w:pPr>
      <w:r>
        <w:t>16.</w:t>
      </w:r>
      <w:r>
        <w:tab/>
        <w:t>Totalisator pools  — win and place wagers</w:t>
      </w:r>
      <w:r>
        <w:tab/>
        <w:t>11</w:t>
      </w:r>
    </w:p>
    <w:p>
      <w:pPr>
        <w:pStyle w:val="TOC8"/>
        <w:rPr>
          <w:rFonts w:asciiTheme="minorHAnsi" w:eastAsiaTheme="minorEastAsia" w:hAnsiTheme="minorHAnsi" w:cstheme="minorBidi"/>
          <w:szCs w:val="22"/>
        </w:rPr>
      </w:pPr>
      <w:r>
        <w:t>17.</w:t>
      </w:r>
      <w:r>
        <w:tab/>
        <w:t>Totalisator pools – novelty wagers on races</w:t>
      </w:r>
      <w:r>
        <w:tab/>
        <w:t>15</w:t>
      </w:r>
    </w:p>
    <w:p>
      <w:pPr>
        <w:pStyle w:val="TOC8"/>
        <w:rPr>
          <w:rFonts w:asciiTheme="minorHAnsi" w:eastAsiaTheme="minorEastAsia" w:hAnsiTheme="minorHAnsi" w:cstheme="minorBidi"/>
          <w:szCs w:val="22"/>
        </w:rPr>
      </w:pPr>
      <w:r>
        <w:t>18.</w:t>
      </w:r>
      <w:r>
        <w:tab/>
        <w:t>Dividends on novelty wagers</w:t>
      </w:r>
      <w:r>
        <w:tab/>
        <w:t>16</w:t>
      </w:r>
    </w:p>
    <w:p>
      <w:pPr>
        <w:pStyle w:val="TOC8"/>
        <w:rPr>
          <w:rFonts w:asciiTheme="minorHAnsi" w:eastAsiaTheme="minorEastAsia" w:hAnsiTheme="minorHAnsi" w:cstheme="minorBidi"/>
          <w:szCs w:val="22"/>
        </w:rPr>
      </w:pPr>
      <w:r>
        <w:t>18A.</w:t>
      </w:r>
      <w:r>
        <w:tab/>
        <w:t>Dividends on novelty wagers if less than one unit invested on correct selections</w:t>
      </w:r>
      <w:r>
        <w:tab/>
        <w:t>19</w:t>
      </w:r>
    </w:p>
    <w:p>
      <w:pPr>
        <w:pStyle w:val="TOC8"/>
        <w:rPr>
          <w:rFonts w:asciiTheme="minorHAnsi" w:eastAsiaTheme="minorEastAsia" w:hAnsiTheme="minorHAnsi" w:cstheme="minorBidi"/>
          <w:szCs w:val="22"/>
        </w:rPr>
      </w:pPr>
      <w:r>
        <w:lastRenderedPageBreak/>
        <w:t>19.</w:t>
      </w:r>
      <w:r>
        <w:tab/>
        <w:t>Double event wagers on races</w:t>
      </w:r>
      <w:r>
        <w:tab/>
        <w:t>20</w:t>
      </w:r>
    </w:p>
    <w:p>
      <w:pPr>
        <w:pStyle w:val="TOC8"/>
        <w:rPr>
          <w:rFonts w:asciiTheme="minorHAnsi" w:eastAsiaTheme="minorEastAsia" w:hAnsiTheme="minorHAnsi" w:cstheme="minorBidi"/>
          <w:szCs w:val="22"/>
        </w:rPr>
      </w:pPr>
      <w:r>
        <w:t>20.</w:t>
      </w:r>
      <w:r>
        <w:tab/>
        <w:t>Favourite numbers wagers</w:t>
      </w:r>
      <w:r>
        <w:tab/>
        <w:t>21</w:t>
      </w:r>
    </w:p>
    <w:p>
      <w:pPr>
        <w:pStyle w:val="TOC8"/>
        <w:rPr>
          <w:rFonts w:asciiTheme="minorHAnsi" w:eastAsiaTheme="minorEastAsia" w:hAnsiTheme="minorHAnsi" w:cstheme="minorBidi"/>
          <w:szCs w:val="22"/>
        </w:rPr>
      </w:pPr>
      <w:r>
        <w:t>21.</w:t>
      </w:r>
      <w:r>
        <w:tab/>
        <w:t>Determination of totalisator favourite</w:t>
      </w:r>
      <w:r>
        <w:tab/>
        <w:t>23</w:t>
      </w:r>
    </w:p>
    <w:p>
      <w:pPr>
        <w:pStyle w:val="TOC8"/>
        <w:rPr>
          <w:rFonts w:asciiTheme="minorHAnsi" w:eastAsiaTheme="minorEastAsia" w:hAnsiTheme="minorHAnsi" w:cstheme="minorBidi"/>
          <w:szCs w:val="22"/>
        </w:rPr>
      </w:pPr>
      <w:r>
        <w:t>22.</w:t>
      </w:r>
      <w:r>
        <w:tab/>
        <w:t>Quaddie wagers</w:t>
      </w:r>
      <w:r>
        <w:tab/>
        <w:t>24</w:t>
      </w:r>
    </w:p>
    <w:p>
      <w:pPr>
        <w:pStyle w:val="TOC8"/>
        <w:rPr>
          <w:rFonts w:asciiTheme="minorHAnsi" w:eastAsiaTheme="minorEastAsia" w:hAnsiTheme="minorHAnsi" w:cstheme="minorBidi"/>
          <w:szCs w:val="22"/>
        </w:rPr>
      </w:pPr>
      <w:r>
        <w:t>22A.</w:t>
      </w:r>
      <w:r>
        <w:tab/>
        <w:t>Flexi Bets</w:t>
      </w:r>
      <w:r>
        <w:tab/>
        <w:t>26</w:t>
      </w:r>
    </w:p>
    <w:p>
      <w:pPr>
        <w:pStyle w:val="TOC8"/>
        <w:rPr>
          <w:rFonts w:asciiTheme="minorHAnsi" w:eastAsiaTheme="minorEastAsia" w:hAnsiTheme="minorHAnsi" w:cstheme="minorBidi"/>
          <w:szCs w:val="22"/>
        </w:rPr>
      </w:pPr>
      <w:r>
        <w:t>23.</w:t>
      </w:r>
      <w:r>
        <w:tab/>
        <w:t>Totalisator pools – sporting events</w:t>
      </w:r>
      <w:r>
        <w:tab/>
        <w:t>27</w:t>
      </w:r>
    </w:p>
    <w:p>
      <w:pPr>
        <w:pStyle w:val="TOC8"/>
        <w:rPr>
          <w:rFonts w:asciiTheme="minorHAnsi" w:eastAsiaTheme="minorEastAsia" w:hAnsiTheme="minorHAnsi" w:cstheme="minorBidi"/>
          <w:szCs w:val="22"/>
        </w:rPr>
      </w:pPr>
      <w:r>
        <w:t>24.</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r>
        <w:tab/>
        <w:t>28</w:t>
      </w:r>
    </w:p>
    <w:p>
      <w:pPr>
        <w:pStyle w:val="TOC8"/>
        <w:rPr>
          <w:rFonts w:asciiTheme="minorHAnsi" w:eastAsiaTheme="minorEastAsia" w:hAnsiTheme="minorHAnsi" w:cstheme="minorBidi"/>
          <w:szCs w:val="22"/>
        </w:rPr>
      </w:pPr>
      <w:r>
        <w:t>25.</w:t>
      </w:r>
      <w:r>
        <w:tab/>
        <w:t>Footing tipping wagers and sports tipping wagers</w:t>
      </w:r>
      <w:r>
        <w:tab/>
        <w:t>29</w:t>
      </w:r>
    </w:p>
    <w:p>
      <w:pPr>
        <w:pStyle w:val="TOC8"/>
        <w:rPr>
          <w:rFonts w:asciiTheme="minorHAnsi" w:eastAsiaTheme="minorEastAsia" w:hAnsiTheme="minorHAnsi" w:cstheme="minorBidi"/>
          <w:szCs w:val="22"/>
        </w:rPr>
      </w:pPr>
      <w:r>
        <w:t>26.</w:t>
      </w:r>
      <w:r>
        <w:tab/>
        <w:t>Wagers on Australian Rules Football</w:t>
      </w:r>
      <w:r>
        <w:tab/>
        <w:t>30</w:t>
      </w:r>
    </w:p>
    <w:p>
      <w:pPr>
        <w:pStyle w:val="TOC8"/>
        <w:rPr>
          <w:rFonts w:asciiTheme="minorHAnsi" w:eastAsiaTheme="minorEastAsia" w:hAnsiTheme="minorHAnsi" w:cstheme="minorBidi"/>
          <w:szCs w:val="22"/>
        </w:rPr>
      </w:pPr>
      <w:r>
        <w:t>27.</w:t>
      </w:r>
      <w:r>
        <w:tab/>
        <w:t>Footo wagers</w:t>
      </w:r>
      <w:r>
        <w:tab/>
        <w:t>31</w:t>
      </w:r>
    </w:p>
    <w:p>
      <w:pPr>
        <w:pStyle w:val="TOC8"/>
        <w:rPr>
          <w:rFonts w:asciiTheme="minorHAnsi" w:eastAsiaTheme="minorEastAsia" w:hAnsiTheme="minorHAnsi" w:cstheme="minorBidi"/>
          <w:szCs w:val="22"/>
        </w:rPr>
      </w:pPr>
      <w:r>
        <w:t>28.</w:t>
      </w:r>
      <w:r>
        <w:tab/>
        <w:t>Wagers on cricket</w:t>
      </w:r>
      <w:r>
        <w:tab/>
        <w:t>31</w:t>
      </w:r>
    </w:p>
    <w:p>
      <w:pPr>
        <w:pStyle w:val="TOC8"/>
        <w:rPr>
          <w:rFonts w:asciiTheme="minorHAnsi" w:eastAsiaTheme="minorEastAsia" w:hAnsiTheme="minorHAnsi" w:cstheme="minorBidi"/>
          <w:szCs w:val="22"/>
        </w:rPr>
      </w:pPr>
      <w:r>
        <w:t>29.</w:t>
      </w:r>
      <w:r>
        <w:tab/>
        <w:t>Wagers on soccer</w:t>
      </w:r>
      <w:r>
        <w:tab/>
        <w:t>33</w:t>
      </w:r>
    </w:p>
    <w:p>
      <w:pPr>
        <w:pStyle w:val="TOC2"/>
        <w:tabs>
          <w:tab w:val="right" w:leader="dot" w:pos="7086"/>
        </w:tabs>
        <w:rPr>
          <w:rFonts w:asciiTheme="minorHAnsi" w:eastAsiaTheme="minorEastAsia" w:hAnsiTheme="minorHAnsi" w:cstheme="minorBidi"/>
          <w:b w:val="0"/>
          <w:sz w:val="22"/>
          <w:szCs w:val="22"/>
        </w:rPr>
      </w:pPr>
      <w:r>
        <w:t>Part 4 — Conduct of bookmaker wagering generally</w:t>
      </w:r>
    </w:p>
    <w:p>
      <w:pPr>
        <w:pStyle w:val="TOC8"/>
        <w:rPr>
          <w:rFonts w:asciiTheme="minorHAnsi" w:eastAsiaTheme="minorEastAsia" w:hAnsiTheme="minorHAnsi" w:cstheme="minorBidi"/>
          <w:szCs w:val="22"/>
        </w:rPr>
      </w:pPr>
      <w:r>
        <w:t>30.</w:t>
      </w:r>
      <w:r>
        <w:tab/>
        <w:t>Application</w:t>
      </w:r>
      <w:r>
        <w:tab/>
        <w:t>34</w:t>
      </w:r>
    </w:p>
    <w:p>
      <w:pPr>
        <w:pStyle w:val="TOC8"/>
        <w:rPr>
          <w:rFonts w:asciiTheme="minorHAnsi" w:eastAsiaTheme="minorEastAsia" w:hAnsiTheme="minorHAnsi" w:cstheme="minorBidi"/>
          <w:szCs w:val="22"/>
        </w:rPr>
      </w:pPr>
      <w:r>
        <w:t>31.</w:t>
      </w:r>
      <w:r>
        <w:tab/>
        <w:t>Bookmakers, bookmaker’s managers and bookmaker’s employees to be licensed</w:t>
      </w:r>
      <w:r>
        <w:tab/>
        <w:t>34</w:t>
      </w:r>
    </w:p>
    <w:p>
      <w:pPr>
        <w:pStyle w:val="TOC8"/>
        <w:rPr>
          <w:rFonts w:asciiTheme="minorHAnsi" w:eastAsiaTheme="minorEastAsia" w:hAnsiTheme="minorHAnsi" w:cstheme="minorBidi"/>
          <w:szCs w:val="22"/>
        </w:rPr>
      </w:pPr>
      <w:r>
        <w:t>32.</w:t>
      </w:r>
      <w:r>
        <w:tab/>
        <w:t>Bookmakers to operate in accordance with permit issued by racing club</w:t>
      </w:r>
      <w:r>
        <w:tab/>
        <w:t>34</w:t>
      </w:r>
    </w:p>
    <w:p>
      <w:pPr>
        <w:pStyle w:val="TOC8"/>
        <w:rPr>
          <w:rFonts w:asciiTheme="minorHAnsi" w:eastAsiaTheme="minorEastAsia" w:hAnsiTheme="minorHAnsi" w:cstheme="minorBidi"/>
          <w:szCs w:val="22"/>
        </w:rPr>
      </w:pPr>
      <w:r>
        <w:t>33.</w:t>
      </w:r>
      <w:r>
        <w:tab/>
        <w:t>Bookmaker’s agents and substitutes</w:t>
      </w:r>
      <w:r>
        <w:tab/>
        <w:t>35</w:t>
      </w:r>
    </w:p>
    <w:p>
      <w:pPr>
        <w:pStyle w:val="TOC8"/>
        <w:rPr>
          <w:rFonts w:asciiTheme="minorHAnsi" w:eastAsiaTheme="minorEastAsia" w:hAnsiTheme="minorHAnsi" w:cstheme="minorBidi"/>
          <w:szCs w:val="22"/>
        </w:rPr>
      </w:pPr>
      <w:r>
        <w:t>34.</w:t>
      </w:r>
      <w:r>
        <w:tab/>
        <w:t>Temporary bookmaker’s employee licence</w:t>
      </w:r>
      <w:r>
        <w:tab/>
        <w:t>36</w:t>
      </w:r>
    </w:p>
    <w:p>
      <w:pPr>
        <w:pStyle w:val="TOC8"/>
        <w:rPr>
          <w:rFonts w:asciiTheme="minorHAnsi" w:eastAsiaTheme="minorEastAsia" w:hAnsiTheme="minorHAnsi" w:cstheme="minorBidi"/>
          <w:szCs w:val="22"/>
        </w:rPr>
      </w:pPr>
      <w:r>
        <w:t>35.</w:t>
      </w:r>
      <w:r>
        <w:tab/>
        <w:t>Supervision of wagering by bookmakers</w:t>
      </w:r>
      <w:r>
        <w:tab/>
        <w:t>37</w:t>
      </w:r>
    </w:p>
    <w:p>
      <w:pPr>
        <w:pStyle w:val="TOC8"/>
        <w:rPr>
          <w:rFonts w:asciiTheme="minorHAnsi" w:eastAsiaTheme="minorEastAsia" w:hAnsiTheme="minorHAnsi" w:cstheme="minorBidi"/>
          <w:szCs w:val="22"/>
        </w:rPr>
      </w:pPr>
      <w:r>
        <w:t>36.</w:t>
      </w:r>
      <w:r>
        <w:tab/>
        <w:t>Duty to report non</w:t>
      </w:r>
      <w:r>
        <w:noBreakHyphen/>
        <w:t>compliance</w:t>
      </w:r>
      <w:r>
        <w:tab/>
        <w:t>38</w:t>
      </w:r>
    </w:p>
    <w:p>
      <w:pPr>
        <w:pStyle w:val="TOC8"/>
        <w:rPr>
          <w:rFonts w:asciiTheme="minorHAnsi" w:eastAsiaTheme="minorEastAsia" w:hAnsiTheme="minorHAnsi" w:cstheme="minorBidi"/>
          <w:szCs w:val="22"/>
        </w:rPr>
      </w:pPr>
      <w:r>
        <w:t>37.</w:t>
      </w:r>
      <w:r>
        <w:tab/>
        <w:t>Record of wagering transactions</w:t>
      </w:r>
      <w:r>
        <w:tab/>
        <w:t>38</w:t>
      </w:r>
    </w:p>
    <w:p>
      <w:pPr>
        <w:pStyle w:val="TOC8"/>
        <w:rPr>
          <w:rFonts w:asciiTheme="minorHAnsi" w:eastAsiaTheme="minorEastAsia" w:hAnsiTheme="minorHAnsi" w:cstheme="minorBidi"/>
          <w:szCs w:val="22"/>
        </w:rPr>
      </w:pPr>
      <w:r>
        <w:t>38.</w:t>
      </w:r>
      <w:r>
        <w:tab/>
        <w:t>Tickets</w:t>
      </w:r>
      <w:r>
        <w:tab/>
        <w:t>40</w:t>
      </w:r>
    </w:p>
    <w:p>
      <w:pPr>
        <w:pStyle w:val="TOC8"/>
        <w:rPr>
          <w:rFonts w:asciiTheme="minorHAnsi" w:eastAsiaTheme="minorEastAsia" w:hAnsiTheme="minorHAnsi" w:cstheme="minorBidi"/>
          <w:szCs w:val="22"/>
        </w:rPr>
      </w:pPr>
      <w:r>
        <w:t>39.</w:t>
      </w:r>
      <w:r>
        <w:tab/>
        <w:t>Betting stands</w:t>
      </w:r>
      <w:r>
        <w:tab/>
        <w:t>41</w:t>
      </w:r>
    </w:p>
    <w:p>
      <w:pPr>
        <w:pStyle w:val="TOC8"/>
        <w:rPr>
          <w:rFonts w:asciiTheme="minorHAnsi" w:eastAsiaTheme="minorEastAsia" w:hAnsiTheme="minorHAnsi" w:cstheme="minorBidi"/>
          <w:szCs w:val="22"/>
        </w:rPr>
      </w:pPr>
      <w:r>
        <w:t>40.</w:t>
      </w:r>
      <w:r>
        <w:tab/>
        <w:t>Betting boards, charts etc.</w:t>
      </w:r>
      <w:r>
        <w:tab/>
        <w:t>42</w:t>
      </w:r>
    </w:p>
    <w:p>
      <w:pPr>
        <w:pStyle w:val="TOC8"/>
        <w:rPr>
          <w:rFonts w:asciiTheme="minorHAnsi" w:eastAsiaTheme="minorEastAsia" w:hAnsiTheme="minorHAnsi" w:cstheme="minorBidi"/>
          <w:szCs w:val="22"/>
        </w:rPr>
      </w:pPr>
      <w:r>
        <w:t>41.</w:t>
      </w:r>
      <w:r>
        <w:tab/>
        <w:t>Betting turnover returns</w:t>
      </w:r>
      <w:r>
        <w:tab/>
        <w:t>43</w:t>
      </w:r>
    </w:p>
    <w:p>
      <w:pPr>
        <w:pStyle w:val="TOC8"/>
        <w:rPr>
          <w:rFonts w:asciiTheme="minorHAnsi" w:eastAsiaTheme="minorEastAsia" w:hAnsiTheme="minorHAnsi" w:cstheme="minorBidi"/>
          <w:szCs w:val="22"/>
        </w:rPr>
      </w:pPr>
      <w:r>
        <w:t>42.</w:t>
      </w:r>
      <w:r>
        <w:tab/>
        <w:t>Collection of wagering sheets</w:t>
      </w:r>
      <w:r>
        <w:tab/>
        <w:t>43</w:t>
      </w:r>
    </w:p>
    <w:p>
      <w:pPr>
        <w:pStyle w:val="TOC8"/>
        <w:rPr>
          <w:rFonts w:asciiTheme="minorHAnsi" w:eastAsiaTheme="minorEastAsia" w:hAnsiTheme="minorHAnsi" w:cstheme="minorBidi"/>
          <w:szCs w:val="22"/>
        </w:rPr>
      </w:pPr>
      <w:r>
        <w:t>43.</w:t>
      </w:r>
      <w:r>
        <w:tab/>
        <w:t>Minimum wager obligations</w:t>
      </w:r>
      <w:r>
        <w:tab/>
        <w:t>44</w:t>
      </w:r>
    </w:p>
    <w:p>
      <w:pPr>
        <w:pStyle w:val="TOC8"/>
        <w:rPr>
          <w:rFonts w:asciiTheme="minorHAnsi" w:eastAsiaTheme="minorEastAsia" w:hAnsiTheme="minorHAnsi" w:cstheme="minorBidi"/>
          <w:szCs w:val="22"/>
        </w:rPr>
      </w:pPr>
      <w:r>
        <w:t>44.</w:t>
      </w:r>
      <w:r>
        <w:tab/>
        <w:t xml:space="preserve">Wagers with </w:t>
      </w:r>
      <w:del w:id="11" w:author="Master Repository Process" w:date="2021-09-12T12:29:00Z">
        <w:r>
          <w:delText>other bookmakers</w:delText>
        </w:r>
      </w:del>
      <w:ins w:id="12" w:author="Master Repository Process" w:date="2021-09-12T12:29:00Z">
        <w:r>
          <w:t>domestic betting operators and totalisators</w:t>
        </w:r>
      </w:ins>
      <w:r>
        <w:tab/>
        <w:t>46</w:t>
      </w:r>
    </w:p>
    <w:p>
      <w:pPr>
        <w:pStyle w:val="TOC8"/>
        <w:rPr>
          <w:ins w:id="13" w:author="Master Repository Process" w:date="2021-09-12T12:29:00Z"/>
          <w:rFonts w:asciiTheme="minorHAnsi" w:eastAsiaTheme="minorEastAsia" w:hAnsiTheme="minorHAnsi" w:cstheme="minorBidi"/>
          <w:szCs w:val="22"/>
        </w:rPr>
      </w:pPr>
      <w:ins w:id="14" w:author="Master Repository Process" w:date="2021-09-12T12:29:00Z">
        <w:r>
          <w:t>45A.</w:t>
        </w:r>
        <w:r>
          <w:tab/>
          <w:t>Bet back by means of a betting exchange</w:t>
        </w:r>
        <w:r>
          <w:tab/>
          <w:t>47</w:t>
        </w:r>
      </w:ins>
    </w:p>
    <w:p>
      <w:pPr>
        <w:pStyle w:val="TOC8"/>
        <w:rPr>
          <w:rFonts w:asciiTheme="minorHAnsi" w:eastAsiaTheme="minorEastAsia" w:hAnsiTheme="minorHAnsi" w:cstheme="minorBidi"/>
          <w:szCs w:val="22"/>
        </w:rPr>
      </w:pPr>
      <w:r>
        <w:t>45.</w:t>
      </w:r>
      <w:r>
        <w:tab/>
        <w:t>Telephone wagering</w:t>
      </w:r>
      <w:r>
        <w:tab/>
      </w:r>
      <w:del w:id="15" w:author="Master Repository Process" w:date="2021-09-12T12:29:00Z">
        <w:r>
          <w:delText>47</w:delText>
        </w:r>
      </w:del>
      <w:ins w:id="16" w:author="Master Repository Process" w:date="2021-09-12T12:29:00Z">
        <w:r>
          <w:t>48</w:t>
        </w:r>
      </w:ins>
    </w:p>
    <w:p>
      <w:pPr>
        <w:pStyle w:val="TOC8"/>
        <w:rPr>
          <w:rFonts w:asciiTheme="minorHAnsi" w:eastAsiaTheme="minorEastAsia" w:hAnsiTheme="minorHAnsi" w:cstheme="minorBidi"/>
          <w:szCs w:val="22"/>
        </w:rPr>
      </w:pPr>
      <w:r>
        <w:t>46.</w:t>
      </w:r>
      <w:r>
        <w:tab/>
        <w:t>Internet wagering</w:t>
      </w:r>
      <w:r>
        <w:tab/>
      </w:r>
      <w:del w:id="17" w:author="Master Repository Process" w:date="2021-09-12T12:29:00Z">
        <w:r>
          <w:delText>50</w:delText>
        </w:r>
      </w:del>
      <w:ins w:id="18" w:author="Master Repository Process" w:date="2021-09-12T12:29:00Z">
        <w:r>
          <w:t>51</w:t>
        </w:r>
      </w:ins>
    </w:p>
    <w:p>
      <w:pPr>
        <w:pStyle w:val="TOC8"/>
        <w:rPr>
          <w:rFonts w:asciiTheme="minorHAnsi" w:eastAsiaTheme="minorEastAsia" w:hAnsiTheme="minorHAnsi" w:cstheme="minorBidi"/>
          <w:szCs w:val="22"/>
        </w:rPr>
      </w:pPr>
      <w:r>
        <w:t>47.</w:t>
      </w:r>
      <w:r>
        <w:tab/>
        <w:t>Settling generally</w:t>
      </w:r>
      <w:r>
        <w:tab/>
      </w:r>
      <w:del w:id="19" w:author="Master Repository Process" w:date="2021-09-12T12:29:00Z">
        <w:r>
          <w:delText>52</w:delText>
        </w:r>
      </w:del>
      <w:ins w:id="20" w:author="Master Repository Process" w:date="2021-09-12T12:29:00Z">
        <w:r>
          <w:t>53</w:t>
        </w:r>
      </w:ins>
    </w:p>
    <w:p>
      <w:pPr>
        <w:pStyle w:val="TOC8"/>
        <w:rPr>
          <w:rFonts w:asciiTheme="minorHAnsi" w:eastAsiaTheme="minorEastAsia" w:hAnsiTheme="minorHAnsi" w:cstheme="minorBidi"/>
          <w:szCs w:val="22"/>
        </w:rPr>
      </w:pPr>
      <w:r>
        <w:t>48.</w:t>
      </w:r>
      <w:r>
        <w:tab/>
        <w:t>Defaulters in wagering</w:t>
      </w:r>
      <w:r>
        <w:tab/>
      </w:r>
      <w:del w:id="21" w:author="Master Repository Process" w:date="2021-09-12T12:29:00Z">
        <w:r>
          <w:delText>53</w:delText>
        </w:r>
      </w:del>
      <w:ins w:id="22" w:author="Master Repository Process" w:date="2021-09-12T12:29:00Z">
        <w:r>
          <w:t>54</w:t>
        </w:r>
      </w:ins>
    </w:p>
    <w:p>
      <w:pPr>
        <w:pStyle w:val="TOC2"/>
        <w:tabs>
          <w:tab w:val="right" w:leader="dot" w:pos="7086"/>
        </w:tabs>
        <w:rPr>
          <w:rFonts w:asciiTheme="minorHAnsi" w:eastAsiaTheme="minorEastAsia" w:hAnsiTheme="minorHAnsi" w:cstheme="minorBidi"/>
          <w:b w:val="0"/>
          <w:sz w:val="22"/>
          <w:szCs w:val="22"/>
        </w:rPr>
      </w:pPr>
      <w:r>
        <w:lastRenderedPageBreak/>
        <w:t>Part 5 — Rules of bookmaker wagering</w:t>
      </w:r>
    </w:p>
    <w:p>
      <w:pPr>
        <w:pStyle w:val="TOC8"/>
        <w:rPr>
          <w:rFonts w:asciiTheme="minorHAnsi" w:eastAsiaTheme="minorEastAsia" w:hAnsiTheme="minorHAnsi" w:cstheme="minorBidi"/>
          <w:szCs w:val="22"/>
        </w:rPr>
      </w:pPr>
      <w:r>
        <w:t>49.</w:t>
      </w:r>
      <w:r>
        <w:tab/>
        <w:t>Terms used</w:t>
      </w:r>
      <w:r>
        <w:tab/>
      </w:r>
      <w:del w:id="23" w:author="Master Repository Process" w:date="2021-09-12T12:29:00Z">
        <w:r>
          <w:delText>54</w:delText>
        </w:r>
      </w:del>
      <w:ins w:id="24" w:author="Master Repository Process" w:date="2021-09-12T12:29:00Z">
        <w:r>
          <w:t>55</w:t>
        </w:r>
      </w:ins>
    </w:p>
    <w:p>
      <w:pPr>
        <w:pStyle w:val="TOC8"/>
        <w:rPr>
          <w:rFonts w:asciiTheme="minorHAnsi" w:eastAsiaTheme="minorEastAsia" w:hAnsiTheme="minorHAnsi" w:cstheme="minorBidi"/>
          <w:szCs w:val="22"/>
        </w:rPr>
      </w:pPr>
      <w:r>
        <w:t>50.</w:t>
      </w:r>
      <w:r>
        <w:tab/>
        <w:t>Permitted wagers — races</w:t>
      </w:r>
      <w:r>
        <w:tab/>
      </w:r>
      <w:del w:id="25" w:author="Master Repository Process" w:date="2021-09-12T12:29:00Z">
        <w:r>
          <w:delText>54</w:delText>
        </w:r>
      </w:del>
      <w:ins w:id="26" w:author="Master Repository Process" w:date="2021-09-12T12:29:00Z">
        <w:r>
          <w:t>55</w:t>
        </w:r>
      </w:ins>
    </w:p>
    <w:p>
      <w:pPr>
        <w:pStyle w:val="TOC8"/>
        <w:rPr>
          <w:rFonts w:asciiTheme="minorHAnsi" w:eastAsiaTheme="minorEastAsia" w:hAnsiTheme="minorHAnsi" w:cstheme="minorBidi"/>
          <w:szCs w:val="22"/>
        </w:rPr>
      </w:pPr>
      <w:r>
        <w:t>51.</w:t>
      </w:r>
      <w:r>
        <w:tab/>
        <w:t>Bookmakers not to offer, make or accept certain wagers</w:t>
      </w:r>
      <w:r>
        <w:tab/>
      </w:r>
      <w:del w:id="27" w:author="Master Repository Process" w:date="2021-09-12T12:29:00Z">
        <w:r>
          <w:delText>55</w:delText>
        </w:r>
      </w:del>
      <w:ins w:id="28" w:author="Master Repository Process" w:date="2021-09-12T12:29:00Z">
        <w:r>
          <w:t>56</w:t>
        </w:r>
      </w:ins>
    </w:p>
    <w:p>
      <w:pPr>
        <w:pStyle w:val="TOC8"/>
        <w:rPr>
          <w:rFonts w:asciiTheme="minorHAnsi" w:eastAsiaTheme="minorEastAsia" w:hAnsiTheme="minorHAnsi" w:cstheme="minorBidi"/>
          <w:szCs w:val="22"/>
        </w:rPr>
      </w:pPr>
      <w:r>
        <w:t>52.</w:t>
      </w:r>
      <w:r>
        <w:tab/>
        <w:t>Provisions as to runners</w:t>
      </w:r>
      <w:r>
        <w:tab/>
      </w:r>
      <w:del w:id="29" w:author="Master Repository Process" w:date="2021-09-12T12:29:00Z">
        <w:r>
          <w:delText>56</w:delText>
        </w:r>
      </w:del>
      <w:ins w:id="30" w:author="Master Repository Process" w:date="2021-09-12T12:29:00Z">
        <w:r>
          <w:t>57</w:t>
        </w:r>
      </w:ins>
    </w:p>
    <w:p>
      <w:pPr>
        <w:pStyle w:val="TOC8"/>
        <w:rPr>
          <w:rFonts w:asciiTheme="minorHAnsi" w:eastAsiaTheme="minorEastAsia" w:hAnsiTheme="minorHAnsi" w:cstheme="minorBidi"/>
          <w:szCs w:val="22"/>
        </w:rPr>
      </w:pPr>
      <w:r>
        <w:t>53.</w:t>
      </w:r>
      <w:r>
        <w:tab/>
        <w:t>Wagers void in certain circumstances</w:t>
      </w:r>
      <w:r>
        <w:tab/>
      </w:r>
      <w:del w:id="31" w:author="Master Repository Process" w:date="2021-09-12T12:29:00Z">
        <w:r>
          <w:delText>56</w:delText>
        </w:r>
      </w:del>
      <w:ins w:id="32" w:author="Master Repository Process" w:date="2021-09-12T12:29:00Z">
        <w:r>
          <w:t>57</w:t>
        </w:r>
      </w:ins>
    </w:p>
    <w:p>
      <w:pPr>
        <w:pStyle w:val="TOC8"/>
        <w:rPr>
          <w:rFonts w:asciiTheme="minorHAnsi" w:eastAsiaTheme="minorEastAsia" w:hAnsiTheme="minorHAnsi" w:cstheme="minorBidi"/>
          <w:szCs w:val="22"/>
        </w:rPr>
      </w:pPr>
      <w:r>
        <w:t>54.</w:t>
      </w:r>
      <w:r>
        <w:tab/>
        <w:t>When wagers are off</w:t>
      </w:r>
      <w:r>
        <w:tab/>
      </w:r>
      <w:del w:id="33" w:author="Master Repository Process" w:date="2021-09-12T12:29:00Z">
        <w:r>
          <w:delText>57</w:delText>
        </w:r>
      </w:del>
      <w:ins w:id="34" w:author="Master Repository Process" w:date="2021-09-12T12:29:00Z">
        <w:r>
          <w:t>58</w:t>
        </w:r>
      </w:ins>
    </w:p>
    <w:p>
      <w:pPr>
        <w:pStyle w:val="TOC8"/>
        <w:rPr>
          <w:rFonts w:asciiTheme="minorHAnsi" w:eastAsiaTheme="minorEastAsia" w:hAnsiTheme="minorHAnsi" w:cstheme="minorBidi"/>
          <w:szCs w:val="22"/>
        </w:rPr>
      </w:pPr>
      <w:r>
        <w:t>55.</w:t>
      </w:r>
      <w:r>
        <w:tab/>
        <w:t>Determination and settlement of wagers</w:t>
      </w:r>
      <w:r>
        <w:tab/>
      </w:r>
      <w:del w:id="35" w:author="Master Repository Process" w:date="2021-09-12T12:29:00Z">
        <w:r>
          <w:delText>58</w:delText>
        </w:r>
      </w:del>
      <w:ins w:id="36" w:author="Master Repository Process" w:date="2021-09-12T12:29:00Z">
        <w:r>
          <w:t>59</w:t>
        </w:r>
      </w:ins>
    </w:p>
    <w:p>
      <w:pPr>
        <w:pStyle w:val="TOC8"/>
        <w:rPr>
          <w:rFonts w:asciiTheme="minorHAnsi" w:eastAsiaTheme="minorEastAsia" w:hAnsiTheme="minorHAnsi" w:cstheme="minorBidi"/>
          <w:szCs w:val="22"/>
        </w:rPr>
      </w:pPr>
      <w:r>
        <w:t>56.</w:t>
      </w:r>
      <w:r>
        <w:tab/>
        <w:t>Determination of wagers where runner withdrawn</w:t>
      </w:r>
      <w:r>
        <w:tab/>
      </w:r>
      <w:del w:id="37" w:author="Master Repository Process" w:date="2021-09-12T12:29:00Z">
        <w:r>
          <w:delText>61</w:delText>
        </w:r>
      </w:del>
      <w:ins w:id="38" w:author="Master Repository Process" w:date="2021-09-12T12:29:00Z">
        <w:r>
          <w:t>62</w:t>
        </w:r>
      </w:ins>
    </w:p>
    <w:p>
      <w:pPr>
        <w:pStyle w:val="TOC8"/>
        <w:rPr>
          <w:rFonts w:asciiTheme="minorHAnsi" w:eastAsiaTheme="minorEastAsia" w:hAnsiTheme="minorHAnsi" w:cstheme="minorBidi"/>
          <w:szCs w:val="22"/>
        </w:rPr>
      </w:pPr>
      <w:r>
        <w:t>57.</w:t>
      </w:r>
      <w:r>
        <w:tab/>
        <w:t>Wagers to be pay or play except in certain circumstances</w:t>
      </w:r>
      <w:r>
        <w:tab/>
      </w:r>
      <w:del w:id="39" w:author="Master Repository Process" w:date="2021-09-12T12:29:00Z">
        <w:r>
          <w:delText>64</w:delText>
        </w:r>
      </w:del>
      <w:ins w:id="40" w:author="Master Repository Process" w:date="2021-09-12T12:29:00Z">
        <w:r>
          <w:t>65</w:t>
        </w:r>
      </w:ins>
    </w:p>
    <w:p>
      <w:pPr>
        <w:pStyle w:val="TOC8"/>
        <w:rPr>
          <w:rFonts w:asciiTheme="minorHAnsi" w:eastAsiaTheme="minorEastAsia" w:hAnsiTheme="minorHAnsi" w:cstheme="minorBidi"/>
          <w:szCs w:val="22"/>
        </w:rPr>
      </w:pPr>
      <w:r>
        <w:t>58.</w:t>
      </w:r>
      <w:r>
        <w:tab/>
        <w:t>Provisions as to settlement of wagers following dead heat</w:t>
      </w:r>
      <w:r>
        <w:tab/>
      </w:r>
      <w:del w:id="41" w:author="Master Repository Process" w:date="2021-09-12T12:29:00Z">
        <w:r>
          <w:delText>64</w:delText>
        </w:r>
      </w:del>
      <w:ins w:id="42" w:author="Master Repository Process" w:date="2021-09-12T12:29:00Z">
        <w:r>
          <w:t>65</w:t>
        </w:r>
      </w:ins>
    </w:p>
    <w:p>
      <w:pPr>
        <w:pStyle w:val="TOC8"/>
        <w:rPr>
          <w:rFonts w:asciiTheme="minorHAnsi" w:eastAsiaTheme="minorEastAsia" w:hAnsiTheme="minorHAnsi" w:cstheme="minorBidi"/>
          <w:szCs w:val="22"/>
        </w:rPr>
      </w:pPr>
      <w:r>
        <w:t>59.</w:t>
      </w:r>
      <w:r>
        <w:tab/>
        <w:t>Provisions as to races that are re</w:t>
      </w:r>
      <w:r>
        <w:noBreakHyphen/>
        <w:t>run</w:t>
      </w:r>
      <w:r>
        <w:tab/>
      </w:r>
      <w:del w:id="43" w:author="Master Repository Process" w:date="2021-09-12T12:29:00Z">
        <w:r>
          <w:delText>66</w:delText>
        </w:r>
      </w:del>
      <w:ins w:id="44" w:author="Master Repository Process" w:date="2021-09-12T12:29:00Z">
        <w:r>
          <w:t>67</w:t>
        </w:r>
      </w:ins>
    </w:p>
    <w:p>
      <w:pPr>
        <w:pStyle w:val="TOC8"/>
        <w:rPr>
          <w:rFonts w:asciiTheme="minorHAnsi" w:eastAsiaTheme="minorEastAsia" w:hAnsiTheme="minorHAnsi" w:cstheme="minorBidi"/>
          <w:szCs w:val="22"/>
        </w:rPr>
      </w:pPr>
      <w:r>
        <w:t>60.</w:t>
      </w:r>
      <w:r>
        <w:tab/>
        <w:t>Pre</w:t>
      </w:r>
      <w:r>
        <w:noBreakHyphen/>
        <w:t>post wagering on the final of special event</w:t>
      </w:r>
      <w:r>
        <w:tab/>
      </w:r>
      <w:del w:id="45" w:author="Master Repository Process" w:date="2021-09-12T12:29:00Z">
        <w:r>
          <w:delText>66</w:delText>
        </w:r>
      </w:del>
      <w:ins w:id="46" w:author="Master Repository Process" w:date="2021-09-12T12:29:00Z">
        <w:r>
          <w:t>67</w:t>
        </w:r>
      </w:ins>
    </w:p>
    <w:p>
      <w:pPr>
        <w:pStyle w:val="TOC8"/>
        <w:rPr>
          <w:rFonts w:asciiTheme="minorHAnsi" w:eastAsiaTheme="minorEastAsia" w:hAnsiTheme="minorHAnsi" w:cstheme="minorBidi"/>
          <w:szCs w:val="22"/>
        </w:rPr>
      </w:pPr>
      <w:r>
        <w:t>61.</w:t>
      </w:r>
      <w:r>
        <w:tab/>
        <w:t>“Favout” wagering</w:t>
      </w:r>
      <w:r>
        <w:tab/>
      </w:r>
      <w:del w:id="47" w:author="Master Repository Process" w:date="2021-09-12T12:29:00Z">
        <w:r>
          <w:delText>67</w:delText>
        </w:r>
      </w:del>
      <w:ins w:id="48" w:author="Master Repository Process" w:date="2021-09-12T12:29:00Z">
        <w:r>
          <w:t>68</w:t>
        </w:r>
      </w:ins>
    </w:p>
    <w:p>
      <w:pPr>
        <w:pStyle w:val="TOC8"/>
        <w:rPr>
          <w:rFonts w:asciiTheme="minorHAnsi" w:eastAsiaTheme="minorEastAsia" w:hAnsiTheme="minorHAnsi" w:cstheme="minorBidi"/>
          <w:szCs w:val="22"/>
        </w:rPr>
      </w:pPr>
      <w:r>
        <w:t>62.</w:t>
      </w:r>
      <w:r>
        <w:tab/>
        <w:t xml:space="preserve">Wagering on sporting event, or contingency, approved under </w:t>
      </w:r>
      <w:r>
        <w:rPr>
          <w:i/>
          <w:iCs/>
        </w:rPr>
        <w:t>Betting Control Act 1954</w:t>
      </w:r>
      <w:r>
        <w:rPr>
          <w:iCs/>
        </w:rPr>
        <w:t xml:space="preserve"> s. 4B</w:t>
      </w:r>
      <w:r>
        <w:tab/>
      </w:r>
      <w:del w:id="49" w:author="Master Repository Process" w:date="2021-09-12T12:29:00Z">
        <w:r>
          <w:delText>67</w:delText>
        </w:r>
      </w:del>
      <w:ins w:id="50" w:author="Master Repository Process" w:date="2021-09-12T12:29:00Z">
        <w:r>
          <w:t>69</w:t>
        </w:r>
      </w:ins>
    </w:p>
    <w:p>
      <w:pPr>
        <w:pStyle w:val="TOC2"/>
        <w:tabs>
          <w:tab w:val="right" w:leader="dot" w:pos="7086"/>
        </w:tabs>
        <w:rPr>
          <w:rFonts w:asciiTheme="minorHAnsi" w:eastAsiaTheme="minorEastAsia" w:hAnsiTheme="minorHAnsi" w:cstheme="minorBidi"/>
          <w:b w:val="0"/>
          <w:sz w:val="22"/>
          <w:szCs w:val="22"/>
        </w:rPr>
      </w:pPr>
      <w:r>
        <w:t>Part 6 — Rules as to the operation of totalisator agencies</w:t>
      </w:r>
    </w:p>
    <w:p>
      <w:pPr>
        <w:pStyle w:val="TOC8"/>
        <w:rPr>
          <w:rFonts w:asciiTheme="minorHAnsi" w:eastAsiaTheme="minorEastAsia" w:hAnsiTheme="minorHAnsi" w:cstheme="minorBidi"/>
          <w:szCs w:val="22"/>
        </w:rPr>
      </w:pPr>
      <w:r>
        <w:t>63.</w:t>
      </w:r>
      <w:r>
        <w:tab/>
        <w:t>Terms used</w:t>
      </w:r>
      <w:r>
        <w:tab/>
      </w:r>
      <w:del w:id="51" w:author="Master Repository Process" w:date="2021-09-12T12:29:00Z">
        <w:r>
          <w:delText>70</w:delText>
        </w:r>
      </w:del>
      <w:ins w:id="52" w:author="Master Repository Process" w:date="2021-09-12T12:29:00Z">
        <w:r>
          <w:t>71</w:t>
        </w:r>
      </w:ins>
    </w:p>
    <w:p>
      <w:pPr>
        <w:pStyle w:val="TOC8"/>
        <w:rPr>
          <w:rFonts w:asciiTheme="minorHAnsi" w:eastAsiaTheme="minorEastAsia" w:hAnsiTheme="minorHAnsi" w:cstheme="minorBidi"/>
          <w:szCs w:val="22"/>
        </w:rPr>
      </w:pPr>
      <w:r>
        <w:t>64.</w:t>
      </w:r>
      <w:r>
        <w:tab/>
        <w:t>Obligations of agents and employees while on duty</w:t>
      </w:r>
      <w:r>
        <w:tab/>
      </w:r>
      <w:del w:id="53" w:author="Master Repository Process" w:date="2021-09-12T12:29:00Z">
        <w:r>
          <w:delText>70</w:delText>
        </w:r>
      </w:del>
      <w:ins w:id="54" w:author="Master Repository Process" w:date="2021-09-12T12:29:00Z">
        <w:r>
          <w:t>71</w:t>
        </w:r>
      </w:ins>
    </w:p>
    <w:p>
      <w:pPr>
        <w:pStyle w:val="TOC8"/>
        <w:rPr>
          <w:rFonts w:asciiTheme="minorHAnsi" w:eastAsiaTheme="minorEastAsia" w:hAnsiTheme="minorHAnsi" w:cstheme="minorBidi"/>
          <w:szCs w:val="22"/>
        </w:rPr>
      </w:pPr>
      <w:r>
        <w:t>65.</w:t>
      </w:r>
      <w:r>
        <w:tab/>
        <w:t>Use of video surveillance</w:t>
      </w:r>
      <w:r>
        <w:tab/>
      </w:r>
      <w:del w:id="55" w:author="Master Repository Process" w:date="2021-09-12T12:29:00Z">
        <w:r>
          <w:delText>70</w:delText>
        </w:r>
      </w:del>
      <w:ins w:id="56" w:author="Master Repository Process" w:date="2021-09-12T12:29:00Z">
        <w:r>
          <w:t>71</w:t>
        </w:r>
      </w:ins>
    </w:p>
    <w:p>
      <w:pPr>
        <w:pStyle w:val="TOC8"/>
        <w:rPr>
          <w:rFonts w:asciiTheme="minorHAnsi" w:eastAsiaTheme="minorEastAsia" w:hAnsiTheme="minorHAnsi" w:cstheme="minorBidi"/>
          <w:szCs w:val="22"/>
        </w:rPr>
      </w:pPr>
      <w:r>
        <w:t>66.</w:t>
      </w:r>
      <w:r>
        <w:tab/>
        <w:t>Agency bonds</w:t>
      </w:r>
      <w:r>
        <w:tab/>
      </w:r>
      <w:del w:id="57" w:author="Master Repository Process" w:date="2021-09-12T12:29:00Z">
        <w:r>
          <w:delText>71</w:delText>
        </w:r>
      </w:del>
      <w:ins w:id="58" w:author="Master Repository Process" w:date="2021-09-12T12:29:00Z">
        <w:r>
          <w:t>72</w:t>
        </w:r>
      </w:ins>
    </w:p>
    <w:p>
      <w:pPr>
        <w:pStyle w:val="TOC8"/>
        <w:rPr>
          <w:rFonts w:asciiTheme="minorHAnsi" w:eastAsiaTheme="minorEastAsia" w:hAnsiTheme="minorHAnsi" w:cstheme="minorBidi"/>
          <w:szCs w:val="22"/>
        </w:rPr>
      </w:pPr>
      <w:r>
        <w:t>67.</w:t>
      </w:r>
      <w:r>
        <w:tab/>
        <w:t>Acceptance of cheques</w:t>
      </w:r>
      <w:r>
        <w:tab/>
      </w:r>
      <w:del w:id="59" w:author="Master Repository Process" w:date="2021-09-12T12:29:00Z">
        <w:r>
          <w:delText>71</w:delText>
        </w:r>
      </w:del>
      <w:ins w:id="60" w:author="Master Repository Process" w:date="2021-09-12T12:29:00Z">
        <w:r>
          <w:t>72</w:t>
        </w:r>
      </w:ins>
    </w:p>
    <w:p>
      <w:pPr>
        <w:pStyle w:val="TOC2"/>
        <w:tabs>
          <w:tab w:val="right" w:leader="dot" w:pos="7086"/>
        </w:tabs>
        <w:rPr>
          <w:rFonts w:asciiTheme="minorHAnsi" w:eastAsiaTheme="minorEastAsia" w:hAnsiTheme="minorHAnsi" w:cstheme="minorBidi"/>
          <w:b w:val="0"/>
          <w:sz w:val="22"/>
          <w:szCs w:val="22"/>
        </w:rPr>
      </w:pPr>
      <w:r>
        <w:t>Schedule 1 — Scale of Deduction Table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del w:id="61" w:author="Master Repository Process" w:date="2021-09-12T12:29:00Z">
        <w:r>
          <w:delText>79</w:delText>
        </w:r>
      </w:del>
      <w:ins w:id="62" w:author="Master Repository Process" w:date="2021-09-12T12:29:00Z">
        <w:r>
          <w:t>80</w:t>
        </w:r>
      </w:ins>
    </w:p>
    <w:p>
      <w:pPr>
        <w:pStyle w:val="TOC2"/>
        <w:tabs>
          <w:tab w:val="right" w:leader="dot" w:pos="7086"/>
        </w:tabs>
        <w:rPr>
          <w:rFonts w:asciiTheme="minorHAnsi" w:eastAsiaTheme="minorEastAsia" w:hAnsiTheme="minorHAnsi" w:cstheme="minorBidi"/>
          <w:b w:val="0"/>
          <w:sz w:val="22"/>
          <w:szCs w:val="22"/>
        </w:rPr>
      </w:pPr>
      <w:r>
        <w:t>Defined terms</w:t>
      </w:r>
    </w:p>
    <w:p>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April 2013</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spacing w:after="720"/>
      </w:pPr>
      <w:r>
        <w:t>Rules of Wagering 2005</w:t>
      </w:r>
    </w:p>
    <w:p>
      <w:pPr>
        <w:pStyle w:val="Heading2"/>
        <w:keepNext w:val="0"/>
        <w:pageBreakBefore w:val="0"/>
        <w:spacing w:before="240"/>
      </w:pPr>
      <w:bookmarkStart w:id="63" w:name="_Toc355172010"/>
      <w:bookmarkStart w:id="64" w:name="_Toc358969436"/>
      <w:r>
        <w:rPr>
          <w:rStyle w:val="CharPartNo"/>
        </w:rPr>
        <w:t>P</w:t>
      </w:r>
      <w:bookmarkStart w:id="65" w:name="_GoBack"/>
      <w:bookmarkEnd w:id="65"/>
      <w:r>
        <w:rPr>
          <w:rStyle w:val="CharPartNo"/>
        </w:rPr>
        <w:t>art 1</w:t>
      </w:r>
      <w:r>
        <w:rPr>
          <w:rStyle w:val="CharDivNo"/>
        </w:rPr>
        <w:t> </w:t>
      </w:r>
      <w:r>
        <w:t>—</w:t>
      </w:r>
      <w:r>
        <w:rPr>
          <w:rStyle w:val="CharDivText"/>
        </w:rPr>
        <w:t> </w:t>
      </w:r>
      <w:r>
        <w:rPr>
          <w:rStyle w:val="CharPartText"/>
        </w:rPr>
        <w:t>Preliminary</w:t>
      </w:r>
      <w:bookmarkEnd w:id="63"/>
      <w:bookmarkEnd w:id="64"/>
    </w:p>
    <w:p>
      <w:pPr>
        <w:pStyle w:val="Heading5"/>
      </w:pPr>
      <w:bookmarkStart w:id="66" w:name="_Toc358969437"/>
      <w:bookmarkStart w:id="67" w:name="_Toc355172011"/>
      <w:r>
        <w:rPr>
          <w:rStyle w:val="CharSectno"/>
        </w:rPr>
        <w:t>1</w:t>
      </w:r>
      <w:r>
        <w:t>.</w:t>
      </w:r>
      <w:r>
        <w:tab/>
        <w:t>Citation</w:t>
      </w:r>
      <w:bookmarkEnd w:id="66"/>
      <w:bookmarkEnd w:id="67"/>
    </w:p>
    <w:p>
      <w:pPr>
        <w:pStyle w:val="Subsection"/>
        <w:rPr>
          <w:i/>
        </w:rPr>
      </w:pPr>
      <w:r>
        <w:tab/>
      </w:r>
      <w:r>
        <w:tab/>
        <w:t xml:space="preserve">These rules may be cited as the </w:t>
      </w:r>
      <w:r>
        <w:rPr>
          <w:i/>
        </w:rPr>
        <w:t>Rules of Wagering 2005</w:t>
      </w:r>
      <w:r>
        <w:rPr>
          <w:vertAlign w:val="superscript"/>
        </w:rPr>
        <w:t> 1</w:t>
      </w:r>
      <w:r>
        <w:t>.</w:t>
      </w:r>
    </w:p>
    <w:p>
      <w:pPr>
        <w:pStyle w:val="Heading5"/>
      </w:pPr>
      <w:bookmarkStart w:id="68" w:name="_Toc358969438"/>
      <w:bookmarkStart w:id="69" w:name="_Toc355172012"/>
      <w:r>
        <w:rPr>
          <w:rStyle w:val="CharSectno"/>
        </w:rPr>
        <w:t>2</w:t>
      </w:r>
      <w:r>
        <w:t>.</w:t>
      </w:r>
      <w:r>
        <w:tab/>
        <w:t>Commencement</w:t>
      </w:r>
      <w:bookmarkEnd w:id="68"/>
      <w:bookmarkEnd w:id="69"/>
    </w:p>
    <w:p>
      <w:pPr>
        <w:pStyle w:val="Subsection"/>
      </w:pPr>
      <w:r>
        <w:tab/>
      </w:r>
      <w:r>
        <w:tab/>
        <w:t>These rules come into operation on 30 January 2005.</w:t>
      </w:r>
    </w:p>
    <w:p>
      <w:pPr>
        <w:pStyle w:val="Heading5"/>
      </w:pPr>
      <w:bookmarkStart w:id="70" w:name="_Toc358969439"/>
      <w:bookmarkStart w:id="71" w:name="_Toc355172013"/>
      <w:r>
        <w:rPr>
          <w:rStyle w:val="CharSectno"/>
        </w:rPr>
        <w:t>3</w:t>
      </w:r>
      <w:r>
        <w:t>.</w:t>
      </w:r>
      <w:r>
        <w:tab/>
        <w:t>Terms used</w:t>
      </w:r>
      <w:bookmarkEnd w:id="70"/>
      <w:bookmarkEnd w:id="71"/>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rPr>
          <w:del w:id="72" w:author="Master Repository Process" w:date="2021-09-12T12:29:00Z"/>
        </w:rPr>
      </w:pPr>
      <w:del w:id="73" w:author="Master Repository Process" w:date="2021-09-12T12:29:00Z">
        <w:r>
          <w:rPr>
            <w:b/>
          </w:rPr>
          <w:tab/>
        </w:r>
        <w:r>
          <w:rPr>
            <w:rStyle w:val="CharDefText"/>
          </w:rPr>
          <w:delText>betting exchange</w:delText>
        </w:r>
        <w:r>
          <w:delText xml:space="preserve"> means a facility provided by the operator of the betting exchange, for fee, commission or other reward, under which offers to back a runner are matched with offers to lay against the runner with the result that wagers are made between those offering to back and those offering to lay;</w:delText>
        </w:r>
      </w:del>
    </w:p>
    <w:p>
      <w:pPr>
        <w:pStyle w:val="Defstart"/>
        <w:rPr>
          <w:ins w:id="74" w:author="Master Repository Process" w:date="2021-09-12T12:29:00Z"/>
        </w:rPr>
      </w:pPr>
      <w:ins w:id="75" w:author="Master Repository Process" w:date="2021-09-12T12:29:00Z">
        <w:r>
          <w:tab/>
        </w:r>
        <w:r>
          <w:rPr>
            <w:rStyle w:val="CharDefText"/>
          </w:rPr>
          <w:t>bet back</w:t>
        </w:r>
        <w:r>
          <w:t xml:space="preserve"> means a wager made by, or on behalf of, a bookmaker — </w:t>
        </w:r>
      </w:ins>
    </w:p>
    <w:p>
      <w:pPr>
        <w:pStyle w:val="Defpara"/>
        <w:rPr>
          <w:ins w:id="76" w:author="Master Repository Process" w:date="2021-09-12T12:29:00Z"/>
        </w:rPr>
      </w:pPr>
      <w:ins w:id="77" w:author="Master Repository Process" w:date="2021-09-12T12:29:00Z">
        <w:r>
          <w:tab/>
          <w:t>(a)</w:t>
        </w:r>
        <w:r>
          <w:tab/>
          <w:t>on a runner or, in the context of a sporting event, on a competitor or contingency; and</w:t>
        </w:r>
      </w:ins>
    </w:p>
    <w:p>
      <w:pPr>
        <w:pStyle w:val="Defpara"/>
        <w:rPr>
          <w:ins w:id="78" w:author="Master Repository Process" w:date="2021-09-12T12:29:00Z"/>
        </w:rPr>
      </w:pPr>
      <w:ins w:id="79" w:author="Master Repository Process" w:date="2021-09-12T12:29:00Z">
        <w:r>
          <w:tab/>
          <w:t>(b)</w:t>
        </w:r>
        <w:r>
          <w:tab/>
          <w:t>for the purpose of reducing the bookmaker’s liability for wagers already accepted by the bookmaker on that runner, competitor or contingency;</w:t>
        </w:r>
      </w:ins>
    </w:p>
    <w:p>
      <w:pPr>
        <w:pStyle w:val="Defstart"/>
        <w:rPr>
          <w:ins w:id="80" w:author="Master Repository Process" w:date="2021-09-12T12:29:00Z"/>
        </w:rPr>
      </w:pPr>
      <w:ins w:id="81" w:author="Master Repository Process" w:date="2021-09-12T12:29:00Z">
        <w:r>
          <w:lastRenderedPageBreak/>
          <w:tab/>
        </w:r>
        <w:r>
          <w:rPr>
            <w:rStyle w:val="CharDefText"/>
          </w:rPr>
          <w:t>betting exchange</w:t>
        </w:r>
        <w:r>
          <w:t xml:space="preserve"> has the meaning given in the </w:t>
        </w:r>
        <w:r>
          <w:rPr>
            <w:i/>
          </w:rPr>
          <w:t>Betting Control Act 1954</w:t>
        </w:r>
        <w:r>
          <w:t xml:space="preserve"> section 4AA;</w:t>
        </w:r>
      </w:ins>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rPr>
          <w:b/>
        </w:rPr>
        <w:tab/>
      </w:r>
      <w:r>
        <w:rPr>
          <w:rStyle w:val="CharDefText"/>
        </w:rPr>
        <w:t>controlling authority</w:t>
      </w:r>
      <w:r>
        <w:t xml:space="preserve"> means the body responsible for conducting a sporting event;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section 62 of the RWWA Act;</w:t>
      </w:r>
    </w:p>
    <w:p>
      <w:pPr>
        <w:pStyle w:val="Defstart"/>
      </w:pPr>
      <w:r>
        <w:rPr>
          <w:b/>
        </w:rPr>
        <w:tab/>
      </w:r>
      <w:r>
        <w:rPr>
          <w:rStyle w:val="CharDefText"/>
        </w:rPr>
        <w:t>doubles</w:t>
      </w:r>
      <w:r>
        <w:t xml:space="preserve"> 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w:t>
      </w:r>
      <w:r>
        <w:lastRenderedPageBreak/>
        <w:t xml:space="preserve">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or sporting event and includes a bettor;</w:t>
      </w:r>
    </w:p>
    <w:p>
      <w:pPr>
        <w:pStyle w:val="Defstart"/>
      </w:pPr>
      <w:r>
        <w:rPr>
          <w:b/>
        </w:rPr>
        <w:tab/>
      </w:r>
      <w:r>
        <w:rPr>
          <w:rStyle w:val="CharDefText"/>
        </w:rPr>
        <w:t>multiple double</w:t>
      </w:r>
      <w:r>
        <w:t xml:space="preserve"> means a double on 2 races or events scheduled at the time the wager is made to be run on the same day;</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rPr>
          <w:b/>
        </w:rPr>
        <w:tab/>
      </w:r>
      <w:r>
        <w:rPr>
          <w:rStyle w:val="CharDefText"/>
        </w:rPr>
        <w:t>official result</w:t>
      </w:r>
      <w:r>
        <w:t xml:space="preserve"> means the result or outcome of a sporting event, as declared by the relevant controlling authority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or sporting event;</w:t>
      </w:r>
    </w:p>
    <w:p>
      <w:pPr>
        <w:pStyle w:val="Defstart"/>
      </w:pPr>
      <w:r>
        <w:rPr>
          <w:b/>
        </w:rPr>
        <w:tab/>
      </w:r>
      <w:r>
        <w:rPr>
          <w:rStyle w:val="CharDefText"/>
        </w:rPr>
        <w:t>play or pay</w:t>
      </w:r>
      <w:r>
        <w:t xml:space="preserve"> means a wager that holds good whether or not a runner or participant on which the wager is made runs or participates in the race or sporting event in respect of which the wager is made;</w:t>
      </w:r>
    </w:p>
    <w:p>
      <w:pPr>
        <w:pStyle w:val="Defstart"/>
      </w:pPr>
      <w:r>
        <w:rPr>
          <w:b/>
        </w:rPr>
        <w:tab/>
      </w:r>
      <w:r>
        <w:rPr>
          <w:rStyle w:val="CharDefText"/>
        </w:rPr>
        <w:t>prescribed commission</w:t>
      </w:r>
      <w:r>
        <w:t xml:space="preserve"> means the</w:t>
      </w:r>
      <w:r>
        <w:rPr>
          <w:b/>
          <w:bCs/>
        </w:rPr>
        <w:t xml:space="preserve"> </w:t>
      </w:r>
      <w:r>
        <w:t xml:space="preserve">amount prescribed by regulation 17C or 17D of the </w:t>
      </w:r>
      <w:r>
        <w:rPr>
          <w:i/>
          <w:iCs/>
        </w:rPr>
        <w:t>Betting Control Regulations 1978</w:t>
      </w:r>
      <w:r>
        <w:t>, as the case may be, that may be deducted as commission from a wager included in a totalisator pool;</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pPr>
      <w:r>
        <w:rPr>
          <w:b/>
        </w:rPr>
        <w:tab/>
      </w:r>
      <w:r>
        <w:rPr>
          <w:rStyle w:val="CharDefText"/>
        </w:rPr>
        <w:t>RWWA Regulations</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Regulations 2003</w:t>
      </w:r>
      <w:r>
        <w:t>;</w:t>
      </w:r>
    </w:p>
    <w:p>
      <w:pPr>
        <w:pStyle w:val="Defstart"/>
      </w:pPr>
      <w:r>
        <w:rPr>
          <w:b/>
        </w:rPr>
        <w:tab/>
      </w:r>
      <w:r>
        <w:rPr>
          <w:rStyle w:val="CharDefText"/>
        </w:rPr>
        <w:t>scheduled starting time</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keepNext/>
        <w:rPr>
          <w:bCs/>
        </w:rPr>
      </w:pPr>
      <w:r>
        <w:rPr>
          <w:b/>
        </w:rPr>
        <w:tab/>
      </w:r>
      <w:r>
        <w:rPr>
          <w:rStyle w:val="CharDefText"/>
        </w:rPr>
        <w:t>totalisator</w:t>
      </w:r>
      <w:r>
        <w:t xml:space="preserve"> means the instrument known as “the </w:t>
      </w:r>
      <w:r>
        <w:rPr>
          <w:rStyle w:val="CharDefText"/>
          <w:b w:val="0"/>
          <w:i w:val="0"/>
        </w:rPr>
        <w:t>totalisator”</w:t>
      </w:r>
      <w:r>
        <w:rPr>
          <w:bCs/>
        </w:rP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or sporting event.</w:t>
      </w:r>
    </w:p>
    <w:p>
      <w:pPr>
        <w:pStyle w:val="Subsection"/>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in Gazette 18 Aug 2006 p. 3370; 18 Sep 2007 p. 4712; 4 Jan 2013 p. </w:t>
      </w:r>
      <w:del w:id="82" w:author="Master Repository Process" w:date="2021-09-12T12:29:00Z">
        <w:r>
          <w:delText>15</w:delText>
        </w:r>
      </w:del>
      <w:ins w:id="83" w:author="Master Repository Process" w:date="2021-09-12T12:29:00Z">
        <w:r>
          <w:t>15; 14 Jun 2013 p. 2244</w:t>
        </w:r>
      </w:ins>
      <w:r>
        <w:t>.]</w:t>
      </w:r>
    </w:p>
    <w:p>
      <w:pPr>
        <w:pStyle w:val="Heading5"/>
        <w:keepNext w:val="0"/>
        <w:keepLines w:val="0"/>
        <w:spacing w:before="180"/>
      </w:pPr>
      <w:bookmarkStart w:id="84" w:name="_Toc358969440"/>
      <w:bookmarkStart w:id="85" w:name="_Toc355172014"/>
      <w:r>
        <w:rPr>
          <w:rStyle w:val="CharSectno"/>
        </w:rPr>
        <w:t>4</w:t>
      </w:r>
      <w:r>
        <w:t>.</w:t>
      </w:r>
      <w:r>
        <w:tab/>
        <w:t>Application</w:t>
      </w:r>
      <w:bookmarkEnd w:id="84"/>
      <w:bookmarkEnd w:id="85"/>
    </w:p>
    <w:p>
      <w:pPr>
        <w:pStyle w:val="Subsection"/>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86" w:name="_Toc358969441"/>
      <w:bookmarkStart w:id="87" w:name="_Toc355172015"/>
      <w:r>
        <w:rPr>
          <w:rStyle w:val="CharSectno"/>
        </w:rPr>
        <w:t>5</w:t>
      </w:r>
      <w:r>
        <w:t>.</w:t>
      </w:r>
      <w:r>
        <w:tab/>
      </w:r>
      <w:r>
        <w:rPr>
          <w:szCs w:val="18"/>
        </w:rPr>
        <w:t>Matters not covered by these rules</w:t>
      </w:r>
      <w:bookmarkEnd w:id="86"/>
      <w:bookmarkEnd w:id="87"/>
    </w:p>
    <w:p>
      <w:pPr>
        <w:pStyle w:val="Subsection"/>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Heading5"/>
      </w:pPr>
      <w:bookmarkStart w:id="88" w:name="_Toc358969442"/>
      <w:bookmarkStart w:id="89" w:name="_Toc355172016"/>
      <w:r>
        <w:rPr>
          <w:rStyle w:val="CharSectno"/>
        </w:rPr>
        <w:t>6</w:t>
      </w:r>
      <w:r>
        <w:t>.</w:t>
      </w:r>
      <w:r>
        <w:tab/>
        <w:t>Copy of these rules to be available</w:t>
      </w:r>
      <w:bookmarkEnd w:id="88"/>
      <w:bookmarkEnd w:id="89"/>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90" w:name="_Toc355172017"/>
      <w:bookmarkStart w:id="91" w:name="_Toc358969443"/>
      <w:r>
        <w:rPr>
          <w:rStyle w:val="CharPartNo"/>
        </w:rPr>
        <w:t>Part 2</w:t>
      </w:r>
      <w:r>
        <w:rPr>
          <w:rStyle w:val="CharDivNo"/>
        </w:rPr>
        <w:t> </w:t>
      </w:r>
      <w:r>
        <w:t>—</w:t>
      </w:r>
      <w:r>
        <w:rPr>
          <w:rStyle w:val="CharDivText"/>
        </w:rPr>
        <w:t> </w:t>
      </w:r>
      <w:r>
        <w:rPr>
          <w:rStyle w:val="CharPartText"/>
        </w:rPr>
        <w:t>Conduct of totalisator wagering generally</w:t>
      </w:r>
      <w:bookmarkEnd w:id="90"/>
      <w:bookmarkEnd w:id="91"/>
    </w:p>
    <w:p>
      <w:pPr>
        <w:pStyle w:val="Heading5"/>
      </w:pPr>
      <w:bookmarkStart w:id="92" w:name="_Toc358969444"/>
      <w:bookmarkStart w:id="93" w:name="_Toc355172018"/>
      <w:r>
        <w:rPr>
          <w:rStyle w:val="CharSectno"/>
        </w:rPr>
        <w:t>7</w:t>
      </w:r>
      <w:r>
        <w:t>.</w:t>
      </w:r>
      <w:r>
        <w:tab/>
        <w:t>Supervision of wagering by on</w:t>
      </w:r>
      <w:r>
        <w:noBreakHyphen/>
        <w:t>course totalisators</w:t>
      </w:r>
      <w:bookmarkEnd w:id="92"/>
      <w:bookmarkEnd w:id="93"/>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94" w:name="_Toc358969445"/>
      <w:bookmarkStart w:id="95" w:name="_Toc355172019"/>
      <w:r>
        <w:rPr>
          <w:rStyle w:val="CharSectno"/>
        </w:rPr>
        <w:t>8</w:t>
      </w:r>
      <w:r>
        <w:t>.</w:t>
      </w:r>
      <w:r>
        <w:tab/>
        <w:t>Racing club to appoint on</w:t>
      </w:r>
      <w:r>
        <w:noBreakHyphen/>
        <w:t>course totalisator manager</w:t>
      </w:r>
      <w:bookmarkEnd w:id="94"/>
      <w:bookmarkEnd w:id="95"/>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96" w:name="_Toc358969446"/>
      <w:bookmarkStart w:id="97" w:name="_Toc355172020"/>
      <w:r>
        <w:rPr>
          <w:rStyle w:val="CharSectno"/>
        </w:rPr>
        <w:t>9</w:t>
      </w:r>
      <w:r>
        <w:t>.</w:t>
      </w:r>
      <w:r>
        <w:tab/>
        <w:t>Duty to report non</w:t>
      </w:r>
      <w:r>
        <w:noBreakHyphen/>
        <w:t>compliance</w:t>
      </w:r>
      <w:bookmarkEnd w:id="96"/>
      <w:bookmarkEnd w:id="97"/>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98" w:name="_Toc358969447"/>
      <w:bookmarkStart w:id="99" w:name="_Toc355172021"/>
      <w:r>
        <w:rPr>
          <w:rStyle w:val="CharSectno"/>
        </w:rPr>
        <w:t>10</w:t>
      </w:r>
      <w:r>
        <w:t>.</w:t>
      </w:r>
      <w:r>
        <w:tab/>
        <w:t>Changes affecting wagering to be advised</w:t>
      </w:r>
      <w:bookmarkEnd w:id="98"/>
      <w:bookmarkEnd w:id="99"/>
    </w:p>
    <w:p>
      <w:pPr>
        <w:pStyle w:val="Subsection"/>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100" w:name="_Toc358969448"/>
      <w:bookmarkStart w:id="101" w:name="_Toc355172022"/>
      <w:r>
        <w:rPr>
          <w:rStyle w:val="CharSectno"/>
        </w:rPr>
        <w:t>11</w:t>
      </w:r>
      <w:r>
        <w:t>.</w:t>
      </w:r>
      <w:r>
        <w:tab/>
        <w:t>Numbering of runner on totalisator</w:t>
      </w:r>
      <w:bookmarkEnd w:id="100"/>
      <w:bookmarkEnd w:id="101"/>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102" w:name="_Toc358969449"/>
      <w:bookmarkStart w:id="103" w:name="_Toc355172023"/>
      <w:r>
        <w:rPr>
          <w:rStyle w:val="CharSectno"/>
        </w:rPr>
        <w:t>12</w:t>
      </w:r>
      <w:r>
        <w:t>.</w:t>
      </w:r>
      <w:r>
        <w:tab/>
        <w:t>Display of anticipated dividends</w:t>
      </w:r>
      <w:bookmarkEnd w:id="102"/>
      <w:bookmarkEnd w:id="103"/>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104" w:name="_Toc358969450"/>
      <w:bookmarkStart w:id="105" w:name="_Toc355172024"/>
      <w:r>
        <w:rPr>
          <w:rStyle w:val="CharSectno"/>
        </w:rPr>
        <w:t>13</w:t>
      </w:r>
      <w:r>
        <w:t>.</w:t>
      </w:r>
      <w:r>
        <w:tab/>
        <w:t>When dividends become payable</w:t>
      </w:r>
      <w:bookmarkEnd w:id="104"/>
      <w:bookmarkEnd w:id="105"/>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106" w:name="_Toc358969451"/>
      <w:bookmarkStart w:id="107" w:name="_Toc355172025"/>
      <w:r>
        <w:rPr>
          <w:rStyle w:val="CharSectno"/>
        </w:rPr>
        <w:t>14</w:t>
      </w:r>
      <w:r>
        <w:t>.</w:t>
      </w:r>
      <w:r>
        <w:tab/>
        <w:t>Exhibiting of dividends</w:t>
      </w:r>
      <w:bookmarkEnd w:id="106"/>
      <w:bookmarkEnd w:id="107"/>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108" w:name="_Toc358969452"/>
      <w:bookmarkStart w:id="109" w:name="_Toc355172026"/>
      <w:r>
        <w:rPr>
          <w:rStyle w:val="CharSectno"/>
        </w:rPr>
        <w:t>15</w:t>
      </w:r>
      <w:r>
        <w:t>.</w:t>
      </w:r>
      <w:r>
        <w:tab/>
        <w:t>Wagers that contravene rules of racing not permitted</w:t>
      </w:r>
      <w:bookmarkEnd w:id="108"/>
      <w:bookmarkEnd w:id="109"/>
    </w:p>
    <w:p>
      <w:pPr>
        <w:pStyle w:val="Subsection"/>
      </w:pPr>
      <w:r>
        <w:tab/>
      </w:r>
      <w:r>
        <w:tab/>
        <w:t>A totalisator operator is not permitted to receive or make a wager that contravenes the rules of racing made under section 45 of the RWWA Act.</w:t>
      </w:r>
    </w:p>
    <w:p>
      <w:pPr>
        <w:pStyle w:val="Heading2"/>
      </w:pPr>
      <w:bookmarkStart w:id="110" w:name="_Toc355172027"/>
      <w:bookmarkStart w:id="111" w:name="_Toc358969453"/>
      <w:r>
        <w:rPr>
          <w:rStyle w:val="CharPartNo"/>
        </w:rPr>
        <w:t>Part 3</w:t>
      </w:r>
      <w:r>
        <w:rPr>
          <w:rStyle w:val="CharDivNo"/>
        </w:rPr>
        <w:t> </w:t>
      </w:r>
      <w:r>
        <w:t>—</w:t>
      </w:r>
      <w:r>
        <w:rPr>
          <w:rStyle w:val="CharDivText"/>
        </w:rPr>
        <w:t> </w:t>
      </w:r>
      <w:r>
        <w:rPr>
          <w:rStyle w:val="CharPartText"/>
        </w:rPr>
        <w:t>Rules of totalisator wagering</w:t>
      </w:r>
      <w:bookmarkEnd w:id="110"/>
      <w:bookmarkEnd w:id="111"/>
    </w:p>
    <w:p>
      <w:pPr>
        <w:pStyle w:val="Heading5"/>
        <w:spacing w:before="240"/>
      </w:pPr>
      <w:bookmarkStart w:id="112" w:name="_Toc358969454"/>
      <w:bookmarkStart w:id="113" w:name="_Toc355172028"/>
      <w:r>
        <w:rPr>
          <w:rStyle w:val="CharSectno"/>
        </w:rPr>
        <w:t>16</w:t>
      </w:r>
      <w:r>
        <w:t>.</w:t>
      </w:r>
      <w:r>
        <w:tab/>
        <w:t>Totalisator pools  — win and place wagers</w:t>
      </w:r>
      <w:bookmarkEnd w:id="112"/>
      <w:bookmarkEnd w:id="113"/>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114" w:name="_Toc358969455"/>
      <w:bookmarkStart w:id="115" w:name="_Toc355172029"/>
      <w:r>
        <w:rPr>
          <w:rStyle w:val="CharSectno"/>
        </w:rPr>
        <w:t>17</w:t>
      </w:r>
      <w:r>
        <w:t>.</w:t>
      </w:r>
      <w:r>
        <w:tab/>
        <w:t>Totalisator pools – novelty wagers on races</w:t>
      </w:r>
      <w:bookmarkEnd w:id="114"/>
      <w:bookmarkEnd w:id="115"/>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116" w:name="_Toc358969456"/>
      <w:bookmarkStart w:id="117" w:name="_Toc355172030"/>
      <w:r>
        <w:rPr>
          <w:rStyle w:val="CharSectno"/>
        </w:rPr>
        <w:t>18</w:t>
      </w:r>
      <w:r>
        <w:t>.</w:t>
      </w:r>
      <w:r>
        <w:tab/>
        <w:t>Dividends on novelty wagers</w:t>
      </w:r>
      <w:bookmarkEnd w:id="116"/>
      <w:bookmarkEnd w:id="117"/>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in Gazette 30 Aug 2005 p. 4055; 18 Sep 2007 p. 4712.]</w:t>
      </w:r>
    </w:p>
    <w:p>
      <w:pPr>
        <w:pStyle w:val="Heading5"/>
      </w:pPr>
      <w:bookmarkStart w:id="118" w:name="_Toc358969457"/>
      <w:bookmarkStart w:id="119" w:name="_Toc355172031"/>
      <w:r>
        <w:rPr>
          <w:rStyle w:val="CharSectno"/>
        </w:rPr>
        <w:t>18A</w:t>
      </w:r>
      <w:r>
        <w:t>.</w:t>
      </w:r>
      <w:r>
        <w:tab/>
        <w:t>Dividends on novelty wagers if less than one unit invested on correct selections</w:t>
      </w:r>
      <w:bookmarkEnd w:id="118"/>
      <w:bookmarkEnd w:id="119"/>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in Gazette 4 Jan 2013 p. 20</w:t>
      </w:r>
      <w:r>
        <w:noBreakHyphen/>
        <w:t>1.]</w:t>
      </w:r>
    </w:p>
    <w:p>
      <w:pPr>
        <w:pStyle w:val="Heading5"/>
      </w:pPr>
      <w:bookmarkStart w:id="120" w:name="_Toc358969458"/>
      <w:bookmarkStart w:id="121" w:name="_Toc355172032"/>
      <w:r>
        <w:rPr>
          <w:rStyle w:val="CharSectno"/>
        </w:rPr>
        <w:t>19</w:t>
      </w:r>
      <w:r>
        <w:t>.</w:t>
      </w:r>
      <w:r>
        <w:tab/>
        <w:t>Double event wagers on races</w:t>
      </w:r>
      <w:bookmarkEnd w:id="120"/>
      <w:bookmarkEnd w:id="121"/>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122" w:name="_Toc358969459"/>
      <w:bookmarkStart w:id="123" w:name="_Toc355172033"/>
      <w:r>
        <w:rPr>
          <w:rStyle w:val="CharSectno"/>
        </w:rPr>
        <w:t>20</w:t>
      </w:r>
      <w:r>
        <w:t>.</w:t>
      </w:r>
      <w:r>
        <w:tab/>
        <w:t>Favourite numbers wagers</w:t>
      </w:r>
      <w:bookmarkEnd w:id="122"/>
      <w:bookmarkEnd w:id="123"/>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124" w:name="_Toc358969460"/>
      <w:bookmarkStart w:id="125" w:name="_Toc355172034"/>
      <w:r>
        <w:rPr>
          <w:rStyle w:val="CharSectno"/>
        </w:rPr>
        <w:t>21</w:t>
      </w:r>
      <w:r>
        <w:t>.</w:t>
      </w:r>
      <w:r>
        <w:tab/>
        <w:t>Determination of totalisator favourite</w:t>
      </w:r>
      <w:bookmarkEnd w:id="124"/>
      <w:bookmarkEnd w:id="125"/>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126" w:name="_Toc358969461"/>
      <w:bookmarkStart w:id="127" w:name="_Toc355172035"/>
      <w:r>
        <w:rPr>
          <w:rStyle w:val="CharSectno"/>
        </w:rPr>
        <w:t>22</w:t>
      </w:r>
      <w:r>
        <w:t>.</w:t>
      </w:r>
      <w:r>
        <w:tab/>
        <w:t>Quaddie wagers</w:t>
      </w:r>
      <w:bookmarkEnd w:id="126"/>
      <w:bookmarkEnd w:id="127"/>
    </w:p>
    <w:p>
      <w:pPr>
        <w:pStyle w:val="Subsection"/>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128" w:name="_Toc358969462"/>
      <w:bookmarkStart w:id="129" w:name="_Toc355172036"/>
      <w:r>
        <w:rPr>
          <w:rStyle w:val="CharSectno"/>
        </w:rPr>
        <w:t>22A</w:t>
      </w:r>
      <w:r>
        <w:t>.</w:t>
      </w:r>
      <w:r>
        <w:tab/>
        <w:t>Flexi Bets</w:t>
      </w:r>
      <w:bookmarkEnd w:id="128"/>
      <w:bookmarkEnd w:id="129"/>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in Gazette 18 Sep 2007 p. 4713</w:t>
      </w:r>
      <w:r>
        <w:noBreakHyphen/>
        <w:t>14; amended in Gazette 4 Jan 2013 p. 21.]</w:t>
      </w:r>
    </w:p>
    <w:p>
      <w:pPr>
        <w:pStyle w:val="Heading5"/>
      </w:pPr>
      <w:bookmarkStart w:id="130" w:name="_Toc358969463"/>
      <w:bookmarkStart w:id="131" w:name="_Toc355172037"/>
      <w:r>
        <w:rPr>
          <w:rStyle w:val="CharSectno"/>
        </w:rPr>
        <w:t>23</w:t>
      </w:r>
      <w:r>
        <w:t>.</w:t>
      </w:r>
      <w:r>
        <w:tab/>
        <w:t>Totalisator pools – sporting events</w:t>
      </w:r>
      <w:bookmarkEnd w:id="130"/>
      <w:bookmarkEnd w:id="131"/>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rPr>
                <w:sz w:val="24"/>
                <w:szCs w:val="24"/>
              </w:rPr>
            </w:pPr>
            <w:r>
              <w:rPr>
                <w:sz w:val="24"/>
                <w:szCs w:val="24"/>
              </w:rPr>
              <w:t>Any game of soccer or series of games of soccer.</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Heading5"/>
      </w:pPr>
      <w:bookmarkStart w:id="132" w:name="_Toc358969464"/>
      <w:bookmarkStart w:id="133" w:name="_Toc355172038"/>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132"/>
      <w:bookmarkEnd w:id="133"/>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footy tipping wager</w:t>
            </w:r>
            <w:r>
              <w:rPr>
                <w:szCs w:val="24"/>
              </w:rPr>
              <w:t xml:space="preserve"> means the nomination of an amount of a wager, and the prediction that the results of each Australian Rules Football fixture, in a predetermined pool of matches will in total result in —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b/>
                <w:sz w:val="24"/>
                <w:szCs w:val="24"/>
              </w:rPr>
            </w:pPr>
            <w:r>
              <w:rPr>
                <w:sz w:val="24"/>
                <w:szCs w:val="24"/>
              </w:rPr>
              <w:t>(b)</w:t>
            </w:r>
            <w:r>
              <w:rPr>
                <w:sz w:val="24"/>
                <w:szCs w:val="24"/>
              </w:rPr>
              <w:tab/>
              <w:t>an overall win to the participant designated as the “away team”;</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not being an Australian Rules Football fixture,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a draw.</w:t>
            </w:r>
          </w:p>
        </w:tc>
      </w:tr>
    </w:tbl>
    <w:p>
      <w:pPr>
        <w:pStyle w:val="Heading5"/>
      </w:pPr>
      <w:bookmarkStart w:id="134" w:name="_Toc358969465"/>
      <w:bookmarkStart w:id="135" w:name="_Toc355172039"/>
      <w:r>
        <w:rPr>
          <w:rStyle w:val="CharSectno"/>
        </w:rPr>
        <w:t>25</w:t>
      </w:r>
      <w:r>
        <w:t>.</w:t>
      </w:r>
      <w:r>
        <w:tab/>
        <w:t>Footing tipping wagers and sports tipping wagers</w:t>
      </w:r>
      <w:bookmarkEnd w:id="134"/>
      <w:bookmarkEnd w:id="135"/>
    </w:p>
    <w:p>
      <w:pPr>
        <w:pStyle w:val="Subsection"/>
      </w:pPr>
      <w:r>
        <w:tab/>
        <w:t>(1)</w:t>
      </w:r>
      <w:r>
        <w:tab/>
        <w:t>This rule applies in relation to any totalisator pool conducted by the totalisator operator in respect of footy tipping wagers or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footy tipping wagers or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spacing w:before="120"/>
      </w:pPr>
      <w:r>
        <w:tab/>
        <w:t>(4)</w:t>
      </w:r>
      <w:r>
        <w:tab/>
        <w:t xml:space="preserve">If no footy tipping wager or sports tipping wager placed in the totalisator pool concerned is a winning wager (including where the totalisator pool was in respect of footy tipping wagers and one or more of the matches in the game pool resulted in a tie), the totalisator operator is to — </w:t>
      </w:r>
    </w:p>
    <w:p>
      <w:pPr>
        <w:pStyle w:val="Indenta"/>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footy tipping wagers or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Heading5"/>
      </w:pPr>
      <w:bookmarkStart w:id="136" w:name="_Toc358969466"/>
      <w:bookmarkStart w:id="137" w:name="_Toc355172040"/>
      <w:r>
        <w:rPr>
          <w:rStyle w:val="CharSectno"/>
        </w:rPr>
        <w:t>26</w:t>
      </w:r>
      <w:r>
        <w:t>.</w:t>
      </w:r>
      <w:r>
        <w:tab/>
        <w:t>Wagers on Australian Rules Football</w:t>
      </w:r>
      <w:bookmarkEnd w:id="136"/>
      <w:bookmarkEnd w:id="137"/>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footy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Heading5"/>
      </w:pPr>
      <w:bookmarkStart w:id="138" w:name="_Toc358969467"/>
      <w:bookmarkStart w:id="139" w:name="_Toc355172041"/>
      <w:r>
        <w:rPr>
          <w:rStyle w:val="CharSectno"/>
        </w:rPr>
        <w:t>27</w:t>
      </w:r>
      <w:r>
        <w:t>.</w:t>
      </w:r>
      <w:r>
        <w:tab/>
        <w:t>Footo wagers</w:t>
      </w:r>
      <w:bookmarkEnd w:id="138"/>
      <w:bookmarkEnd w:id="139"/>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draw;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draw, where a draw is an outcome permitted under the rules governing the conduct of a particular match; or</w:t>
      </w:r>
    </w:p>
    <w:p>
      <w:pPr>
        <w:pStyle w:val="Indenta"/>
      </w:pPr>
      <w:r>
        <w:tab/>
        <w:t>(b)</w:t>
      </w:r>
      <w:r>
        <w:tab/>
        <w:t>from one or more score ranges within brackets of 3 numbers determined by the totalisator operator; or</w:t>
      </w:r>
    </w:p>
    <w:p>
      <w:pPr>
        <w:pStyle w:val="Indenta"/>
      </w:pPr>
      <w:r>
        <w:tab/>
        <w:t>(c)</w:t>
      </w:r>
      <w:r>
        <w:tab/>
        <w:t>as a greater score range, any selection for a draw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Heading5"/>
      </w:pPr>
      <w:bookmarkStart w:id="140" w:name="_Toc358969468"/>
      <w:bookmarkStart w:id="141" w:name="_Toc355172042"/>
      <w:r>
        <w:rPr>
          <w:rStyle w:val="CharSectno"/>
        </w:rPr>
        <w:t>28</w:t>
      </w:r>
      <w:r>
        <w:t>.</w:t>
      </w:r>
      <w:r>
        <w:tab/>
        <w:t>Wagers on cricket</w:t>
      </w:r>
      <w:bookmarkEnd w:id="140"/>
      <w:bookmarkEnd w:id="141"/>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142" w:name="_Toc358969469"/>
      <w:bookmarkStart w:id="143" w:name="_Toc355172043"/>
      <w:r>
        <w:rPr>
          <w:rStyle w:val="CharSectno"/>
        </w:rPr>
        <w:t>29</w:t>
      </w:r>
      <w:r>
        <w:t>.</w:t>
      </w:r>
      <w:r>
        <w:tab/>
        <w:t>Wagers on soccer</w:t>
      </w:r>
      <w:bookmarkEnd w:id="142"/>
      <w:bookmarkEnd w:id="143"/>
    </w:p>
    <w:p>
      <w:pPr>
        <w:pStyle w:val="Subsection"/>
      </w:pPr>
      <w:r>
        <w:tab/>
        <w:t>(1)</w:t>
      </w:r>
      <w:r>
        <w:tab/>
        <w:t>The totalisator operator may make and accept wagers on soccer in accordance with these rules.</w:t>
      </w:r>
    </w:p>
    <w:p>
      <w:pPr>
        <w:pStyle w:val="Subsection"/>
      </w:pPr>
      <w:r>
        <w:tab/>
        <w:t>(2)</w:t>
      </w:r>
      <w:r>
        <w:tab/>
        <w:t>The totalisator operator may accept the following types of wagers on soccer —</w:t>
      </w:r>
    </w:p>
    <w:p>
      <w:pPr>
        <w:pStyle w:val="Indenta"/>
      </w:pPr>
      <w:r>
        <w:tab/>
        <w:t>(a)</w:t>
      </w:r>
      <w:r>
        <w:tab/>
        <w:t>win wagers; and</w:t>
      </w:r>
    </w:p>
    <w:p>
      <w:pPr>
        <w:pStyle w:val="Indenta"/>
        <w:rPr>
          <w:sz w:val="20"/>
        </w:rPr>
      </w:pPr>
      <w:r>
        <w:tab/>
        <w:t>(b)</w:t>
      </w:r>
      <w:r>
        <w:tab/>
        <w:t>sports tipping wagers</w:t>
      </w:r>
      <w:r>
        <w:rPr>
          <w:sz w:val="20"/>
        </w:rPr>
        <w:t>.</w:t>
      </w:r>
    </w:p>
    <w:p>
      <w:pPr>
        <w:pStyle w:val="Heading2"/>
      </w:pPr>
      <w:bookmarkStart w:id="144" w:name="_Toc355172044"/>
      <w:bookmarkStart w:id="145" w:name="_Toc358969470"/>
      <w:r>
        <w:rPr>
          <w:rStyle w:val="CharPartNo"/>
        </w:rPr>
        <w:t>Part 4</w:t>
      </w:r>
      <w:r>
        <w:rPr>
          <w:rStyle w:val="CharDivNo"/>
        </w:rPr>
        <w:t> </w:t>
      </w:r>
      <w:r>
        <w:t>—</w:t>
      </w:r>
      <w:r>
        <w:rPr>
          <w:rStyle w:val="CharDivText"/>
        </w:rPr>
        <w:t> </w:t>
      </w:r>
      <w:r>
        <w:rPr>
          <w:rStyle w:val="CharPartText"/>
        </w:rPr>
        <w:t>Conduct of bookmaker wagering generally</w:t>
      </w:r>
      <w:bookmarkEnd w:id="144"/>
      <w:bookmarkEnd w:id="145"/>
    </w:p>
    <w:p>
      <w:pPr>
        <w:pStyle w:val="Heading5"/>
      </w:pPr>
      <w:bookmarkStart w:id="146" w:name="_Toc358969471"/>
      <w:bookmarkStart w:id="147" w:name="_Toc355172045"/>
      <w:r>
        <w:rPr>
          <w:rStyle w:val="CharSectno"/>
        </w:rPr>
        <w:t>30</w:t>
      </w:r>
      <w:r>
        <w:t>.</w:t>
      </w:r>
      <w:r>
        <w:tab/>
        <w:t>Application</w:t>
      </w:r>
      <w:bookmarkEnd w:id="146"/>
      <w:bookmarkEnd w:id="147"/>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a reference to a race or a race meeting includes a reference to a sporting event;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Heading5"/>
        <w:spacing w:before="180"/>
      </w:pPr>
      <w:bookmarkStart w:id="148" w:name="_Toc358969472"/>
      <w:bookmarkStart w:id="149" w:name="_Toc355172046"/>
      <w:r>
        <w:rPr>
          <w:rStyle w:val="CharSectno"/>
        </w:rPr>
        <w:t>31</w:t>
      </w:r>
      <w:r>
        <w:t>.</w:t>
      </w:r>
      <w:r>
        <w:tab/>
        <w:t>Bookmakers, bookmaker’s managers and bookmaker’s employees to be licensed</w:t>
      </w:r>
      <w:bookmarkEnd w:id="148"/>
      <w:bookmarkEnd w:id="149"/>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150" w:name="_Toc358969473"/>
      <w:bookmarkStart w:id="151" w:name="_Toc355172047"/>
      <w:r>
        <w:rPr>
          <w:rStyle w:val="CharSectno"/>
        </w:rPr>
        <w:t>32</w:t>
      </w:r>
      <w:r>
        <w:t>.</w:t>
      </w:r>
      <w:r>
        <w:tab/>
        <w:t>Bookmakers to operate in accordance with permit issued by racing club</w:t>
      </w:r>
      <w:bookmarkEnd w:id="150"/>
      <w:bookmarkEnd w:id="151"/>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152" w:name="_Toc358969474"/>
      <w:bookmarkStart w:id="153" w:name="_Toc355172048"/>
      <w:r>
        <w:rPr>
          <w:rStyle w:val="CharSectno"/>
        </w:rPr>
        <w:t>33</w:t>
      </w:r>
      <w:r>
        <w:t>.</w:t>
      </w:r>
      <w:r>
        <w:tab/>
        <w:t>Bookmaker’s agents and substitutes</w:t>
      </w:r>
      <w:bookmarkEnd w:id="152"/>
      <w:bookmarkEnd w:id="153"/>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154" w:name="_Toc358969475"/>
      <w:bookmarkStart w:id="155" w:name="_Toc355172049"/>
      <w:r>
        <w:rPr>
          <w:rStyle w:val="CharSectno"/>
        </w:rPr>
        <w:t>34</w:t>
      </w:r>
      <w:r>
        <w:t>.</w:t>
      </w:r>
      <w:r>
        <w:tab/>
        <w:t>Temporary bookmaker’s employee licence</w:t>
      </w:r>
      <w:bookmarkEnd w:id="154"/>
      <w:bookmarkEnd w:id="155"/>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pPr>
      <w:r>
        <w:tab/>
        <w:t>(3)</w:t>
      </w:r>
      <w:r>
        <w:tab/>
        <w:t xml:space="preserve">A steward to whom an application referred to in subrule (1) or (2) is made may, under section 12A(2) of the </w:t>
      </w:r>
      <w:r>
        <w:rPr>
          <w:i/>
          <w:iCs/>
        </w:rPr>
        <w:t>Betting Control Act 1954</w:t>
      </w:r>
      <w:r>
        <w:t xml:space="preserve"> — </w:t>
      </w:r>
    </w:p>
    <w:p>
      <w:pPr>
        <w:pStyle w:val="Indenta"/>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156" w:name="_Toc358969476"/>
      <w:bookmarkStart w:id="157" w:name="_Toc355172050"/>
      <w:r>
        <w:rPr>
          <w:rStyle w:val="CharSectno"/>
        </w:rPr>
        <w:t>35</w:t>
      </w:r>
      <w:r>
        <w:t>.</w:t>
      </w:r>
      <w:r>
        <w:tab/>
        <w:t>Supervision of wagering by bookmakers</w:t>
      </w:r>
      <w:bookmarkEnd w:id="156"/>
      <w:bookmarkEnd w:id="157"/>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158" w:name="_Toc358969477"/>
      <w:bookmarkStart w:id="159" w:name="_Toc355172051"/>
      <w:r>
        <w:rPr>
          <w:rStyle w:val="CharSectno"/>
        </w:rPr>
        <w:t>36</w:t>
      </w:r>
      <w:r>
        <w:t>.</w:t>
      </w:r>
      <w:r>
        <w:tab/>
        <w:t>Duty to report non</w:t>
      </w:r>
      <w:r>
        <w:noBreakHyphen/>
        <w:t>compliance</w:t>
      </w:r>
      <w:bookmarkEnd w:id="158"/>
      <w:bookmarkEnd w:id="159"/>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160" w:name="_Toc358969478"/>
      <w:bookmarkStart w:id="161" w:name="_Toc355172052"/>
      <w:r>
        <w:rPr>
          <w:rStyle w:val="CharSectno"/>
        </w:rPr>
        <w:t>37</w:t>
      </w:r>
      <w:r>
        <w:t>.</w:t>
      </w:r>
      <w:r>
        <w:tab/>
        <w:t>Record of wagering transactions</w:t>
      </w:r>
      <w:bookmarkEnd w:id="160"/>
      <w:bookmarkEnd w:id="161"/>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 sporting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in Gazette 19 Oct 2010 p. 5191</w:t>
      </w:r>
      <w:r>
        <w:noBreakHyphen/>
        <w:t>2.]</w:t>
      </w:r>
    </w:p>
    <w:p>
      <w:pPr>
        <w:pStyle w:val="Heading5"/>
      </w:pPr>
      <w:bookmarkStart w:id="162" w:name="_Toc358969479"/>
      <w:bookmarkStart w:id="163" w:name="_Toc355172053"/>
      <w:r>
        <w:rPr>
          <w:rStyle w:val="CharSectno"/>
        </w:rPr>
        <w:t>38</w:t>
      </w:r>
      <w:r>
        <w:t>.</w:t>
      </w:r>
      <w:r>
        <w:tab/>
        <w:t>Tickets</w:t>
      </w:r>
      <w:bookmarkEnd w:id="162"/>
      <w:bookmarkEnd w:id="163"/>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Heading5"/>
      </w:pPr>
      <w:bookmarkStart w:id="164" w:name="_Toc358969480"/>
      <w:bookmarkStart w:id="165" w:name="_Toc355172054"/>
      <w:r>
        <w:rPr>
          <w:rStyle w:val="CharSectno"/>
        </w:rPr>
        <w:t>39</w:t>
      </w:r>
      <w:r>
        <w:t>.</w:t>
      </w:r>
      <w:r>
        <w:tab/>
        <w:t>Betting stands</w:t>
      </w:r>
      <w:bookmarkEnd w:id="164"/>
      <w:bookmarkEnd w:id="165"/>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166" w:name="_Toc358969481"/>
      <w:bookmarkStart w:id="167" w:name="_Toc355172055"/>
      <w:r>
        <w:rPr>
          <w:rStyle w:val="CharSectno"/>
        </w:rPr>
        <w:t>40</w:t>
      </w:r>
      <w:r>
        <w:t>.</w:t>
      </w:r>
      <w:r>
        <w:tab/>
        <w:t>Betting boards, charts etc.</w:t>
      </w:r>
      <w:bookmarkEnd w:id="166"/>
      <w:bookmarkEnd w:id="167"/>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dividends the bookmaker is prepared to pay in respect of winning wagers,</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 and</w:t>
      </w:r>
    </w:p>
    <w:p>
      <w:pPr>
        <w:pStyle w:val="Indenta"/>
      </w:pPr>
      <w:r>
        <w:tab/>
        <w:t>(c)</w:t>
      </w:r>
      <w:r>
        <w:tab/>
        <w:t>is to exhibit the dividends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Heading5"/>
      </w:pPr>
      <w:bookmarkStart w:id="168" w:name="_Toc358969482"/>
      <w:bookmarkStart w:id="169" w:name="_Toc355172056"/>
      <w:r>
        <w:rPr>
          <w:rStyle w:val="CharSectno"/>
        </w:rPr>
        <w:t>41</w:t>
      </w:r>
      <w:r>
        <w:t>.</w:t>
      </w:r>
      <w:r>
        <w:tab/>
        <w:t>Betting turnover returns</w:t>
      </w:r>
      <w:bookmarkEnd w:id="168"/>
      <w:bookmarkEnd w:id="169"/>
    </w:p>
    <w:p>
      <w:pPr>
        <w:pStyle w:val="Subsection"/>
      </w:pPr>
      <w:r>
        <w:tab/>
      </w:r>
      <w:r>
        <w:tab/>
        <w:t xml:space="preserve">A bookmaker conducting wagering at a race meeting is to ensure that the betting return required to be completed in accordance with sections 14, 15 and 16 of the </w:t>
      </w:r>
      <w:r>
        <w:rPr>
          <w:i/>
          <w:iCs/>
        </w:rPr>
        <w:t>Betting Control Act 1954</w:t>
      </w:r>
      <w:r>
        <w:t>, together with the betting levy payable in respect of the return, is lodged with the host racing club within 7 days of the race meeting.</w:t>
      </w:r>
    </w:p>
    <w:p>
      <w:pPr>
        <w:pStyle w:val="Heading5"/>
      </w:pPr>
      <w:bookmarkStart w:id="170" w:name="_Toc358969483"/>
      <w:bookmarkStart w:id="171" w:name="_Toc355172057"/>
      <w:r>
        <w:rPr>
          <w:rStyle w:val="CharSectno"/>
        </w:rPr>
        <w:t>42</w:t>
      </w:r>
      <w:r>
        <w:t>.</w:t>
      </w:r>
      <w:r>
        <w:tab/>
        <w:t>Collection of wagering sheets</w:t>
      </w:r>
      <w:bookmarkEnd w:id="170"/>
      <w:bookmarkEnd w:id="171"/>
    </w:p>
    <w:p>
      <w:pPr>
        <w:pStyle w:val="Subsection"/>
      </w:pPr>
      <w:r>
        <w:tab/>
      </w:r>
      <w:r>
        <w:tab/>
        <w:t xml:space="preserve">A bookmaker conducting wagering at a racecourse is to, in accordance with section 15(3) of the </w:t>
      </w:r>
      <w:r>
        <w:rPr>
          <w:i/>
          <w:iCs/>
        </w:rPr>
        <w:t>Betting Control Act 1954,</w:t>
      </w:r>
      <w:r>
        <w:t xml:space="preserve">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Heading5"/>
        <w:rPr>
          <w:b w:val="0"/>
          <w:bCs/>
          <w:sz w:val="20"/>
        </w:rPr>
      </w:pPr>
      <w:bookmarkStart w:id="172" w:name="_Toc358969484"/>
      <w:bookmarkStart w:id="173" w:name="_Toc355172058"/>
      <w:r>
        <w:rPr>
          <w:rStyle w:val="CharSectno"/>
        </w:rPr>
        <w:t>43</w:t>
      </w:r>
      <w:r>
        <w:t>.</w:t>
      </w:r>
      <w:r>
        <w:tab/>
        <w:t>Minimum wager obligations</w:t>
      </w:r>
      <w:bookmarkEnd w:id="172"/>
      <w:bookmarkEnd w:id="173"/>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at a time before the horses enter onto the track and more than $1 500 once the horses have entered onto the track;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at a time before the horses enter onto the track and more than $1 500 once the horses have entered onto the track; and</w:t>
      </w:r>
    </w:p>
    <w:p>
      <w:pPr>
        <w:pStyle w:val="Indenti"/>
      </w:pPr>
      <w:r>
        <w:tab/>
        <w:t>(iv)</w:t>
      </w:r>
      <w:r>
        <w:tab/>
        <w:t>held at a metropolitan race meeting classified as a midweek meeting — more than $1 500 at a time before the horses enter onto the track and more than $1 000 once the horses have entered onto the track;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Barker, Northam, Pinjarra and York — more than $1 500 at a time before the horses enter onto the track and more than $1 000 once the horses have entered onto the track; and</w:t>
      </w:r>
    </w:p>
    <w:p>
      <w:pPr>
        <w:pStyle w:val="Indenti"/>
      </w:pPr>
      <w:r>
        <w:tab/>
        <w:t>(vi)</w:t>
      </w:r>
      <w:r>
        <w:tab/>
        <w: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provided that, on application by the bookmaker to the steward supervising the conduct of wagering at the racecourse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in Gazette 20 Jul 2007 p. 3630; 4 Jan 2013 p. 21</w:t>
      </w:r>
      <w:r>
        <w:noBreakHyphen/>
        <w:t>2.]</w:t>
      </w:r>
    </w:p>
    <w:p>
      <w:pPr>
        <w:pStyle w:val="Heading5"/>
      </w:pPr>
      <w:bookmarkStart w:id="174" w:name="_Toc355172059"/>
      <w:bookmarkStart w:id="175" w:name="_Toc358969485"/>
      <w:r>
        <w:rPr>
          <w:rStyle w:val="CharSectno"/>
        </w:rPr>
        <w:t>44</w:t>
      </w:r>
      <w:r>
        <w:t>.</w:t>
      </w:r>
      <w:r>
        <w:tab/>
        <w:t xml:space="preserve">Wagers with </w:t>
      </w:r>
      <w:del w:id="176" w:author="Master Repository Process" w:date="2021-09-12T12:29:00Z">
        <w:r>
          <w:delText>other bookmakers</w:delText>
        </w:r>
      </w:del>
      <w:bookmarkEnd w:id="174"/>
      <w:ins w:id="177" w:author="Master Repository Process" w:date="2021-09-12T12:29:00Z">
        <w:r>
          <w:t>domestic betting operators and totalisators</w:t>
        </w:r>
      </w:ins>
      <w:bookmarkEnd w:id="175"/>
    </w:p>
    <w:p>
      <w:pPr>
        <w:pStyle w:val="Subsection"/>
        <w:rPr>
          <w:ins w:id="178" w:author="Master Repository Process" w:date="2021-09-12T12:29:00Z"/>
        </w:rPr>
      </w:pPr>
      <w:ins w:id="179" w:author="Master Repository Process" w:date="2021-09-12T12:29:00Z">
        <w:r>
          <w:tab/>
          <w:t>(1A)</w:t>
        </w:r>
        <w:r>
          <w:tab/>
          <w:t xml:space="preserve">In this rule — </w:t>
        </w:r>
      </w:ins>
    </w:p>
    <w:p>
      <w:pPr>
        <w:pStyle w:val="Defstart"/>
        <w:rPr>
          <w:ins w:id="180" w:author="Master Repository Process" w:date="2021-09-12T12:29:00Z"/>
        </w:rPr>
      </w:pPr>
      <w:ins w:id="181" w:author="Master Repository Process" w:date="2021-09-12T12:29:00Z">
        <w:r>
          <w:tab/>
        </w:r>
        <w:r>
          <w:rPr>
            <w:rStyle w:val="CharDefText"/>
          </w:rPr>
          <w:t>domestic betting operator</w:t>
        </w:r>
        <w:r>
          <w:t xml:space="preserve"> has the meaning given in the </w:t>
        </w:r>
        <w:r>
          <w:rPr>
            <w:i/>
          </w:rPr>
          <w:t>Betting Control Act 1954</w:t>
        </w:r>
        <w:r>
          <w:t xml:space="preserve"> section 4(1);</w:t>
        </w:r>
      </w:ins>
    </w:p>
    <w:p>
      <w:pPr>
        <w:pStyle w:val="Defstart"/>
        <w:rPr>
          <w:ins w:id="182" w:author="Master Repository Process" w:date="2021-09-12T12:29:00Z"/>
        </w:rPr>
      </w:pPr>
      <w:ins w:id="183" w:author="Master Repository Process" w:date="2021-09-12T12:29:00Z">
        <w:r>
          <w:tab/>
        </w:r>
        <w:r>
          <w:rPr>
            <w:rStyle w:val="CharDefText"/>
          </w:rPr>
          <w:t>totalisator</w:t>
        </w:r>
        <w:r>
          <w:t xml:space="preserve"> includes a totalisator (however described) operated in another State or a Territory.</w:t>
        </w:r>
      </w:ins>
    </w:p>
    <w:p>
      <w:pPr>
        <w:pStyle w:val="Subsection"/>
      </w:pPr>
      <w:r>
        <w:tab/>
        <w:t>(1)</w:t>
      </w:r>
      <w:r>
        <w:tab/>
        <w:t>A bookmaker is not compelled to accept a wager from another bookmaker, or from any person on behalf of a bookmaker.</w:t>
      </w:r>
    </w:p>
    <w:p>
      <w:pPr>
        <w:pStyle w:val="Subsection"/>
        <w:rPr>
          <w:del w:id="184" w:author="Master Repository Process" w:date="2021-09-12T12:29:00Z"/>
        </w:rPr>
      </w:pPr>
      <w:del w:id="185" w:author="Master Repository Process" w:date="2021-09-12T12:29:00Z">
        <w:r>
          <w:tab/>
          <w:delText>(2)</w:delText>
        </w:r>
        <w:r>
          <w:tab/>
          <w:delText>Where a bookmaker or a person on behalf of a bookmaker makes a wager on a runner for the purpose of reducing the bookmaker’s liability for wagers already accepted by the bookmaker on that particular runner, the wager is to be regarded as a “bet back”.</w:delText>
        </w:r>
      </w:del>
    </w:p>
    <w:p>
      <w:pPr>
        <w:pStyle w:val="Ednotesubsection"/>
        <w:rPr>
          <w:ins w:id="186" w:author="Master Repository Process" w:date="2021-09-12T12:29:00Z"/>
        </w:rPr>
      </w:pPr>
      <w:ins w:id="187" w:author="Master Repository Process" w:date="2021-09-12T12:29:00Z">
        <w:r>
          <w:tab/>
          <w:t>[(2)</w:t>
        </w:r>
        <w:r>
          <w:tab/>
          <w:t>deleted]</w:t>
        </w:r>
      </w:ins>
    </w:p>
    <w:p>
      <w:pPr>
        <w:pStyle w:val="Subsection"/>
        <w:keepNext/>
        <w:rPr>
          <w:ins w:id="188" w:author="Master Repository Process" w:date="2021-09-12T12:29:00Z"/>
        </w:rPr>
      </w:pPr>
      <w:r>
        <w:tab/>
        <w:t>(3)</w:t>
      </w:r>
      <w:r>
        <w:tab/>
        <w:t xml:space="preserve">Where a wager is made by or on behalf of a bookmaker with </w:t>
      </w:r>
      <w:ins w:id="189" w:author="Master Repository Process" w:date="2021-09-12T12:29:00Z">
        <w:r>
          <w:t>a domestic betting operator —</w:t>
        </w:r>
      </w:ins>
    </w:p>
    <w:p>
      <w:pPr>
        <w:pStyle w:val="Subsection"/>
        <w:keepNext/>
        <w:rPr>
          <w:del w:id="190" w:author="Master Repository Process" w:date="2021-09-12T12:29:00Z"/>
        </w:rPr>
      </w:pPr>
      <w:ins w:id="191" w:author="Master Repository Process" w:date="2021-09-12T12:29:00Z">
        <w:r>
          <w:tab/>
          <w:t>(a)</w:t>
        </w:r>
        <w:r>
          <w:tab/>
          <w:t xml:space="preserve">if the domestic betting operator is </w:t>
        </w:r>
      </w:ins>
      <w:r>
        <w:t>another bookmaker</w:t>
      </w:r>
      <w:del w:id="192" w:author="Master Repository Process" w:date="2021-09-12T12:29:00Z">
        <w:r>
          <w:delText xml:space="preserve"> — </w:delText>
        </w:r>
      </w:del>
    </w:p>
    <w:p>
      <w:pPr>
        <w:pStyle w:val="Indenta"/>
      </w:pPr>
      <w:del w:id="193" w:author="Master Repository Process" w:date="2021-09-12T12:29:00Z">
        <w:r>
          <w:tab/>
          <w:delText>(a)</w:delText>
        </w:r>
        <w:r>
          <w:tab/>
        </w:r>
      </w:del>
      <w:ins w:id="194" w:author="Master Repository Process" w:date="2021-09-12T12:29:00Z">
        <w:r>
          <w:t xml:space="preserve">, </w:t>
        </w:r>
      </w:ins>
      <w:r>
        <w:t>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w:t>
      </w:r>
      <w:del w:id="195" w:author="Master Repository Process" w:date="2021-09-12T12:29:00Z">
        <w:r>
          <w:delText>“</w:delText>
        </w:r>
      </w:del>
      <w:r>
        <w:t>bet back</w:t>
      </w:r>
      <w:del w:id="196" w:author="Master Repository Process" w:date="2021-09-12T12:29:00Z">
        <w:r>
          <w:delText>”,</w:delText>
        </w:r>
      </w:del>
      <w:ins w:id="197" w:author="Master Repository Process" w:date="2021-09-12T12:29:00Z">
        <w:r>
          <w:t>,</w:t>
        </w:r>
      </w:ins>
      <w:r>
        <w:t xml:space="preserve"> the bookmaker who makes the wager or on whose behalf the wager is made is to record — </w:t>
      </w:r>
    </w:p>
    <w:p>
      <w:pPr>
        <w:pStyle w:val="Indenti"/>
      </w:pPr>
      <w:r>
        <w:tab/>
        <w:t>(i)</w:t>
      </w:r>
      <w:r>
        <w:tab/>
        <w:t>the details of the wager; and</w:t>
      </w:r>
    </w:p>
    <w:p>
      <w:pPr>
        <w:pStyle w:val="Indenti"/>
      </w:pPr>
      <w:r>
        <w:tab/>
        <w:t>(ii)</w:t>
      </w:r>
      <w:r>
        <w:tab/>
        <w:t xml:space="preserve">the wager as a </w:t>
      </w:r>
      <w:del w:id="198" w:author="Master Repository Process" w:date="2021-09-12T12:29:00Z">
        <w:r>
          <w:delText>“</w:delText>
        </w:r>
      </w:del>
      <w:r>
        <w:t>bet back</w:t>
      </w:r>
      <w:del w:id="199" w:author="Master Repository Process" w:date="2021-09-12T12:29:00Z">
        <w:r>
          <w:delText>”;</w:delText>
        </w:r>
      </w:del>
      <w:ins w:id="200" w:author="Master Repository Process" w:date="2021-09-12T12:29:00Z">
        <w:r>
          <w:t>;</w:t>
        </w:r>
      </w:ins>
      <w:r>
        <w:t xml:space="preserve"> and</w:t>
      </w:r>
    </w:p>
    <w:p>
      <w:pPr>
        <w:pStyle w:val="Indenti"/>
      </w:pPr>
      <w:r>
        <w:tab/>
        <w:t>(iii)</w:t>
      </w:r>
      <w:r>
        <w:tab/>
        <w:t>the number of the betting ticket.</w:t>
      </w:r>
    </w:p>
    <w:p>
      <w:pPr>
        <w:pStyle w:val="Subsection"/>
      </w:pPr>
      <w:r>
        <w:tab/>
        <w:t>(4)</w:t>
      </w:r>
      <w:r>
        <w:tab/>
        <w:t xml:space="preserve">Where a wager by way of a </w:t>
      </w:r>
      <w:del w:id="201" w:author="Master Repository Process" w:date="2021-09-12T12:29:00Z">
        <w:r>
          <w:delText>“</w:delText>
        </w:r>
      </w:del>
      <w:r>
        <w:t>bet back</w:t>
      </w:r>
      <w:del w:id="202" w:author="Master Repository Process" w:date="2021-09-12T12:29:00Z">
        <w:r>
          <w:delText>”</w:delText>
        </w:r>
      </w:del>
      <w:r>
        <w:t xml:space="preserve"> is made by a bookmaker or by any person on behalf of a bookmaker on any totalisator, the bookmaker who makes the wager or on whose behalf the wager is made is to record the transaction as a </w:t>
      </w:r>
      <w:del w:id="203" w:author="Master Repository Process" w:date="2021-09-12T12:29:00Z">
        <w:r>
          <w:delText>“</w:delText>
        </w:r>
      </w:del>
      <w:r>
        <w:t>bet back</w:t>
      </w:r>
      <w:del w:id="204" w:author="Master Repository Process" w:date="2021-09-12T12:29:00Z">
        <w:r>
          <w:delText>”</w:delText>
        </w:r>
      </w:del>
      <w:r>
        <w:t xml:space="preserve"> on the totalisator and is to retain the ticket or tickets of all losing </w:t>
      </w:r>
      <w:del w:id="205" w:author="Master Repository Process" w:date="2021-09-12T12:29:00Z">
        <w:r>
          <w:delText>“</w:delText>
        </w:r>
      </w:del>
      <w:r>
        <w:t>bets back</w:t>
      </w:r>
      <w:del w:id="206" w:author="Master Repository Process" w:date="2021-09-12T12:29:00Z">
        <w:r>
          <w:delText>”</w:delText>
        </w:r>
      </w:del>
      <w:r>
        <w:t xml:space="preserve"> for a period of one month.</w:t>
      </w:r>
    </w:p>
    <w:p>
      <w:pPr>
        <w:pStyle w:val="Subsection"/>
        <w:rPr>
          <w:ins w:id="207" w:author="Master Repository Process" w:date="2021-09-12T12:29:00Z"/>
        </w:rPr>
      </w:pPr>
      <w:r>
        <w:tab/>
        <w:t>(5)</w:t>
      </w:r>
      <w:r>
        <w:tab/>
        <w:t xml:space="preserve">A bookmaker who makes a </w:t>
      </w:r>
      <w:del w:id="208" w:author="Master Repository Process" w:date="2021-09-12T12:29:00Z">
        <w:r>
          <w:delText>“</w:delText>
        </w:r>
      </w:del>
      <w:r>
        <w:t>bet back</w:t>
      </w:r>
      <w:del w:id="209" w:author="Master Repository Process" w:date="2021-09-12T12:29:00Z">
        <w:r>
          <w:delText>”</w:delText>
        </w:r>
      </w:del>
      <w:ins w:id="210" w:author="Master Repository Process" w:date="2021-09-12T12:29:00Z">
        <w:r>
          <w:t>, or on whose behalf a bet back is made,</w:t>
        </w:r>
      </w:ins>
      <w:r>
        <w:t xml:space="preserve"> with </w:t>
      </w:r>
      <w:del w:id="211" w:author="Master Repository Process" w:date="2021-09-12T12:29:00Z">
        <w:r>
          <w:delText>another bookmaker</w:delText>
        </w:r>
      </w:del>
      <w:ins w:id="212" w:author="Master Repository Process" w:date="2021-09-12T12:29:00Z">
        <w:r>
          <w:t>a domestic betting operator</w:t>
        </w:r>
      </w:ins>
      <w:r>
        <w:t xml:space="preserve"> or </w:t>
      </w:r>
      <w:del w:id="213" w:author="Master Repository Process" w:date="2021-09-12T12:29:00Z">
        <w:r>
          <w:delText>the</w:delText>
        </w:r>
      </w:del>
      <w:ins w:id="214" w:author="Master Repository Process" w:date="2021-09-12T12:29:00Z">
        <w:r>
          <w:t>a</w:t>
        </w:r>
      </w:ins>
      <w:r>
        <w:t xml:space="preserve"> totalisator is not permitted to deduct the amount of the </w:t>
      </w:r>
      <w:del w:id="215" w:author="Master Repository Process" w:date="2021-09-12T12:29:00Z">
        <w:r>
          <w:delText>“</w:delText>
        </w:r>
      </w:del>
      <w:r>
        <w:t>bet back</w:t>
      </w:r>
      <w:del w:id="216" w:author="Master Repository Process" w:date="2021-09-12T12:29:00Z">
        <w:r>
          <w:delText>”</w:delText>
        </w:r>
      </w:del>
      <w:r>
        <w:t xml:space="preserve"> from the total of the wagers the bookmaker has received</w:t>
      </w:r>
      <w:del w:id="217" w:author="Master Repository Process" w:date="2021-09-12T12:29:00Z">
        <w:r>
          <w:delText xml:space="preserve"> </w:delText>
        </w:r>
      </w:del>
      <w:ins w:id="218" w:author="Master Repository Process" w:date="2021-09-12T12:29:00Z">
        <w:r>
          <w:t xml:space="preserve"> — </w:t>
        </w:r>
      </w:ins>
    </w:p>
    <w:p>
      <w:pPr>
        <w:pStyle w:val="Indenta"/>
        <w:rPr>
          <w:ins w:id="219" w:author="Master Repository Process" w:date="2021-09-12T12:29:00Z"/>
        </w:rPr>
      </w:pPr>
      <w:ins w:id="220" w:author="Master Repository Process" w:date="2021-09-12T12:29:00Z">
        <w:r>
          <w:tab/>
          <w:t>(a)</w:t>
        </w:r>
        <w:r>
          <w:tab/>
        </w:r>
      </w:ins>
      <w:r>
        <w:t>for the race or race meeting to which the wager relates</w:t>
      </w:r>
      <w:ins w:id="221" w:author="Master Repository Process" w:date="2021-09-12T12:29:00Z">
        <w:r>
          <w:t>;</w:t>
        </w:r>
      </w:ins>
      <w:r>
        <w:t xml:space="preserve"> or</w:t>
      </w:r>
      <w:del w:id="222" w:author="Master Repository Process" w:date="2021-09-12T12:29:00Z">
        <w:r>
          <w:delText xml:space="preserve"> from the total of</w:delText>
        </w:r>
      </w:del>
    </w:p>
    <w:p>
      <w:pPr>
        <w:pStyle w:val="Indenta"/>
      </w:pPr>
      <w:ins w:id="223" w:author="Master Repository Process" w:date="2021-09-12T12:29:00Z">
        <w:r>
          <w:tab/>
          <w:t>(b)</w:t>
        </w:r>
        <w:r>
          <w:tab/>
          <w:t>for</w:t>
        </w:r>
      </w:ins>
      <w:r>
        <w:t xml:space="preserve"> any other races or race meetings </w:t>
      </w:r>
      <w:del w:id="224" w:author="Master Repository Process" w:date="2021-09-12T12:29:00Z">
        <w:r>
          <w:delText>on</w:delText>
        </w:r>
      </w:del>
      <w:ins w:id="225" w:author="Master Repository Process" w:date="2021-09-12T12:29:00Z">
        <w:r>
          <w:t>in relation to</w:t>
        </w:r>
      </w:ins>
      <w:r>
        <w:t xml:space="preserve"> which the bookmaker has accepted wagers.</w:t>
      </w:r>
    </w:p>
    <w:p>
      <w:pPr>
        <w:pStyle w:val="Footnotesection"/>
        <w:rPr>
          <w:ins w:id="226" w:author="Master Repository Process" w:date="2021-09-12T12:29:00Z"/>
        </w:rPr>
      </w:pPr>
      <w:ins w:id="227" w:author="Master Repository Process" w:date="2021-09-12T12:29:00Z">
        <w:r>
          <w:tab/>
          <w:t>[Rule 44 amended in Gazette 14 Jun 2013 p. 2244-5.]</w:t>
        </w:r>
      </w:ins>
    </w:p>
    <w:p>
      <w:pPr>
        <w:pStyle w:val="Heading5"/>
        <w:rPr>
          <w:ins w:id="228" w:author="Master Repository Process" w:date="2021-09-12T12:29:00Z"/>
        </w:rPr>
      </w:pPr>
      <w:bookmarkStart w:id="229" w:name="_Toc358969486"/>
      <w:ins w:id="230" w:author="Master Repository Process" w:date="2021-09-12T12:29:00Z">
        <w:r>
          <w:rPr>
            <w:rStyle w:val="CharSectno"/>
          </w:rPr>
          <w:t>45A</w:t>
        </w:r>
        <w:r>
          <w:t>.</w:t>
        </w:r>
        <w:r>
          <w:tab/>
          <w:t>Bet back by means of a betting exchange</w:t>
        </w:r>
        <w:bookmarkEnd w:id="229"/>
      </w:ins>
    </w:p>
    <w:p>
      <w:pPr>
        <w:pStyle w:val="Subsection"/>
        <w:rPr>
          <w:ins w:id="231" w:author="Master Repository Process" w:date="2021-09-12T12:29:00Z"/>
        </w:rPr>
      </w:pPr>
      <w:ins w:id="232" w:author="Master Repository Process" w:date="2021-09-12T12:29:00Z">
        <w:r>
          <w:tab/>
          <w:t>(1)</w:t>
        </w:r>
        <w:r>
          <w:tab/>
          <w:t>This rule applies if a bet back is made by means of a betting exchange.</w:t>
        </w:r>
      </w:ins>
    </w:p>
    <w:p>
      <w:pPr>
        <w:pStyle w:val="Subsection"/>
        <w:rPr>
          <w:ins w:id="233" w:author="Master Repository Process" w:date="2021-09-12T12:29:00Z"/>
        </w:rPr>
      </w:pPr>
      <w:ins w:id="234" w:author="Master Repository Process" w:date="2021-09-12T12:29:00Z">
        <w:r>
          <w:tab/>
          <w:t>(2)</w:t>
        </w:r>
        <w:r>
          <w:tab/>
          <w:t xml:space="preserve">The bookmaker who makes the bet back, or on whose behalf the bet back is made, must record — </w:t>
        </w:r>
      </w:ins>
    </w:p>
    <w:p>
      <w:pPr>
        <w:pStyle w:val="Indenta"/>
        <w:rPr>
          <w:ins w:id="235" w:author="Master Repository Process" w:date="2021-09-12T12:29:00Z"/>
        </w:rPr>
      </w:pPr>
      <w:ins w:id="236" w:author="Master Repository Process" w:date="2021-09-12T12:29:00Z">
        <w:r>
          <w:tab/>
          <w:t>(a)</w:t>
        </w:r>
        <w:r>
          <w:tab/>
          <w:t>the details of the wager; and</w:t>
        </w:r>
      </w:ins>
    </w:p>
    <w:p>
      <w:pPr>
        <w:pStyle w:val="Indenta"/>
        <w:rPr>
          <w:ins w:id="237" w:author="Master Repository Process" w:date="2021-09-12T12:29:00Z"/>
        </w:rPr>
      </w:pPr>
      <w:ins w:id="238" w:author="Master Repository Process" w:date="2021-09-12T12:29:00Z">
        <w:r>
          <w:tab/>
          <w:t>(b)</w:t>
        </w:r>
        <w:r>
          <w:tab/>
          <w:t>the wager as a bet back; and</w:t>
        </w:r>
      </w:ins>
    </w:p>
    <w:p>
      <w:pPr>
        <w:pStyle w:val="Indenta"/>
        <w:rPr>
          <w:ins w:id="239" w:author="Master Repository Process" w:date="2021-09-12T12:29:00Z"/>
        </w:rPr>
      </w:pPr>
      <w:ins w:id="240" w:author="Master Repository Process" w:date="2021-09-12T12:29:00Z">
        <w:r>
          <w:tab/>
          <w:t>(c)</w:t>
        </w:r>
        <w:r>
          <w:tab/>
          <w:t>the number of the betting ticket.</w:t>
        </w:r>
      </w:ins>
    </w:p>
    <w:p>
      <w:pPr>
        <w:pStyle w:val="Subsection"/>
        <w:rPr>
          <w:ins w:id="241" w:author="Master Repository Process" w:date="2021-09-12T12:29:00Z"/>
        </w:rPr>
      </w:pPr>
      <w:ins w:id="242" w:author="Master Repository Process" w:date="2021-09-12T12:29:00Z">
        <w:r>
          <w:tab/>
          <w:t>(3)</w:t>
        </w:r>
        <w:r>
          <w:tab/>
          <w:t xml:space="preserve">The bookmaker who makes the bet back, or on whose behalf the bet back is made, is not permitted to deduct the amount of the bet back from the total of the wagers the bookmaker has received — </w:t>
        </w:r>
      </w:ins>
    </w:p>
    <w:p>
      <w:pPr>
        <w:pStyle w:val="Indenta"/>
        <w:rPr>
          <w:ins w:id="243" w:author="Master Repository Process" w:date="2021-09-12T12:29:00Z"/>
        </w:rPr>
      </w:pPr>
      <w:ins w:id="244" w:author="Master Repository Process" w:date="2021-09-12T12:29:00Z">
        <w:r>
          <w:tab/>
          <w:t>(a)</w:t>
        </w:r>
        <w:r>
          <w:tab/>
          <w:t>for the race or race meeting to which the wager relates; or</w:t>
        </w:r>
      </w:ins>
    </w:p>
    <w:p>
      <w:pPr>
        <w:pStyle w:val="Indenta"/>
        <w:rPr>
          <w:ins w:id="245" w:author="Master Repository Process" w:date="2021-09-12T12:29:00Z"/>
        </w:rPr>
      </w:pPr>
      <w:ins w:id="246" w:author="Master Repository Process" w:date="2021-09-12T12:29:00Z">
        <w:r>
          <w:tab/>
          <w:t>(b)</w:t>
        </w:r>
        <w:r>
          <w:tab/>
          <w:t>for any other races or race meetings in relation to which the bookmaker has accepted wagers.</w:t>
        </w:r>
      </w:ins>
    </w:p>
    <w:p>
      <w:pPr>
        <w:pStyle w:val="Footnotesection"/>
        <w:rPr>
          <w:ins w:id="247" w:author="Master Repository Process" w:date="2021-09-12T12:29:00Z"/>
        </w:rPr>
      </w:pPr>
      <w:ins w:id="248" w:author="Master Repository Process" w:date="2021-09-12T12:29:00Z">
        <w:r>
          <w:tab/>
          <w:t>[Rule 45A inserted in Gazette 14 Jun 2013 p. 2245-6.]</w:t>
        </w:r>
      </w:ins>
    </w:p>
    <w:p>
      <w:pPr>
        <w:pStyle w:val="Heading5"/>
      </w:pPr>
      <w:bookmarkStart w:id="249" w:name="_Toc358969487"/>
      <w:bookmarkStart w:id="250" w:name="_Toc355172060"/>
      <w:r>
        <w:rPr>
          <w:rStyle w:val="CharSectno"/>
        </w:rPr>
        <w:t>45</w:t>
      </w:r>
      <w:r>
        <w:t>.</w:t>
      </w:r>
      <w:r>
        <w:tab/>
        <w:t>Telephone wagering</w:t>
      </w:r>
      <w:bookmarkEnd w:id="249"/>
      <w:bookmarkEnd w:id="250"/>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by telephone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251" w:name="_Toc358969488"/>
      <w:bookmarkStart w:id="252" w:name="_Toc355172061"/>
      <w:r>
        <w:rPr>
          <w:rStyle w:val="CharSectno"/>
        </w:rPr>
        <w:t>46</w:t>
      </w:r>
      <w:r>
        <w:t>.</w:t>
      </w:r>
      <w:r>
        <w:tab/>
        <w:t>Internet wagering</w:t>
      </w:r>
      <w:bookmarkEnd w:id="251"/>
      <w:bookmarkEnd w:id="252"/>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via the internet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w:t>
      </w:r>
      <w:smartTag w:uri="urn:schemas-microsoft-com:office:smarttags" w:element="place">
        <w:smartTag w:uri="urn:schemas-microsoft-com:office:smarttags" w:element="country-region">
          <w:r>
            <w:t>Australia</w:t>
          </w:r>
        </w:smartTag>
      </w:smartTag>
      <w:r>
        <w:t>.</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Heading5"/>
      </w:pPr>
      <w:bookmarkStart w:id="253" w:name="_Toc358969489"/>
      <w:bookmarkStart w:id="254" w:name="_Toc355172062"/>
      <w:r>
        <w:rPr>
          <w:rStyle w:val="CharSectno"/>
        </w:rPr>
        <w:t>47</w:t>
      </w:r>
      <w:r>
        <w:t>.</w:t>
      </w:r>
      <w:r>
        <w:tab/>
        <w:t>Settling generally</w:t>
      </w:r>
      <w:bookmarkEnd w:id="253"/>
      <w:bookmarkEnd w:id="254"/>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in Gazette 7 Apr 2006 p. 1490.]</w:t>
      </w:r>
    </w:p>
    <w:p>
      <w:pPr>
        <w:pStyle w:val="Heading5"/>
      </w:pPr>
      <w:bookmarkStart w:id="255" w:name="_Toc358969490"/>
      <w:bookmarkStart w:id="256" w:name="_Toc355172063"/>
      <w:r>
        <w:rPr>
          <w:rStyle w:val="CharSectno"/>
        </w:rPr>
        <w:t>48</w:t>
      </w:r>
      <w:r>
        <w:t>.</w:t>
      </w:r>
      <w:r>
        <w:tab/>
        <w:t>Defaulters in wagering</w:t>
      </w:r>
      <w:bookmarkEnd w:id="255"/>
      <w:bookmarkEnd w:id="256"/>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257" w:name="_Toc355172064"/>
      <w:bookmarkStart w:id="258" w:name="_Toc358969491"/>
      <w:r>
        <w:rPr>
          <w:rStyle w:val="CharPartNo"/>
        </w:rPr>
        <w:t>Part 5</w:t>
      </w:r>
      <w:r>
        <w:rPr>
          <w:rStyle w:val="CharDivNo"/>
        </w:rPr>
        <w:t> </w:t>
      </w:r>
      <w:r>
        <w:t>—</w:t>
      </w:r>
      <w:r>
        <w:rPr>
          <w:rStyle w:val="CharDivText"/>
        </w:rPr>
        <w:t> </w:t>
      </w:r>
      <w:r>
        <w:rPr>
          <w:rStyle w:val="CharPartText"/>
        </w:rPr>
        <w:t>Rules of bookmaker wagering</w:t>
      </w:r>
      <w:bookmarkEnd w:id="257"/>
      <w:bookmarkEnd w:id="258"/>
    </w:p>
    <w:p>
      <w:pPr>
        <w:pStyle w:val="Heading5"/>
        <w:spacing w:before="180"/>
      </w:pPr>
      <w:bookmarkStart w:id="259" w:name="_Toc358969492"/>
      <w:bookmarkStart w:id="260" w:name="_Toc355172065"/>
      <w:r>
        <w:rPr>
          <w:rStyle w:val="CharSectno"/>
        </w:rPr>
        <w:t>49</w:t>
      </w:r>
      <w:r>
        <w:t>.</w:t>
      </w:r>
      <w:r>
        <w:tab/>
        <w:t>Terms used</w:t>
      </w:r>
      <w:bookmarkEnd w:id="259"/>
      <w:bookmarkEnd w:id="260"/>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rStyle w:val="CharDefText"/>
        </w:rPr>
        <w:t xml:space="preserve"> 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Heading5"/>
        <w:spacing w:before="180"/>
      </w:pPr>
      <w:bookmarkStart w:id="261" w:name="_Toc358969493"/>
      <w:bookmarkStart w:id="262" w:name="_Toc355172066"/>
      <w:r>
        <w:rPr>
          <w:rStyle w:val="CharSectno"/>
        </w:rPr>
        <w:t>50</w:t>
      </w:r>
      <w:r>
        <w:t>.</w:t>
      </w:r>
      <w:r>
        <w:tab/>
        <w:t>Permitted wagers — races</w:t>
      </w:r>
      <w:bookmarkEnd w:id="261"/>
      <w:bookmarkEnd w:id="262"/>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p>
    <w:p>
      <w:pPr>
        <w:pStyle w:val="Subsection"/>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Footnotesection"/>
        <w:spacing w:before="80"/>
        <w:ind w:left="890" w:hanging="890"/>
      </w:pPr>
      <w:r>
        <w:tab/>
        <w:t>[Rule 50 amended in Gazette 7 Apr 2006 p. 1490.]</w:t>
      </w:r>
    </w:p>
    <w:p>
      <w:pPr>
        <w:pStyle w:val="Heading5"/>
        <w:keepNext w:val="0"/>
        <w:spacing w:before="180"/>
      </w:pPr>
      <w:bookmarkStart w:id="263" w:name="_Toc358969494"/>
      <w:bookmarkStart w:id="264" w:name="_Toc355172067"/>
      <w:r>
        <w:rPr>
          <w:rStyle w:val="CharSectno"/>
        </w:rPr>
        <w:t>51</w:t>
      </w:r>
      <w:r>
        <w:t>.</w:t>
      </w:r>
      <w:r>
        <w:tab/>
        <w:t>Bookmakers not to offer, make or accept certain wagers</w:t>
      </w:r>
      <w:bookmarkEnd w:id="263"/>
      <w:bookmarkEnd w:id="264"/>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 and</w:t>
      </w:r>
    </w:p>
    <w:p>
      <w:pPr>
        <w:pStyle w:val="Indenta"/>
      </w:pPr>
      <w:r>
        <w:tab/>
        <w:t>(c)</w:t>
      </w:r>
      <w:r>
        <w:tab/>
        <w:t>a wager where the dividend payable in respect of the wager is based on the dividend payable on any totalisator</w:t>
      </w:r>
      <w:del w:id="265" w:author="Master Repository Process" w:date="2021-09-12T12:29:00Z">
        <w:r>
          <w:delText>; and</w:delText>
        </w:r>
      </w:del>
      <w:ins w:id="266" w:author="Master Repository Process" w:date="2021-09-12T12:29:00Z">
        <w:r>
          <w:t>.</w:t>
        </w:r>
      </w:ins>
    </w:p>
    <w:p>
      <w:pPr>
        <w:pStyle w:val="Indenta"/>
        <w:rPr>
          <w:del w:id="267" w:author="Master Repository Process" w:date="2021-09-12T12:29:00Z"/>
        </w:rPr>
      </w:pPr>
      <w:del w:id="268" w:author="Master Repository Process" w:date="2021-09-12T12:29:00Z">
        <w:r>
          <w:tab/>
          <w:delText>(d)</w:delText>
        </w:r>
        <w:r>
          <w:tab/>
          <w:delText>a wager, whether or not as a “bet back”, in relation to a race by means of a betting exchange.</w:delText>
        </w:r>
      </w:del>
    </w:p>
    <w:p>
      <w:pPr>
        <w:pStyle w:val="Ednotepara"/>
        <w:rPr>
          <w:ins w:id="269" w:author="Master Repository Process" w:date="2021-09-12T12:29:00Z"/>
        </w:rPr>
      </w:pPr>
      <w:ins w:id="270" w:author="Master Repository Process" w:date="2021-09-12T12:29:00Z">
        <w:r>
          <w:tab/>
          <w:t>[(d)</w:t>
        </w:r>
        <w:r>
          <w:tab/>
          <w:t>deleted]</w:t>
        </w:r>
      </w:ins>
    </w:p>
    <w:p>
      <w:pPr>
        <w:pStyle w:val="Footnotesection"/>
        <w:rPr>
          <w:ins w:id="271" w:author="Master Repository Process" w:date="2021-09-12T12:29:00Z"/>
        </w:rPr>
      </w:pPr>
      <w:ins w:id="272" w:author="Master Repository Process" w:date="2021-09-12T12:29:00Z">
        <w:r>
          <w:tab/>
          <w:t>[Rule 51 amended in Gazette 14 Jun 2013 p. 2246.]</w:t>
        </w:r>
      </w:ins>
    </w:p>
    <w:p>
      <w:pPr>
        <w:pStyle w:val="Heading5"/>
      </w:pPr>
      <w:bookmarkStart w:id="273" w:name="_Toc358969495"/>
      <w:bookmarkStart w:id="274" w:name="_Toc355172068"/>
      <w:r>
        <w:rPr>
          <w:rStyle w:val="CharSectno"/>
        </w:rPr>
        <w:t>52</w:t>
      </w:r>
      <w:r>
        <w:t>.</w:t>
      </w:r>
      <w:r>
        <w:tab/>
        <w:t>Provisions as to runners</w:t>
      </w:r>
      <w:bookmarkEnd w:id="273"/>
      <w:bookmarkEnd w:id="274"/>
    </w:p>
    <w:p>
      <w:pPr>
        <w:pStyle w:val="Subsection"/>
      </w:pPr>
      <w:r>
        <w:tab/>
      </w:r>
      <w:r>
        <w:tab/>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275" w:name="_Toc358969496"/>
      <w:bookmarkStart w:id="276" w:name="_Toc355172069"/>
      <w:r>
        <w:rPr>
          <w:rStyle w:val="CharSectno"/>
        </w:rPr>
        <w:t>53</w:t>
      </w:r>
      <w:r>
        <w:t>.</w:t>
      </w:r>
      <w:r>
        <w:tab/>
        <w:t>Wagers void in certain circumstances</w:t>
      </w:r>
      <w:bookmarkEnd w:id="275"/>
      <w:bookmarkEnd w:id="276"/>
    </w:p>
    <w:p>
      <w:pPr>
        <w:pStyle w:val="Subsection"/>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pPr>
      <w:bookmarkStart w:id="277" w:name="_Toc358969497"/>
      <w:bookmarkStart w:id="278" w:name="_Toc355172070"/>
      <w:r>
        <w:rPr>
          <w:rStyle w:val="CharSectno"/>
        </w:rPr>
        <w:t>54</w:t>
      </w:r>
      <w:r>
        <w:t>.</w:t>
      </w:r>
      <w:r>
        <w:tab/>
        <w:t>When wagers are off</w:t>
      </w:r>
      <w:bookmarkEnd w:id="277"/>
      <w:bookmarkEnd w:id="278"/>
    </w:p>
    <w:p>
      <w:pPr>
        <w:pStyle w:val="Subsection"/>
      </w:pPr>
      <w:r>
        <w:tab/>
      </w:r>
      <w:r>
        <w:tab/>
        <w:t xml:space="preserve">No wager can be declared off except by mutual consent or in the following circumstances — </w:t>
      </w:r>
    </w:p>
    <w:p>
      <w:pPr>
        <w:pStyle w:val="Indenta"/>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is to be covered or sufficient security given in default of which the wagers are off; and</w:t>
      </w:r>
    </w:p>
    <w:p>
      <w:pPr>
        <w:pStyle w:val="Indenta"/>
      </w:pPr>
      <w:r>
        <w:tab/>
        <w:t>(b)</w:t>
      </w:r>
      <w:r>
        <w:tab/>
        <w:t>in the event of a race being divided, all wagers made on the race at fixed prices before the announcement that the race is divided are off; and</w:t>
      </w:r>
    </w:p>
    <w:p>
      <w:pPr>
        <w:pStyle w:val="Indenta"/>
      </w:pPr>
      <w:r>
        <w:tab/>
        <w:t>(c)</w:t>
      </w:r>
      <w:r>
        <w:tab/>
        <w:t>all wagers with any person who after the making of the wagers has been declared a defaulter, are off; and</w:t>
      </w:r>
    </w:p>
    <w:p>
      <w:pPr>
        <w:pStyle w:val="Indenta"/>
      </w:pPr>
      <w:r>
        <w:tab/>
        <w:t>(d)</w:t>
      </w:r>
      <w:r>
        <w:tab/>
        <w:t>a fixed price wager not being a doubles wager that is laid on the day on which the race meeting is held is off if the runner on which the wager is laid does not run in the race to which the wager relates; and</w:t>
      </w:r>
    </w:p>
    <w:p>
      <w:pPr>
        <w:pStyle w:val="Indenta"/>
      </w:pPr>
      <w:r>
        <w:tab/>
        <w:t>(e)</w:t>
      </w:r>
      <w:r>
        <w:tab/>
        <w:t>if a race meeting, or a race at a race meeting, is postponed from one day to another, all wagers made on that race or race meeting on the day of the postponement but before the postponement is announced are off.</w:t>
      </w:r>
    </w:p>
    <w:p>
      <w:pPr>
        <w:pStyle w:val="Heading5"/>
      </w:pPr>
      <w:bookmarkStart w:id="279" w:name="_Toc358969498"/>
      <w:bookmarkStart w:id="280" w:name="_Toc355172071"/>
      <w:r>
        <w:rPr>
          <w:rStyle w:val="CharSectno"/>
        </w:rPr>
        <w:t>55</w:t>
      </w:r>
      <w:r>
        <w:t>.</w:t>
      </w:r>
      <w:r>
        <w:tab/>
        <w:t>Determination and settlement of wagers</w:t>
      </w:r>
      <w:bookmarkEnd w:id="279"/>
      <w:bookmarkEnd w:id="280"/>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281" w:name="_Toc358969499"/>
      <w:bookmarkStart w:id="282" w:name="_Toc355172072"/>
      <w:r>
        <w:rPr>
          <w:rStyle w:val="CharSectno"/>
        </w:rPr>
        <w:t>56</w:t>
      </w:r>
      <w:r>
        <w:t>.</w:t>
      </w:r>
      <w:r>
        <w:tab/>
        <w:t>Determination of wagers where runner withdrawn</w:t>
      </w:r>
      <w:bookmarkEnd w:id="281"/>
      <w:bookmarkEnd w:id="282"/>
    </w:p>
    <w:p>
      <w:pPr>
        <w:pStyle w:val="Subsection"/>
      </w:pPr>
      <w:r>
        <w:tab/>
        <w:t>(1)</w:t>
      </w:r>
      <w:r>
        <w:tab/>
        <w:t xml:space="preserve">In this rule — </w:t>
      </w:r>
    </w:p>
    <w:p>
      <w:pPr>
        <w:pStyle w:val="Defstar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rPr>
          <w:b/>
        </w:rPr>
        <w:tab/>
      </w:r>
      <w:r>
        <w:rPr>
          <w:rStyle w:val="CharDefText"/>
        </w:rPr>
        <w:t>play or pay wager</w:t>
      </w:r>
      <w:r>
        <w:t xml:space="preserve"> means a wager that holds good whether the runner to which the bet relates runs in the race in respect of which the wager is made or not;</w:t>
      </w:r>
    </w:p>
    <w:p>
      <w:pPr>
        <w:pStyle w:val="Defstart"/>
      </w:pPr>
      <w:r>
        <w:tab/>
      </w:r>
      <w:r>
        <w:rPr>
          <w:rStyle w:val="CharDefText"/>
        </w:rPr>
        <w:t>sum percentage</w:t>
      </w:r>
      <w:r>
        <w:t>, for runners in a race, means the sum of the percentages for the runners;</w:t>
      </w:r>
    </w:p>
    <w:p>
      <w:pPr>
        <w:pStyle w:val="Defstart"/>
      </w:pPr>
      <w:r>
        <w:tab/>
      </w:r>
      <w:r>
        <w:rPr>
          <w:rStyle w:val="CharDefText"/>
        </w:rPr>
        <w:t>wager</w:t>
      </w:r>
      <w:r>
        <w:t xml:space="preserve"> means a wager, other than a play or pay wager,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pPr>
      <w:r>
        <w:tab/>
        <w:t>(3)</w:t>
      </w:r>
      <w:r>
        <w:tab/>
        <w:t xml:space="preserve">The stewards may — </w:t>
      </w:r>
    </w:p>
    <w:p>
      <w:pPr>
        <w:pStyle w:val="Indenta"/>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pPr>
      <w:r>
        <w:tab/>
        <w:t>(5)</w:t>
      </w:r>
      <w:r>
        <w:tab/>
        <w:t xml:space="preserve">The amount paid in relation to a wager must — </w:t>
      </w:r>
    </w:p>
    <w:p>
      <w:pPr>
        <w:pStyle w:val="Indenta"/>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pPr>
      <w:r>
        <w:tab/>
        <w:t>(b)</w:t>
      </w:r>
      <w:r>
        <w:tab/>
        <w:t>any rule to the contrary,</w:t>
      </w:r>
    </w:p>
    <w:p>
      <w:pPr>
        <w:pStyle w:val="Subsection"/>
      </w:pPr>
      <w:r>
        <w:tab/>
      </w:r>
      <w:r>
        <w:tab/>
        <w:t>unless the bookmaker is specifically directed to do so by the stewards.</w:t>
      </w:r>
    </w:p>
    <w:p>
      <w:pPr>
        <w:pStyle w:val="Subsection"/>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in Gazette 4 Jan 2013 p. 16</w:t>
      </w:r>
      <w:r>
        <w:noBreakHyphen/>
        <w:t>18.]</w:t>
      </w:r>
    </w:p>
    <w:p>
      <w:pPr>
        <w:pStyle w:val="Heading5"/>
      </w:pPr>
      <w:bookmarkStart w:id="283" w:name="_Toc358969500"/>
      <w:bookmarkStart w:id="284" w:name="_Toc355172073"/>
      <w:r>
        <w:rPr>
          <w:rStyle w:val="CharSectno"/>
        </w:rPr>
        <w:t>57</w:t>
      </w:r>
      <w:r>
        <w:t>.</w:t>
      </w:r>
      <w:r>
        <w:tab/>
        <w:t>Wagers to be pay or play except in certain circumstances</w:t>
      </w:r>
      <w:bookmarkEnd w:id="283"/>
      <w:bookmarkEnd w:id="284"/>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285" w:name="_Toc358969501"/>
      <w:bookmarkStart w:id="286" w:name="_Toc355172074"/>
      <w:r>
        <w:rPr>
          <w:rStyle w:val="CharSectno"/>
        </w:rPr>
        <w:t>58</w:t>
      </w:r>
      <w:r>
        <w:t>.</w:t>
      </w:r>
      <w:r>
        <w:tab/>
        <w:t>Provisions as to settlement of wagers following dead heat</w:t>
      </w:r>
      <w:bookmarkEnd w:id="285"/>
      <w:bookmarkEnd w:id="286"/>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287" w:name="_Toc358969502"/>
      <w:bookmarkStart w:id="288" w:name="_Toc355172075"/>
      <w:r>
        <w:rPr>
          <w:rStyle w:val="CharSectno"/>
        </w:rPr>
        <w:t>59</w:t>
      </w:r>
      <w:r>
        <w:t>.</w:t>
      </w:r>
      <w:r>
        <w:tab/>
        <w:t>Provisions as to races that are re</w:t>
      </w:r>
      <w:r>
        <w:noBreakHyphen/>
        <w:t>run</w:t>
      </w:r>
      <w:bookmarkEnd w:id="287"/>
      <w:bookmarkEnd w:id="288"/>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289" w:name="_Toc358969503"/>
      <w:bookmarkStart w:id="290" w:name="_Toc355172076"/>
      <w:r>
        <w:rPr>
          <w:rStyle w:val="CharSectno"/>
        </w:rPr>
        <w:t>60</w:t>
      </w:r>
      <w:r>
        <w:t>.</w:t>
      </w:r>
      <w:r>
        <w:tab/>
        <w:t>Pre</w:t>
      </w:r>
      <w:r>
        <w:noBreakHyphen/>
        <w:t>post wagering on the final of special event</w:t>
      </w:r>
      <w:bookmarkEnd w:id="289"/>
      <w:bookmarkEnd w:id="290"/>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291" w:name="_Toc358969504"/>
      <w:bookmarkStart w:id="292" w:name="_Toc355172077"/>
      <w:r>
        <w:rPr>
          <w:rStyle w:val="CharSectno"/>
        </w:rPr>
        <w:t>61</w:t>
      </w:r>
      <w:r>
        <w:t>.</w:t>
      </w:r>
      <w:r>
        <w:tab/>
        <w:t>“Favout” wagering</w:t>
      </w:r>
      <w:bookmarkEnd w:id="291"/>
      <w:bookmarkEnd w:id="292"/>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293" w:name="_Toc358969505"/>
      <w:bookmarkStart w:id="294" w:name="_Toc355172078"/>
      <w:r>
        <w:rPr>
          <w:rStyle w:val="CharSectno"/>
        </w:rPr>
        <w:t>62</w:t>
      </w:r>
      <w:r>
        <w:t>.</w:t>
      </w:r>
      <w:r>
        <w:tab/>
        <w:t xml:space="preserve">Wagering on sporting event, or contingency, approved under </w:t>
      </w:r>
      <w:r>
        <w:rPr>
          <w:i/>
          <w:iCs/>
        </w:rPr>
        <w:t>Betting Control Act 1954</w:t>
      </w:r>
      <w:r>
        <w:rPr>
          <w:iCs/>
        </w:rPr>
        <w:t xml:space="preserve"> s. 4B</w:t>
      </w:r>
      <w:bookmarkEnd w:id="293"/>
      <w:bookmarkEnd w:id="294"/>
    </w:p>
    <w:p>
      <w:pPr>
        <w:pStyle w:val="Subsection"/>
      </w:pPr>
      <w:r>
        <w:tab/>
        <w:t>(1)</w:t>
      </w:r>
      <w:r>
        <w:tab/>
        <w:t>Wagers are to be determined on the official results as declared by the controlling authority responsible for conducting the sporting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 sporting event or contingency results in a tie, draw or dead heat, and odds are offered for that tie, draw or dead heat, any wager for a win is lost.</w:t>
      </w:r>
    </w:p>
    <w:p>
      <w:pPr>
        <w:pStyle w:val="Subsection"/>
      </w:pPr>
      <w:r>
        <w:tab/>
        <w:t>(5)</w:t>
      </w:r>
      <w:r>
        <w:tab/>
        <w:t>If no odds are offered for a tie, draw or dead heat and the event or contingency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spacing w:before="120"/>
      </w:pPr>
      <w:r>
        <w:tab/>
        <w:t>(6)</w:t>
      </w:r>
      <w:r>
        <w:tab/>
        <w:t xml:space="preserve">In wagers involving more than one contingency of, or relating to, the same sporting event —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 sporting event is abandoned, all wagers are to be refunded except those made in respect of contingencies that have been decided totally or in part.</w:t>
      </w:r>
    </w:p>
    <w:p>
      <w:pPr>
        <w:pStyle w:val="Subsection"/>
      </w:pPr>
      <w:r>
        <w:tab/>
        <w:t>(8)</w:t>
      </w:r>
      <w:r>
        <w:tab/>
        <w:t>Where a sporting event is postponed to a later date, all wagers on the event or contingent on the event are to stand.</w:t>
      </w:r>
    </w:p>
    <w:p>
      <w:pPr>
        <w:pStyle w:val="Subsection"/>
        <w:keepNext/>
      </w:pPr>
      <w:r>
        <w:tab/>
        <w:t>(9)</w:t>
      </w:r>
      <w:r>
        <w:tab/>
        <w:t>All wagers in relation to sporting contingencies are to be “play or pay”, unless the parties mutually agree to the contrary.</w:t>
      </w:r>
    </w:p>
    <w:p>
      <w:pPr>
        <w:pStyle w:val="Footnotesection"/>
      </w:pPr>
      <w:r>
        <w:tab/>
        <w:t>[Rule 62 amended in Gazette 7 Apr 2006 p. 1490; 19 Oct 2010 p. 5192.]</w:t>
      </w:r>
    </w:p>
    <w:p>
      <w:pPr>
        <w:pStyle w:val="Heading2"/>
      </w:pPr>
      <w:bookmarkStart w:id="295" w:name="_Toc355172079"/>
      <w:bookmarkStart w:id="296" w:name="_Toc358969506"/>
      <w:r>
        <w:rPr>
          <w:rStyle w:val="CharPartNo"/>
        </w:rPr>
        <w:t>Part 6</w:t>
      </w:r>
      <w:r>
        <w:rPr>
          <w:rStyle w:val="CharDivNo"/>
        </w:rPr>
        <w:t> </w:t>
      </w:r>
      <w:r>
        <w:t>—</w:t>
      </w:r>
      <w:r>
        <w:rPr>
          <w:rStyle w:val="CharDivText"/>
        </w:rPr>
        <w:t> </w:t>
      </w:r>
      <w:r>
        <w:rPr>
          <w:rStyle w:val="CharPartText"/>
        </w:rPr>
        <w:t>Rules as to the operation of totalisator agencies</w:t>
      </w:r>
      <w:bookmarkEnd w:id="295"/>
      <w:bookmarkEnd w:id="296"/>
    </w:p>
    <w:p>
      <w:pPr>
        <w:pStyle w:val="Heading5"/>
      </w:pPr>
      <w:bookmarkStart w:id="297" w:name="_Toc358969507"/>
      <w:bookmarkStart w:id="298" w:name="_Toc355172080"/>
      <w:r>
        <w:rPr>
          <w:rStyle w:val="CharSectno"/>
        </w:rPr>
        <w:t>63</w:t>
      </w:r>
      <w:r>
        <w:t>.</w:t>
      </w:r>
      <w:r>
        <w:tab/>
        <w:t>Terms used</w:t>
      </w:r>
      <w:bookmarkEnd w:id="297"/>
      <w:bookmarkEnd w:id="298"/>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299" w:name="_Toc358969508"/>
      <w:bookmarkStart w:id="300" w:name="_Toc355172081"/>
      <w:r>
        <w:rPr>
          <w:rStyle w:val="CharSectno"/>
        </w:rPr>
        <w:t>64</w:t>
      </w:r>
      <w:r>
        <w:t>.</w:t>
      </w:r>
      <w:r>
        <w:tab/>
        <w:t>Obligations of agents and employees while on duty</w:t>
      </w:r>
      <w:bookmarkEnd w:id="299"/>
      <w:bookmarkEnd w:id="300"/>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301" w:name="_Toc358969509"/>
      <w:bookmarkStart w:id="302" w:name="_Toc355172082"/>
      <w:r>
        <w:rPr>
          <w:rStyle w:val="CharSectno"/>
        </w:rPr>
        <w:t>65</w:t>
      </w:r>
      <w:r>
        <w:t>.</w:t>
      </w:r>
      <w:r>
        <w:tab/>
        <w:t>Use of video surveillance</w:t>
      </w:r>
      <w:bookmarkEnd w:id="301"/>
      <w:bookmarkEnd w:id="302"/>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303" w:name="_Toc358969510"/>
      <w:bookmarkStart w:id="304" w:name="_Toc355172083"/>
      <w:r>
        <w:rPr>
          <w:rStyle w:val="CharSectno"/>
        </w:rPr>
        <w:t>66</w:t>
      </w:r>
      <w:r>
        <w:t>.</w:t>
      </w:r>
      <w:r>
        <w:tab/>
        <w:t>Agency bonds</w:t>
      </w:r>
      <w:bookmarkEnd w:id="303"/>
      <w:bookmarkEnd w:id="304"/>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305" w:name="_Toc358969511"/>
      <w:bookmarkStart w:id="306" w:name="_Toc355172084"/>
      <w:r>
        <w:rPr>
          <w:rStyle w:val="CharSectno"/>
        </w:rPr>
        <w:t>67</w:t>
      </w:r>
      <w:r>
        <w:t>.</w:t>
      </w:r>
      <w:r>
        <w:tab/>
        <w:t>Acceptance of cheques</w:t>
      </w:r>
      <w:bookmarkEnd w:id="305"/>
      <w:bookmarkEnd w:id="306"/>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pStyle w:val="Default"/>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07" w:name="_Toc355172085"/>
      <w:bookmarkStart w:id="308" w:name="_Toc358969512"/>
      <w:r>
        <w:rPr>
          <w:rStyle w:val="CharSchNo"/>
        </w:rPr>
        <w:t>Schedule 1</w:t>
      </w:r>
      <w:r>
        <w:t xml:space="preserve"> — </w:t>
      </w:r>
      <w:r>
        <w:rPr>
          <w:rStyle w:val="CharSchText"/>
        </w:rPr>
        <w:t>Scale of Deduction Table</w:t>
      </w:r>
      <w:bookmarkEnd w:id="307"/>
      <w:bookmarkEnd w:id="308"/>
    </w:p>
    <w:p>
      <w:pPr>
        <w:pStyle w:val="yShoulderClause"/>
      </w:pPr>
      <w:r>
        <w:t>[r. 56]</w:t>
      </w:r>
    </w:p>
    <w:p>
      <w:pPr>
        <w:pStyle w:val="yNumberedItem"/>
        <w:tabs>
          <w:tab w:val="clear" w:pos="879"/>
          <w:tab w:val="left" w:pos="560"/>
        </w:tabs>
        <w:ind w:left="574" w:hanging="574"/>
      </w:pPr>
      <w:r>
        <w:t>1.</w:t>
      </w:r>
      <w:r>
        <w:tab/>
        <w:t>The following Table is the table referred to in rule 56 and is to be used to determine the rate % of deduction in situations where it is not possible for the stewards to declare a deduction in accordance with rule 56(3). In that case the stewards may declare a deduction for the purposes of rule 56(2)(b) in accordance with this Scale of Deduction Table. Calculations can be made in respect of win, place, each way, concession and doubles wagers. Rate % of deduction (cent in $) from the dividend payable in respect of the wager. (Note: For the purpose of this Table, the win component of an each way wager is to be taken as win wager and the place component a place wager).</w:t>
      </w:r>
    </w:p>
    <w:p>
      <w:pPr>
        <w:pStyle w:val="yNumberedItem"/>
        <w:tabs>
          <w:tab w:val="clear" w:pos="879"/>
          <w:tab w:val="left" w:pos="560"/>
        </w:tabs>
        <w:ind w:left="574" w:hanging="574"/>
      </w:pPr>
      <w:r>
        <w:t>2.</w:t>
      </w:r>
      <w:r>
        <w:tab/>
        <w:t>Generally, the deduction is applied to the face value of a bet made prior to the time it became known that a runner was a late scratched runner.</w:t>
      </w:r>
    </w:p>
    <w:p>
      <w:pPr>
        <w:pStyle w:val="yNumberedItem"/>
        <w:tabs>
          <w:tab w:val="clear" w:pos="879"/>
          <w:tab w:val="left" w:pos="560"/>
        </w:tabs>
        <w:ind w:left="574" w:hanging="574"/>
      </w:pPr>
      <w:r>
        <w:t>3.</w:t>
      </w:r>
      <w:r>
        <w:tab/>
        <w:t xml:space="preserve">In relation to concession bets, the deduction is applied only — </w:t>
      </w:r>
    </w:p>
    <w:p>
      <w:pPr>
        <w:pStyle w:val="yMiscellaneousBody"/>
        <w:tabs>
          <w:tab w:val="left" w:pos="560"/>
          <w:tab w:val="left" w:pos="1080"/>
        </w:tabs>
        <w:spacing w:before="80"/>
        <w:ind w:left="1106" w:hanging="1106"/>
      </w:pPr>
      <w:r>
        <w:tab/>
        <w:t>(a)</w:t>
      </w:r>
      <w:r>
        <w:tab/>
        <w:t>in respect of a runner that comes first; and</w:t>
      </w:r>
    </w:p>
    <w:p>
      <w:pPr>
        <w:pStyle w:val="yMiscellaneousBody"/>
        <w:tabs>
          <w:tab w:val="left" w:pos="560"/>
          <w:tab w:val="left" w:pos="1080"/>
        </w:tabs>
        <w:spacing w:before="80"/>
        <w:ind w:left="1106" w:hanging="1106"/>
      </w:pPr>
      <w:r>
        <w:tab/>
        <w:t>(b)</w:t>
      </w:r>
      <w:r>
        <w:tab/>
        <w:t>to the amount of winnings payable.</w:t>
      </w:r>
    </w:p>
    <w:p>
      <w:pPr>
        <w:pStyle w:val="yNumberedItem"/>
        <w:tabs>
          <w:tab w:val="clear" w:pos="879"/>
          <w:tab w:val="left" w:pos="560"/>
        </w:tabs>
        <w:ind w:left="574" w:hanging="574"/>
      </w:pPr>
      <w:r>
        <w:t>4.</w:t>
      </w:r>
      <w:r>
        <w:tab/>
        <w:t>With regard to all successful win, place, each 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60"/>
        </w:tabs>
        <w:ind w:left="574" w:hanging="574"/>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60"/>
        </w:tabs>
        <w:ind w:left="574" w:hanging="574"/>
      </w:pPr>
      <w:r>
        <w:t>6.</w:t>
      </w:r>
      <w:r>
        <w:tab/>
        <w:t xml:space="preserve">Where withdrawals occur at different times during wagering on a race, successful wagers placed prior to the last withdrawal are to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to be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NumberedItem"/>
        <w:tabs>
          <w:tab w:val="clear" w:pos="879"/>
          <w:tab w:val="left" w:pos="560"/>
        </w:tabs>
        <w:ind w:left="574" w:hanging="574"/>
      </w:pPr>
      <w:r>
        <w:t>7.</w:t>
      </w:r>
      <w:r>
        <w:tab/>
        <w:t>Where the runner ordered or permitted to be withdrawn, or declared a non</w:t>
      </w:r>
      <w:r>
        <w:noBreakHyphen/>
        <w:t xml:space="preserve">starter, is shorter than the range of dividends set out in the Scale of Deduction Table, the stewards may — </w:t>
      </w:r>
    </w:p>
    <w:p>
      <w:pPr>
        <w:pStyle w:val="yMiscellaneousBody"/>
        <w:tabs>
          <w:tab w:val="left" w:pos="560"/>
          <w:tab w:val="left" w:pos="1080"/>
        </w:tabs>
        <w:spacing w:before="80"/>
        <w:ind w:left="1106" w:hanging="1106"/>
      </w:pPr>
      <w:r>
        <w:tab/>
        <w:t>(a)</w:t>
      </w:r>
      <w:r>
        <w:tab/>
        <w:t>if there is sufficient time, declare all wagers made on the remaining runners to be void and order that wagering on the race be re</w:t>
      </w:r>
      <w:r>
        <w:noBreakHyphen/>
        <w:t>opened; or</w:t>
      </w:r>
    </w:p>
    <w:p>
      <w:pPr>
        <w:pStyle w:val="yMiscellaneousBody"/>
        <w:tabs>
          <w:tab w:val="left" w:pos="560"/>
          <w:tab w:val="left" w:pos="1080"/>
        </w:tabs>
        <w:spacing w:before="80"/>
        <w:ind w:left="1106" w:hanging="1106"/>
      </w:pPr>
      <w:r>
        <w:tab/>
        <w:t>(b)</w:t>
      </w:r>
      <w:r>
        <w:tab/>
        <w:t>if there is insufficient time to re open wagering, declare a deduction assessed from the Scale of Deduction Table.</w:t>
      </w:r>
    </w:p>
    <w:p>
      <w:pPr>
        <w:pStyle w:val="yMiscellaneousHeading"/>
        <w:rPr>
          <w:b/>
          <w:bCs/>
          <w:sz w:val="20"/>
        </w:rPr>
      </w:pPr>
      <w:r>
        <w:rPr>
          <w:b/>
          <w:bCs/>
        </w:rPr>
        <w:t>Table</w:t>
      </w:r>
    </w:p>
    <w:tbl>
      <w:tblPr>
        <w:tblW w:w="70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2"/>
        <w:gridCol w:w="1181"/>
        <w:gridCol w:w="1418"/>
        <w:gridCol w:w="1417"/>
        <w:gridCol w:w="1407"/>
      </w:tblGrid>
      <w:tr>
        <w:trPr>
          <w:tblHeader/>
          <w:jc w:val="center"/>
        </w:trPr>
        <w:tc>
          <w:tcPr>
            <w:tcW w:w="1652" w:type="dxa"/>
          </w:tcPr>
          <w:p>
            <w:pPr>
              <w:pStyle w:val="yTableNAm"/>
              <w:rPr>
                <w:b/>
              </w:rPr>
            </w:pPr>
            <w:r>
              <w:rPr>
                <w:b/>
              </w:rPr>
              <w:t>Dividend of withdrawn runner (for wager of $1)</w:t>
            </w:r>
          </w:p>
        </w:tc>
        <w:tc>
          <w:tcPr>
            <w:tcW w:w="1181" w:type="dxa"/>
          </w:tcPr>
          <w:p>
            <w:pPr>
              <w:pStyle w:val="yTableNAm"/>
              <w:rPr>
                <w:b/>
              </w:rPr>
            </w:pPr>
            <w:r>
              <w:rPr>
                <w:b/>
              </w:rPr>
              <w:t>Win, Doubles, Trebles deduction</w:t>
            </w:r>
          </w:p>
          <w:p>
            <w:pPr>
              <w:pStyle w:val="yTableNAm"/>
              <w:rPr>
                <w:b/>
              </w:rPr>
            </w:pPr>
            <w:r>
              <w:rPr>
                <w:b/>
              </w:rPr>
              <w:br/>
              <w:t>Cents</w:t>
            </w:r>
          </w:p>
        </w:tc>
        <w:tc>
          <w:tcPr>
            <w:tcW w:w="1418" w:type="dxa"/>
          </w:tcPr>
          <w:p>
            <w:pPr>
              <w:pStyle w:val="yTableNAm"/>
              <w:rPr>
                <w:b/>
              </w:rPr>
            </w:pPr>
            <w:r>
              <w:rPr>
                <w:b/>
              </w:rPr>
              <w:t>Place deduction where 8 or more runners</w:t>
            </w:r>
          </w:p>
          <w:p>
            <w:pPr>
              <w:pStyle w:val="yTableNAm"/>
              <w:rPr>
                <w:b/>
              </w:rPr>
            </w:pPr>
            <w:r>
              <w:rPr>
                <w:b/>
              </w:rPr>
              <w:t>Cents</w:t>
            </w:r>
          </w:p>
        </w:tc>
        <w:tc>
          <w:tcPr>
            <w:tcW w:w="1417" w:type="dxa"/>
          </w:tcPr>
          <w:p>
            <w:pPr>
              <w:pStyle w:val="yTableNAm"/>
              <w:rPr>
                <w:b/>
              </w:rPr>
            </w:pPr>
            <w:r>
              <w:rPr>
                <w:b/>
              </w:rPr>
              <w:t>Place deduction where less than 8 runners</w:t>
            </w:r>
          </w:p>
          <w:p>
            <w:pPr>
              <w:pStyle w:val="yTableNAm"/>
              <w:rPr>
                <w:b/>
              </w:rPr>
            </w:pPr>
            <w:r>
              <w:rPr>
                <w:b/>
              </w:rPr>
              <w:t>Cents</w:t>
            </w:r>
          </w:p>
        </w:tc>
        <w:tc>
          <w:tcPr>
            <w:tcW w:w="1407" w:type="dxa"/>
          </w:tcPr>
          <w:p>
            <w:pPr>
              <w:pStyle w:val="yTableNAm"/>
              <w:rPr>
                <w:b/>
              </w:rPr>
            </w:pPr>
            <w:r>
              <w:rPr>
                <w:b/>
              </w:rPr>
              <w:t>Concession deduction</w:t>
            </w:r>
          </w:p>
          <w:p>
            <w:pPr>
              <w:pStyle w:val="yTableNAm"/>
              <w:rPr>
                <w:b/>
              </w:rPr>
            </w:pPr>
            <w:r>
              <w:rPr>
                <w:b/>
              </w:rPr>
              <w:br/>
            </w:r>
            <w:r>
              <w:rPr>
                <w:b/>
              </w:rPr>
              <w:br/>
            </w:r>
            <w:r>
              <w:rPr>
                <w:b/>
              </w:rPr>
              <w:br/>
              <w:t>Cents</w:t>
            </w:r>
          </w:p>
        </w:tc>
      </w:tr>
      <w:tr>
        <w:trPr>
          <w:jc w:val="center"/>
        </w:trPr>
        <w:tc>
          <w:tcPr>
            <w:tcW w:w="1652" w:type="dxa"/>
          </w:tcPr>
          <w:p>
            <w:pPr>
              <w:pStyle w:val="yTableNAm"/>
            </w:pPr>
            <w:r>
              <w:t>1.05</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1.07</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1.08</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1.09</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1.10</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1.12</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1.14</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1.18</w:t>
            </w:r>
          </w:p>
        </w:tc>
        <w:tc>
          <w:tcPr>
            <w:tcW w:w="1181" w:type="dxa"/>
          </w:tcPr>
          <w:p>
            <w:pPr>
              <w:pStyle w:val="yTableNAm"/>
            </w:pPr>
            <w:r>
              <w:t>0.79</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1.20</w:t>
            </w:r>
          </w:p>
        </w:tc>
        <w:tc>
          <w:tcPr>
            <w:tcW w:w="1181" w:type="dxa"/>
          </w:tcPr>
          <w:p>
            <w:pPr>
              <w:pStyle w:val="yTableNAm"/>
            </w:pPr>
            <w:r>
              <w:t>0.78</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1.22</w:t>
            </w:r>
          </w:p>
        </w:tc>
        <w:tc>
          <w:tcPr>
            <w:tcW w:w="1181" w:type="dxa"/>
          </w:tcPr>
          <w:p>
            <w:pPr>
              <w:pStyle w:val="yTableNAm"/>
            </w:pPr>
            <w:r>
              <w:t>0.77</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1.24</w:t>
            </w:r>
          </w:p>
        </w:tc>
        <w:tc>
          <w:tcPr>
            <w:tcW w:w="1181" w:type="dxa"/>
          </w:tcPr>
          <w:p>
            <w:pPr>
              <w:pStyle w:val="yTableNAm"/>
            </w:pPr>
            <w:r>
              <w:t>0.75</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1.26</w:t>
            </w:r>
          </w:p>
        </w:tc>
        <w:tc>
          <w:tcPr>
            <w:tcW w:w="1181" w:type="dxa"/>
          </w:tcPr>
          <w:p>
            <w:pPr>
              <w:pStyle w:val="yTableNAm"/>
            </w:pPr>
            <w:r>
              <w:t>0.74</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1.28</w:t>
            </w:r>
          </w:p>
        </w:tc>
        <w:tc>
          <w:tcPr>
            <w:tcW w:w="1181" w:type="dxa"/>
          </w:tcPr>
          <w:p>
            <w:pPr>
              <w:pStyle w:val="yTableNAm"/>
            </w:pPr>
            <w:r>
              <w:t>0.73</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1.30</w:t>
            </w:r>
          </w:p>
        </w:tc>
        <w:tc>
          <w:tcPr>
            <w:tcW w:w="1181" w:type="dxa"/>
          </w:tcPr>
          <w:p>
            <w:pPr>
              <w:pStyle w:val="yTableNAm"/>
            </w:pPr>
            <w:r>
              <w:t>0.72</w:t>
            </w:r>
          </w:p>
        </w:tc>
        <w:tc>
          <w:tcPr>
            <w:tcW w:w="1418" w:type="dxa"/>
          </w:tcPr>
          <w:p>
            <w:pPr>
              <w:pStyle w:val="yTableNAm"/>
            </w:pPr>
            <w:r>
              <w:t>0.29</w:t>
            </w:r>
          </w:p>
        </w:tc>
        <w:tc>
          <w:tcPr>
            <w:tcW w:w="1417" w:type="dxa"/>
          </w:tcPr>
          <w:p>
            <w:pPr>
              <w:pStyle w:val="yTableNAm"/>
            </w:pPr>
            <w:r>
              <w:t>0.42</w:t>
            </w:r>
          </w:p>
        </w:tc>
        <w:tc>
          <w:tcPr>
            <w:tcW w:w="1407" w:type="dxa"/>
          </w:tcPr>
          <w:p>
            <w:pPr>
              <w:pStyle w:val="yTableNAm"/>
            </w:pPr>
            <w:r>
              <w:t>0.67</w:t>
            </w:r>
          </w:p>
        </w:tc>
      </w:tr>
      <w:tr>
        <w:trPr>
          <w:jc w:val="center"/>
        </w:trPr>
        <w:tc>
          <w:tcPr>
            <w:tcW w:w="1652" w:type="dxa"/>
          </w:tcPr>
          <w:p>
            <w:pPr>
              <w:pStyle w:val="yTableNAm"/>
            </w:pPr>
            <w:r>
              <w:t>1.35</w:t>
            </w:r>
          </w:p>
        </w:tc>
        <w:tc>
          <w:tcPr>
            <w:tcW w:w="1181" w:type="dxa"/>
          </w:tcPr>
          <w:p>
            <w:pPr>
              <w:pStyle w:val="yTableNAm"/>
            </w:pPr>
            <w:r>
              <w:t>0.69</w:t>
            </w:r>
          </w:p>
        </w:tc>
        <w:tc>
          <w:tcPr>
            <w:tcW w:w="1418" w:type="dxa"/>
          </w:tcPr>
          <w:p>
            <w:pPr>
              <w:pStyle w:val="yTableNAm"/>
            </w:pPr>
            <w:r>
              <w:t>0.29</w:t>
            </w:r>
          </w:p>
        </w:tc>
        <w:tc>
          <w:tcPr>
            <w:tcW w:w="1417" w:type="dxa"/>
          </w:tcPr>
          <w:p>
            <w:pPr>
              <w:pStyle w:val="yTableNAm"/>
            </w:pPr>
            <w:r>
              <w:t>0.42</w:t>
            </w:r>
          </w:p>
        </w:tc>
        <w:tc>
          <w:tcPr>
            <w:tcW w:w="1407" w:type="dxa"/>
          </w:tcPr>
          <w:p>
            <w:pPr>
              <w:pStyle w:val="yTableNAm"/>
            </w:pPr>
            <w:r>
              <w:t>0.64</w:t>
            </w:r>
          </w:p>
        </w:tc>
      </w:tr>
      <w:tr>
        <w:trPr>
          <w:jc w:val="center"/>
        </w:trPr>
        <w:tc>
          <w:tcPr>
            <w:tcW w:w="1652" w:type="dxa"/>
          </w:tcPr>
          <w:p>
            <w:pPr>
              <w:pStyle w:val="yTableNAm"/>
            </w:pPr>
            <w:r>
              <w:t>1.40</w:t>
            </w:r>
          </w:p>
        </w:tc>
        <w:tc>
          <w:tcPr>
            <w:tcW w:w="1181" w:type="dxa"/>
          </w:tcPr>
          <w:p>
            <w:pPr>
              <w:pStyle w:val="yTableNAm"/>
            </w:pPr>
            <w:r>
              <w:t>0.67</w:t>
            </w:r>
          </w:p>
        </w:tc>
        <w:tc>
          <w:tcPr>
            <w:tcW w:w="1418" w:type="dxa"/>
          </w:tcPr>
          <w:p>
            <w:pPr>
              <w:pStyle w:val="yTableNAm"/>
            </w:pPr>
            <w:r>
              <w:t>0.28</w:t>
            </w:r>
          </w:p>
        </w:tc>
        <w:tc>
          <w:tcPr>
            <w:tcW w:w="1417" w:type="dxa"/>
          </w:tcPr>
          <w:p>
            <w:pPr>
              <w:pStyle w:val="yTableNAm"/>
            </w:pPr>
            <w:r>
              <w:t>0.41</w:t>
            </w:r>
          </w:p>
        </w:tc>
        <w:tc>
          <w:tcPr>
            <w:tcW w:w="1407" w:type="dxa"/>
          </w:tcPr>
          <w:p>
            <w:pPr>
              <w:pStyle w:val="yTableNAm"/>
            </w:pPr>
            <w:r>
              <w:t>0.62</w:t>
            </w:r>
          </w:p>
        </w:tc>
      </w:tr>
      <w:tr>
        <w:trPr>
          <w:jc w:val="center"/>
        </w:trPr>
        <w:tc>
          <w:tcPr>
            <w:tcW w:w="1652" w:type="dxa"/>
          </w:tcPr>
          <w:p>
            <w:pPr>
              <w:pStyle w:val="yTableNAm"/>
            </w:pPr>
            <w:r>
              <w:t>1.45</w:t>
            </w:r>
          </w:p>
        </w:tc>
        <w:tc>
          <w:tcPr>
            <w:tcW w:w="1181" w:type="dxa"/>
          </w:tcPr>
          <w:p>
            <w:pPr>
              <w:pStyle w:val="yTableNAm"/>
            </w:pPr>
            <w:r>
              <w:t>0.64</w:t>
            </w:r>
          </w:p>
        </w:tc>
        <w:tc>
          <w:tcPr>
            <w:tcW w:w="1418" w:type="dxa"/>
          </w:tcPr>
          <w:p>
            <w:pPr>
              <w:pStyle w:val="yTableNAm"/>
            </w:pPr>
            <w:r>
              <w:t>0.28</w:t>
            </w:r>
          </w:p>
        </w:tc>
        <w:tc>
          <w:tcPr>
            <w:tcW w:w="1417" w:type="dxa"/>
          </w:tcPr>
          <w:p>
            <w:pPr>
              <w:pStyle w:val="yTableNAm"/>
            </w:pPr>
            <w:r>
              <w:t>0.41</w:t>
            </w:r>
          </w:p>
        </w:tc>
        <w:tc>
          <w:tcPr>
            <w:tcW w:w="1407" w:type="dxa"/>
          </w:tcPr>
          <w:p>
            <w:pPr>
              <w:pStyle w:val="yTableNAm"/>
            </w:pPr>
            <w:r>
              <w:t>0.59</w:t>
            </w:r>
          </w:p>
        </w:tc>
      </w:tr>
      <w:tr>
        <w:trPr>
          <w:jc w:val="center"/>
        </w:trPr>
        <w:tc>
          <w:tcPr>
            <w:tcW w:w="1652" w:type="dxa"/>
          </w:tcPr>
          <w:p>
            <w:pPr>
              <w:pStyle w:val="yTableNAm"/>
            </w:pPr>
            <w:r>
              <w:t>1.50</w:t>
            </w:r>
          </w:p>
        </w:tc>
        <w:tc>
          <w:tcPr>
            <w:tcW w:w="1181" w:type="dxa"/>
          </w:tcPr>
          <w:p>
            <w:pPr>
              <w:pStyle w:val="yTableNAm"/>
            </w:pPr>
            <w:r>
              <w:t>0.62</w:t>
            </w:r>
          </w:p>
        </w:tc>
        <w:tc>
          <w:tcPr>
            <w:tcW w:w="1418" w:type="dxa"/>
          </w:tcPr>
          <w:p>
            <w:pPr>
              <w:pStyle w:val="yTableNAm"/>
            </w:pPr>
            <w:r>
              <w:t>0.28</w:t>
            </w:r>
          </w:p>
        </w:tc>
        <w:tc>
          <w:tcPr>
            <w:tcW w:w="1417" w:type="dxa"/>
          </w:tcPr>
          <w:p>
            <w:pPr>
              <w:pStyle w:val="yTableNAm"/>
            </w:pPr>
            <w:r>
              <w:t>0.40</w:t>
            </w:r>
          </w:p>
        </w:tc>
        <w:tc>
          <w:tcPr>
            <w:tcW w:w="1407" w:type="dxa"/>
          </w:tcPr>
          <w:p>
            <w:pPr>
              <w:pStyle w:val="yTableNAm"/>
            </w:pPr>
            <w:r>
              <w:t>0.57</w:t>
            </w:r>
          </w:p>
        </w:tc>
      </w:tr>
      <w:tr>
        <w:trPr>
          <w:jc w:val="center"/>
        </w:trPr>
        <w:tc>
          <w:tcPr>
            <w:tcW w:w="1652" w:type="dxa"/>
          </w:tcPr>
          <w:p>
            <w:pPr>
              <w:pStyle w:val="yTableNAm"/>
            </w:pPr>
            <w:r>
              <w:t>1.55</w:t>
            </w:r>
          </w:p>
        </w:tc>
        <w:tc>
          <w:tcPr>
            <w:tcW w:w="1181" w:type="dxa"/>
          </w:tcPr>
          <w:p>
            <w:pPr>
              <w:pStyle w:val="yTableNAm"/>
            </w:pPr>
            <w:r>
              <w:t>0.60</w:t>
            </w:r>
          </w:p>
        </w:tc>
        <w:tc>
          <w:tcPr>
            <w:tcW w:w="1418" w:type="dxa"/>
          </w:tcPr>
          <w:p>
            <w:pPr>
              <w:pStyle w:val="yTableNAm"/>
            </w:pPr>
            <w:r>
              <w:t>0.27</w:t>
            </w:r>
          </w:p>
        </w:tc>
        <w:tc>
          <w:tcPr>
            <w:tcW w:w="1417" w:type="dxa"/>
          </w:tcPr>
          <w:p>
            <w:pPr>
              <w:pStyle w:val="yTableNAm"/>
            </w:pPr>
            <w:r>
              <w:t>0.39</w:t>
            </w:r>
          </w:p>
        </w:tc>
        <w:tc>
          <w:tcPr>
            <w:tcW w:w="1407" w:type="dxa"/>
          </w:tcPr>
          <w:p>
            <w:pPr>
              <w:pStyle w:val="yTableNAm"/>
            </w:pPr>
            <w:r>
              <w:t>0.55</w:t>
            </w:r>
          </w:p>
        </w:tc>
      </w:tr>
      <w:tr>
        <w:trPr>
          <w:jc w:val="center"/>
        </w:trPr>
        <w:tc>
          <w:tcPr>
            <w:tcW w:w="1652" w:type="dxa"/>
          </w:tcPr>
          <w:p>
            <w:pPr>
              <w:pStyle w:val="yTableNAm"/>
            </w:pPr>
            <w:r>
              <w:t>1.60</w:t>
            </w:r>
          </w:p>
        </w:tc>
        <w:tc>
          <w:tcPr>
            <w:tcW w:w="1181" w:type="dxa"/>
          </w:tcPr>
          <w:p>
            <w:pPr>
              <w:pStyle w:val="yTableNAm"/>
            </w:pPr>
            <w:r>
              <w:t>0.58</w:t>
            </w:r>
          </w:p>
        </w:tc>
        <w:tc>
          <w:tcPr>
            <w:tcW w:w="1418" w:type="dxa"/>
          </w:tcPr>
          <w:p>
            <w:pPr>
              <w:pStyle w:val="yTableNAm"/>
            </w:pPr>
            <w:r>
              <w:t>0.27</w:t>
            </w:r>
          </w:p>
        </w:tc>
        <w:tc>
          <w:tcPr>
            <w:tcW w:w="1417" w:type="dxa"/>
          </w:tcPr>
          <w:p>
            <w:pPr>
              <w:pStyle w:val="yTableNAm"/>
            </w:pPr>
            <w:r>
              <w:t>0.39</w:t>
            </w:r>
          </w:p>
        </w:tc>
        <w:tc>
          <w:tcPr>
            <w:tcW w:w="1407" w:type="dxa"/>
          </w:tcPr>
          <w:p>
            <w:pPr>
              <w:pStyle w:val="yTableNAm"/>
            </w:pPr>
            <w:r>
              <w:t>0.53</w:t>
            </w:r>
          </w:p>
        </w:tc>
      </w:tr>
      <w:tr>
        <w:trPr>
          <w:jc w:val="center"/>
        </w:trPr>
        <w:tc>
          <w:tcPr>
            <w:tcW w:w="1652" w:type="dxa"/>
          </w:tcPr>
          <w:p>
            <w:pPr>
              <w:pStyle w:val="yTableNAm"/>
            </w:pPr>
            <w:r>
              <w:t>1.65</w:t>
            </w:r>
          </w:p>
        </w:tc>
        <w:tc>
          <w:tcPr>
            <w:tcW w:w="1181" w:type="dxa"/>
          </w:tcPr>
          <w:p>
            <w:pPr>
              <w:pStyle w:val="yTableNAm"/>
            </w:pPr>
            <w:r>
              <w:t>0.57</w:t>
            </w:r>
          </w:p>
        </w:tc>
        <w:tc>
          <w:tcPr>
            <w:tcW w:w="1418" w:type="dxa"/>
          </w:tcPr>
          <w:p>
            <w:pPr>
              <w:pStyle w:val="yTableNAm"/>
            </w:pPr>
            <w:r>
              <w:t>0.27</w:t>
            </w:r>
          </w:p>
        </w:tc>
        <w:tc>
          <w:tcPr>
            <w:tcW w:w="1417" w:type="dxa"/>
          </w:tcPr>
          <w:p>
            <w:pPr>
              <w:pStyle w:val="yTableNAm"/>
            </w:pPr>
            <w:r>
              <w:t>0.38</w:t>
            </w:r>
          </w:p>
        </w:tc>
        <w:tc>
          <w:tcPr>
            <w:tcW w:w="1407" w:type="dxa"/>
          </w:tcPr>
          <w:p>
            <w:pPr>
              <w:pStyle w:val="yTableNAm"/>
            </w:pPr>
            <w:r>
              <w:t>0.53</w:t>
            </w:r>
          </w:p>
        </w:tc>
      </w:tr>
      <w:tr>
        <w:trPr>
          <w:jc w:val="center"/>
        </w:trPr>
        <w:tc>
          <w:tcPr>
            <w:tcW w:w="1652" w:type="dxa"/>
          </w:tcPr>
          <w:p>
            <w:pPr>
              <w:pStyle w:val="yTableNAm"/>
            </w:pPr>
            <w:r>
              <w:t>1.70</w:t>
            </w:r>
          </w:p>
        </w:tc>
        <w:tc>
          <w:tcPr>
            <w:tcW w:w="1181" w:type="dxa"/>
          </w:tcPr>
          <w:p>
            <w:pPr>
              <w:pStyle w:val="yTableNAm"/>
            </w:pPr>
            <w:r>
              <w:t>0.55</w:t>
            </w:r>
          </w:p>
        </w:tc>
        <w:tc>
          <w:tcPr>
            <w:tcW w:w="1418" w:type="dxa"/>
          </w:tcPr>
          <w:p>
            <w:pPr>
              <w:pStyle w:val="yTableNAm"/>
            </w:pPr>
            <w:r>
              <w:t>0.27</w:t>
            </w:r>
          </w:p>
        </w:tc>
        <w:tc>
          <w:tcPr>
            <w:tcW w:w="1417" w:type="dxa"/>
          </w:tcPr>
          <w:p>
            <w:pPr>
              <w:pStyle w:val="yTableNAm"/>
            </w:pPr>
            <w:r>
              <w:t>0.38</w:t>
            </w:r>
          </w:p>
        </w:tc>
        <w:tc>
          <w:tcPr>
            <w:tcW w:w="1407" w:type="dxa"/>
          </w:tcPr>
          <w:p>
            <w:pPr>
              <w:pStyle w:val="yTableNAm"/>
            </w:pPr>
            <w:r>
              <w:t>0.51</w:t>
            </w:r>
          </w:p>
        </w:tc>
      </w:tr>
      <w:tr>
        <w:trPr>
          <w:jc w:val="center"/>
        </w:trPr>
        <w:tc>
          <w:tcPr>
            <w:tcW w:w="1652" w:type="dxa"/>
          </w:tcPr>
          <w:p>
            <w:pPr>
              <w:pStyle w:val="yTableNAm"/>
            </w:pPr>
            <w:r>
              <w:t>1.75</w:t>
            </w:r>
          </w:p>
        </w:tc>
        <w:tc>
          <w:tcPr>
            <w:tcW w:w="1181" w:type="dxa"/>
          </w:tcPr>
          <w:p>
            <w:pPr>
              <w:pStyle w:val="yTableNAm"/>
            </w:pPr>
            <w:r>
              <w:t>0.53</w:t>
            </w:r>
          </w:p>
        </w:tc>
        <w:tc>
          <w:tcPr>
            <w:tcW w:w="1418" w:type="dxa"/>
          </w:tcPr>
          <w:p>
            <w:pPr>
              <w:pStyle w:val="yTableNAm"/>
            </w:pPr>
            <w:r>
              <w:t>0.26</w:t>
            </w:r>
          </w:p>
        </w:tc>
        <w:tc>
          <w:tcPr>
            <w:tcW w:w="1417" w:type="dxa"/>
          </w:tcPr>
          <w:p>
            <w:pPr>
              <w:pStyle w:val="yTableNAm"/>
            </w:pPr>
            <w:r>
              <w:t>0.37</w:t>
            </w:r>
          </w:p>
        </w:tc>
        <w:tc>
          <w:tcPr>
            <w:tcW w:w="1407" w:type="dxa"/>
          </w:tcPr>
          <w:p>
            <w:pPr>
              <w:pStyle w:val="yTableNAm"/>
            </w:pPr>
            <w:r>
              <w:t>0.49</w:t>
            </w:r>
          </w:p>
        </w:tc>
      </w:tr>
      <w:tr>
        <w:trPr>
          <w:jc w:val="center"/>
        </w:trPr>
        <w:tc>
          <w:tcPr>
            <w:tcW w:w="1652" w:type="dxa"/>
          </w:tcPr>
          <w:p>
            <w:pPr>
              <w:pStyle w:val="yTableNAm"/>
            </w:pPr>
            <w:r>
              <w:t>1.80</w:t>
            </w:r>
          </w:p>
        </w:tc>
        <w:tc>
          <w:tcPr>
            <w:tcW w:w="1181" w:type="dxa"/>
          </w:tcPr>
          <w:p>
            <w:pPr>
              <w:pStyle w:val="yTableNAm"/>
            </w:pPr>
            <w:r>
              <w:t>0.52</w:t>
            </w:r>
          </w:p>
        </w:tc>
        <w:tc>
          <w:tcPr>
            <w:tcW w:w="1418" w:type="dxa"/>
          </w:tcPr>
          <w:p>
            <w:pPr>
              <w:pStyle w:val="yTableNAm"/>
            </w:pPr>
            <w:r>
              <w:t>0.26</w:t>
            </w:r>
          </w:p>
        </w:tc>
        <w:tc>
          <w:tcPr>
            <w:tcW w:w="1417" w:type="dxa"/>
          </w:tcPr>
          <w:p>
            <w:pPr>
              <w:pStyle w:val="yTableNAm"/>
            </w:pPr>
            <w:r>
              <w:t>0.37</w:t>
            </w:r>
          </w:p>
        </w:tc>
        <w:tc>
          <w:tcPr>
            <w:tcW w:w="1407" w:type="dxa"/>
          </w:tcPr>
          <w:p>
            <w:pPr>
              <w:pStyle w:val="yTableNAm"/>
            </w:pPr>
            <w:r>
              <w:t>0.48</w:t>
            </w:r>
          </w:p>
        </w:tc>
      </w:tr>
      <w:tr>
        <w:trPr>
          <w:jc w:val="center"/>
        </w:trPr>
        <w:tc>
          <w:tcPr>
            <w:tcW w:w="1652" w:type="dxa"/>
          </w:tcPr>
          <w:p>
            <w:pPr>
              <w:pStyle w:val="yTableNAm"/>
            </w:pPr>
            <w:r>
              <w:t>1.85</w:t>
            </w:r>
          </w:p>
        </w:tc>
        <w:tc>
          <w:tcPr>
            <w:tcW w:w="1181" w:type="dxa"/>
          </w:tcPr>
          <w:p>
            <w:pPr>
              <w:pStyle w:val="yTableNAm"/>
            </w:pPr>
            <w:r>
              <w:t>0.51</w:t>
            </w:r>
          </w:p>
        </w:tc>
        <w:tc>
          <w:tcPr>
            <w:tcW w:w="1418" w:type="dxa"/>
          </w:tcPr>
          <w:p>
            <w:pPr>
              <w:pStyle w:val="yTableNAm"/>
            </w:pPr>
            <w:r>
              <w:t>0.26</w:t>
            </w:r>
          </w:p>
        </w:tc>
        <w:tc>
          <w:tcPr>
            <w:tcW w:w="1417" w:type="dxa"/>
          </w:tcPr>
          <w:p>
            <w:pPr>
              <w:pStyle w:val="yTableNAm"/>
            </w:pPr>
            <w:r>
              <w:t>0.36</w:t>
            </w:r>
          </w:p>
        </w:tc>
        <w:tc>
          <w:tcPr>
            <w:tcW w:w="1407" w:type="dxa"/>
          </w:tcPr>
          <w:p>
            <w:pPr>
              <w:pStyle w:val="yTableNAm"/>
            </w:pPr>
            <w:r>
              <w:t>0.47</w:t>
            </w:r>
          </w:p>
        </w:tc>
      </w:tr>
      <w:tr>
        <w:trPr>
          <w:jc w:val="center"/>
        </w:trPr>
        <w:tc>
          <w:tcPr>
            <w:tcW w:w="1652" w:type="dxa"/>
          </w:tcPr>
          <w:p>
            <w:pPr>
              <w:pStyle w:val="yTableNAm"/>
            </w:pPr>
            <w:r>
              <w:t>1.90</w:t>
            </w:r>
          </w:p>
        </w:tc>
        <w:tc>
          <w:tcPr>
            <w:tcW w:w="1181" w:type="dxa"/>
          </w:tcPr>
          <w:p>
            <w:pPr>
              <w:pStyle w:val="yTableNAm"/>
            </w:pPr>
            <w:r>
              <w:t>0.49</w:t>
            </w:r>
          </w:p>
        </w:tc>
        <w:tc>
          <w:tcPr>
            <w:tcW w:w="1418" w:type="dxa"/>
          </w:tcPr>
          <w:p>
            <w:pPr>
              <w:pStyle w:val="yTableNAm"/>
            </w:pPr>
            <w:r>
              <w:t>0.25</w:t>
            </w:r>
          </w:p>
        </w:tc>
        <w:tc>
          <w:tcPr>
            <w:tcW w:w="1417" w:type="dxa"/>
          </w:tcPr>
          <w:p>
            <w:pPr>
              <w:pStyle w:val="yTableNAm"/>
            </w:pPr>
            <w:r>
              <w:t>0.36</w:t>
            </w:r>
          </w:p>
        </w:tc>
        <w:tc>
          <w:tcPr>
            <w:tcW w:w="1407" w:type="dxa"/>
          </w:tcPr>
          <w:p>
            <w:pPr>
              <w:pStyle w:val="yTableNAm"/>
            </w:pPr>
            <w:r>
              <w:t>0.45</w:t>
            </w:r>
          </w:p>
        </w:tc>
      </w:tr>
      <w:tr>
        <w:trPr>
          <w:jc w:val="center"/>
        </w:trPr>
        <w:tc>
          <w:tcPr>
            <w:tcW w:w="1652" w:type="dxa"/>
          </w:tcPr>
          <w:p>
            <w:pPr>
              <w:pStyle w:val="yTableNAm"/>
            </w:pPr>
            <w:r>
              <w:t>1.95</w:t>
            </w:r>
          </w:p>
        </w:tc>
        <w:tc>
          <w:tcPr>
            <w:tcW w:w="1181" w:type="dxa"/>
          </w:tcPr>
          <w:p>
            <w:pPr>
              <w:pStyle w:val="yTableNAm"/>
            </w:pPr>
            <w:r>
              <w:t>0.48</w:t>
            </w:r>
          </w:p>
        </w:tc>
        <w:tc>
          <w:tcPr>
            <w:tcW w:w="1418" w:type="dxa"/>
          </w:tcPr>
          <w:p>
            <w:pPr>
              <w:pStyle w:val="yTableNAm"/>
            </w:pPr>
            <w:r>
              <w:t>0.25</w:t>
            </w:r>
          </w:p>
        </w:tc>
        <w:tc>
          <w:tcPr>
            <w:tcW w:w="1417" w:type="dxa"/>
          </w:tcPr>
          <w:p>
            <w:pPr>
              <w:pStyle w:val="yTableNAm"/>
            </w:pPr>
            <w:r>
              <w:t>0.35</w:t>
            </w:r>
          </w:p>
        </w:tc>
        <w:tc>
          <w:tcPr>
            <w:tcW w:w="1407" w:type="dxa"/>
          </w:tcPr>
          <w:p>
            <w:pPr>
              <w:pStyle w:val="yTableNAm"/>
            </w:pPr>
            <w:r>
              <w:t>0.44</w:t>
            </w:r>
          </w:p>
        </w:tc>
      </w:tr>
      <w:tr>
        <w:trPr>
          <w:jc w:val="center"/>
        </w:trPr>
        <w:tc>
          <w:tcPr>
            <w:tcW w:w="1652" w:type="dxa"/>
          </w:tcPr>
          <w:p>
            <w:pPr>
              <w:pStyle w:val="yTableNAm"/>
            </w:pPr>
            <w:r>
              <w:t>2.00</w:t>
            </w:r>
          </w:p>
        </w:tc>
        <w:tc>
          <w:tcPr>
            <w:tcW w:w="1181" w:type="dxa"/>
          </w:tcPr>
          <w:p>
            <w:pPr>
              <w:pStyle w:val="yTableNAm"/>
            </w:pPr>
            <w:r>
              <w:t>0.47</w:t>
            </w:r>
          </w:p>
        </w:tc>
        <w:tc>
          <w:tcPr>
            <w:tcW w:w="1418" w:type="dxa"/>
          </w:tcPr>
          <w:p>
            <w:pPr>
              <w:pStyle w:val="yTableNAm"/>
            </w:pPr>
            <w:r>
              <w:t>0.25</w:t>
            </w:r>
          </w:p>
        </w:tc>
        <w:tc>
          <w:tcPr>
            <w:tcW w:w="1417" w:type="dxa"/>
          </w:tcPr>
          <w:p>
            <w:pPr>
              <w:pStyle w:val="yTableNAm"/>
            </w:pPr>
            <w:r>
              <w:t>0.35</w:t>
            </w:r>
          </w:p>
        </w:tc>
        <w:tc>
          <w:tcPr>
            <w:tcW w:w="1407" w:type="dxa"/>
          </w:tcPr>
          <w:p>
            <w:pPr>
              <w:pStyle w:val="yTableNAm"/>
            </w:pPr>
            <w:r>
              <w:t>0.43</w:t>
            </w:r>
          </w:p>
        </w:tc>
      </w:tr>
      <w:tr>
        <w:trPr>
          <w:jc w:val="center"/>
        </w:trPr>
        <w:tc>
          <w:tcPr>
            <w:tcW w:w="1652" w:type="dxa"/>
          </w:tcPr>
          <w:p>
            <w:pPr>
              <w:pStyle w:val="yTableNAm"/>
            </w:pPr>
            <w:r>
              <w:t>2.05</w:t>
            </w:r>
          </w:p>
        </w:tc>
        <w:tc>
          <w:tcPr>
            <w:tcW w:w="1181" w:type="dxa"/>
          </w:tcPr>
          <w:p>
            <w:pPr>
              <w:pStyle w:val="yTableNAm"/>
            </w:pPr>
            <w:r>
              <w:t>0.46</w:t>
            </w:r>
          </w:p>
        </w:tc>
        <w:tc>
          <w:tcPr>
            <w:tcW w:w="1418" w:type="dxa"/>
          </w:tcPr>
          <w:p>
            <w:pPr>
              <w:pStyle w:val="yTableNAm"/>
            </w:pPr>
            <w:r>
              <w:t>0.25</w:t>
            </w:r>
          </w:p>
        </w:tc>
        <w:tc>
          <w:tcPr>
            <w:tcW w:w="1417" w:type="dxa"/>
          </w:tcPr>
          <w:p>
            <w:pPr>
              <w:pStyle w:val="yTableNAm"/>
            </w:pPr>
            <w:r>
              <w:t>0.35</w:t>
            </w:r>
          </w:p>
        </w:tc>
        <w:tc>
          <w:tcPr>
            <w:tcW w:w="1407" w:type="dxa"/>
          </w:tcPr>
          <w:p>
            <w:pPr>
              <w:pStyle w:val="yTableNAm"/>
            </w:pPr>
            <w:r>
              <w:t>0.42</w:t>
            </w:r>
          </w:p>
        </w:tc>
      </w:tr>
      <w:tr>
        <w:trPr>
          <w:jc w:val="center"/>
        </w:trPr>
        <w:tc>
          <w:tcPr>
            <w:tcW w:w="1652" w:type="dxa"/>
          </w:tcPr>
          <w:p>
            <w:pPr>
              <w:pStyle w:val="yTableNAm"/>
            </w:pPr>
            <w:r>
              <w:t>2.10</w:t>
            </w:r>
          </w:p>
        </w:tc>
        <w:tc>
          <w:tcPr>
            <w:tcW w:w="1181" w:type="dxa"/>
          </w:tcPr>
          <w:p>
            <w:pPr>
              <w:pStyle w:val="yTableNAm"/>
            </w:pPr>
            <w:r>
              <w:t>0.45</w:t>
            </w:r>
          </w:p>
        </w:tc>
        <w:tc>
          <w:tcPr>
            <w:tcW w:w="1418" w:type="dxa"/>
          </w:tcPr>
          <w:p>
            <w:pPr>
              <w:pStyle w:val="yTableNAm"/>
            </w:pPr>
            <w:r>
              <w:t>0.24</w:t>
            </w:r>
          </w:p>
        </w:tc>
        <w:tc>
          <w:tcPr>
            <w:tcW w:w="1417" w:type="dxa"/>
          </w:tcPr>
          <w:p>
            <w:pPr>
              <w:pStyle w:val="yTableNAm"/>
            </w:pPr>
            <w:r>
              <w:t>0.34</w:t>
            </w:r>
          </w:p>
        </w:tc>
        <w:tc>
          <w:tcPr>
            <w:tcW w:w="1407" w:type="dxa"/>
          </w:tcPr>
          <w:p>
            <w:pPr>
              <w:pStyle w:val="yTableNAm"/>
            </w:pPr>
            <w:r>
              <w:t>0.41</w:t>
            </w:r>
          </w:p>
        </w:tc>
      </w:tr>
      <w:tr>
        <w:trPr>
          <w:jc w:val="center"/>
        </w:trPr>
        <w:tc>
          <w:tcPr>
            <w:tcW w:w="1652" w:type="dxa"/>
          </w:tcPr>
          <w:p>
            <w:pPr>
              <w:pStyle w:val="yTableNAm"/>
            </w:pPr>
            <w:r>
              <w:t>2.15</w:t>
            </w:r>
          </w:p>
        </w:tc>
        <w:tc>
          <w:tcPr>
            <w:tcW w:w="1181" w:type="dxa"/>
          </w:tcPr>
          <w:p>
            <w:pPr>
              <w:pStyle w:val="yTableNAm"/>
            </w:pPr>
            <w:r>
              <w:t>0.43</w:t>
            </w:r>
          </w:p>
        </w:tc>
        <w:tc>
          <w:tcPr>
            <w:tcW w:w="1418" w:type="dxa"/>
          </w:tcPr>
          <w:p>
            <w:pPr>
              <w:pStyle w:val="yTableNAm"/>
            </w:pPr>
            <w:r>
              <w:t>0.24</w:t>
            </w:r>
          </w:p>
        </w:tc>
        <w:tc>
          <w:tcPr>
            <w:tcW w:w="1417" w:type="dxa"/>
          </w:tcPr>
          <w:p>
            <w:pPr>
              <w:pStyle w:val="yTableNAm"/>
            </w:pPr>
            <w:r>
              <w:t>0.34</w:t>
            </w:r>
          </w:p>
        </w:tc>
        <w:tc>
          <w:tcPr>
            <w:tcW w:w="1407" w:type="dxa"/>
          </w:tcPr>
          <w:p>
            <w:pPr>
              <w:pStyle w:val="yTableNAm"/>
            </w:pPr>
            <w:r>
              <w:t>0.40</w:t>
            </w:r>
          </w:p>
        </w:tc>
      </w:tr>
      <w:tr>
        <w:trPr>
          <w:jc w:val="center"/>
        </w:trPr>
        <w:tc>
          <w:tcPr>
            <w:tcW w:w="1652" w:type="dxa"/>
          </w:tcPr>
          <w:p>
            <w:pPr>
              <w:pStyle w:val="yTableNAm"/>
            </w:pPr>
            <w:r>
              <w:t>2.20</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2.25</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2.30</w:t>
            </w:r>
          </w:p>
        </w:tc>
        <w:tc>
          <w:tcPr>
            <w:tcW w:w="1181" w:type="dxa"/>
          </w:tcPr>
          <w:p>
            <w:pPr>
              <w:pStyle w:val="yTableNAm"/>
            </w:pPr>
            <w:r>
              <w:t>0.41</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2.35</w:t>
            </w:r>
          </w:p>
        </w:tc>
        <w:tc>
          <w:tcPr>
            <w:tcW w:w="1181" w:type="dxa"/>
          </w:tcPr>
          <w:p>
            <w:pPr>
              <w:pStyle w:val="yTableNAm"/>
            </w:pPr>
            <w:r>
              <w:t>0.40</w:t>
            </w:r>
          </w:p>
        </w:tc>
        <w:tc>
          <w:tcPr>
            <w:tcW w:w="1418" w:type="dxa"/>
          </w:tcPr>
          <w:p>
            <w:pPr>
              <w:pStyle w:val="yTableNAm"/>
            </w:pPr>
            <w:r>
              <w:t>0.23</w:t>
            </w:r>
          </w:p>
        </w:tc>
        <w:tc>
          <w:tcPr>
            <w:tcW w:w="1417" w:type="dxa"/>
          </w:tcPr>
          <w:p>
            <w:pPr>
              <w:pStyle w:val="yTableNAm"/>
            </w:pPr>
            <w:r>
              <w:t>0.32</w:t>
            </w:r>
          </w:p>
        </w:tc>
        <w:tc>
          <w:tcPr>
            <w:tcW w:w="1407" w:type="dxa"/>
          </w:tcPr>
          <w:p>
            <w:pPr>
              <w:pStyle w:val="yTableNAm"/>
            </w:pPr>
            <w:r>
              <w:t>0.38</w:t>
            </w:r>
          </w:p>
        </w:tc>
      </w:tr>
      <w:tr>
        <w:trPr>
          <w:jc w:val="center"/>
        </w:trPr>
        <w:tc>
          <w:tcPr>
            <w:tcW w:w="1652" w:type="dxa"/>
          </w:tcPr>
          <w:p>
            <w:pPr>
              <w:pStyle w:val="yTableNAm"/>
            </w:pPr>
            <w:r>
              <w:t>2.40</w:t>
            </w:r>
          </w:p>
        </w:tc>
        <w:tc>
          <w:tcPr>
            <w:tcW w:w="1181" w:type="dxa"/>
          </w:tcPr>
          <w:p>
            <w:pPr>
              <w:pStyle w:val="yTableNAm"/>
            </w:pPr>
            <w:r>
              <w:t>0.39</w:t>
            </w:r>
          </w:p>
        </w:tc>
        <w:tc>
          <w:tcPr>
            <w:tcW w:w="1418" w:type="dxa"/>
          </w:tcPr>
          <w:p>
            <w:pPr>
              <w:pStyle w:val="yTableNAm"/>
            </w:pPr>
            <w:r>
              <w:t>0.23</w:t>
            </w:r>
          </w:p>
        </w:tc>
        <w:tc>
          <w:tcPr>
            <w:tcW w:w="1417" w:type="dxa"/>
          </w:tcPr>
          <w:p>
            <w:pPr>
              <w:pStyle w:val="yTableNAm"/>
            </w:pPr>
            <w:r>
              <w:t>0.32</w:t>
            </w:r>
          </w:p>
        </w:tc>
        <w:tc>
          <w:tcPr>
            <w:tcW w:w="1407" w:type="dxa"/>
          </w:tcPr>
          <w:p>
            <w:pPr>
              <w:pStyle w:val="yTableNAm"/>
            </w:pPr>
            <w:r>
              <w:t>0.37</w:t>
            </w:r>
          </w:p>
        </w:tc>
      </w:tr>
      <w:tr>
        <w:trPr>
          <w:jc w:val="center"/>
        </w:trPr>
        <w:tc>
          <w:tcPr>
            <w:tcW w:w="1652" w:type="dxa"/>
          </w:tcPr>
          <w:p>
            <w:pPr>
              <w:pStyle w:val="yTableNAm"/>
            </w:pPr>
            <w:r>
              <w:t>2.45</w:t>
            </w:r>
          </w:p>
        </w:tc>
        <w:tc>
          <w:tcPr>
            <w:tcW w:w="1181" w:type="dxa"/>
          </w:tcPr>
          <w:p>
            <w:pPr>
              <w:pStyle w:val="yTableNAm"/>
            </w:pPr>
            <w:r>
              <w:t>0.38</w:t>
            </w:r>
          </w:p>
        </w:tc>
        <w:tc>
          <w:tcPr>
            <w:tcW w:w="1418" w:type="dxa"/>
          </w:tcPr>
          <w:p>
            <w:pPr>
              <w:pStyle w:val="yTableNAm"/>
            </w:pPr>
            <w:r>
              <w:t>0.23</w:t>
            </w:r>
          </w:p>
        </w:tc>
        <w:tc>
          <w:tcPr>
            <w:tcW w:w="1417" w:type="dxa"/>
          </w:tcPr>
          <w:p>
            <w:pPr>
              <w:pStyle w:val="yTableNAm"/>
            </w:pPr>
            <w:r>
              <w:t>0.32</w:t>
            </w:r>
          </w:p>
        </w:tc>
        <w:tc>
          <w:tcPr>
            <w:tcW w:w="1407" w:type="dxa"/>
          </w:tcPr>
          <w:p>
            <w:pPr>
              <w:pStyle w:val="yTableNAm"/>
            </w:pPr>
            <w:r>
              <w:t>0.36</w:t>
            </w:r>
          </w:p>
        </w:tc>
      </w:tr>
      <w:tr>
        <w:trPr>
          <w:jc w:val="center"/>
        </w:trPr>
        <w:tc>
          <w:tcPr>
            <w:tcW w:w="1652" w:type="dxa"/>
          </w:tcPr>
          <w:p>
            <w:pPr>
              <w:pStyle w:val="yTableNAm"/>
            </w:pPr>
            <w:r>
              <w:t>2.50</w:t>
            </w:r>
          </w:p>
        </w:tc>
        <w:tc>
          <w:tcPr>
            <w:tcW w:w="1181" w:type="dxa"/>
          </w:tcPr>
          <w:p>
            <w:pPr>
              <w:pStyle w:val="yTableNAm"/>
            </w:pPr>
            <w:r>
              <w:t>0.37</w:t>
            </w:r>
          </w:p>
        </w:tc>
        <w:tc>
          <w:tcPr>
            <w:tcW w:w="1418" w:type="dxa"/>
          </w:tcPr>
          <w:p>
            <w:pPr>
              <w:pStyle w:val="yTableNAm"/>
            </w:pPr>
            <w:r>
              <w:t>0.23</w:t>
            </w:r>
          </w:p>
        </w:tc>
        <w:tc>
          <w:tcPr>
            <w:tcW w:w="1417" w:type="dxa"/>
          </w:tcPr>
          <w:p>
            <w:pPr>
              <w:pStyle w:val="yTableNAm"/>
            </w:pPr>
            <w:r>
              <w:t>0.31</w:t>
            </w:r>
          </w:p>
        </w:tc>
        <w:tc>
          <w:tcPr>
            <w:tcW w:w="1407" w:type="dxa"/>
          </w:tcPr>
          <w:p>
            <w:pPr>
              <w:pStyle w:val="yTableNAm"/>
            </w:pPr>
            <w:r>
              <w:t>0.35</w:t>
            </w:r>
          </w:p>
        </w:tc>
      </w:tr>
      <w:tr>
        <w:trPr>
          <w:jc w:val="center"/>
        </w:trPr>
        <w:tc>
          <w:tcPr>
            <w:tcW w:w="1652" w:type="dxa"/>
          </w:tcPr>
          <w:p>
            <w:pPr>
              <w:pStyle w:val="yTableNAm"/>
            </w:pPr>
            <w:r>
              <w:t>2.60</w:t>
            </w:r>
          </w:p>
        </w:tc>
        <w:tc>
          <w:tcPr>
            <w:tcW w:w="1181" w:type="dxa"/>
          </w:tcPr>
          <w:p>
            <w:pPr>
              <w:pStyle w:val="yTableNAm"/>
            </w:pPr>
            <w:r>
              <w:t>0.36</w:t>
            </w:r>
          </w:p>
        </w:tc>
        <w:tc>
          <w:tcPr>
            <w:tcW w:w="1418" w:type="dxa"/>
          </w:tcPr>
          <w:p>
            <w:pPr>
              <w:pStyle w:val="yTableNAm"/>
            </w:pPr>
            <w:r>
              <w:t>0.22</w:t>
            </w:r>
          </w:p>
        </w:tc>
        <w:tc>
          <w:tcPr>
            <w:tcW w:w="1417" w:type="dxa"/>
          </w:tcPr>
          <w:p>
            <w:pPr>
              <w:pStyle w:val="yTableNAm"/>
            </w:pPr>
            <w:r>
              <w:t>0.30</w:t>
            </w:r>
          </w:p>
        </w:tc>
        <w:tc>
          <w:tcPr>
            <w:tcW w:w="1407" w:type="dxa"/>
          </w:tcPr>
          <w:p>
            <w:pPr>
              <w:pStyle w:val="yTableNAm"/>
            </w:pPr>
            <w:r>
              <w:t>0.34</w:t>
            </w:r>
          </w:p>
        </w:tc>
      </w:tr>
      <w:tr>
        <w:trPr>
          <w:jc w:val="center"/>
        </w:trPr>
        <w:tc>
          <w:tcPr>
            <w:tcW w:w="1652" w:type="dxa"/>
          </w:tcPr>
          <w:p>
            <w:pPr>
              <w:pStyle w:val="yTableNAm"/>
            </w:pPr>
            <w:r>
              <w:t>2.70</w:t>
            </w:r>
          </w:p>
        </w:tc>
        <w:tc>
          <w:tcPr>
            <w:tcW w:w="1181" w:type="dxa"/>
          </w:tcPr>
          <w:p>
            <w:pPr>
              <w:pStyle w:val="yTableNAm"/>
            </w:pPr>
            <w:r>
              <w:t>0.35</w:t>
            </w:r>
          </w:p>
        </w:tc>
        <w:tc>
          <w:tcPr>
            <w:tcW w:w="1418" w:type="dxa"/>
          </w:tcPr>
          <w:p>
            <w:pPr>
              <w:pStyle w:val="yTableNAm"/>
            </w:pPr>
            <w:r>
              <w:t>0.22</w:t>
            </w:r>
          </w:p>
        </w:tc>
        <w:tc>
          <w:tcPr>
            <w:tcW w:w="1417" w:type="dxa"/>
          </w:tcPr>
          <w:p>
            <w:pPr>
              <w:pStyle w:val="yTableNAm"/>
            </w:pPr>
            <w:r>
              <w:t>0.30</w:t>
            </w:r>
          </w:p>
        </w:tc>
        <w:tc>
          <w:tcPr>
            <w:tcW w:w="1407" w:type="dxa"/>
          </w:tcPr>
          <w:p>
            <w:pPr>
              <w:pStyle w:val="yTableNAm"/>
            </w:pPr>
            <w:r>
              <w:t>0.33</w:t>
            </w:r>
          </w:p>
        </w:tc>
      </w:tr>
      <w:tr>
        <w:trPr>
          <w:jc w:val="center"/>
        </w:trPr>
        <w:tc>
          <w:tcPr>
            <w:tcW w:w="1652" w:type="dxa"/>
          </w:tcPr>
          <w:p>
            <w:pPr>
              <w:pStyle w:val="yTableNAm"/>
            </w:pPr>
            <w:r>
              <w:t>2.80</w:t>
            </w:r>
          </w:p>
        </w:tc>
        <w:tc>
          <w:tcPr>
            <w:tcW w:w="1181" w:type="dxa"/>
          </w:tcPr>
          <w:p>
            <w:pPr>
              <w:pStyle w:val="yTableNAm"/>
            </w:pPr>
            <w:r>
              <w:t>0.33</w:t>
            </w:r>
          </w:p>
        </w:tc>
        <w:tc>
          <w:tcPr>
            <w:tcW w:w="1418" w:type="dxa"/>
          </w:tcPr>
          <w:p>
            <w:pPr>
              <w:pStyle w:val="yTableNAm"/>
            </w:pPr>
            <w:r>
              <w:t>0.21</w:t>
            </w:r>
          </w:p>
        </w:tc>
        <w:tc>
          <w:tcPr>
            <w:tcW w:w="1417" w:type="dxa"/>
          </w:tcPr>
          <w:p>
            <w:pPr>
              <w:pStyle w:val="yTableNAm"/>
            </w:pPr>
            <w:r>
              <w:t>0.29</w:t>
            </w:r>
          </w:p>
        </w:tc>
        <w:tc>
          <w:tcPr>
            <w:tcW w:w="1407" w:type="dxa"/>
          </w:tcPr>
          <w:p>
            <w:pPr>
              <w:pStyle w:val="yTableNAm"/>
            </w:pPr>
            <w:r>
              <w:t>0.31</w:t>
            </w:r>
          </w:p>
        </w:tc>
      </w:tr>
      <w:tr>
        <w:trPr>
          <w:jc w:val="center"/>
        </w:trPr>
        <w:tc>
          <w:tcPr>
            <w:tcW w:w="1652" w:type="dxa"/>
          </w:tcPr>
          <w:p>
            <w:pPr>
              <w:pStyle w:val="yTableNAm"/>
            </w:pPr>
            <w:r>
              <w:t>2.90</w:t>
            </w:r>
          </w:p>
        </w:tc>
        <w:tc>
          <w:tcPr>
            <w:tcW w:w="1181" w:type="dxa"/>
          </w:tcPr>
          <w:p>
            <w:pPr>
              <w:pStyle w:val="yTableNAm"/>
            </w:pPr>
            <w:r>
              <w:t>0.32</w:t>
            </w:r>
          </w:p>
        </w:tc>
        <w:tc>
          <w:tcPr>
            <w:tcW w:w="1418" w:type="dxa"/>
          </w:tcPr>
          <w:p>
            <w:pPr>
              <w:pStyle w:val="yTableNAm"/>
            </w:pPr>
            <w:r>
              <w:t>0.21</w:t>
            </w:r>
          </w:p>
        </w:tc>
        <w:tc>
          <w:tcPr>
            <w:tcW w:w="1417" w:type="dxa"/>
          </w:tcPr>
          <w:p>
            <w:pPr>
              <w:pStyle w:val="yTableNAm"/>
            </w:pPr>
            <w:r>
              <w:t>0.29</w:t>
            </w:r>
          </w:p>
        </w:tc>
        <w:tc>
          <w:tcPr>
            <w:tcW w:w="1407" w:type="dxa"/>
          </w:tcPr>
          <w:p>
            <w:pPr>
              <w:pStyle w:val="yTableNAm"/>
            </w:pPr>
            <w:r>
              <w:t>0.30</w:t>
            </w:r>
          </w:p>
        </w:tc>
      </w:tr>
      <w:tr>
        <w:trPr>
          <w:jc w:val="center"/>
        </w:trPr>
        <w:tc>
          <w:tcPr>
            <w:tcW w:w="1652" w:type="dxa"/>
          </w:tcPr>
          <w:p>
            <w:pPr>
              <w:pStyle w:val="yTableNAm"/>
            </w:pPr>
            <w:r>
              <w:t>3.00</w:t>
            </w:r>
          </w:p>
        </w:tc>
        <w:tc>
          <w:tcPr>
            <w:tcW w:w="1181" w:type="dxa"/>
          </w:tcPr>
          <w:p>
            <w:pPr>
              <w:pStyle w:val="yTableNAm"/>
            </w:pPr>
            <w:r>
              <w:t>0.31</w:t>
            </w:r>
          </w:p>
        </w:tc>
        <w:tc>
          <w:tcPr>
            <w:tcW w:w="1418" w:type="dxa"/>
          </w:tcPr>
          <w:p>
            <w:pPr>
              <w:pStyle w:val="yTableNAm"/>
            </w:pPr>
            <w:r>
              <w:t>0.21</w:t>
            </w:r>
          </w:p>
        </w:tc>
        <w:tc>
          <w:tcPr>
            <w:tcW w:w="1417" w:type="dxa"/>
          </w:tcPr>
          <w:p>
            <w:pPr>
              <w:pStyle w:val="yTableNAm"/>
            </w:pPr>
            <w:r>
              <w:t>0.28</w:t>
            </w:r>
          </w:p>
        </w:tc>
        <w:tc>
          <w:tcPr>
            <w:tcW w:w="1407" w:type="dxa"/>
          </w:tcPr>
          <w:p>
            <w:pPr>
              <w:pStyle w:val="yTableNAm"/>
            </w:pPr>
            <w:r>
              <w:t>0.29</w:t>
            </w:r>
          </w:p>
        </w:tc>
      </w:tr>
      <w:tr>
        <w:trPr>
          <w:jc w:val="center"/>
        </w:trPr>
        <w:tc>
          <w:tcPr>
            <w:tcW w:w="1652" w:type="dxa"/>
          </w:tcPr>
          <w:p>
            <w:pPr>
              <w:pStyle w:val="yTableNAm"/>
            </w:pPr>
            <w:r>
              <w:t>3.10</w:t>
            </w:r>
          </w:p>
        </w:tc>
        <w:tc>
          <w:tcPr>
            <w:tcW w:w="1181" w:type="dxa"/>
          </w:tcPr>
          <w:p>
            <w:pPr>
              <w:pStyle w:val="yTableNAm"/>
            </w:pPr>
            <w:r>
              <w:t>0.30</w:t>
            </w:r>
          </w:p>
        </w:tc>
        <w:tc>
          <w:tcPr>
            <w:tcW w:w="1418" w:type="dxa"/>
          </w:tcPr>
          <w:p>
            <w:pPr>
              <w:pStyle w:val="yTableNAm"/>
            </w:pPr>
            <w:r>
              <w:t>0.20</w:t>
            </w:r>
          </w:p>
        </w:tc>
        <w:tc>
          <w:tcPr>
            <w:tcW w:w="1417" w:type="dxa"/>
          </w:tcPr>
          <w:p>
            <w:pPr>
              <w:pStyle w:val="yTableNAm"/>
            </w:pPr>
            <w:r>
              <w:t>0.27</w:t>
            </w:r>
          </w:p>
        </w:tc>
        <w:tc>
          <w:tcPr>
            <w:tcW w:w="1407" w:type="dxa"/>
          </w:tcPr>
          <w:p>
            <w:pPr>
              <w:pStyle w:val="yTableNAm"/>
            </w:pPr>
            <w:r>
              <w:t>0.28</w:t>
            </w:r>
          </w:p>
        </w:tc>
      </w:tr>
      <w:tr>
        <w:trPr>
          <w:jc w:val="center"/>
        </w:trPr>
        <w:tc>
          <w:tcPr>
            <w:tcW w:w="1652" w:type="dxa"/>
          </w:tcPr>
          <w:p>
            <w:pPr>
              <w:pStyle w:val="yTableNAm"/>
            </w:pPr>
            <w:r>
              <w:t>3.20</w:t>
            </w:r>
          </w:p>
        </w:tc>
        <w:tc>
          <w:tcPr>
            <w:tcW w:w="1181" w:type="dxa"/>
          </w:tcPr>
          <w:p>
            <w:pPr>
              <w:pStyle w:val="yTableNAm"/>
            </w:pPr>
            <w:r>
              <w:t>0.29</w:t>
            </w:r>
          </w:p>
        </w:tc>
        <w:tc>
          <w:tcPr>
            <w:tcW w:w="1418" w:type="dxa"/>
          </w:tcPr>
          <w:p>
            <w:pPr>
              <w:pStyle w:val="yTableNAm"/>
            </w:pPr>
            <w:r>
              <w:t>0.20</w:t>
            </w:r>
          </w:p>
        </w:tc>
        <w:tc>
          <w:tcPr>
            <w:tcW w:w="1417" w:type="dxa"/>
          </w:tcPr>
          <w:p>
            <w:pPr>
              <w:pStyle w:val="yTableNAm"/>
            </w:pPr>
            <w:r>
              <w:t>0.27</w:t>
            </w:r>
          </w:p>
        </w:tc>
        <w:tc>
          <w:tcPr>
            <w:tcW w:w="1407" w:type="dxa"/>
          </w:tcPr>
          <w:p>
            <w:pPr>
              <w:pStyle w:val="yTableNAm"/>
            </w:pPr>
            <w:r>
              <w:t>0.27</w:t>
            </w:r>
          </w:p>
        </w:tc>
      </w:tr>
      <w:tr>
        <w:trPr>
          <w:jc w:val="center"/>
        </w:trPr>
        <w:tc>
          <w:tcPr>
            <w:tcW w:w="1652" w:type="dxa"/>
          </w:tcPr>
          <w:p>
            <w:pPr>
              <w:pStyle w:val="yTableNAm"/>
            </w:pPr>
            <w:r>
              <w:t>3.30</w:t>
            </w:r>
          </w:p>
        </w:tc>
        <w:tc>
          <w:tcPr>
            <w:tcW w:w="1181" w:type="dxa"/>
          </w:tcPr>
          <w:p>
            <w:pPr>
              <w:pStyle w:val="yTableNAm"/>
            </w:pPr>
            <w:r>
              <w:t>0.28</w:t>
            </w:r>
          </w:p>
        </w:tc>
        <w:tc>
          <w:tcPr>
            <w:tcW w:w="1418" w:type="dxa"/>
          </w:tcPr>
          <w:p>
            <w:pPr>
              <w:pStyle w:val="yTableNAm"/>
            </w:pPr>
            <w:r>
              <w:t>0.20</w:t>
            </w:r>
          </w:p>
        </w:tc>
        <w:tc>
          <w:tcPr>
            <w:tcW w:w="1417" w:type="dxa"/>
          </w:tcPr>
          <w:p>
            <w:pPr>
              <w:pStyle w:val="yTableNAm"/>
            </w:pPr>
            <w:r>
              <w:t>0.26</w:t>
            </w:r>
          </w:p>
        </w:tc>
        <w:tc>
          <w:tcPr>
            <w:tcW w:w="1407" w:type="dxa"/>
          </w:tcPr>
          <w:p>
            <w:pPr>
              <w:pStyle w:val="yTableNAm"/>
            </w:pPr>
            <w:r>
              <w:t>0.26</w:t>
            </w:r>
          </w:p>
        </w:tc>
      </w:tr>
      <w:tr>
        <w:trPr>
          <w:jc w:val="center"/>
        </w:trPr>
        <w:tc>
          <w:tcPr>
            <w:tcW w:w="1652" w:type="dxa"/>
          </w:tcPr>
          <w:p>
            <w:pPr>
              <w:pStyle w:val="yTableNAm"/>
            </w:pPr>
            <w:r>
              <w:t>3.40</w:t>
            </w:r>
          </w:p>
        </w:tc>
        <w:tc>
          <w:tcPr>
            <w:tcW w:w="1181" w:type="dxa"/>
          </w:tcPr>
          <w:p>
            <w:pPr>
              <w:pStyle w:val="yTableNAm"/>
            </w:pPr>
            <w:r>
              <w:t>0.27</w:t>
            </w:r>
          </w:p>
        </w:tc>
        <w:tc>
          <w:tcPr>
            <w:tcW w:w="1418" w:type="dxa"/>
          </w:tcPr>
          <w:p>
            <w:pPr>
              <w:pStyle w:val="yTableNAm"/>
            </w:pPr>
            <w:r>
              <w:t>0.19</w:t>
            </w:r>
          </w:p>
        </w:tc>
        <w:tc>
          <w:tcPr>
            <w:tcW w:w="1417" w:type="dxa"/>
          </w:tcPr>
          <w:p>
            <w:pPr>
              <w:pStyle w:val="yTableNAm"/>
            </w:pPr>
            <w:r>
              <w:t>0.26</w:t>
            </w:r>
          </w:p>
        </w:tc>
        <w:tc>
          <w:tcPr>
            <w:tcW w:w="1407" w:type="dxa"/>
          </w:tcPr>
          <w:p>
            <w:pPr>
              <w:pStyle w:val="yTableNAm"/>
            </w:pPr>
            <w:r>
              <w:t>0.25</w:t>
            </w:r>
          </w:p>
        </w:tc>
      </w:tr>
      <w:tr>
        <w:trPr>
          <w:jc w:val="center"/>
        </w:trPr>
        <w:tc>
          <w:tcPr>
            <w:tcW w:w="1652" w:type="dxa"/>
          </w:tcPr>
          <w:p>
            <w:pPr>
              <w:pStyle w:val="yTableNAm"/>
            </w:pPr>
            <w:r>
              <w:t>3.50</w:t>
            </w:r>
          </w:p>
        </w:tc>
        <w:tc>
          <w:tcPr>
            <w:tcW w:w="1181" w:type="dxa"/>
          </w:tcPr>
          <w:p>
            <w:pPr>
              <w:pStyle w:val="yTableNAm"/>
            </w:pPr>
            <w:r>
              <w:t>0.27</w:t>
            </w:r>
          </w:p>
        </w:tc>
        <w:tc>
          <w:tcPr>
            <w:tcW w:w="1418" w:type="dxa"/>
          </w:tcPr>
          <w:p>
            <w:pPr>
              <w:pStyle w:val="yTableNAm"/>
            </w:pPr>
            <w:r>
              <w:t>0.19</w:t>
            </w:r>
          </w:p>
        </w:tc>
        <w:tc>
          <w:tcPr>
            <w:tcW w:w="1417" w:type="dxa"/>
          </w:tcPr>
          <w:p>
            <w:pPr>
              <w:pStyle w:val="yTableNAm"/>
            </w:pPr>
            <w:r>
              <w:t>0.25</w:t>
            </w:r>
          </w:p>
        </w:tc>
        <w:tc>
          <w:tcPr>
            <w:tcW w:w="1407" w:type="dxa"/>
          </w:tcPr>
          <w:p>
            <w:pPr>
              <w:pStyle w:val="yTableNAm"/>
            </w:pPr>
            <w:r>
              <w:t>0.25</w:t>
            </w:r>
          </w:p>
        </w:tc>
      </w:tr>
      <w:tr>
        <w:trPr>
          <w:jc w:val="center"/>
        </w:trPr>
        <w:tc>
          <w:tcPr>
            <w:tcW w:w="1652" w:type="dxa"/>
          </w:tcPr>
          <w:p>
            <w:pPr>
              <w:pStyle w:val="yTableNAm"/>
            </w:pPr>
            <w:r>
              <w:t>3.60</w:t>
            </w:r>
          </w:p>
        </w:tc>
        <w:tc>
          <w:tcPr>
            <w:tcW w:w="1181" w:type="dxa"/>
          </w:tcPr>
          <w:p>
            <w:pPr>
              <w:pStyle w:val="yTableNAm"/>
            </w:pPr>
            <w:r>
              <w:t>0.26</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3.70</w:t>
            </w:r>
          </w:p>
        </w:tc>
        <w:tc>
          <w:tcPr>
            <w:tcW w:w="1181" w:type="dxa"/>
          </w:tcPr>
          <w:p>
            <w:pPr>
              <w:pStyle w:val="yTableNAm"/>
            </w:pPr>
            <w:r>
              <w:t>0.25</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3.80</w:t>
            </w:r>
          </w:p>
        </w:tc>
        <w:tc>
          <w:tcPr>
            <w:tcW w:w="1181" w:type="dxa"/>
          </w:tcPr>
          <w:p>
            <w:pPr>
              <w:pStyle w:val="yTableNAm"/>
            </w:pPr>
            <w:r>
              <w:t>0.25</w:t>
            </w:r>
          </w:p>
        </w:tc>
        <w:tc>
          <w:tcPr>
            <w:tcW w:w="1418" w:type="dxa"/>
          </w:tcPr>
          <w:p>
            <w:pPr>
              <w:pStyle w:val="yTableNAm"/>
            </w:pPr>
            <w:r>
              <w:t>0.18</w:t>
            </w:r>
          </w:p>
        </w:tc>
        <w:tc>
          <w:tcPr>
            <w:tcW w:w="1417" w:type="dxa"/>
          </w:tcPr>
          <w:p>
            <w:pPr>
              <w:pStyle w:val="yTableNAm"/>
            </w:pPr>
            <w:r>
              <w:t>0.24</w:t>
            </w:r>
          </w:p>
        </w:tc>
        <w:tc>
          <w:tcPr>
            <w:tcW w:w="1407" w:type="dxa"/>
          </w:tcPr>
          <w:p>
            <w:pPr>
              <w:pStyle w:val="yTableNAm"/>
            </w:pPr>
            <w:r>
              <w:t>0.24</w:t>
            </w:r>
          </w:p>
        </w:tc>
      </w:tr>
      <w:tr>
        <w:trPr>
          <w:jc w:val="center"/>
        </w:trPr>
        <w:tc>
          <w:tcPr>
            <w:tcW w:w="1652" w:type="dxa"/>
          </w:tcPr>
          <w:p>
            <w:pPr>
              <w:pStyle w:val="yTableNAm"/>
            </w:pPr>
            <w:r>
              <w:t>3.90</w:t>
            </w:r>
          </w:p>
        </w:tc>
        <w:tc>
          <w:tcPr>
            <w:tcW w:w="1181" w:type="dxa"/>
          </w:tcPr>
          <w:p>
            <w:pPr>
              <w:pStyle w:val="yTableNAm"/>
            </w:pPr>
            <w:r>
              <w:t>0.24</w:t>
            </w:r>
          </w:p>
        </w:tc>
        <w:tc>
          <w:tcPr>
            <w:tcW w:w="1418" w:type="dxa"/>
          </w:tcPr>
          <w:p>
            <w:pPr>
              <w:pStyle w:val="yTableNAm"/>
            </w:pPr>
            <w:r>
              <w:t>0.18</w:t>
            </w:r>
          </w:p>
        </w:tc>
        <w:tc>
          <w:tcPr>
            <w:tcW w:w="1417" w:type="dxa"/>
          </w:tcPr>
          <w:p>
            <w:pPr>
              <w:pStyle w:val="yTableNAm"/>
            </w:pPr>
            <w:r>
              <w:t>0.24</w:t>
            </w:r>
          </w:p>
        </w:tc>
        <w:tc>
          <w:tcPr>
            <w:tcW w:w="1407" w:type="dxa"/>
          </w:tcPr>
          <w:p>
            <w:pPr>
              <w:pStyle w:val="yTableNAm"/>
            </w:pPr>
            <w:r>
              <w:t>0.23</w:t>
            </w:r>
          </w:p>
        </w:tc>
      </w:tr>
      <w:tr>
        <w:trPr>
          <w:jc w:val="center"/>
        </w:trPr>
        <w:tc>
          <w:tcPr>
            <w:tcW w:w="1652" w:type="dxa"/>
          </w:tcPr>
          <w:p>
            <w:pPr>
              <w:pStyle w:val="yTableNAm"/>
            </w:pPr>
            <w:r>
              <w:t>4.00</w:t>
            </w:r>
          </w:p>
        </w:tc>
        <w:tc>
          <w:tcPr>
            <w:tcW w:w="1181" w:type="dxa"/>
          </w:tcPr>
          <w:p>
            <w:pPr>
              <w:pStyle w:val="yTableNAm"/>
            </w:pPr>
            <w:r>
              <w:t>0.23</w:t>
            </w:r>
          </w:p>
        </w:tc>
        <w:tc>
          <w:tcPr>
            <w:tcW w:w="1418" w:type="dxa"/>
          </w:tcPr>
          <w:p>
            <w:pPr>
              <w:pStyle w:val="yTableNAm"/>
            </w:pPr>
            <w:r>
              <w:t>0.18</w:t>
            </w:r>
          </w:p>
        </w:tc>
        <w:tc>
          <w:tcPr>
            <w:tcW w:w="1417" w:type="dxa"/>
          </w:tcPr>
          <w:p>
            <w:pPr>
              <w:pStyle w:val="yTableNAm"/>
            </w:pPr>
            <w:r>
              <w:t>0.23</w:t>
            </w:r>
          </w:p>
        </w:tc>
        <w:tc>
          <w:tcPr>
            <w:tcW w:w="1407" w:type="dxa"/>
          </w:tcPr>
          <w:p>
            <w:pPr>
              <w:pStyle w:val="yTableNAm"/>
            </w:pPr>
            <w:r>
              <w:t>0.22</w:t>
            </w:r>
          </w:p>
        </w:tc>
      </w:tr>
      <w:tr>
        <w:trPr>
          <w:jc w:val="center"/>
        </w:trPr>
        <w:tc>
          <w:tcPr>
            <w:tcW w:w="1652" w:type="dxa"/>
          </w:tcPr>
          <w:p>
            <w:pPr>
              <w:pStyle w:val="yTableNAm"/>
            </w:pPr>
            <w:r>
              <w:t>4.20</w:t>
            </w:r>
          </w:p>
        </w:tc>
        <w:tc>
          <w:tcPr>
            <w:tcW w:w="1181" w:type="dxa"/>
          </w:tcPr>
          <w:p>
            <w:pPr>
              <w:pStyle w:val="yTableNAm"/>
            </w:pPr>
            <w:r>
              <w:t>0.22</w:t>
            </w:r>
          </w:p>
        </w:tc>
        <w:tc>
          <w:tcPr>
            <w:tcW w:w="1418" w:type="dxa"/>
          </w:tcPr>
          <w:p>
            <w:pPr>
              <w:pStyle w:val="yTableNAm"/>
            </w:pPr>
            <w:r>
              <w:t>0.17</w:t>
            </w:r>
          </w:p>
        </w:tc>
        <w:tc>
          <w:tcPr>
            <w:tcW w:w="1417" w:type="dxa"/>
          </w:tcPr>
          <w:p>
            <w:pPr>
              <w:pStyle w:val="yTableNAm"/>
            </w:pPr>
            <w:r>
              <w:t>0.23</w:t>
            </w:r>
          </w:p>
        </w:tc>
        <w:tc>
          <w:tcPr>
            <w:tcW w:w="1407" w:type="dxa"/>
          </w:tcPr>
          <w:p>
            <w:pPr>
              <w:pStyle w:val="yTableNAm"/>
            </w:pPr>
            <w:r>
              <w:t>0.21</w:t>
            </w:r>
          </w:p>
        </w:tc>
      </w:tr>
      <w:tr>
        <w:trPr>
          <w:jc w:val="center"/>
        </w:trPr>
        <w:tc>
          <w:tcPr>
            <w:tcW w:w="1652" w:type="dxa"/>
          </w:tcPr>
          <w:p>
            <w:pPr>
              <w:pStyle w:val="yTableNAm"/>
            </w:pPr>
            <w:r>
              <w:t>4.40</w:t>
            </w:r>
          </w:p>
        </w:tc>
        <w:tc>
          <w:tcPr>
            <w:tcW w:w="1181" w:type="dxa"/>
          </w:tcPr>
          <w:p>
            <w:pPr>
              <w:pStyle w:val="yTableNAm"/>
            </w:pPr>
            <w:r>
              <w:t>0.21</w:t>
            </w:r>
          </w:p>
        </w:tc>
        <w:tc>
          <w:tcPr>
            <w:tcW w:w="1418" w:type="dxa"/>
          </w:tcPr>
          <w:p>
            <w:pPr>
              <w:pStyle w:val="yTableNAm"/>
            </w:pPr>
            <w:r>
              <w:t>0.17</w:t>
            </w:r>
          </w:p>
        </w:tc>
        <w:tc>
          <w:tcPr>
            <w:tcW w:w="1417" w:type="dxa"/>
          </w:tcPr>
          <w:p>
            <w:pPr>
              <w:pStyle w:val="yTableNAm"/>
            </w:pPr>
            <w:r>
              <w:t>0.22</w:t>
            </w:r>
          </w:p>
        </w:tc>
        <w:tc>
          <w:tcPr>
            <w:tcW w:w="1407" w:type="dxa"/>
          </w:tcPr>
          <w:p>
            <w:pPr>
              <w:pStyle w:val="yTableNAm"/>
            </w:pPr>
            <w:r>
              <w:t>0.20</w:t>
            </w:r>
          </w:p>
        </w:tc>
      </w:tr>
      <w:tr>
        <w:trPr>
          <w:jc w:val="center"/>
        </w:trPr>
        <w:tc>
          <w:tcPr>
            <w:tcW w:w="1652" w:type="dxa"/>
          </w:tcPr>
          <w:p>
            <w:pPr>
              <w:pStyle w:val="yTableNAm"/>
            </w:pPr>
            <w:r>
              <w:t>4.60</w:t>
            </w:r>
          </w:p>
        </w:tc>
        <w:tc>
          <w:tcPr>
            <w:tcW w:w="1181" w:type="dxa"/>
          </w:tcPr>
          <w:p>
            <w:pPr>
              <w:pStyle w:val="yTableNAm"/>
            </w:pPr>
            <w:r>
              <w:t>0.20</w:t>
            </w:r>
          </w:p>
        </w:tc>
        <w:tc>
          <w:tcPr>
            <w:tcW w:w="1418" w:type="dxa"/>
          </w:tcPr>
          <w:p>
            <w:pPr>
              <w:pStyle w:val="yTableNAm"/>
            </w:pPr>
            <w:r>
              <w:t>0.16</w:t>
            </w:r>
          </w:p>
        </w:tc>
        <w:tc>
          <w:tcPr>
            <w:tcW w:w="1417" w:type="dxa"/>
          </w:tcPr>
          <w:p>
            <w:pPr>
              <w:pStyle w:val="yTableNAm"/>
            </w:pPr>
            <w:r>
              <w:t>0.21</w:t>
            </w:r>
          </w:p>
        </w:tc>
        <w:tc>
          <w:tcPr>
            <w:tcW w:w="1407" w:type="dxa"/>
          </w:tcPr>
          <w:p>
            <w:pPr>
              <w:pStyle w:val="yTableNAm"/>
            </w:pPr>
            <w:r>
              <w:t>0.19</w:t>
            </w:r>
          </w:p>
        </w:tc>
      </w:tr>
      <w:tr>
        <w:trPr>
          <w:jc w:val="center"/>
        </w:trPr>
        <w:tc>
          <w:tcPr>
            <w:tcW w:w="1652" w:type="dxa"/>
          </w:tcPr>
          <w:p>
            <w:pPr>
              <w:pStyle w:val="yTableNAm"/>
            </w:pPr>
            <w:r>
              <w:t>4.80</w:t>
            </w:r>
          </w:p>
        </w:tc>
        <w:tc>
          <w:tcPr>
            <w:tcW w:w="1181" w:type="dxa"/>
          </w:tcPr>
          <w:p>
            <w:pPr>
              <w:pStyle w:val="yTableNAm"/>
            </w:pPr>
            <w:r>
              <w:t>0.19</w:t>
            </w:r>
          </w:p>
        </w:tc>
        <w:tc>
          <w:tcPr>
            <w:tcW w:w="1418" w:type="dxa"/>
          </w:tcPr>
          <w:p>
            <w:pPr>
              <w:pStyle w:val="yTableNAm"/>
            </w:pPr>
            <w:r>
              <w:t>0.16</w:t>
            </w:r>
          </w:p>
        </w:tc>
        <w:tc>
          <w:tcPr>
            <w:tcW w:w="1417" w:type="dxa"/>
          </w:tcPr>
          <w:p>
            <w:pPr>
              <w:pStyle w:val="yTableNAm"/>
            </w:pPr>
            <w:r>
              <w:t>0.21</w:t>
            </w:r>
          </w:p>
        </w:tc>
        <w:tc>
          <w:tcPr>
            <w:tcW w:w="1407" w:type="dxa"/>
          </w:tcPr>
          <w:p>
            <w:pPr>
              <w:pStyle w:val="yTableNAm"/>
            </w:pPr>
            <w:r>
              <w:t>0.18</w:t>
            </w:r>
          </w:p>
        </w:tc>
      </w:tr>
      <w:tr>
        <w:trPr>
          <w:jc w:val="center"/>
        </w:trPr>
        <w:tc>
          <w:tcPr>
            <w:tcW w:w="1652" w:type="dxa"/>
          </w:tcPr>
          <w:p>
            <w:pPr>
              <w:pStyle w:val="yTableNAm"/>
            </w:pPr>
            <w:r>
              <w:t>5.00</w:t>
            </w:r>
          </w:p>
        </w:tc>
        <w:tc>
          <w:tcPr>
            <w:tcW w:w="1181" w:type="dxa"/>
          </w:tcPr>
          <w:p>
            <w:pPr>
              <w:pStyle w:val="yTableNAm"/>
            </w:pPr>
            <w:r>
              <w:t>0.19</w:t>
            </w:r>
          </w:p>
        </w:tc>
        <w:tc>
          <w:tcPr>
            <w:tcW w:w="1418" w:type="dxa"/>
          </w:tcPr>
          <w:p>
            <w:pPr>
              <w:pStyle w:val="yTableNAm"/>
            </w:pPr>
            <w:r>
              <w:t>0.16</w:t>
            </w:r>
          </w:p>
        </w:tc>
        <w:tc>
          <w:tcPr>
            <w:tcW w:w="1417" w:type="dxa"/>
          </w:tcPr>
          <w:p>
            <w:pPr>
              <w:pStyle w:val="yTableNAm"/>
            </w:pPr>
            <w:r>
              <w:t>0.20</w:t>
            </w:r>
          </w:p>
        </w:tc>
        <w:tc>
          <w:tcPr>
            <w:tcW w:w="1407" w:type="dxa"/>
          </w:tcPr>
          <w:p>
            <w:pPr>
              <w:pStyle w:val="yTableNAm"/>
            </w:pPr>
            <w:r>
              <w:t>0.18</w:t>
            </w:r>
          </w:p>
        </w:tc>
      </w:tr>
      <w:tr>
        <w:trPr>
          <w:jc w:val="center"/>
        </w:trPr>
        <w:tc>
          <w:tcPr>
            <w:tcW w:w="1652" w:type="dxa"/>
          </w:tcPr>
          <w:p>
            <w:pPr>
              <w:pStyle w:val="yTableNAm"/>
            </w:pPr>
            <w:r>
              <w:t>5.50</w:t>
            </w:r>
          </w:p>
        </w:tc>
        <w:tc>
          <w:tcPr>
            <w:tcW w:w="1181" w:type="dxa"/>
          </w:tcPr>
          <w:p>
            <w:pPr>
              <w:pStyle w:val="yTableNAm"/>
            </w:pPr>
            <w:r>
              <w:t>0.17</w:t>
            </w:r>
          </w:p>
        </w:tc>
        <w:tc>
          <w:tcPr>
            <w:tcW w:w="1418" w:type="dxa"/>
          </w:tcPr>
          <w:p>
            <w:pPr>
              <w:pStyle w:val="yTableNAm"/>
            </w:pPr>
            <w:r>
              <w:t>0.15</w:t>
            </w:r>
          </w:p>
        </w:tc>
        <w:tc>
          <w:tcPr>
            <w:tcW w:w="1417" w:type="dxa"/>
          </w:tcPr>
          <w:p>
            <w:pPr>
              <w:pStyle w:val="yTableNAm"/>
            </w:pPr>
            <w:r>
              <w:t>0.19</w:t>
            </w:r>
          </w:p>
        </w:tc>
        <w:tc>
          <w:tcPr>
            <w:tcW w:w="1407" w:type="dxa"/>
          </w:tcPr>
          <w:p>
            <w:pPr>
              <w:pStyle w:val="yTableNAm"/>
            </w:pPr>
            <w:r>
              <w:t>0.17</w:t>
            </w:r>
          </w:p>
        </w:tc>
      </w:tr>
      <w:tr>
        <w:trPr>
          <w:jc w:val="center"/>
        </w:trPr>
        <w:tc>
          <w:tcPr>
            <w:tcW w:w="1652" w:type="dxa"/>
          </w:tcPr>
          <w:p>
            <w:pPr>
              <w:pStyle w:val="yTableNAm"/>
            </w:pPr>
            <w:r>
              <w:t>6.00</w:t>
            </w:r>
          </w:p>
        </w:tc>
        <w:tc>
          <w:tcPr>
            <w:tcW w:w="1181" w:type="dxa"/>
          </w:tcPr>
          <w:p>
            <w:pPr>
              <w:pStyle w:val="yTableNAm"/>
            </w:pPr>
            <w:r>
              <w:t>0.16</w:t>
            </w:r>
          </w:p>
        </w:tc>
        <w:tc>
          <w:tcPr>
            <w:tcW w:w="1418" w:type="dxa"/>
          </w:tcPr>
          <w:p>
            <w:pPr>
              <w:pStyle w:val="yTableNAm"/>
            </w:pPr>
            <w:r>
              <w:t>0.14</w:t>
            </w:r>
          </w:p>
        </w:tc>
        <w:tc>
          <w:tcPr>
            <w:tcW w:w="1417" w:type="dxa"/>
          </w:tcPr>
          <w:p>
            <w:pPr>
              <w:pStyle w:val="yTableNAm"/>
            </w:pPr>
            <w:r>
              <w:t>0.18</w:t>
            </w:r>
          </w:p>
        </w:tc>
        <w:tc>
          <w:tcPr>
            <w:tcW w:w="1407" w:type="dxa"/>
          </w:tcPr>
          <w:p>
            <w:pPr>
              <w:pStyle w:val="yTableNAm"/>
            </w:pPr>
            <w:r>
              <w:t>0.16</w:t>
            </w:r>
          </w:p>
        </w:tc>
      </w:tr>
      <w:tr>
        <w:trPr>
          <w:jc w:val="center"/>
        </w:trPr>
        <w:tc>
          <w:tcPr>
            <w:tcW w:w="1652" w:type="dxa"/>
          </w:tcPr>
          <w:p>
            <w:pPr>
              <w:pStyle w:val="yTableNAm"/>
            </w:pPr>
            <w:r>
              <w:t>6.50</w:t>
            </w:r>
          </w:p>
        </w:tc>
        <w:tc>
          <w:tcPr>
            <w:tcW w:w="1181" w:type="dxa"/>
          </w:tcPr>
          <w:p>
            <w:pPr>
              <w:pStyle w:val="yTableNAm"/>
            </w:pPr>
            <w:r>
              <w:t>0.14</w:t>
            </w:r>
          </w:p>
        </w:tc>
        <w:tc>
          <w:tcPr>
            <w:tcW w:w="1418" w:type="dxa"/>
          </w:tcPr>
          <w:p>
            <w:pPr>
              <w:pStyle w:val="yTableNAm"/>
            </w:pPr>
            <w:r>
              <w:t>0.13</w:t>
            </w:r>
          </w:p>
        </w:tc>
        <w:tc>
          <w:tcPr>
            <w:tcW w:w="1417" w:type="dxa"/>
          </w:tcPr>
          <w:p>
            <w:pPr>
              <w:pStyle w:val="yTableNAm"/>
            </w:pPr>
            <w:r>
              <w:t>0.16</w:t>
            </w:r>
          </w:p>
        </w:tc>
        <w:tc>
          <w:tcPr>
            <w:tcW w:w="1407" w:type="dxa"/>
          </w:tcPr>
          <w:p>
            <w:pPr>
              <w:pStyle w:val="yTableNAm"/>
            </w:pPr>
            <w:r>
              <w:t>0.14</w:t>
            </w:r>
          </w:p>
        </w:tc>
      </w:tr>
      <w:tr>
        <w:trPr>
          <w:jc w:val="center"/>
        </w:trPr>
        <w:tc>
          <w:tcPr>
            <w:tcW w:w="1652" w:type="dxa"/>
          </w:tcPr>
          <w:p>
            <w:pPr>
              <w:pStyle w:val="yTableNAm"/>
            </w:pPr>
            <w:r>
              <w:t>7.00</w:t>
            </w:r>
          </w:p>
        </w:tc>
        <w:tc>
          <w:tcPr>
            <w:tcW w:w="1181" w:type="dxa"/>
          </w:tcPr>
          <w:p>
            <w:pPr>
              <w:pStyle w:val="yTableNAm"/>
            </w:pPr>
            <w:r>
              <w:t>0.13</w:t>
            </w:r>
          </w:p>
        </w:tc>
        <w:tc>
          <w:tcPr>
            <w:tcW w:w="1418" w:type="dxa"/>
          </w:tcPr>
          <w:p>
            <w:pPr>
              <w:pStyle w:val="yTableNAm"/>
            </w:pPr>
            <w:r>
              <w:t>0.12</w:t>
            </w:r>
          </w:p>
        </w:tc>
        <w:tc>
          <w:tcPr>
            <w:tcW w:w="1417" w:type="dxa"/>
          </w:tcPr>
          <w:p>
            <w:pPr>
              <w:pStyle w:val="yTableNAm"/>
            </w:pPr>
            <w:r>
              <w:t>0.16</w:t>
            </w:r>
          </w:p>
        </w:tc>
        <w:tc>
          <w:tcPr>
            <w:tcW w:w="1407" w:type="dxa"/>
          </w:tcPr>
          <w:p>
            <w:pPr>
              <w:pStyle w:val="yTableNAm"/>
            </w:pPr>
            <w:r>
              <w:t>0.13</w:t>
            </w:r>
          </w:p>
        </w:tc>
      </w:tr>
      <w:tr>
        <w:trPr>
          <w:jc w:val="center"/>
        </w:trPr>
        <w:tc>
          <w:tcPr>
            <w:tcW w:w="1652" w:type="dxa"/>
          </w:tcPr>
          <w:p>
            <w:pPr>
              <w:pStyle w:val="yTableNAm"/>
            </w:pPr>
            <w:r>
              <w:t>7.50</w:t>
            </w:r>
          </w:p>
        </w:tc>
        <w:tc>
          <w:tcPr>
            <w:tcW w:w="1181" w:type="dxa"/>
          </w:tcPr>
          <w:p>
            <w:pPr>
              <w:pStyle w:val="yTableNAm"/>
            </w:pPr>
            <w:r>
              <w:t>0.12</w:t>
            </w:r>
          </w:p>
        </w:tc>
        <w:tc>
          <w:tcPr>
            <w:tcW w:w="1418" w:type="dxa"/>
          </w:tcPr>
          <w:p>
            <w:pPr>
              <w:pStyle w:val="yTableNAm"/>
            </w:pPr>
            <w:r>
              <w:t>0.12</w:t>
            </w:r>
          </w:p>
        </w:tc>
        <w:tc>
          <w:tcPr>
            <w:tcW w:w="1417" w:type="dxa"/>
          </w:tcPr>
          <w:p>
            <w:pPr>
              <w:pStyle w:val="yTableNAm"/>
            </w:pPr>
            <w:r>
              <w:t>0.15</w:t>
            </w:r>
          </w:p>
        </w:tc>
        <w:tc>
          <w:tcPr>
            <w:tcW w:w="1407" w:type="dxa"/>
          </w:tcPr>
          <w:p>
            <w:pPr>
              <w:pStyle w:val="yTableNAm"/>
            </w:pPr>
            <w:r>
              <w:t>0.12</w:t>
            </w:r>
          </w:p>
        </w:tc>
      </w:tr>
      <w:tr>
        <w:trPr>
          <w:jc w:val="center"/>
        </w:trPr>
        <w:tc>
          <w:tcPr>
            <w:tcW w:w="1652" w:type="dxa"/>
          </w:tcPr>
          <w:p>
            <w:pPr>
              <w:pStyle w:val="yTableNAm"/>
            </w:pPr>
            <w:r>
              <w:t>8.00</w:t>
            </w:r>
          </w:p>
        </w:tc>
        <w:tc>
          <w:tcPr>
            <w:tcW w:w="1181" w:type="dxa"/>
          </w:tcPr>
          <w:p>
            <w:pPr>
              <w:pStyle w:val="yTableNAm"/>
            </w:pPr>
            <w:r>
              <w:t>0.12</w:t>
            </w:r>
          </w:p>
        </w:tc>
        <w:tc>
          <w:tcPr>
            <w:tcW w:w="1418" w:type="dxa"/>
          </w:tcPr>
          <w:p>
            <w:pPr>
              <w:pStyle w:val="yTableNAm"/>
            </w:pPr>
            <w:r>
              <w:t>0.11</w:t>
            </w:r>
          </w:p>
        </w:tc>
        <w:tc>
          <w:tcPr>
            <w:tcW w:w="1417" w:type="dxa"/>
          </w:tcPr>
          <w:p>
            <w:pPr>
              <w:pStyle w:val="yTableNAm"/>
            </w:pPr>
            <w:r>
              <w:t>0.14</w:t>
            </w:r>
          </w:p>
        </w:tc>
        <w:tc>
          <w:tcPr>
            <w:tcW w:w="1407" w:type="dxa"/>
          </w:tcPr>
          <w:p>
            <w:pPr>
              <w:pStyle w:val="yTableNAm"/>
            </w:pPr>
            <w:r>
              <w:t>0.12</w:t>
            </w:r>
          </w:p>
        </w:tc>
      </w:tr>
      <w:tr>
        <w:trPr>
          <w:jc w:val="center"/>
        </w:trPr>
        <w:tc>
          <w:tcPr>
            <w:tcW w:w="1652" w:type="dxa"/>
          </w:tcPr>
          <w:p>
            <w:pPr>
              <w:pStyle w:val="yTableNAm"/>
            </w:pPr>
            <w:r>
              <w:t>8.50</w:t>
            </w:r>
          </w:p>
        </w:tc>
        <w:tc>
          <w:tcPr>
            <w:tcW w:w="1181" w:type="dxa"/>
          </w:tcPr>
          <w:p>
            <w:pPr>
              <w:pStyle w:val="yTableNAm"/>
            </w:pPr>
            <w:r>
              <w:t>0.11</w:t>
            </w:r>
          </w:p>
        </w:tc>
        <w:tc>
          <w:tcPr>
            <w:tcW w:w="1418" w:type="dxa"/>
          </w:tcPr>
          <w:p>
            <w:pPr>
              <w:pStyle w:val="yTableNAm"/>
            </w:pPr>
            <w:r>
              <w:t>0.11</w:t>
            </w:r>
          </w:p>
        </w:tc>
        <w:tc>
          <w:tcPr>
            <w:tcW w:w="1417" w:type="dxa"/>
          </w:tcPr>
          <w:p>
            <w:pPr>
              <w:pStyle w:val="yTableNAm"/>
            </w:pPr>
            <w:r>
              <w:t>0.13</w:t>
            </w:r>
          </w:p>
        </w:tc>
        <w:tc>
          <w:tcPr>
            <w:tcW w:w="1407" w:type="dxa"/>
          </w:tcPr>
          <w:p>
            <w:pPr>
              <w:pStyle w:val="yTableNAm"/>
            </w:pPr>
            <w:r>
              <w:t>0.11</w:t>
            </w:r>
          </w:p>
        </w:tc>
      </w:tr>
      <w:tr>
        <w:trPr>
          <w:jc w:val="center"/>
        </w:trPr>
        <w:tc>
          <w:tcPr>
            <w:tcW w:w="1652" w:type="dxa"/>
          </w:tcPr>
          <w:p>
            <w:pPr>
              <w:pStyle w:val="yTableNAm"/>
            </w:pPr>
            <w:r>
              <w:t>9.00</w:t>
            </w:r>
          </w:p>
        </w:tc>
        <w:tc>
          <w:tcPr>
            <w:tcW w:w="1181" w:type="dxa"/>
          </w:tcPr>
          <w:p>
            <w:pPr>
              <w:pStyle w:val="yTableNAm"/>
            </w:pPr>
            <w:r>
              <w:t>0.10</w:t>
            </w:r>
          </w:p>
        </w:tc>
        <w:tc>
          <w:tcPr>
            <w:tcW w:w="1418" w:type="dxa"/>
          </w:tcPr>
          <w:p>
            <w:pPr>
              <w:pStyle w:val="yTableNAm"/>
            </w:pPr>
            <w:r>
              <w:t>0.10</w:t>
            </w:r>
          </w:p>
        </w:tc>
        <w:tc>
          <w:tcPr>
            <w:tcW w:w="1417" w:type="dxa"/>
          </w:tcPr>
          <w:p>
            <w:pPr>
              <w:pStyle w:val="yTableNAm"/>
            </w:pPr>
            <w:r>
              <w:t>0.13</w:t>
            </w:r>
          </w:p>
        </w:tc>
        <w:tc>
          <w:tcPr>
            <w:tcW w:w="1407" w:type="dxa"/>
          </w:tcPr>
          <w:p>
            <w:pPr>
              <w:pStyle w:val="yTableNAm"/>
            </w:pPr>
            <w:r>
              <w:t>0.10</w:t>
            </w:r>
          </w:p>
        </w:tc>
      </w:tr>
      <w:tr>
        <w:trPr>
          <w:jc w:val="center"/>
        </w:trPr>
        <w:tc>
          <w:tcPr>
            <w:tcW w:w="1652" w:type="dxa"/>
          </w:tcPr>
          <w:p>
            <w:pPr>
              <w:pStyle w:val="yTableNAm"/>
            </w:pPr>
            <w:r>
              <w:t>9.50</w:t>
            </w:r>
          </w:p>
        </w:tc>
        <w:tc>
          <w:tcPr>
            <w:tcW w:w="1181" w:type="dxa"/>
          </w:tcPr>
          <w:p>
            <w:pPr>
              <w:pStyle w:val="yTableNAm"/>
            </w:pPr>
            <w:r>
              <w:t>0.10</w:t>
            </w:r>
          </w:p>
        </w:tc>
        <w:tc>
          <w:tcPr>
            <w:tcW w:w="1418" w:type="dxa"/>
          </w:tcPr>
          <w:p>
            <w:pPr>
              <w:pStyle w:val="yTableNAm"/>
            </w:pPr>
            <w:r>
              <w:t>0.10</w:t>
            </w:r>
          </w:p>
        </w:tc>
        <w:tc>
          <w:tcPr>
            <w:tcW w:w="1417" w:type="dxa"/>
          </w:tcPr>
          <w:p>
            <w:pPr>
              <w:pStyle w:val="yTableNAm"/>
            </w:pPr>
            <w:r>
              <w:t>0.12</w:t>
            </w:r>
          </w:p>
        </w:tc>
        <w:tc>
          <w:tcPr>
            <w:tcW w:w="1407" w:type="dxa"/>
          </w:tcPr>
          <w:p>
            <w:pPr>
              <w:pStyle w:val="yTableNAm"/>
            </w:pPr>
            <w:r>
              <w:t>0.10</w:t>
            </w:r>
          </w:p>
        </w:tc>
      </w:tr>
      <w:tr>
        <w:trPr>
          <w:jc w:val="center"/>
        </w:trPr>
        <w:tc>
          <w:tcPr>
            <w:tcW w:w="1652" w:type="dxa"/>
          </w:tcPr>
          <w:p>
            <w:pPr>
              <w:pStyle w:val="yTableNAm"/>
            </w:pPr>
            <w:r>
              <w:t>10.00</w:t>
            </w:r>
          </w:p>
        </w:tc>
        <w:tc>
          <w:tcPr>
            <w:tcW w:w="1181" w:type="dxa"/>
          </w:tcPr>
          <w:p>
            <w:pPr>
              <w:pStyle w:val="yTableNAm"/>
            </w:pPr>
            <w:r>
              <w:t>0.09</w:t>
            </w:r>
          </w:p>
        </w:tc>
        <w:tc>
          <w:tcPr>
            <w:tcW w:w="1418" w:type="dxa"/>
          </w:tcPr>
          <w:p>
            <w:pPr>
              <w:pStyle w:val="yTableNAm"/>
            </w:pPr>
            <w:r>
              <w:t>0.10</w:t>
            </w:r>
          </w:p>
        </w:tc>
        <w:tc>
          <w:tcPr>
            <w:tcW w:w="1417" w:type="dxa"/>
          </w:tcPr>
          <w:p>
            <w:pPr>
              <w:pStyle w:val="yTableNAm"/>
            </w:pPr>
            <w:r>
              <w:t>0.12</w:t>
            </w:r>
          </w:p>
        </w:tc>
        <w:tc>
          <w:tcPr>
            <w:tcW w:w="1407" w:type="dxa"/>
          </w:tcPr>
          <w:p>
            <w:pPr>
              <w:pStyle w:val="yTableNAm"/>
            </w:pPr>
            <w:r>
              <w:t>0.09</w:t>
            </w:r>
          </w:p>
        </w:tc>
      </w:tr>
      <w:tr>
        <w:trPr>
          <w:jc w:val="center"/>
        </w:trPr>
        <w:tc>
          <w:tcPr>
            <w:tcW w:w="1652" w:type="dxa"/>
          </w:tcPr>
          <w:p>
            <w:pPr>
              <w:pStyle w:val="yTableNAm"/>
            </w:pPr>
            <w:r>
              <w:t>11.00</w:t>
            </w:r>
          </w:p>
        </w:tc>
        <w:tc>
          <w:tcPr>
            <w:tcW w:w="1181" w:type="dxa"/>
          </w:tcPr>
          <w:p>
            <w:pPr>
              <w:pStyle w:val="yTableNAm"/>
            </w:pPr>
            <w:r>
              <w:t>0.08</w:t>
            </w:r>
          </w:p>
        </w:tc>
        <w:tc>
          <w:tcPr>
            <w:tcW w:w="1418" w:type="dxa"/>
          </w:tcPr>
          <w:p>
            <w:pPr>
              <w:pStyle w:val="yTableNAm"/>
            </w:pPr>
            <w:r>
              <w:t>0.09</w:t>
            </w:r>
          </w:p>
        </w:tc>
        <w:tc>
          <w:tcPr>
            <w:tcW w:w="1417" w:type="dxa"/>
          </w:tcPr>
          <w:p>
            <w:pPr>
              <w:pStyle w:val="yTableNAm"/>
            </w:pPr>
            <w:r>
              <w:t>0.11</w:t>
            </w:r>
          </w:p>
        </w:tc>
        <w:tc>
          <w:tcPr>
            <w:tcW w:w="1407" w:type="dxa"/>
          </w:tcPr>
          <w:p>
            <w:pPr>
              <w:pStyle w:val="yTableNAm"/>
            </w:pPr>
            <w:r>
              <w:t>0.08</w:t>
            </w:r>
          </w:p>
        </w:tc>
      </w:tr>
      <w:tr>
        <w:trPr>
          <w:jc w:val="center"/>
        </w:trPr>
        <w:tc>
          <w:tcPr>
            <w:tcW w:w="1652" w:type="dxa"/>
          </w:tcPr>
          <w:p>
            <w:pPr>
              <w:pStyle w:val="yTableNAm"/>
            </w:pPr>
            <w:r>
              <w:t>12.00</w:t>
            </w:r>
          </w:p>
        </w:tc>
        <w:tc>
          <w:tcPr>
            <w:tcW w:w="1181" w:type="dxa"/>
          </w:tcPr>
          <w:p>
            <w:pPr>
              <w:pStyle w:val="yTableNAm"/>
            </w:pPr>
            <w:r>
              <w:t>0.08</w:t>
            </w:r>
          </w:p>
        </w:tc>
        <w:tc>
          <w:tcPr>
            <w:tcW w:w="1418" w:type="dxa"/>
          </w:tcPr>
          <w:p>
            <w:pPr>
              <w:pStyle w:val="yTableNAm"/>
            </w:pPr>
            <w:r>
              <w:t>0.08</w:t>
            </w:r>
          </w:p>
        </w:tc>
        <w:tc>
          <w:tcPr>
            <w:tcW w:w="1417" w:type="dxa"/>
          </w:tcPr>
          <w:p>
            <w:pPr>
              <w:pStyle w:val="yTableNAm"/>
            </w:pPr>
            <w:r>
              <w:t>0.10</w:t>
            </w:r>
          </w:p>
        </w:tc>
        <w:tc>
          <w:tcPr>
            <w:tcW w:w="1407" w:type="dxa"/>
          </w:tcPr>
          <w:p>
            <w:pPr>
              <w:pStyle w:val="yTableNAm"/>
            </w:pPr>
            <w:r>
              <w:t>0.08</w:t>
            </w:r>
          </w:p>
        </w:tc>
      </w:tr>
      <w:tr>
        <w:trPr>
          <w:jc w:val="center"/>
        </w:trPr>
        <w:tc>
          <w:tcPr>
            <w:tcW w:w="1652" w:type="dxa"/>
          </w:tcPr>
          <w:p>
            <w:pPr>
              <w:pStyle w:val="yTableNAm"/>
            </w:pPr>
            <w:r>
              <w:t>13.00</w:t>
            </w:r>
          </w:p>
        </w:tc>
        <w:tc>
          <w:tcPr>
            <w:tcW w:w="1181" w:type="dxa"/>
          </w:tcPr>
          <w:p>
            <w:pPr>
              <w:pStyle w:val="yTableNAm"/>
            </w:pPr>
            <w:r>
              <w:t>0.07</w:t>
            </w:r>
          </w:p>
        </w:tc>
        <w:tc>
          <w:tcPr>
            <w:tcW w:w="1418" w:type="dxa"/>
          </w:tcPr>
          <w:p>
            <w:pPr>
              <w:pStyle w:val="yTableNAm"/>
            </w:pPr>
            <w:r>
              <w:t>0.08</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14.00</w:t>
            </w:r>
          </w:p>
        </w:tc>
        <w:tc>
          <w:tcPr>
            <w:tcW w:w="1181" w:type="dxa"/>
          </w:tcPr>
          <w:p>
            <w:pPr>
              <w:pStyle w:val="yTableNAm"/>
            </w:pPr>
            <w:r>
              <w:t>0.07</w:t>
            </w:r>
          </w:p>
        </w:tc>
        <w:tc>
          <w:tcPr>
            <w:tcW w:w="1418" w:type="dxa"/>
          </w:tcPr>
          <w:p>
            <w:pPr>
              <w:pStyle w:val="yTableNAm"/>
            </w:pPr>
            <w:r>
              <w:t>0.07</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15.00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16.00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17.00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18.00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19.00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20.00</w:t>
            </w:r>
          </w:p>
        </w:tc>
        <w:tc>
          <w:tcPr>
            <w:tcW w:w="1181" w:type="dxa"/>
          </w:tcPr>
          <w:p>
            <w:pPr>
              <w:pStyle w:val="yTableNAm"/>
            </w:pPr>
            <w:r>
              <w:t>0.05</w:t>
            </w:r>
          </w:p>
        </w:tc>
        <w:tc>
          <w:tcPr>
            <w:tcW w:w="1418" w:type="dxa"/>
          </w:tcPr>
          <w:p>
            <w:pPr>
              <w:pStyle w:val="yTableNAm"/>
            </w:pPr>
            <w:r>
              <w:t>0.05</w:t>
            </w:r>
          </w:p>
        </w:tc>
        <w:tc>
          <w:tcPr>
            <w:tcW w:w="1417" w:type="dxa"/>
          </w:tcPr>
          <w:p>
            <w:pPr>
              <w:pStyle w:val="yTableNAm"/>
            </w:pPr>
            <w:r>
              <w:t>0.06</w:t>
            </w:r>
          </w:p>
        </w:tc>
        <w:tc>
          <w:tcPr>
            <w:tcW w:w="1407" w:type="dxa"/>
          </w:tcPr>
          <w:p>
            <w:pPr>
              <w:pStyle w:val="yTableNAm"/>
            </w:pPr>
            <w:r>
              <w:t>0.05</w:t>
            </w:r>
          </w:p>
        </w:tc>
      </w:tr>
      <w:tr>
        <w:trPr>
          <w:jc w:val="center"/>
        </w:trPr>
        <w:tc>
          <w:tcPr>
            <w:tcW w:w="1652" w:type="dxa"/>
          </w:tcPr>
          <w:p>
            <w:pPr>
              <w:pStyle w:val="yTableNAm"/>
            </w:pPr>
            <w:r>
              <w:t>21.00</w:t>
            </w:r>
          </w:p>
        </w:tc>
        <w:tc>
          <w:tcPr>
            <w:tcW w:w="1181" w:type="dxa"/>
          </w:tcPr>
          <w:p>
            <w:pPr>
              <w:pStyle w:val="yTableNAm"/>
            </w:pPr>
            <w:r>
              <w:t>0.04</w:t>
            </w:r>
          </w:p>
        </w:tc>
        <w:tc>
          <w:tcPr>
            <w:tcW w:w="1418" w:type="dxa"/>
          </w:tcPr>
          <w:p>
            <w:pPr>
              <w:pStyle w:val="yTableNAm"/>
            </w:pPr>
            <w:r>
              <w:t>0.05</w:t>
            </w:r>
          </w:p>
        </w:tc>
        <w:tc>
          <w:tcPr>
            <w:tcW w:w="1417" w:type="dxa"/>
          </w:tcPr>
          <w:p>
            <w:pPr>
              <w:pStyle w:val="yTableNAm"/>
            </w:pPr>
            <w:r>
              <w:t>0.06</w:t>
            </w:r>
          </w:p>
        </w:tc>
        <w:tc>
          <w:tcPr>
            <w:tcW w:w="1407" w:type="dxa"/>
          </w:tcPr>
          <w:p>
            <w:pPr>
              <w:pStyle w:val="yTableNAm"/>
            </w:pPr>
            <w:r>
              <w:t>0.04</w:t>
            </w:r>
          </w:p>
        </w:tc>
      </w:tr>
      <w:tr>
        <w:trPr>
          <w:jc w:val="center"/>
        </w:trPr>
        <w:tc>
          <w:tcPr>
            <w:tcW w:w="1652" w:type="dxa"/>
          </w:tcPr>
          <w:p>
            <w:pPr>
              <w:pStyle w:val="yTableNAm"/>
            </w:pPr>
            <w:r>
              <w:t>26.00</w:t>
            </w:r>
          </w:p>
        </w:tc>
        <w:tc>
          <w:tcPr>
            <w:tcW w:w="1181" w:type="dxa"/>
          </w:tcPr>
          <w:p>
            <w:pPr>
              <w:pStyle w:val="yTableNAm"/>
            </w:pPr>
            <w:r>
              <w:t>0.03</w:t>
            </w:r>
          </w:p>
        </w:tc>
        <w:tc>
          <w:tcPr>
            <w:tcW w:w="1418" w:type="dxa"/>
          </w:tcPr>
          <w:p>
            <w:pPr>
              <w:pStyle w:val="yTableNAm"/>
            </w:pPr>
            <w:r>
              <w:t>0.04</w:t>
            </w:r>
          </w:p>
        </w:tc>
        <w:tc>
          <w:tcPr>
            <w:tcW w:w="1417" w:type="dxa"/>
          </w:tcPr>
          <w:p>
            <w:pPr>
              <w:pStyle w:val="yTableNAm"/>
            </w:pPr>
            <w:r>
              <w:t>0.05</w:t>
            </w:r>
          </w:p>
        </w:tc>
        <w:tc>
          <w:tcPr>
            <w:tcW w:w="1407" w:type="dxa"/>
          </w:tcPr>
          <w:p>
            <w:pPr>
              <w:pStyle w:val="yTableNAm"/>
            </w:pPr>
            <w:r>
              <w:t>0.03</w:t>
            </w:r>
          </w:p>
        </w:tc>
      </w:tr>
      <w:tr>
        <w:trPr>
          <w:jc w:val="center"/>
        </w:trPr>
        <w:tc>
          <w:tcPr>
            <w:tcW w:w="1652" w:type="dxa"/>
          </w:tcPr>
          <w:p>
            <w:pPr>
              <w:pStyle w:val="yTableNAm"/>
            </w:pPr>
            <w:r>
              <w:t>31.00</w:t>
            </w:r>
          </w:p>
        </w:tc>
        <w:tc>
          <w:tcPr>
            <w:tcW w:w="1181" w:type="dxa"/>
          </w:tcPr>
          <w:p>
            <w:pPr>
              <w:pStyle w:val="yTableNAm"/>
            </w:pPr>
            <w:r>
              <w:t>0.03</w:t>
            </w:r>
          </w:p>
        </w:tc>
        <w:tc>
          <w:tcPr>
            <w:tcW w:w="1418" w:type="dxa"/>
          </w:tcPr>
          <w:p>
            <w:pPr>
              <w:pStyle w:val="yTableNAm"/>
            </w:pPr>
            <w:r>
              <w:t>0.03</w:t>
            </w:r>
          </w:p>
        </w:tc>
        <w:tc>
          <w:tcPr>
            <w:tcW w:w="1417" w:type="dxa"/>
          </w:tcPr>
          <w:p>
            <w:pPr>
              <w:pStyle w:val="yTableNAm"/>
            </w:pPr>
            <w:r>
              <w:t>0.04</w:t>
            </w:r>
          </w:p>
        </w:tc>
        <w:tc>
          <w:tcPr>
            <w:tcW w:w="1407" w:type="dxa"/>
          </w:tcPr>
          <w:p>
            <w:pPr>
              <w:pStyle w:val="yTableNAm"/>
            </w:pPr>
            <w:r>
              <w:t>0.03</w:t>
            </w:r>
          </w:p>
        </w:tc>
      </w:tr>
      <w:tr>
        <w:trPr>
          <w:jc w:val="center"/>
        </w:trPr>
        <w:tc>
          <w:tcPr>
            <w:tcW w:w="1652" w:type="dxa"/>
          </w:tcPr>
          <w:p>
            <w:pPr>
              <w:pStyle w:val="yTableNAm"/>
            </w:pPr>
            <w:r>
              <w:t>41.00</w:t>
            </w:r>
          </w:p>
        </w:tc>
        <w:tc>
          <w:tcPr>
            <w:tcW w:w="1181" w:type="dxa"/>
          </w:tcPr>
          <w:p>
            <w:pPr>
              <w:pStyle w:val="yTableNAm"/>
            </w:pPr>
            <w:r>
              <w:t>0.02</w:t>
            </w:r>
          </w:p>
        </w:tc>
        <w:tc>
          <w:tcPr>
            <w:tcW w:w="1418" w:type="dxa"/>
          </w:tcPr>
          <w:p>
            <w:pPr>
              <w:pStyle w:val="yTableNAm"/>
            </w:pPr>
            <w:r>
              <w:t>0.03</w:t>
            </w:r>
          </w:p>
        </w:tc>
        <w:tc>
          <w:tcPr>
            <w:tcW w:w="1417" w:type="dxa"/>
          </w:tcPr>
          <w:p>
            <w:pPr>
              <w:pStyle w:val="yTableNAm"/>
            </w:pPr>
            <w:r>
              <w:t>0.03</w:t>
            </w:r>
          </w:p>
        </w:tc>
        <w:tc>
          <w:tcPr>
            <w:tcW w:w="1407" w:type="dxa"/>
          </w:tcPr>
          <w:p>
            <w:pPr>
              <w:pStyle w:val="yTableNAm"/>
            </w:pPr>
            <w:r>
              <w:t>0.02</w:t>
            </w:r>
          </w:p>
        </w:tc>
      </w:tr>
      <w:tr>
        <w:trPr>
          <w:jc w:val="center"/>
        </w:trPr>
        <w:tc>
          <w:tcPr>
            <w:tcW w:w="1652" w:type="dxa"/>
          </w:tcPr>
          <w:p>
            <w:pPr>
              <w:pStyle w:val="yTableNAm"/>
            </w:pPr>
            <w:r>
              <w:t>51.00</w:t>
            </w:r>
          </w:p>
        </w:tc>
        <w:tc>
          <w:tcPr>
            <w:tcW w:w="1181" w:type="dxa"/>
          </w:tcPr>
          <w:p>
            <w:pPr>
              <w:pStyle w:val="yTableNAm"/>
            </w:pPr>
            <w:r>
              <w:t>0.02</w:t>
            </w:r>
          </w:p>
        </w:tc>
        <w:tc>
          <w:tcPr>
            <w:tcW w:w="1418" w:type="dxa"/>
          </w:tcPr>
          <w:p>
            <w:pPr>
              <w:pStyle w:val="yTableNAm"/>
            </w:pPr>
            <w:r>
              <w:t>0.02</w:t>
            </w:r>
          </w:p>
        </w:tc>
        <w:tc>
          <w:tcPr>
            <w:tcW w:w="1417" w:type="dxa"/>
          </w:tcPr>
          <w:p>
            <w:pPr>
              <w:pStyle w:val="yTableNAm"/>
            </w:pPr>
            <w:r>
              <w:t>0.02</w:t>
            </w:r>
          </w:p>
        </w:tc>
        <w:tc>
          <w:tcPr>
            <w:tcW w:w="1407" w:type="dxa"/>
          </w:tcPr>
          <w:p>
            <w:pPr>
              <w:pStyle w:val="yTableNAm"/>
            </w:pPr>
            <w:r>
              <w:t>002</w:t>
            </w:r>
          </w:p>
        </w:tc>
      </w:tr>
    </w:tbl>
    <w:p>
      <w:pPr>
        <w:pStyle w:val="yFootnotesection"/>
      </w:pPr>
      <w:r>
        <w:tab/>
        <w:t>[Schedule 1 amended in Gazette 4 Jan 2013 p. 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309" w:name="_Toc355172086"/>
      <w:bookmarkStart w:id="310" w:name="_Toc358969513"/>
      <w:r>
        <w:t>Notes</w:t>
      </w:r>
      <w:bookmarkEnd w:id="309"/>
      <w:bookmarkEnd w:id="310"/>
    </w:p>
    <w:p>
      <w:pPr>
        <w:pStyle w:val="nSubsection"/>
        <w:rPr>
          <w:snapToGrid w:val="0"/>
        </w:rPr>
      </w:pPr>
      <w:r>
        <w:rPr>
          <w:snapToGrid w:val="0"/>
          <w:vertAlign w:val="superscript"/>
        </w:rPr>
        <w:t>1</w:t>
      </w:r>
      <w:r>
        <w:rPr>
          <w:snapToGrid w:val="0"/>
        </w:rPr>
        <w:tab/>
        <w:t xml:space="preserve">This </w:t>
      </w:r>
      <w:del w:id="311" w:author="Master Repository Process" w:date="2021-09-12T12:29:00Z">
        <w:r>
          <w:rPr>
            <w:snapToGrid w:val="0"/>
          </w:rPr>
          <w:delText xml:space="preserve">reprint </w:delText>
        </w:r>
      </w:del>
      <w:r>
        <w:rPr>
          <w:snapToGrid w:val="0"/>
        </w:rPr>
        <w:t>is a compilation</w:t>
      </w:r>
      <w:del w:id="312" w:author="Master Repository Process" w:date="2021-09-12T12:29:00Z">
        <w:r>
          <w:rPr>
            <w:snapToGrid w:val="0"/>
          </w:rPr>
          <w:delText xml:space="preserve"> as at 12 April 2013</w:delText>
        </w:r>
      </w:del>
      <w:r>
        <w:rPr>
          <w:snapToGrid w:val="0"/>
        </w:rPr>
        <w:t xml:space="preserve"> of the </w:t>
      </w:r>
      <w:r>
        <w:rPr>
          <w:i/>
          <w:noProof/>
          <w:snapToGrid w:val="0"/>
        </w:rPr>
        <w:t>Rules of Wagering 2005</w:t>
      </w:r>
      <w:r>
        <w:rPr>
          <w:snapToGrid w:val="0"/>
        </w:rPr>
        <w:t xml:space="preserve"> and includes the amendments made by the other written laws referred to in the following table.  The table also contains information about any reprint.</w:t>
      </w:r>
    </w:p>
    <w:p>
      <w:pPr>
        <w:pStyle w:val="nHeading3"/>
      </w:pPr>
      <w:bookmarkStart w:id="313" w:name="_Toc358969514"/>
      <w:bookmarkStart w:id="314" w:name="_Toc355172087"/>
      <w:r>
        <w:t>Compilation table</w:t>
      </w:r>
      <w:bookmarkEnd w:id="313"/>
      <w:bookmarkEnd w:id="3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Rules of Wagering 2005</w:t>
            </w:r>
          </w:p>
        </w:tc>
        <w:tc>
          <w:tcPr>
            <w:tcW w:w="1276" w:type="dxa"/>
            <w:tcBorders>
              <w:top w:val="single" w:sz="8" w:space="0" w:color="auto"/>
            </w:tcBorders>
          </w:tcPr>
          <w:p>
            <w:pPr>
              <w:pStyle w:val="nTable"/>
              <w:spacing w:after="40"/>
              <w:rPr>
                <w:sz w:val="19"/>
              </w:rPr>
            </w:pPr>
            <w:r>
              <w:rPr>
                <w:sz w:val="19"/>
              </w:rPr>
              <w:t>28 Jan 2005 p. 401</w:t>
            </w:r>
            <w:r>
              <w:rPr>
                <w:sz w:val="19"/>
              </w:rPr>
              <w:noBreakHyphen/>
              <w:t>79</w:t>
            </w:r>
          </w:p>
        </w:tc>
        <w:tc>
          <w:tcPr>
            <w:tcW w:w="2693" w:type="dxa"/>
            <w:tcBorders>
              <w:top w:val="single" w:sz="8" w:space="0" w:color="auto"/>
            </w:tcBorders>
          </w:tcPr>
          <w:p>
            <w:pPr>
              <w:pStyle w:val="nTable"/>
              <w:spacing w:after="40"/>
              <w:rPr>
                <w:sz w:val="19"/>
              </w:rPr>
            </w:pPr>
            <w:r>
              <w:rPr>
                <w:sz w:val="19"/>
              </w:rPr>
              <w:t>30 Jan 2005 (see r. 2)</w:t>
            </w:r>
          </w:p>
        </w:tc>
      </w:tr>
      <w:tr>
        <w:tc>
          <w:tcPr>
            <w:tcW w:w="3118" w:type="dxa"/>
          </w:tcPr>
          <w:p>
            <w:pPr>
              <w:pStyle w:val="nTable"/>
              <w:spacing w:after="40"/>
              <w:rPr>
                <w:i/>
                <w:noProof/>
                <w:snapToGrid w:val="0"/>
                <w:sz w:val="19"/>
              </w:rPr>
            </w:pPr>
            <w:r>
              <w:rPr>
                <w:i/>
                <w:noProof/>
                <w:snapToGrid w:val="0"/>
                <w:sz w:val="19"/>
              </w:rPr>
              <w:t>Rules of Wagering Amendment Rules 2005</w:t>
            </w:r>
          </w:p>
        </w:tc>
        <w:tc>
          <w:tcPr>
            <w:tcW w:w="1276" w:type="dxa"/>
          </w:tcPr>
          <w:p>
            <w:pPr>
              <w:pStyle w:val="nTable"/>
              <w:spacing w:after="40"/>
              <w:rPr>
                <w:sz w:val="19"/>
              </w:rPr>
            </w:pPr>
            <w:r>
              <w:rPr>
                <w:sz w:val="19"/>
              </w:rPr>
              <w:t>30 Aug 2005 p. 4055</w:t>
            </w:r>
          </w:p>
        </w:tc>
        <w:tc>
          <w:tcPr>
            <w:tcW w:w="2693" w:type="dxa"/>
          </w:tcPr>
          <w:p>
            <w:pPr>
              <w:pStyle w:val="nTable"/>
              <w:spacing w:after="40"/>
              <w:rPr>
                <w:sz w:val="19"/>
              </w:rPr>
            </w:pPr>
            <w:r>
              <w:rPr>
                <w:sz w:val="19"/>
              </w:rPr>
              <w:t>30 Aug 2005</w:t>
            </w:r>
          </w:p>
        </w:tc>
      </w:tr>
      <w:tr>
        <w:tc>
          <w:tcPr>
            <w:tcW w:w="3118" w:type="dxa"/>
          </w:tcPr>
          <w:p>
            <w:pPr>
              <w:pStyle w:val="nTable"/>
              <w:spacing w:after="40"/>
              <w:rPr>
                <w:i/>
                <w:noProof/>
                <w:snapToGrid w:val="0"/>
                <w:sz w:val="19"/>
              </w:rPr>
            </w:pPr>
            <w:r>
              <w:rPr>
                <w:i/>
                <w:noProof/>
                <w:snapToGrid w:val="0"/>
                <w:sz w:val="19"/>
              </w:rPr>
              <w:t>Rules of Wagering Amendment Rules 2006</w:t>
            </w:r>
          </w:p>
        </w:tc>
        <w:tc>
          <w:tcPr>
            <w:tcW w:w="1276" w:type="dxa"/>
          </w:tcPr>
          <w:p>
            <w:pPr>
              <w:pStyle w:val="nTable"/>
              <w:spacing w:after="40"/>
              <w:rPr>
                <w:sz w:val="19"/>
              </w:rPr>
            </w:pPr>
            <w:r>
              <w:rPr>
                <w:sz w:val="19"/>
              </w:rPr>
              <w:t>7 Apr 2006 p. 1489</w:t>
            </w:r>
            <w:r>
              <w:rPr>
                <w:sz w:val="19"/>
              </w:rPr>
              <w:noBreakHyphen/>
              <w:t>90</w:t>
            </w:r>
          </w:p>
        </w:tc>
        <w:tc>
          <w:tcPr>
            <w:tcW w:w="2693" w:type="dxa"/>
          </w:tcPr>
          <w:p>
            <w:pPr>
              <w:pStyle w:val="nTable"/>
              <w:spacing w:after="40"/>
              <w:rPr>
                <w:sz w:val="19"/>
              </w:rPr>
            </w:pPr>
            <w:r>
              <w:rPr>
                <w:sz w:val="19"/>
              </w:rPr>
              <w:t>7 Apr 2006</w:t>
            </w:r>
          </w:p>
        </w:tc>
      </w:tr>
      <w:tr>
        <w:tc>
          <w:tcPr>
            <w:tcW w:w="3118" w:type="dxa"/>
          </w:tcPr>
          <w:p>
            <w:pPr>
              <w:pStyle w:val="nTable"/>
              <w:spacing w:after="40"/>
              <w:rPr>
                <w:i/>
                <w:noProof/>
                <w:snapToGrid w:val="0"/>
                <w:sz w:val="19"/>
              </w:rPr>
            </w:pPr>
            <w:r>
              <w:rPr>
                <w:i/>
                <w:noProof/>
                <w:snapToGrid w:val="0"/>
                <w:sz w:val="19"/>
              </w:rPr>
              <w:t>Rules of Wagering Amendment Rules (No. 2) 2006</w:t>
            </w:r>
          </w:p>
        </w:tc>
        <w:tc>
          <w:tcPr>
            <w:tcW w:w="1276" w:type="dxa"/>
          </w:tcPr>
          <w:p>
            <w:pPr>
              <w:pStyle w:val="nTable"/>
              <w:spacing w:after="40"/>
              <w:rPr>
                <w:sz w:val="19"/>
              </w:rPr>
            </w:pPr>
            <w:r>
              <w:rPr>
                <w:sz w:val="19"/>
              </w:rPr>
              <w:t>18 Aug 2006 p. 3369</w:t>
            </w:r>
            <w:r>
              <w:rPr>
                <w:sz w:val="19"/>
              </w:rPr>
              <w:noBreakHyphen/>
              <w:t>70</w:t>
            </w:r>
          </w:p>
        </w:tc>
        <w:tc>
          <w:tcPr>
            <w:tcW w:w="2693" w:type="dxa"/>
          </w:tcPr>
          <w:p>
            <w:pPr>
              <w:pStyle w:val="nTable"/>
              <w:spacing w:after="40"/>
              <w:rPr>
                <w:sz w:val="19"/>
              </w:rPr>
            </w:pPr>
            <w:r>
              <w:rPr>
                <w:sz w:val="19"/>
              </w:rPr>
              <w:t>18 Aug 2006</w:t>
            </w:r>
          </w:p>
        </w:tc>
      </w:tr>
      <w:tr>
        <w:tc>
          <w:tcPr>
            <w:tcW w:w="3118" w:type="dxa"/>
          </w:tcPr>
          <w:p>
            <w:pPr>
              <w:pStyle w:val="nTable"/>
              <w:spacing w:after="40"/>
              <w:rPr>
                <w:i/>
                <w:noProof/>
                <w:snapToGrid w:val="0"/>
                <w:sz w:val="19"/>
              </w:rPr>
            </w:pPr>
            <w:r>
              <w:rPr>
                <w:i/>
                <w:noProof/>
                <w:snapToGrid w:val="0"/>
                <w:sz w:val="19"/>
              </w:rPr>
              <w:t>Rules of Wagering Amendment Rules (No. 2) 2007</w:t>
            </w:r>
          </w:p>
        </w:tc>
        <w:tc>
          <w:tcPr>
            <w:tcW w:w="1276" w:type="dxa"/>
          </w:tcPr>
          <w:p>
            <w:pPr>
              <w:pStyle w:val="nTable"/>
              <w:spacing w:after="40"/>
              <w:rPr>
                <w:sz w:val="19"/>
              </w:rPr>
            </w:pPr>
            <w:r>
              <w:rPr>
                <w:sz w:val="19"/>
              </w:rPr>
              <w:t>20 Jul 2007 p. 3629</w:t>
            </w:r>
            <w:r>
              <w:rPr>
                <w:sz w:val="19"/>
              </w:rPr>
              <w:noBreakHyphen/>
              <w:t>30</w:t>
            </w:r>
          </w:p>
        </w:tc>
        <w:tc>
          <w:tcPr>
            <w:tcW w:w="2693" w:type="dxa"/>
          </w:tcPr>
          <w:p>
            <w:pPr>
              <w:pStyle w:val="nTable"/>
              <w:spacing w:after="40"/>
              <w:rPr>
                <w:sz w:val="19"/>
              </w:rPr>
            </w:pPr>
            <w:r>
              <w:rPr>
                <w:sz w:val="19"/>
              </w:rPr>
              <w:t>20 Jul 2007</w:t>
            </w:r>
          </w:p>
        </w:tc>
      </w:tr>
      <w:tr>
        <w:tc>
          <w:tcPr>
            <w:tcW w:w="3118" w:type="dxa"/>
          </w:tcPr>
          <w:p>
            <w:pPr>
              <w:pStyle w:val="nTable"/>
              <w:spacing w:after="40"/>
              <w:rPr>
                <w:i/>
                <w:noProof/>
                <w:snapToGrid w:val="0"/>
                <w:sz w:val="19"/>
              </w:rPr>
            </w:pPr>
            <w:r>
              <w:rPr>
                <w:i/>
                <w:noProof/>
                <w:snapToGrid w:val="0"/>
                <w:sz w:val="19"/>
              </w:rPr>
              <w:t>Rules of Wagering Amendment Rules 2007</w:t>
            </w:r>
          </w:p>
        </w:tc>
        <w:tc>
          <w:tcPr>
            <w:tcW w:w="1276" w:type="dxa"/>
          </w:tcPr>
          <w:p>
            <w:pPr>
              <w:pStyle w:val="nTable"/>
              <w:spacing w:after="40"/>
              <w:rPr>
                <w:sz w:val="19"/>
              </w:rPr>
            </w:pPr>
            <w:r>
              <w:rPr>
                <w:sz w:val="19"/>
              </w:rPr>
              <w:t>18 Sep 2007 p. 4711</w:t>
            </w:r>
            <w:r>
              <w:rPr>
                <w:sz w:val="19"/>
              </w:rPr>
              <w:noBreakHyphen/>
              <w:t>14</w:t>
            </w:r>
          </w:p>
        </w:tc>
        <w:tc>
          <w:tcPr>
            <w:tcW w:w="2693" w:type="dxa"/>
          </w:tcPr>
          <w:p>
            <w:pPr>
              <w:pStyle w:val="nTable"/>
              <w:spacing w:after="40"/>
              <w:rPr>
                <w:sz w:val="19"/>
              </w:rPr>
            </w:pPr>
            <w:r>
              <w:rPr>
                <w:snapToGrid w:val="0"/>
                <w:sz w:val="19"/>
              </w:rPr>
              <w:t>r. 1 and 2: 18 Sep 2007 (see r. 2(a));</w:t>
            </w:r>
            <w:r>
              <w:rPr>
                <w:snapToGrid w:val="0"/>
                <w:sz w:val="19"/>
              </w:rPr>
              <w:br/>
              <w:t>Rules other than r. 1 and 2: 19 Sep 2007 (see r. 2(b))</w:t>
            </w:r>
          </w:p>
        </w:tc>
      </w:tr>
      <w:tr>
        <w:tc>
          <w:tcPr>
            <w:tcW w:w="3118" w:type="dxa"/>
          </w:tcPr>
          <w:p>
            <w:pPr>
              <w:pStyle w:val="nTable"/>
              <w:spacing w:after="40"/>
              <w:rPr>
                <w:i/>
                <w:noProof/>
                <w:snapToGrid w:val="0"/>
                <w:sz w:val="19"/>
              </w:rPr>
            </w:pPr>
            <w:r>
              <w:rPr>
                <w:i/>
                <w:noProof/>
                <w:snapToGrid w:val="0"/>
                <w:sz w:val="19"/>
              </w:rPr>
              <w:t>Rules of Wagering Amendment Rules (No. 2) 2010</w:t>
            </w:r>
          </w:p>
        </w:tc>
        <w:tc>
          <w:tcPr>
            <w:tcW w:w="1276" w:type="dxa"/>
          </w:tcPr>
          <w:p>
            <w:pPr>
              <w:pStyle w:val="nTable"/>
              <w:spacing w:after="40"/>
              <w:rPr>
                <w:sz w:val="19"/>
              </w:rPr>
            </w:pPr>
            <w:r>
              <w:rPr>
                <w:sz w:val="19"/>
              </w:rPr>
              <w:t>19 Oct 2010 p. 5191</w:t>
            </w:r>
            <w:r>
              <w:rPr>
                <w:sz w:val="19"/>
              </w:rPr>
              <w:noBreakHyphen/>
              <w:t>2</w:t>
            </w:r>
          </w:p>
        </w:tc>
        <w:tc>
          <w:tcPr>
            <w:tcW w:w="2693" w:type="dxa"/>
          </w:tcPr>
          <w:p>
            <w:pPr>
              <w:pStyle w:val="nTable"/>
              <w:spacing w:after="40"/>
              <w:rPr>
                <w:snapToGrid w:val="0"/>
                <w:sz w:val="19"/>
              </w:rPr>
            </w:pPr>
            <w:r>
              <w:rPr>
                <w:snapToGrid w:val="0"/>
                <w:sz w:val="19"/>
              </w:rPr>
              <w:t>r. 1 and 2: 19 Oct 2010 (see r. 2(a));</w:t>
            </w:r>
            <w:r>
              <w:rPr>
                <w:snapToGrid w:val="0"/>
                <w:sz w:val="19"/>
              </w:rPr>
              <w:br/>
              <w:t>Rules other than r. 1 and 2: 20 Oct 2010 (see r. 2(b))</w:t>
            </w:r>
          </w:p>
        </w:tc>
      </w:tr>
      <w:tr>
        <w:tc>
          <w:tcPr>
            <w:tcW w:w="3118" w:type="dxa"/>
          </w:tcPr>
          <w:p>
            <w:pPr>
              <w:pStyle w:val="nTable"/>
              <w:spacing w:after="40"/>
              <w:rPr>
                <w:i/>
                <w:noProof/>
                <w:snapToGrid w:val="0"/>
                <w:sz w:val="19"/>
              </w:rPr>
            </w:pPr>
            <w:r>
              <w:rPr>
                <w:i/>
                <w:noProof/>
                <w:snapToGrid w:val="0"/>
                <w:sz w:val="19"/>
              </w:rPr>
              <w:t>Rules of Wagering Amendment Rules 2012</w:t>
            </w:r>
          </w:p>
        </w:tc>
        <w:tc>
          <w:tcPr>
            <w:tcW w:w="1276" w:type="dxa"/>
          </w:tcPr>
          <w:p>
            <w:pPr>
              <w:pStyle w:val="nTable"/>
              <w:spacing w:after="40"/>
              <w:rPr>
                <w:sz w:val="19"/>
              </w:rPr>
            </w:pPr>
            <w:r>
              <w:rPr>
                <w:sz w:val="19"/>
              </w:rPr>
              <w:t>4 Jan 2013 p. 15</w:t>
            </w:r>
            <w:r>
              <w:rPr>
                <w:sz w:val="19"/>
              </w:rPr>
              <w:noBreakHyphen/>
              <w:t>19</w:t>
            </w:r>
          </w:p>
        </w:tc>
        <w:tc>
          <w:tcPr>
            <w:tcW w:w="2693" w:type="dxa"/>
          </w:tcPr>
          <w:p>
            <w:pPr>
              <w:pStyle w:val="nTable"/>
              <w:spacing w:after="40"/>
              <w:rPr>
                <w:snapToGrid w:val="0"/>
                <w:sz w:val="19"/>
              </w:rPr>
            </w:pPr>
            <w:r>
              <w:rPr>
                <w:snapToGrid w:val="0"/>
                <w:sz w:val="19"/>
              </w:rPr>
              <w:t>r. 1 and 2: 4 Jan 2013 (see r. 2(a));</w:t>
            </w:r>
            <w:r>
              <w:rPr>
                <w:snapToGrid w:val="0"/>
                <w:sz w:val="19"/>
              </w:rPr>
              <w:br/>
              <w:t>Rules other than r. 1 and 2: 5 Jan 2013 (see r. 2(b))</w:t>
            </w:r>
          </w:p>
        </w:tc>
      </w:tr>
      <w:tr>
        <w:tc>
          <w:tcPr>
            <w:tcW w:w="3118" w:type="dxa"/>
          </w:tcPr>
          <w:p>
            <w:pPr>
              <w:pStyle w:val="nTable"/>
              <w:spacing w:after="40"/>
              <w:rPr>
                <w:i/>
                <w:noProof/>
                <w:snapToGrid w:val="0"/>
                <w:sz w:val="19"/>
              </w:rPr>
            </w:pPr>
            <w:r>
              <w:rPr>
                <w:i/>
                <w:noProof/>
                <w:snapToGrid w:val="0"/>
                <w:sz w:val="19"/>
              </w:rPr>
              <w:t>Rules of Wagering Amendment Rules (No. 2) 2012</w:t>
            </w:r>
          </w:p>
        </w:tc>
        <w:tc>
          <w:tcPr>
            <w:tcW w:w="1276" w:type="dxa"/>
          </w:tcPr>
          <w:p>
            <w:pPr>
              <w:pStyle w:val="nTable"/>
              <w:spacing w:after="40"/>
              <w:rPr>
                <w:sz w:val="19"/>
              </w:rPr>
            </w:pPr>
            <w:r>
              <w:rPr>
                <w:sz w:val="19"/>
              </w:rPr>
              <w:t>4 Jan 2013 p. 20</w:t>
            </w:r>
            <w:r>
              <w:rPr>
                <w:sz w:val="19"/>
              </w:rPr>
              <w:noBreakHyphen/>
              <w:t>2</w:t>
            </w:r>
          </w:p>
        </w:tc>
        <w:tc>
          <w:tcPr>
            <w:tcW w:w="2693" w:type="dxa"/>
          </w:tcPr>
          <w:p>
            <w:pPr>
              <w:pStyle w:val="nTable"/>
              <w:spacing w:after="40"/>
              <w:rPr>
                <w:snapToGrid w:val="0"/>
                <w:sz w:val="19"/>
              </w:rPr>
            </w:pPr>
            <w:r>
              <w:rPr>
                <w:snapToGrid w:val="0"/>
                <w:sz w:val="19"/>
              </w:rPr>
              <w:t>r. 1 and 2: 4 Jan 2013 (see r. 2(a));</w:t>
            </w:r>
            <w:r>
              <w:rPr>
                <w:snapToGrid w:val="0"/>
                <w:sz w:val="19"/>
              </w:rPr>
              <w:br/>
              <w:t>Rules other than r. 1 and 2: 5 Jan 2013 (see r. 2(b))</w:t>
            </w:r>
          </w:p>
        </w:tc>
      </w:tr>
      <w:tr>
        <w:tc>
          <w:tcPr>
            <w:tcW w:w="7087" w:type="dxa"/>
            <w:gridSpan w:val="3"/>
            <w:shd w:val="clear" w:color="auto" w:fill="auto"/>
          </w:tcPr>
          <w:p>
            <w:pPr>
              <w:pStyle w:val="nTable"/>
              <w:spacing w:after="40"/>
              <w:rPr>
                <w:snapToGrid w:val="0"/>
                <w:sz w:val="19"/>
              </w:rPr>
            </w:pPr>
            <w:r>
              <w:rPr>
                <w:b/>
                <w:snapToGrid w:val="0"/>
                <w:sz w:val="19"/>
              </w:rPr>
              <w:t xml:space="preserve">Reprint 1:  The </w:t>
            </w:r>
            <w:r>
              <w:rPr>
                <w:b/>
                <w:i/>
                <w:snapToGrid w:val="0"/>
                <w:sz w:val="19"/>
              </w:rPr>
              <w:t>Rules of Wagering 2005</w:t>
            </w:r>
            <w:r>
              <w:rPr>
                <w:b/>
                <w:snapToGrid w:val="0"/>
                <w:sz w:val="19"/>
              </w:rPr>
              <w:t xml:space="preserve"> as at 12 Apr 2013</w:t>
            </w:r>
            <w:r>
              <w:rPr>
                <w:snapToGrid w:val="0"/>
                <w:sz w:val="19"/>
              </w:rPr>
              <w:t xml:space="preserve"> (includes amendments listed above)</w:t>
            </w:r>
          </w:p>
        </w:tc>
      </w:tr>
      <w:tr>
        <w:trPr>
          <w:ins w:id="315" w:author="Master Repository Process" w:date="2021-09-12T12:29:00Z"/>
        </w:trPr>
        <w:tc>
          <w:tcPr>
            <w:tcW w:w="3118" w:type="dxa"/>
            <w:tcBorders>
              <w:bottom w:val="single" w:sz="4" w:space="0" w:color="auto"/>
            </w:tcBorders>
          </w:tcPr>
          <w:p>
            <w:pPr>
              <w:pStyle w:val="nTable"/>
              <w:spacing w:after="40"/>
              <w:rPr>
                <w:ins w:id="316" w:author="Master Repository Process" w:date="2021-09-12T12:29:00Z"/>
                <w:i/>
                <w:noProof/>
                <w:snapToGrid w:val="0"/>
                <w:sz w:val="19"/>
              </w:rPr>
            </w:pPr>
            <w:ins w:id="317" w:author="Master Repository Process" w:date="2021-09-12T12:29:00Z">
              <w:r>
                <w:rPr>
                  <w:i/>
                  <w:noProof/>
                  <w:snapToGrid w:val="0"/>
                  <w:sz w:val="19"/>
                </w:rPr>
                <w:t>Rules of Wagering Amendment Rules 2013</w:t>
              </w:r>
            </w:ins>
          </w:p>
        </w:tc>
        <w:tc>
          <w:tcPr>
            <w:tcW w:w="1276" w:type="dxa"/>
            <w:tcBorders>
              <w:bottom w:val="single" w:sz="4" w:space="0" w:color="auto"/>
            </w:tcBorders>
          </w:tcPr>
          <w:p>
            <w:pPr>
              <w:pStyle w:val="nTable"/>
              <w:spacing w:after="40"/>
              <w:rPr>
                <w:ins w:id="318" w:author="Master Repository Process" w:date="2021-09-12T12:29:00Z"/>
                <w:sz w:val="19"/>
              </w:rPr>
            </w:pPr>
            <w:ins w:id="319" w:author="Master Repository Process" w:date="2021-09-12T12:29:00Z">
              <w:r>
                <w:rPr>
                  <w:sz w:val="19"/>
                </w:rPr>
                <w:t>14 Jun 2013 p. 2243-6</w:t>
              </w:r>
            </w:ins>
          </w:p>
        </w:tc>
        <w:tc>
          <w:tcPr>
            <w:tcW w:w="2693" w:type="dxa"/>
            <w:tcBorders>
              <w:bottom w:val="single" w:sz="4" w:space="0" w:color="auto"/>
            </w:tcBorders>
          </w:tcPr>
          <w:p>
            <w:pPr>
              <w:pStyle w:val="nTable"/>
              <w:spacing w:after="40"/>
              <w:rPr>
                <w:ins w:id="320" w:author="Master Repository Process" w:date="2021-09-12T12:29:00Z"/>
                <w:snapToGrid w:val="0"/>
                <w:sz w:val="19"/>
              </w:rPr>
            </w:pPr>
            <w:ins w:id="321" w:author="Master Repository Process" w:date="2021-09-12T12:29:00Z">
              <w:r>
                <w:rPr>
                  <w:snapToGrid w:val="0"/>
                  <w:sz w:val="19"/>
                </w:rPr>
                <w:t>r. 1 and 2: 14 Jun 2013 (see r. 2(a));</w:t>
              </w:r>
              <w:r>
                <w:rPr>
                  <w:snapToGrid w:val="0"/>
                  <w:sz w:val="19"/>
                </w:rPr>
                <w:br/>
                <w:t>Rules other than r. 1 and 2: 15 Jun 2013 (see r. 2(b))</w:t>
              </w:r>
            </w:ins>
          </w:p>
        </w:tc>
      </w:tr>
    </w:tbl>
    <w:p/>
    <w:p>
      <w:pPr>
        <w:sectPr>
          <w:headerReference w:type="even" r:id="rId31"/>
          <w:headerReference w:type="default" r:id="rId32"/>
          <w:endnotePr>
            <w:numFmt w:val="decimal"/>
          </w:endnotePr>
          <w:pgSz w:w="11906" w:h="16838" w:code="9"/>
          <w:pgMar w:top="2376" w:right="2404" w:bottom="3544" w:left="2404" w:header="720"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Rules of Wagering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Wagering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jc w:val="right"/>
          </w:pPr>
          <w:fldSimple w:instr=" Styleref &quot;Name of Act/Reg&quot; ">
            <w:r>
              <w:rPr>
                <w:noProof/>
              </w:rPr>
              <w:t>Rules of Wagering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1" w15:restartNumberingAfterBreak="0">
    <w:nsid w:val="0BB370D7"/>
    <w:multiLevelType w:val="multilevel"/>
    <w:tmpl w:val="B9D6DF1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15:restartNumberingAfterBreak="0">
    <w:nsid w:val="16880C58"/>
    <w:multiLevelType w:val="multilevel"/>
    <w:tmpl w:val="7226A03A"/>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5" w15:restartNumberingAfterBreak="0">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6" w15:restartNumberingAfterBreak="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7" w15:restartNumberingAfterBreak="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33B6D9A"/>
    <w:multiLevelType w:val="multilevel"/>
    <w:tmpl w:val="E5E06BCA"/>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7D401A8"/>
    <w:multiLevelType w:val="singleLevel"/>
    <w:tmpl w:val="88F20B84"/>
    <w:lvl w:ilvl="0">
      <w:start w:val="1"/>
      <w:numFmt w:val="decimal"/>
      <w:pStyle w:val="ConditionBullets"/>
      <w:lvlText w:val="%1."/>
      <w:lvlJc w:val="left"/>
      <w:pPr>
        <w:tabs>
          <w:tab w:val="num" w:pos="360"/>
        </w:tabs>
        <w:ind w:left="360" w:hanging="360"/>
      </w:pPr>
    </w:lvl>
  </w:abstractNum>
  <w:abstractNum w:abstractNumId="21" w15:restartNumberingAfterBreak="0">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04E64ACC"/>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0"/>
  </w:num>
  <w:num w:numId="2">
    <w:abstractNumId w:val="19"/>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2"/>
  </w:num>
  <w:num w:numId="16">
    <w:abstractNumId w:val="22"/>
  </w:num>
  <w:num w:numId="17">
    <w:abstractNumId w:val="19"/>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5894A9A-FC0F-4222-9141-4D6DC6ED4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7"/>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8"/>
      </w:numPr>
    </w:pPr>
  </w:style>
  <w:style w:type="paragraph" w:styleId="ListBullet2">
    <w:name w:val="List Bullet 2"/>
    <w:basedOn w:val="Normal"/>
    <w:autoRedefine/>
    <w:pPr>
      <w:numPr>
        <w:numId w:val="19"/>
      </w:numPr>
    </w:pPr>
  </w:style>
  <w:style w:type="paragraph" w:styleId="ListBullet3">
    <w:name w:val="List Bullet 3"/>
    <w:basedOn w:val="Normal"/>
    <w:autoRedefine/>
    <w:pPr>
      <w:numPr>
        <w:numId w:val="20"/>
      </w:numPr>
    </w:pPr>
  </w:style>
  <w:style w:type="paragraph" w:styleId="ListBullet4">
    <w:name w:val="List Bullet 4"/>
    <w:basedOn w:val="Normal"/>
    <w:autoRedefine/>
    <w:pPr>
      <w:numPr>
        <w:numId w:val="21"/>
      </w:numPr>
    </w:pPr>
  </w:style>
  <w:style w:type="paragraph" w:styleId="ListBullet5">
    <w:name w:val="List Bullet 5"/>
    <w:basedOn w:val="Normal"/>
    <w:autoRedefine/>
    <w:pPr>
      <w:numPr>
        <w:numId w:val="2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3"/>
      </w:numPr>
    </w:pPr>
  </w:style>
  <w:style w:type="paragraph" w:styleId="ListNumber2">
    <w:name w:val="List Number 2"/>
    <w:basedOn w:val="Normal"/>
    <w:pPr>
      <w:numPr>
        <w:numId w:val="24"/>
      </w:numPr>
    </w:pPr>
  </w:style>
  <w:style w:type="paragraph" w:styleId="ListNumber3">
    <w:name w:val="List Number 3"/>
    <w:basedOn w:val="Normal"/>
    <w:pPr>
      <w:numPr>
        <w:numId w:val="25"/>
      </w:numPr>
    </w:pPr>
  </w:style>
  <w:style w:type="paragraph" w:styleId="ListNumber4">
    <w:name w:val="List Number 4"/>
    <w:basedOn w:val="Normal"/>
    <w:pPr>
      <w:numPr>
        <w:numId w:val="26"/>
      </w:numPr>
    </w:pPr>
  </w:style>
  <w:style w:type="paragraph" w:styleId="ListNumber5">
    <w:name w:val="List Number 5"/>
    <w:basedOn w:val="Normal"/>
    <w:pPr>
      <w:numPr>
        <w:numId w:val="27"/>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rPr>
  </w:style>
  <w:style w:type="character" w:styleId="PlaceholderText">
    <w:name w:val="Placeholder Text"/>
    <w:basedOn w:val="DefaultParagraphFont"/>
    <w:uiPriority w:val="99"/>
    <w:semiHidden/>
    <w:rPr>
      <w:color w:val="80808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7B720-C90A-494F-BB58-6749B3383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21521</Words>
  <Characters>99646</Characters>
  <Application>Microsoft Office Word</Application>
  <DocSecurity>0</DocSecurity>
  <Lines>3019</Lines>
  <Paragraphs>1706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01-a0-04 - 01-b0-01</dc:title>
  <dc:subject/>
  <dc:creator/>
  <cp:keywords/>
  <dc:description/>
  <cp:lastModifiedBy>Master Repository Process</cp:lastModifiedBy>
  <cp:revision>2</cp:revision>
  <cp:lastPrinted>2013-04-22T07:50:00Z</cp:lastPrinted>
  <dcterms:created xsi:type="dcterms:W3CDTF">2021-09-12T04:28:00Z</dcterms:created>
  <dcterms:modified xsi:type="dcterms:W3CDTF">2021-09-12T04:29:00Z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20130615</vt:lpwstr>
  </property>
  <property fmtid="{D5CDD505-2E9C-101B-9397-08002B2CF9AE}" pid="4" name="OwlsUID">
    <vt:i4>37424</vt:i4>
  </property>
  <property fmtid="{D5CDD505-2E9C-101B-9397-08002B2CF9AE}" pid="5" name="ReprintNo">
    <vt:lpwstr>1</vt:lpwstr>
  </property>
  <property fmtid="{D5CDD505-2E9C-101B-9397-08002B2CF9AE}" pid="6" name="ReprintedAsAt">
    <vt:filetime>2013-04-11T16:00:00Z</vt:filetime>
  </property>
  <property fmtid="{D5CDD505-2E9C-101B-9397-08002B2CF9AE}" pid="7" name="DocumentType">
    <vt:lpwstr>Reg</vt:lpwstr>
  </property>
  <property fmtid="{D5CDD505-2E9C-101B-9397-08002B2CF9AE}" pid="8" name="FromSuffix">
    <vt:lpwstr>01-a0-04</vt:lpwstr>
  </property>
  <property fmtid="{D5CDD505-2E9C-101B-9397-08002B2CF9AE}" pid="9" name="FromAsAtDate">
    <vt:lpwstr>12 Apr 2013</vt:lpwstr>
  </property>
  <property fmtid="{D5CDD505-2E9C-101B-9397-08002B2CF9AE}" pid="10" name="ToSuffix">
    <vt:lpwstr>01-b0-01</vt:lpwstr>
  </property>
  <property fmtid="{D5CDD505-2E9C-101B-9397-08002B2CF9AE}" pid="11" name="ToAsAtDate">
    <vt:lpwstr>15 Jun 2013</vt:lpwstr>
  </property>
</Properties>
</file>