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Jun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03-e0-02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3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0" w:name="_Toc486225181"/>
      <w:bookmarkStart w:id="1" w:name="_Toc13129952"/>
      <w:bookmarkStart w:id="2" w:name="_Toc107801755"/>
      <w:bookmarkStart w:id="3" w:name="_Toc359315551"/>
      <w:bookmarkStart w:id="4" w:name="_Toc328656411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</w:p>
    <w:p>
      <w:pPr>
        <w:pStyle w:val="Subsection"/>
        <w:spacing w:before="12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6" w:name="_Toc486225182"/>
      <w:bookmarkStart w:id="7" w:name="_Toc13129953"/>
      <w:bookmarkStart w:id="8" w:name="_Toc107801756"/>
      <w:bookmarkStart w:id="9" w:name="_Toc359315552"/>
      <w:bookmarkStart w:id="10" w:name="_Toc32865641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Urban drainage charges</w:t>
      </w:r>
      <w:bookmarkEnd w:id="6"/>
      <w:bookmarkEnd w:id="7"/>
      <w:bookmarkEnd w:id="8"/>
      <w:bookmarkEnd w:id="9"/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charge made under the </w:t>
      </w:r>
      <w:r>
        <w:rPr>
          <w:i/>
          <w:snapToGrid w:val="0"/>
        </w:rPr>
        <w:t>Land Drainage Act 1925</w:t>
      </w:r>
      <w:r>
        <w:rPr>
          <w:snapToGrid w:val="0"/>
        </w:rPr>
        <w:t xml:space="preserve"> for the provision of urban drainage is prescribed for the purposes of paragraph (d) of the definition of </w:t>
      </w:r>
      <w:r>
        <w:rPr>
          <w:b/>
          <w:bCs/>
          <w:i/>
          <w:iCs/>
          <w:snapToGrid w:val="0"/>
        </w:rPr>
        <w:t>prescribed charge</w:t>
      </w:r>
      <w:r>
        <w:rPr>
          <w:snapToGrid w:val="0"/>
        </w:rPr>
        <w:t xml:space="preserve"> in section 3(1) of the Act.</w:t>
      </w:r>
    </w:p>
    <w:p>
      <w:pPr>
        <w:pStyle w:val="Footnotesection"/>
      </w:pPr>
      <w:r>
        <w:tab/>
        <w:t>[Regulation 2 amended in Gazette 26 Jun 2009 p. 2574.]</w:t>
      </w:r>
    </w:p>
    <w:p>
      <w:pPr>
        <w:pStyle w:val="Heading5"/>
      </w:pPr>
      <w:bookmarkStart w:id="11" w:name="_Toc359315553"/>
      <w:bookmarkStart w:id="12" w:name="_Toc328656413"/>
      <w:bookmarkStart w:id="13" w:name="_Toc107801757"/>
      <w:bookmarkStart w:id="14" w:name="_Toc486225184"/>
      <w:bookmarkStart w:id="15" w:name="_Toc13129955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11"/>
      <w:bookmarkEnd w:id="12"/>
    </w:p>
    <w:p>
      <w:pPr>
        <w:pStyle w:val="Subsection"/>
        <w:spacing w:before="120"/>
      </w:pPr>
      <w:r>
        <w:tab/>
      </w:r>
      <w:r>
        <w:tab/>
        <w:t xml:space="preserve">The limit on the amount of rebate that an eligible senior is to be allowed </w:t>
      </w:r>
      <w:del w:id="16" w:author="Master Repository Process" w:date="2021-09-12T11:37:00Z">
        <w:r>
          <w:delText>on</w:delText>
        </w:r>
      </w:del>
      <w:ins w:id="17" w:author="Master Repository Process" w:date="2021-09-12T11:37:00Z">
        <w:r>
          <w:t>for</w:t>
        </w:r>
      </w:ins>
      <w:r>
        <w:t xml:space="preserve"> a</w:t>
      </w:r>
      <w:ins w:id="18" w:author="Master Repository Process" w:date="2021-09-12T11:37:00Z">
        <w:r>
          <w:t xml:space="preserve"> type of</w:t>
        </w:r>
      </w:ins>
      <w:r>
        <w:t xml:space="preserve"> prescribed charge referred to in section 40(9)(a) and (c) of the Act is the amount set in the following Table for </w:t>
      </w:r>
      <w:del w:id="19" w:author="Master Repository Process" w:date="2021-09-12T11:37:00Z">
        <w:r>
          <w:delText>that</w:delText>
        </w:r>
      </w:del>
      <w:ins w:id="20" w:author="Master Repository Process" w:date="2021-09-12T11:37:00Z">
        <w:r>
          <w:t>a</w:t>
        </w:r>
      </w:ins>
      <w:r>
        <w:t xml:space="preserve"> charge</w:t>
      </w:r>
      <w:ins w:id="21" w:author="Master Repository Process" w:date="2021-09-12T11:37:00Z">
        <w:r>
          <w:t xml:space="preserve"> of that type</w:t>
        </w:r>
      </w:ins>
      <w:r>
        <w:t xml:space="preserve"> for the rating year during which the service to which the charge relates was provided.</w:t>
      </w:r>
    </w:p>
    <w:tbl>
      <w:tblPr>
        <w:tblStyle w:val="TableGrid"/>
        <w:tblW w:w="4756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2"/>
        <w:gridCol w:w="1130"/>
        <w:gridCol w:w="1130"/>
        <w:gridCol w:w="1105"/>
        <w:gridCol w:w="1465"/>
      </w:tblGrid>
      <w:tr>
        <w:trPr>
          <w:tblHeader/>
        </w:trP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rPr>
          <w:ins w:id="22" w:author="Master Repository Process" w:date="2021-09-12T11:37:00Z"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23" w:author="Master Repository Process" w:date="2021-09-12T11:37:00Z"/>
                <w:sz w:val="22"/>
                <w:szCs w:val="22"/>
              </w:rPr>
            </w:pPr>
            <w:ins w:id="24" w:author="Master Repository Process" w:date="2021-09-12T11:37:00Z">
              <w:r>
                <w:rPr>
                  <w:sz w:val="22"/>
                  <w:szCs w:val="22"/>
                </w:rPr>
                <w:t>1/7/13 — 30/6/14</w:t>
              </w:r>
            </w:ins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25" w:author="Master Repository Process" w:date="2021-09-12T11:37:00Z"/>
                <w:sz w:val="22"/>
                <w:szCs w:val="22"/>
              </w:rPr>
            </w:pPr>
            <w:ins w:id="26" w:author="Master Repository Process" w:date="2021-09-12T11:37:00Z">
              <w:r>
                <w:rPr>
                  <w:sz w:val="22"/>
                  <w:szCs w:val="22"/>
                </w:rPr>
                <w:t>$98.19</w:t>
              </w:r>
            </w:ins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27" w:author="Master Repository Process" w:date="2021-09-12T11:37:00Z"/>
                <w:sz w:val="22"/>
                <w:szCs w:val="22"/>
              </w:rPr>
            </w:pPr>
            <w:ins w:id="28" w:author="Master Repository Process" w:date="2021-09-12T11:37:00Z">
              <w:r>
                <w:rPr>
                  <w:sz w:val="22"/>
                  <w:szCs w:val="22"/>
                </w:rPr>
                <w:t>$195.13</w:t>
              </w:r>
            </w:ins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29" w:author="Master Repository Process" w:date="2021-09-12T11:37:00Z"/>
                <w:sz w:val="22"/>
                <w:szCs w:val="22"/>
              </w:rPr>
            </w:pPr>
            <w:ins w:id="30" w:author="Master Repository Process" w:date="2021-09-12T11:37:00Z">
              <w:r>
                <w:rPr>
                  <w:sz w:val="22"/>
                  <w:szCs w:val="22"/>
                </w:rPr>
                <w:t>$25.51</w:t>
              </w:r>
            </w:ins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ins w:id="31" w:author="Master Repository Process" w:date="2021-09-12T11:37:00Z"/>
                <w:sz w:val="22"/>
                <w:szCs w:val="22"/>
              </w:rPr>
            </w:pPr>
            <w:ins w:id="32" w:author="Master Repository Process" w:date="2021-09-12T11:37:00Z">
              <w:r>
                <w:rPr>
                  <w:sz w:val="22"/>
                  <w:szCs w:val="22"/>
                </w:rPr>
                <w:t>$269.94</w:t>
              </w:r>
            </w:ins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ins w:id="33" w:author="Master Repository Process" w:date="2021-09-12T11:37:00Z"/>
                <w:sz w:val="22"/>
                <w:szCs w:val="22"/>
              </w:rPr>
            </w:pPr>
            <w:ins w:id="34" w:author="Master Repository Process" w:date="2021-09-12T11:37:00Z">
              <w:r>
                <w:rPr>
                  <w:sz w:val="22"/>
                  <w:szCs w:val="22"/>
                </w:rPr>
                <w:t>$269.94</w:t>
              </w:r>
            </w:ins>
          </w:p>
        </w:tc>
      </w:tr>
    </w:tbl>
    <w:p>
      <w:pPr>
        <w:pStyle w:val="Footnotesection"/>
      </w:pPr>
      <w:r>
        <w:tab/>
        <w:t>[Regulation 3 inserted in Gazette 29 Jun 2012 p. 2967</w:t>
      </w:r>
      <w:ins w:id="35" w:author="Master Repository Process" w:date="2021-09-12T11:37:00Z">
        <w:r>
          <w:t>; amended in Gazette 18 Jun 2013 p. 2310</w:t>
        </w:r>
      </w:ins>
      <w:r>
        <w:t>.]</w:t>
      </w:r>
    </w:p>
    <w:bookmarkEnd w:id="13"/>
    <w:bookmarkEnd w:id="14"/>
    <w:bookmarkEnd w:id="15"/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6" w:name="_Toc76542481"/>
      <w:bookmarkStart w:id="37" w:name="_Toc107801759"/>
      <w:bookmarkStart w:id="38" w:name="_Toc131405278"/>
      <w:bookmarkStart w:id="39" w:name="_Toc132094342"/>
      <w:bookmarkStart w:id="40" w:name="_Toc132185227"/>
      <w:bookmarkStart w:id="41" w:name="_Toc133633228"/>
      <w:bookmarkStart w:id="42" w:name="_Toc137359964"/>
      <w:bookmarkStart w:id="43" w:name="_Toc137360283"/>
      <w:bookmarkStart w:id="44" w:name="_Toc170615186"/>
      <w:bookmarkStart w:id="45" w:name="_Toc235601909"/>
      <w:bookmarkStart w:id="46" w:name="_Toc235955801"/>
      <w:bookmarkStart w:id="47" w:name="_Toc236014847"/>
      <w:bookmarkStart w:id="48" w:name="_Toc240430847"/>
      <w:bookmarkStart w:id="49" w:name="_Toc297297472"/>
      <w:bookmarkStart w:id="50" w:name="_Toc328656252"/>
      <w:bookmarkStart w:id="51" w:name="_Toc328656320"/>
      <w:bookmarkStart w:id="52" w:name="_Toc328656414"/>
      <w:bookmarkStart w:id="53" w:name="_Toc359315554"/>
      <w:r>
        <w:t>Notes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4" w:name="_Toc359315555"/>
      <w:bookmarkStart w:id="55" w:name="_Toc328656415"/>
      <w:r>
        <w:rPr>
          <w:snapToGrid w:val="0"/>
        </w:rPr>
        <w:t>Compilation table</w:t>
      </w:r>
      <w:bookmarkEnd w:id="54"/>
      <w:bookmarkEnd w:id="5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 p. 3261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1997 p. 3015</w:t>
            </w:r>
            <w:r>
              <w:rPr>
                <w:sz w:val="19"/>
              </w:rP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 p. 1492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1998 p. 3555</w:t>
            </w:r>
            <w:r>
              <w:rPr>
                <w:sz w:val="19"/>
              </w:rPr>
              <w:noBreakHyphen/>
              <w:t>6</w:t>
            </w:r>
            <w:r>
              <w:rPr>
                <w:sz w:val="19"/>
              </w:rP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 p. 2677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2000 p. 3030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2 Feb 2001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22 Jun 2001 p. 3025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24 Jul 2001 p. 3732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2414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5 May 2006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r. 1 and 2: 20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26 Jun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b/>
                <w:sz w:val="19"/>
              </w:rPr>
              <w:t xml:space="preserve">Reprint 3: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18 Sep 2009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25 Jun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17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2012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29 Jun 2012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2012 (see r. 2(b))</w:t>
            </w:r>
          </w:p>
        </w:tc>
      </w:tr>
      <w:tr>
        <w:trPr>
          <w:cantSplit/>
          <w:ins w:id="56" w:author="Master Repository Process" w:date="2021-09-12T11:37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57" w:author="Master Repository Process" w:date="2021-09-12T11:37:00Z"/>
                <w:i/>
                <w:sz w:val="19"/>
              </w:rPr>
            </w:pPr>
            <w:ins w:id="58" w:author="Master Repository Process" w:date="2021-09-12T11:37:00Z">
              <w:r>
                <w:rPr>
                  <w:i/>
                  <w:sz w:val="19"/>
                </w:rPr>
                <w:t>Rates and Charges (Rebates and Deferments) Amendment Regulations 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59" w:author="Master Repository Process" w:date="2021-09-12T11:37:00Z"/>
                <w:sz w:val="19"/>
              </w:rPr>
            </w:pPr>
            <w:ins w:id="60" w:author="Master Repository Process" w:date="2021-09-12T11:37:00Z">
              <w:r>
                <w:rPr>
                  <w:sz w:val="19"/>
                </w:rPr>
                <w:t>18 Jun 2013 p. 2309-10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61" w:author="Master Repository Process" w:date="2021-09-12T11:37:00Z"/>
                <w:i/>
                <w:snapToGrid w:val="0"/>
                <w:spacing w:val="-2"/>
                <w:sz w:val="19"/>
                <w:lang w:val="en-US"/>
              </w:rPr>
            </w:pPr>
            <w:ins w:id="62" w:author="Master Repository Process" w:date="2021-09-12T11:37:00Z">
              <w:r>
                <w:rPr>
                  <w:snapToGrid w:val="0"/>
                  <w:spacing w:val="-2"/>
                  <w:sz w:val="19"/>
                  <w:lang w:val="en-US"/>
                </w:rPr>
                <w:t>r. 1 and 2: 18 Jun 2013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19 Jun 2013 (see r. 2(b))</w:t>
              </w:r>
            </w:ins>
          </w:p>
        </w:tc>
      </w:tr>
    </w:tbl>
    <w:p/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10" w:bottom="3544" w:left="2410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Jun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Jun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Jun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065A13F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E423B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12912"/>
    <w:docVar w:name="WAFER_20151209112912" w:val="RemoveTrackChanges"/>
    <w:docVar w:name="WAFER_20151209112912_GUID" w:val="87e285fb-22a9-4854-b00e-8355970cfe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BEA90F0-8A95-4BF2-AAA3-749E2508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4909</Characters>
  <Application>Microsoft Office Word</Application>
  <DocSecurity>0</DocSecurity>
  <Lines>327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03-d0-02 - 03-e0-02</dc:title>
  <dc:subject/>
  <dc:creator/>
  <cp:keywords/>
  <dc:description/>
  <cp:lastModifiedBy>Master Repository Process</cp:lastModifiedBy>
  <cp:revision>2</cp:revision>
  <cp:lastPrinted>2009-09-11T03:12:00Z</cp:lastPrinted>
  <dcterms:created xsi:type="dcterms:W3CDTF">2021-09-12T03:37:00Z</dcterms:created>
  <dcterms:modified xsi:type="dcterms:W3CDTF">2021-09-12T03:37:00Z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CommencementDate">
    <vt:lpwstr>20130619</vt:lpwstr>
  </property>
  <property fmtid="{D5CDD505-2E9C-101B-9397-08002B2CF9AE}" pid="4" name="DocumentType">
    <vt:lpwstr>Reg</vt:lpwstr>
  </property>
  <property fmtid="{D5CDD505-2E9C-101B-9397-08002B2CF9AE}" pid="5" name="OwlsUID">
    <vt:i4>4731</vt:i4>
  </property>
  <property fmtid="{D5CDD505-2E9C-101B-9397-08002B2CF9AE}" pid="6" name="ReprintNo">
    <vt:lpwstr>3</vt:lpwstr>
  </property>
  <property fmtid="{D5CDD505-2E9C-101B-9397-08002B2CF9AE}" pid="7" name="FromSuffix">
    <vt:lpwstr>03-d0-02</vt:lpwstr>
  </property>
  <property fmtid="{D5CDD505-2E9C-101B-9397-08002B2CF9AE}" pid="8" name="FromAsAtDate">
    <vt:lpwstr>01 Jul 2012</vt:lpwstr>
  </property>
  <property fmtid="{D5CDD505-2E9C-101B-9397-08002B2CF9AE}" pid="9" name="ToSuffix">
    <vt:lpwstr>03-e0-02</vt:lpwstr>
  </property>
  <property fmtid="{D5CDD505-2E9C-101B-9397-08002B2CF9AE}" pid="10" name="ToAsAtDate">
    <vt:lpwstr>19 Jun 2013</vt:lpwstr>
  </property>
</Properties>
</file>