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Unclaimed Money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2012</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02-g0-05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Unclaimed Money Act 1990</w:t>
      </w:r>
    </w:p>
    <w:p>
      <w:pPr>
        <w:pStyle w:val="LongTitle"/>
        <w:rPr>
          <w:snapToGrid w:val="0"/>
        </w:rPr>
      </w:pPr>
      <w:r>
        <w:rPr>
          <w:snapToGrid w:val="0"/>
        </w:rPr>
        <w:t>A</w:t>
      </w:r>
      <w:bookmarkStart w:id="1" w:name="_GoBack"/>
      <w:bookmarkEnd w:id="1"/>
      <w:r>
        <w:rPr>
          <w:snapToGrid w:val="0"/>
        </w:rPr>
        <w:t xml:space="preserve">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w:t>
      </w:r>
      <w:del w:id="2" w:author="svcMRProcess" w:date="2019-01-24T13:21:00Z">
        <w:r>
          <w:delText xml:space="preserve"> by</w:delText>
        </w:r>
      </w:del>
      <w:ins w:id="3" w:author="svcMRProcess" w:date="2019-01-24T13:21:00Z">
        <w:r>
          <w:t>:</w:t>
        </w:r>
      </w:ins>
      <w:r>
        <w:t xml:space="preserve"> No. 6 of 1993 s. 11; No. 77 of 2006 s. 4.]</w:t>
      </w:r>
    </w:p>
    <w:p>
      <w:pPr>
        <w:pStyle w:val="Heading2"/>
      </w:pPr>
      <w:bookmarkStart w:id="4" w:name="_Toc379290247"/>
      <w:bookmarkStart w:id="5" w:name="_Toc424558486"/>
      <w:bookmarkStart w:id="6" w:name="_Toc434931162"/>
      <w:bookmarkStart w:id="7" w:name="_Toc434931197"/>
      <w:bookmarkStart w:id="8" w:name="_Toc72650408"/>
      <w:bookmarkStart w:id="9" w:name="_Toc75940982"/>
      <w:bookmarkStart w:id="10" w:name="_Toc81965334"/>
      <w:bookmarkStart w:id="11" w:name="_Toc151801286"/>
      <w:bookmarkStart w:id="12" w:name="_Toc151958916"/>
      <w:bookmarkStart w:id="13" w:name="_Toc152128425"/>
      <w:bookmarkStart w:id="14" w:name="_Toc152142241"/>
      <w:bookmarkStart w:id="15" w:name="_Toc160953940"/>
      <w:bookmarkStart w:id="16" w:name="_Toc164071730"/>
      <w:bookmarkStart w:id="17" w:name="_Toc170719377"/>
      <w:bookmarkStart w:id="18" w:name="_Toc171071301"/>
      <w:bookmarkStart w:id="19" w:name="_Toc171071346"/>
      <w:bookmarkStart w:id="20" w:name="_Toc194904049"/>
      <w:bookmarkStart w:id="21" w:name="_Toc202243849"/>
      <w:bookmarkStart w:id="22" w:name="_Toc34168584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379290248"/>
      <w:bookmarkStart w:id="24" w:name="_Toc434931198"/>
      <w:bookmarkStart w:id="25" w:name="_Toc459513423"/>
      <w:bookmarkStart w:id="26" w:name="_Toc38858630"/>
      <w:bookmarkStart w:id="27" w:name="_Toc151801287"/>
      <w:bookmarkStart w:id="28" w:name="_Toc164071731"/>
      <w:bookmarkStart w:id="29" w:name="_Toc341685841"/>
      <w:r>
        <w:rPr>
          <w:rStyle w:val="CharSectno"/>
        </w:rPr>
        <w:t>1</w:t>
      </w:r>
      <w:r>
        <w:rPr>
          <w:snapToGrid w:val="0"/>
        </w:rPr>
        <w:t>.</w:t>
      </w:r>
      <w:r>
        <w:rPr>
          <w:snapToGrid w:val="0"/>
        </w:rPr>
        <w:tab/>
        <w:t>Short title</w:t>
      </w:r>
      <w:bookmarkEnd w:id="23"/>
      <w:bookmarkEnd w:id="24"/>
      <w:bookmarkEnd w:id="25"/>
      <w:bookmarkEnd w:id="26"/>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30" w:name="_Toc379290249"/>
      <w:bookmarkStart w:id="31" w:name="_Toc434931199"/>
      <w:bookmarkStart w:id="32" w:name="_Toc459513424"/>
      <w:bookmarkStart w:id="33" w:name="_Toc38858631"/>
      <w:bookmarkStart w:id="34" w:name="_Toc151801288"/>
      <w:bookmarkStart w:id="35" w:name="_Toc164071732"/>
      <w:bookmarkStart w:id="36" w:name="_Toc341685842"/>
      <w:r>
        <w:rPr>
          <w:rStyle w:val="CharSectno"/>
        </w:rPr>
        <w:t>2</w:t>
      </w:r>
      <w:r>
        <w:rPr>
          <w:snapToGrid w:val="0"/>
        </w:rPr>
        <w:t>.</w:t>
      </w:r>
      <w:r>
        <w:rPr>
          <w:snapToGrid w:val="0"/>
        </w:rPr>
        <w:tab/>
        <w:t>Commencement</w:t>
      </w:r>
      <w:bookmarkEnd w:id="30"/>
      <w:bookmarkEnd w:id="31"/>
      <w:bookmarkEnd w:id="32"/>
      <w:bookmarkEnd w:id="33"/>
      <w:bookmarkEnd w:id="34"/>
      <w:bookmarkEnd w:id="35"/>
      <w:bookmarkEnd w:id="36"/>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7" w:name="_Toc379290250"/>
      <w:bookmarkStart w:id="38" w:name="_Toc434931200"/>
      <w:bookmarkStart w:id="39" w:name="_Toc459513425"/>
      <w:bookmarkStart w:id="40" w:name="_Toc38858632"/>
      <w:bookmarkStart w:id="41" w:name="_Toc151801289"/>
      <w:bookmarkStart w:id="42" w:name="_Toc164071733"/>
      <w:bookmarkStart w:id="43" w:name="_Toc341685843"/>
      <w:r>
        <w:rPr>
          <w:rStyle w:val="CharSectno"/>
        </w:rPr>
        <w:t>3</w:t>
      </w:r>
      <w:r>
        <w:rPr>
          <w:snapToGrid w:val="0"/>
        </w:rPr>
        <w:t>.</w:t>
      </w:r>
      <w:r>
        <w:rPr>
          <w:snapToGrid w:val="0"/>
        </w:rPr>
        <w:tab/>
        <w:t>Interpretation</w:t>
      </w:r>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claim</w:t>
      </w:r>
      <w:r>
        <w:t>, in relation to any account or deposit, includes any payment in or withdrawal or any instruction given;</w:t>
      </w:r>
    </w:p>
    <w:p>
      <w:pPr>
        <w:pStyle w:val="Defstart"/>
      </w:pPr>
      <w:r>
        <w:rPr>
          <w:b/>
        </w:rPr>
        <w:tab/>
      </w:r>
      <w:r>
        <w:rPr>
          <w:rStyle w:val="CharDefText"/>
        </w:rPr>
        <w:t>disbursable</w:t>
      </w:r>
      <w:r>
        <w:t>, in relation to prescribed retained money, has the meaning given in section 10(2);</w:t>
      </w:r>
    </w:p>
    <w:p>
      <w:pPr>
        <w:pStyle w:val="Defstart"/>
      </w:pPr>
      <w:r>
        <w:rPr>
          <w:b/>
        </w:rPr>
        <w:tab/>
      </w:r>
      <w:r>
        <w:rPr>
          <w:rStyle w:val="CharDefText"/>
        </w:rPr>
        <w:t>holder</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r>
      <w:r>
        <w:rPr>
          <w:rStyle w:val="CharDefText"/>
        </w:rPr>
        <w:t>owner</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r>
      <w:r>
        <w:rPr>
          <w:rStyle w:val="CharDefText"/>
        </w:rPr>
        <w:t>prescribed retained money</w:t>
      </w:r>
      <w:r>
        <w:t xml:space="preserve"> means money to which section 9 applies;</w:t>
      </w:r>
    </w:p>
    <w:p>
      <w:pPr>
        <w:pStyle w:val="Defstart"/>
      </w:pPr>
      <w:r>
        <w:rPr>
          <w:b/>
        </w:rPr>
        <w:lastRenderedPageBreak/>
        <w:tab/>
      </w:r>
      <w:r>
        <w:rPr>
          <w:rStyle w:val="CharDefText"/>
        </w:rPr>
        <w:t>the repealed Act</w:t>
      </w:r>
      <w:r>
        <w:t xml:space="preserve"> means the </w:t>
      </w:r>
      <w:r>
        <w:rPr>
          <w:i/>
        </w:rPr>
        <w:t>Unclaimed Moneys Act 1912</w:t>
      </w:r>
      <w:r>
        <w:t>;</w:t>
      </w:r>
    </w:p>
    <w:p>
      <w:pPr>
        <w:pStyle w:val="Defstart"/>
      </w:pPr>
      <w:r>
        <w:rPr>
          <w:b/>
        </w:rPr>
        <w:tab/>
      </w:r>
      <w:r>
        <w:rPr>
          <w:rStyle w:val="CharDefText"/>
        </w:rPr>
        <w:t>unclaimed money</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44" w:name="_Toc379290251"/>
      <w:bookmarkStart w:id="45" w:name="_Toc434931201"/>
      <w:bookmarkStart w:id="46" w:name="_Toc459513426"/>
      <w:bookmarkStart w:id="47" w:name="_Toc38858633"/>
      <w:bookmarkStart w:id="48" w:name="_Toc151801290"/>
      <w:bookmarkStart w:id="49" w:name="_Toc164071734"/>
      <w:bookmarkStart w:id="50" w:name="_Toc341685844"/>
      <w:r>
        <w:rPr>
          <w:rStyle w:val="CharSectno"/>
        </w:rPr>
        <w:t>4</w:t>
      </w:r>
      <w:r>
        <w:rPr>
          <w:snapToGrid w:val="0"/>
        </w:rPr>
        <w:t>.</w:t>
      </w:r>
      <w:r>
        <w:rPr>
          <w:snapToGrid w:val="0"/>
        </w:rPr>
        <w:tab/>
        <w:t>Application</w:t>
      </w:r>
      <w:bookmarkEnd w:id="44"/>
      <w:bookmarkEnd w:id="45"/>
      <w:bookmarkEnd w:id="46"/>
      <w:bookmarkEnd w:id="47"/>
      <w:bookmarkEnd w:id="48"/>
      <w:bookmarkEnd w:id="49"/>
      <w:bookmarkEnd w:id="50"/>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2</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deleted]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w:t>
      </w:r>
      <w:del w:id="51" w:author="svcMRProcess" w:date="2019-01-24T13:21:00Z">
        <w:r>
          <w:delText xml:space="preserve"> by</w:delText>
        </w:r>
      </w:del>
      <w:ins w:id="52" w:author="svcMRProcess" w:date="2019-01-24T13:21:00Z">
        <w:r>
          <w:t>:</w:t>
        </w:r>
      </w:ins>
      <w:r>
        <w:t xml:space="preserve"> No. 73 of 1990 s. 45; No. 73 of 1994 s. 4; No. 19 of 2003 s. 26.]</w:t>
      </w:r>
    </w:p>
    <w:p>
      <w:pPr>
        <w:pStyle w:val="Heading5"/>
        <w:rPr>
          <w:snapToGrid w:val="0"/>
        </w:rPr>
      </w:pPr>
      <w:bookmarkStart w:id="53" w:name="_Toc379290252"/>
      <w:bookmarkStart w:id="54" w:name="_Toc434931202"/>
      <w:bookmarkStart w:id="55" w:name="_Toc459513427"/>
      <w:bookmarkStart w:id="56" w:name="_Toc38858634"/>
      <w:bookmarkStart w:id="57" w:name="_Toc151801291"/>
      <w:bookmarkStart w:id="58" w:name="_Toc164071735"/>
      <w:bookmarkStart w:id="59" w:name="_Toc341685845"/>
      <w:r>
        <w:rPr>
          <w:rStyle w:val="CharSectno"/>
        </w:rPr>
        <w:t>5</w:t>
      </w:r>
      <w:r>
        <w:rPr>
          <w:snapToGrid w:val="0"/>
        </w:rPr>
        <w:t>.</w:t>
      </w:r>
      <w:r>
        <w:rPr>
          <w:snapToGrid w:val="0"/>
        </w:rPr>
        <w:tab/>
        <w:t>Questions as to jurisdiction</w:t>
      </w:r>
      <w:bookmarkEnd w:id="53"/>
      <w:bookmarkEnd w:id="54"/>
      <w:bookmarkEnd w:id="55"/>
      <w:bookmarkEnd w:id="56"/>
      <w:bookmarkEnd w:id="57"/>
      <w:bookmarkEnd w:id="58"/>
      <w:bookmarkEnd w:id="59"/>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60" w:name="_Toc379290253"/>
      <w:bookmarkStart w:id="61" w:name="_Toc424558492"/>
      <w:bookmarkStart w:id="62" w:name="_Toc434931168"/>
      <w:bookmarkStart w:id="63" w:name="_Toc434931203"/>
      <w:bookmarkStart w:id="64" w:name="_Toc72650414"/>
      <w:bookmarkStart w:id="65" w:name="_Toc75940988"/>
      <w:bookmarkStart w:id="66" w:name="_Toc81965340"/>
      <w:bookmarkStart w:id="67" w:name="_Toc151801292"/>
      <w:bookmarkStart w:id="68" w:name="_Toc151958922"/>
      <w:bookmarkStart w:id="69" w:name="_Toc152128431"/>
      <w:bookmarkStart w:id="70" w:name="_Toc152142247"/>
      <w:bookmarkStart w:id="71" w:name="_Toc160953946"/>
      <w:bookmarkStart w:id="72" w:name="_Toc164071736"/>
      <w:bookmarkStart w:id="73" w:name="_Toc170719383"/>
      <w:bookmarkStart w:id="74" w:name="_Toc171071307"/>
      <w:bookmarkStart w:id="75" w:name="_Toc171071352"/>
      <w:bookmarkStart w:id="76" w:name="_Toc194904055"/>
      <w:bookmarkStart w:id="77" w:name="_Toc202243855"/>
      <w:bookmarkStart w:id="78" w:name="_Toc341685846"/>
      <w:r>
        <w:rPr>
          <w:rStyle w:val="CharPartNo"/>
        </w:rPr>
        <w:t>Part 2</w:t>
      </w:r>
      <w:r>
        <w:rPr>
          <w:rStyle w:val="CharDivNo"/>
        </w:rPr>
        <w:t> </w:t>
      </w:r>
      <w:r>
        <w:t>—</w:t>
      </w:r>
      <w:r>
        <w:rPr>
          <w:rStyle w:val="CharDivText"/>
        </w:rPr>
        <w:t> </w:t>
      </w:r>
      <w:r>
        <w:rPr>
          <w:rStyle w:val="CharPartText"/>
        </w:rPr>
        <w:t>Unclaimed money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379290254"/>
      <w:bookmarkStart w:id="80" w:name="_Toc434931204"/>
      <w:bookmarkStart w:id="81" w:name="_Toc459513428"/>
      <w:bookmarkStart w:id="82" w:name="_Toc38858635"/>
      <w:bookmarkStart w:id="83" w:name="_Toc151801293"/>
      <w:bookmarkStart w:id="84" w:name="_Toc164071737"/>
      <w:bookmarkStart w:id="85" w:name="_Toc341685847"/>
      <w:r>
        <w:rPr>
          <w:rStyle w:val="CharSectno"/>
        </w:rPr>
        <w:t>6</w:t>
      </w:r>
      <w:r>
        <w:rPr>
          <w:snapToGrid w:val="0"/>
        </w:rPr>
        <w:t>.</w:t>
      </w:r>
      <w:r>
        <w:rPr>
          <w:snapToGrid w:val="0"/>
        </w:rPr>
        <w:tab/>
        <w:t>Unclaimed money</w:t>
      </w:r>
      <w:bookmarkEnd w:id="79"/>
      <w:bookmarkEnd w:id="80"/>
      <w:bookmarkEnd w:id="81"/>
      <w:bookmarkEnd w:id="82"/>
      <w:bookmarkEnd w:id="83"/>
      <w:bookmarkEnd w:id="84"/>
      <w:bookmarkEnd w:id="85"/>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w:t>
      </w:r>
      <w:del w:id="86" w:author="svcMRProcess" w:date="2019-01-24T13:21:00Z">
        <w:r>
          <w:delText xml:space="preserve"> by</w:delText>
        </w:r>
      </w:del>
      <w:ins w:id="87" w:author="svcMRProcess" w:date="2019-01-24T13:21:00Z">
        <w:r>
          <w:t>:</w:t>
        </w:r>
      </w:ins>
      <w:r>
        <w:t xml:space="preserve"> No. 73 of 1994 s. 4.]</w:t>
      </w:r>
    </w:p>
    <w:p>
      <w:pPr>
        <w:pStyle w:val="Heading5"/>
        <w:rPr>
          <w:snapToGrid w:val="0"/>
        </w:rPr>
      </w:pPr>
      <w:bookmarkStart w:id="88" w:name="_Toc379290255"/>
      <w:bookmarkStart w:id="89" w:name="_Toc434931205"/>
      <w:bookmarkStart w:id="90" w:name="_Toc459513429"/>
      <w:bookmarkStart w:id="91" w:name="_Toc38858636"/>
      <w:bookmarkStart w:id="92" w:name="_Toc151801294"/>
      <w:bookmarkStart w:id="93" w:name="_Toc164071738"/>
      <w:bookmarkStart w:id="94" w:name="_Toc341685848"/>
      <w:r>
        <w:rPr>
          <w:rStyle w:val="CharSectno"/>
        </w:rPr>
        <w:t>7</w:t>
      </w:r>
      <w:r>
        <w:rPr>
          <w:snapToGrid w:val="0"/>
        </w:rPr>
        <w:t>.</w:t>
      </w:r>
      <w:r>
        <w:rPr>
          <w:snapToGrid w:val="0"/>
        </w:rPr>
        <w:tab/>
        <w:t>Persons taken, or deemed, to be holders of unclaimed money</w:t>
      </w:r>
      <w:bookmarkEnd w:id="88"/>
      <w:bookmarkEnd w:id="89"/>
      <w:bookmarkEnd w:id="90"/>
      <w:bookmarkEnd w:id="91"/>
      <w:bookmarkEnd w:id="92"/>
      <w:bookmarkEnd w:id="93"/>
      <w:bookmarkEnd w:id="94"/>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w:t>
      </w:r>
      <w:del w:id="95" w:author="svcMRProcess" w:date="2019-01-24T13:21:00Z">
        <w:r>
          <w:delText xml:space="preserve"> by</w:delText>
        </w:r>
      </w:del>
      <w:ins w:id="96" w:author="svcMRProcess" w:date="2019-01-24T13:21:00Z">
        <w:r>
          <w:t>:</w:t>
        </w:r>
      </w:ins>
      <w:r>
        <w:t xml:space="preserve"> No. 20 of 2003 s. 51.]</w:t>
      </w:r>
    </w:p>
    <w:p>
      <w:pPr>
        <w:pStyle w:val="Heading5"/>
        <w:rPr>
          <w:snapToGrid w:val="0"/>
        </w:rPr>
      </w:pPr>
      <w:bookmarkStart w:id="97" w:name="_Toc379290256"/>
      <w:bookmarkStart w:id="98" w:name="_Toc434931206"/>
      <w:bookmarkStart w:id="99" w:name="_Toc459513430"/>
      <w:bookmarkStart w:id="100" w:name="_Toc38858637"/>
      <w:bookmarkStart w:id="101" w:name="_Toc151801295"/>
      <w:bookmarkStart w:id="102" w:name="_Toc164071739"/>
      <w:bookmarkStart w:id="103" w:name="_Toc341685849"/>
      <w:r>
        <w:rPr>
          <w:rStyle w:val="CharSectno"/>
        </w:rPr>
        <w:t>8</w:t>
      </w:r>
      <w:r>
        <w:rPr>
          <w:snapToGrid w:val="0"/>
        </w:rPr>
        <w:t>.</w:t>
      </w:r>
      <w:r>
        <w:rPr>
          <w:snapToGrid w:val="0"/>
        </w:rPr>
        <w:tab/>
        <w:t>Treasurer to be notified of unclaimed money, or its payment</w:t>
      </w:r>
      <w:bookmarkEnd w:id="97"/>
      <w:bookmarkEnd w:id="98"/>
      <w:bookmarkEnd w:id="99"/>
      <w:bookmarkEnd w:id="100"/>
      <w:bookmarkEnd w:id="101"/>
      <w:bookmarkEnd w:id="102"/>
      <w:bookmarkEnd w:id="103"/>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104" w:name="_Toc379290257"/>
      <w:bookmarkStart w:id="105" w:name="_Toc424558496"/>
      <w:bookmarkStart w:id="106" w:name="_Toc434931172"/>
      <w:bookmarkStart w:id="107" w:name="_Toc434931207"/>
      <w:bookmarkStart w:id="108" w:name="_Toc72650418"/>
      <w:bookmarkStart w:id="109" w:name="_Toc75940992"/>
      <w:bookmarkStart w:id="110" w:name="_Toc81965344"/>
      <w:bookmarkStart w:id="111" w:name="_Toc151801296"/>
      <w:bookmarkStart w:id="112" w:name="_Toc151958926"/>
      <w:bookmarkStart w:id="113" w:name="_Toc152128435"/>
      <w:bookmarkStart w:id="114" w:name="_Toc152142251"/>
      <w:bookmarkStart w:id="115" w:name="_Toc160953950"/>
      <w:bookmarkStart w:id="116" w:name="_Toc164071740"/>
      <w:bookmarkStart w:id="117" w:name="_Toc170719387"/>
      <w:bookmarkStart w:id="118" w:name="_Toc171071311"/>
      <w:bookmarkStart w:id="119" w:name="_Toc171071356"/>
      <w:bookmarkStart w:id="120" w:name="_Toc194904059"/>
      <w:bookmarkStart w:id="121" w:name="_Toc202243859"/>
      <w:bookmarkStart w:id="122" w:name="_Toc341685850"/>
      <w:r>
        <w:rPr>
          <w:rStyle w:val="CharPartNo"/>
        </w:rPr>
        <w:t>Part 3</w:t>
      </w:r>
      <w:r>
        <w:rPr>
          <w:rStyle w:val="CharDivNo"/>
        </w:rPr>
        <w:t> </w:t>
      </w:r>
      <w:r>
        <w:t>—</w:t>
      </w:r>
      <w:r>
        <w:rPr>
          <w:rStyle w:val="CharDivText"/>
        </w:rPr>
        <w:t> </w:t>
      </w:r>
      <w:r>
        <w:rPr>
          <w:rStyle w:val="CharPartText"/>
        </w:rPr>
        <w:t>Prescribed retained money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379290258"/>
      <w:bookmarkStart w:id="124" w:name="_Toc434931208"/>
      <w:bookmarkStart w:id="125" w:name="_Toc459513431"/>
      <w:bookmarkStart w:id="126" w:name="_Toc38858638"/>
      <w:bookmarkStart w:id="127" w:name="_Toc151801297"/>
      <w:bookmarkStart w:id="128" w:name="_Toc164071741"/>
      <w:bookmarkStart w:id="129" w:name="_Toc341685851"/>
      <w:r>
        <w:rPr>
          <w:rStyle w:val="CharSectno"/>
        </w:rPr>
        <w:t>9</w:t>
      </w:r>
      <w:r>
        <w:rPr>
          <w:snapToGrid w:val="0"/>
        </w:rPr>
        <w:t>.</w:t>
      </w:r>
      <w:r>
        <w:rPr>
          <w:snapToGrid w:val="0"/>
        </w:rPr>
        <w:tab/>
        <w:t>Prescribed retained money</w:t>
      </w:r>
      <w:bookmarkEnd w:id="123"/>
      <w:bookmarkEnd w:id="124"/>
      <w:bookmarkEnd w:id="125"/>
      <w:bookmarkEnd w:id="126"/>
      <w:bookmarkEnd w:id="127"/>
      <w:bookmarkEnd w:id="128"/>
      <w:bookmarkEnd w:id="129"/>
    </w:p>
    <w:p>
      <w:pPr>
        <w:pStyle w:val="Subsection"/>
        <w:rPr>
          <w:snapToGrid w:val="0"/>
        </w:rPr>
      </w:pPr>
      <w:r>
        <w:rPr>
          <w:snapToGrid w:val="0"/>
        </w:rPr>
        <w:tab/>
        <w:t>(1)</w:t>
      </w:r>
      <w:r>
        <w:rPr>
          <w:snapToGrid w:val="0"/>
        </w:rPr>
        <w:tab/>
        <w:t>Where money —</w:t>
      </w:r>
    </w:p>
    <w:p>
      <w:pPr>
        <w:pStyle w:val="Indenta"/>
        <w:rPr>
          <w:del w:id="130" w:author="svcMRProcess" w:date="2019-01-24T13:21:00Z"/>
          <w:snapToGrid w:val="0"/>
        </w:rPr>
      </w:pPr>
      <w:del w:id="131" w:author="svcMRProcess" w:date="2019-01-24T13:21:00Z">
        <w:r>
          <w:rPr>
            <w:snapToGrid w:val="0"/>
          </w:rPr>
          <w:tab/>
          <w:delText>(a)</w:delText>
        </w:r>
        <w:r>
          <w:rPr>
            <w:snapToGrid w:val="0"/>
          </w:rPr>
          <w:tab/>
          <w:delText xml:space="preserve">becomes money to which section 37 of the </w:delText>
        </w:r>
        <w:r>
          <w:rPr>
            <w:i/>
            <w:snapToGrid w:val="0"/>
          </w:rPr>
          <w:delText>Aboriginal Affairs Planning Authority Act 1972</w:delText>
        </w:r>
        <w:r>
          <w:rPr>
            <w:snapToGrid w:val="0"/>
          </w:rPr>
          <w:delText xml:space="preserve"> applies, and —</w:delText>
        </w:r>
      </w:del>
    </w:p>
    <w:p>
      <w:pPr>
        <w:pStyle w:val="Indenti"/>
        <w:rPr>
          <w:del w:id="132" w:author="svcMRProcess" w:date="2019-01-24T13:21:00Z"/>
          <w:snapToGrid w:val="0"/>
        </w:rPr>
      </w:pPr>
      <w:del w:id="133" w:author="svcMRProcess" w:date="2019-01-24T13:21:00Z">
        <w:r>
          <w:rPr>
            <w:snapToGrid w:val="0"/>
          </w:rPr>
          <w:tab/>
          <w:delText>(i)</w:delText>
        </w:r>
        <w:r>
          <w:rPr>
            <w:snapToGrid w:val="0"/>
          </w:rPr>
          <w:tab/>
          <w:delText>no claim is made under section 35 or 36 of that Act, or a claim so made is found not to be valid; and</w:delText>
        </w:r>
      </w:del>
    </w:p>
    <w:p>
      <w:pPr>
        <w:pStyle w:val="Indenti"/>
        <w:rPr>
          <w:del w:id="134" w:author="svcMRProcess" w:date="2019-01-24T13:21:00Z"/>
          <w:snapToGrid w:val="0"/>
        </w:rPr>
      </w:pPr>
      <w:del w:id="135" w:author="svcMRProcess" w:date="2019-01-24T13:21:00Z">
        <w:r>
          <w:rPr>
            <w:snapToGrid w:val="0"/>
          </w:rPr>
          <w:tab/>
          <w:delText>(ii)</w:delText>
        </w:r>
        <w:r>
          <w:rPr>
            <w:snapToGrid w:val="0"/>
          </w:rPr>
          <w:tab/>
          <w:delText>after a period of 3 years that money has not vested in the Authority under that section;</w:delText>
        </w:r>
      </w:del>
    </w:p>
    <w:p>
      <w:pPr>
        <w:pStyle w:val="Ednotepara"/>
        <w:rPr>
          <w:ins w:id="136" w:author="svcMRProcess" w:date="2019-01-24T13:21:00Z"/>
          <w:snapToGrid w:val="0"/>
        </w:rPr>
      </w:pPr>
      <w:ins w:id="137" w:author="svcMRProcess" w:date="2019-01-24T13:21:00Z">
        <w:r>
          <w:tab/>
          <w:t>[(a)</w:t>
        </w:r>
        <w:r>
          <w:tab/>
          <w:t>deleted]</w:t>
        </w:r>
      </w:ins>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or under an Act repealed by that Act, and not distributed, is vested in the Public Trustee and is for the time being held in</w:t>
      </w:r>
      <w:r>
        <w:t xml:space="preserve"> the Common Account as defined in section 2 of the </w:t>
      </w:r>
      <w:r>
        <w:rPr>
          <w:i/>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pPr>
      <w:r>
        <w:tab/>
        <w:t>(h)</w:t>
      </w:r>
      <w:r>
        <w:tab/>
        <w:t xml:space="preserve">is money that under the </w:t>
      </w:r>
      <w:r>
        <w:rPr>
          <w:i/>
          <w:iCs/>
        </w:rPr>
        <w:t>Criminal and Found Property Disposal Act 2006</w:t>
      </w:r>
      <w:r>
        <w:t xml:space="preserve"> is to be dealt with under this Act;</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noBreakHyphen/>
        <w:t>(q)</w:t>
      </w:r>
      <w:r>
        <w:rPr>
          <w:snapToGrid w:val="0"/>
        </w:rPr>
        <w:tab/>
        <w:t>deleted]</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w:t>
      </w:r>
      <w:del w:id="138" w:author="svcMRProcess" w:date="2019-01-24T13:21:00Z">
        <w:r>
          <w:delText xml:space="preserve"> by</w:delText>
        </w:r>
      </w:del>
      <w:ins w:id="139" w:author="svcMRProcess" w:date="2019-01-24T13:21:00Z">
        <w:r>
          <w:t>:</w:t>
        </w:r>
      </w:ins>
      <w:r>
        <w:t xml:space="preserve"> No. 6 of 1993 s. 11 and 16(1); No. 73 of 1994 s. 4; No. 49 of 1996, s. 64; No. 24 of 1998 s. 68(2); No. 5 of 1999 s. 21 and 26; No. 26 of 1999 s. 109; No. 10 of 2004 s. 15(2); No. 59 of 2006 s. 73; No. 77 of 2006 s. 4 and 17; No. 9 of 2008 s. 36; No. 8 of 2009 s. </w:t>
      </w:r>
      <w:del w:id="140" w:author="svcMRProcess" w:date="2019-01-24T13:21:00Z">
        <w:r>
          <w:delText>11</w:delText>
        </w:r>
      </w:del>
      <w:ins w:id="141" w:author="svcMRProcess" w:date="2019-01-24T13:21:00Z">
        <w:r>
          <w:t>11; No. 38 of 2012 s. 7</w:t>
        </w:r>
      </w:ins>
      <w:r>
        <w:t>.]</w:t>
      </w:r>
    </w:p>
    <w:p>
      <w:pPr>
        <w:pStyle w:val="Heading5"/>
        <w:rPr>
          <w:snapToGrid w:val="0"/>
        </w:rPr>
      </w:pPr>
      <w:bookmarkStart w:id="142" w:name="_Toc379290259"/>
      <w:bookmarkStart w:id="143" w:name="_Toc434931209"/>
      <w:bookmarkStart w:id="144" w:name="_Toc459513432"/>
      <w:bookmarkStart w:id="145" w:name="_Toc38858639"/>
      <w:bookmarkStart w:id="146" w:name="_Toc151801298"/>
      <w:bookmarkStart w:id="147" w:name="_Toc164071742"/>
      <w:bookmarkStart w:id="148" w:name="_Toc341685852"/>
      <w:r>
        <w:rPr>
          <w:rStyle w:val="CharSectno"/>
        </w:rPr>
        <w:t>10</w:t>
      </w:r>
      <w:r>
        <w:rPr>
          <w:snapToGrid w:val="0"/>
        </w:rPr>
        <w:t>.</w:t>
      </w:r>
      <w:r>
        <w:rPr>
          <w:snapToGrid w:val="0"/>
        </w:rPr>
        <w:tab/>
        <w:t>How prescribed retained money shall be dealt with by the Treasurer</w:t>
      </w:r>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149" w:name="_Toc379290260"/>
      <w:bookmarkStart w:id="150" w:name="_Toc424558499"/>
      <w:bookmarkStart w:id="151" w:name="_Toc434931175"/>
      <w:bookmarkStart w:id="152" w:name="_Toc434931210"/>
      <w:bookmarkStart w:id="153" w:name="_Toc72650421"/>
      <w:bookmarkStart w:id="154" w:name="_Toc75940995"/>
      <w:bookmarkStart w:id="155" w:name="_Toc81965347"/>
      <w:bookmarkStart w:id="156" w:name="_Toc151801299"/>
      <w:bookmarkStart w:id="157" w:name="_Toc151958929"/>
      <w:bookmarkStart w:id="158" w:name="_Toc152128438"/>
      <w:bookmarkStart w:id="159" w:name="_Toc152142254"/>
      <w:bookmarkStart w:id="160" w:name="_Toc160953953"/>
      <w:bookmarkStart w:id="161" w:name="_Toc164071743"/>
      <w:bookmarkStart w:id="162" w:name="_Toc170719390"/>
      <w:bookmarkStart w:id="163" w:name="_Toc171071314"/>
      <w:bookmarkStart w:id="164" w:name="_Toc171071359"/>
      <w:bookmarkStart w:id="165" w:name="_Toc194904062"/>
      <w:bookmarkStart w:id="166" w:name="_Toc202243862"/>
      <w:bookmarkStart w:id="167" w:name="_Toc341685853"/>
      <w:r>
        <w:rPr>
          <w:rStyle w:val="CharPartNo"/>
        </w:rPr>
        <w:t>Part 4</w:t>
      </w:r>
      <w:r>
        <w:t> — </w:t>
      </w:r>
      <w:r>
        <w:rPr>
          <w:rStyle w:val="CharPartText"/>
        </w:rPr>
        <w:t>Treasury procedures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379290261"/>
      <w:bookmarkStart w:id="169" w:name="_Toc424558500"/>
      <w:bookmarkStart w:id="170" w:name="_Toc434931176"/>
      <w:bookmarkStart w:id="171" w:name="_Toc434931211"/>
      <w:bookmarkStart w:id="172" w:name="_Toc72650422"/>
      <w:bookmarkStart w:id="173" w:name="_Toc75940996"/>
      <w:bookmarkStart w:id="174" w:name="_Toc81965348"/>
      <w:bookmarkStart w:id="175" w:name="_Toc151801300"/>
      <w:bookmarkStart w:id="176" w:name="_Toc151958930"/>
      <w:bookmarkStart w:id="177" w:name="_Toc152128439"/>
      <w:bookmarkStart w:id="178" w:name="_Toc152142255"/>
      <w:bookmarkStart w:id="179" w:name="_Toc160953954"/>
      <w:bookmarkStart w:id="180" w:name="_Toc164071744"/>
      <w:bookmarkStart w:id="181" w:name="_Toc170719391"/>
      <w:bookmarkStart w:id="182" w:name="_Toc171071315"/>
      <w:bookmarkStart w:id="183" w:name="_Toc171071360"/>
      <w:bookmarkStart w:id="184" w:name="_Toc194904063"/>
      <w:bookmarkStart w:id="185" w:name="_Toc202243863"/>
      <w:bookmarkStart w:id="186" w:name="_Toc341685854"/>
      <w:r>
        <w:rPr>
          <w:rStyle w:val="CharDivNo"/>
        </w:rPr>
        <w:t>Division 1</w:t>
      </w:r>
      <w:r>
        <w:rPr>
          <w:snapToGrid w:val="0"/>
        </w:rPr>
        <w:t> — </w:t>
      </w:r>
      <w:r>
        <w:rPr>
          <w:rStyle w:val="CharDivText"/>
        </w:rPr>
        <w:t>Advertisement</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379290262"/>
      <w:bookmarkStart w:id="188" w:name="_Toc434931212"/>
      <w:bookmarkStart w:id="189" w:name="_Toc459513433"/>
      <w:bookmarkStart w:id="190" w:name="_Toc38858640"/>
      <w:bookmarkStart w:id="191" w:name="_Toc151801301"/>
      <w:bookmarkStart w:id="192" w:name="_Toc164071745"/>
      <w:bookmarkStart w:id="193" w:name="_Toc341685855"/>
      <w:r>
        <w:rPr>
          <w:rStyle w:val="CharSectno"/>
        </w:rPr>
        <w:t>11</w:t>
      </w:r>
      <w:r>
        <w:rPr>
          <w:snapToGrid w:val="0"/>
        </w:rPr>
        <w:t>.</w:t>
      </w:r>
      <w:r>
        <w:rPr>
          <w:snapToGrid w:val="0"/>
        </w:rPr>
        <w:tab/>
        <w:t>Treasurer to advertise</w:t>
      </w:r>
      <w:bookmarkEnd w:id="187"/>
      <w:bookmarkEnd w:id="188"/>
      <w:bookmarkEnd w:id="189"/>
      <w:bookmarkEnd w:id="190"/>
      <w:bookmarkEnd w:id="191"/>
      <w:bookmarkEnd w:id="192"/>
      <w:bookmarkEnd w:id="193"/>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w:t>
      </w:r>
      <w:del w:id="194" w:author="svcMRProcess" w:date="2019-01-24T13:21:00Z">
        <w:r>
          <w:delText xml:space="preserve"> by</w:delText>
        </w:r>
      </w:del>
      <w:ins w:id="195" w:author="svcMRProcess" w:date="2019-01-24T13:21:00Z">
        <w:r>
          <w:t>:</w:t>
        </w:r>
      </w:ins>
      <w:r>
        <w:t xml:space="preserve"> No. 14 of 1996 s. 4.]</w:t>
      </w:r>
    </w:p>
    <w:p>
      <w:pPr>
        <w:pStyle w:val="Heading5"/>
        <w:rPr>
          <w:snapToGrid w:val="0"/>
        </w:rPr>
      </w:pPr>
      <w:bookmarkStart w:id="196" w:name="_Toc379290263"/>
      <w:bookmarkStart w:id="197" w:name="_Toc434931213"/>
      <w:bookmarkStart w:id="198" w:name="_Toc459513434"/>
      <w:bookmarkStart w:id="199" w:name="_Toc38858641"/>
      <w:bookmarkStart w:id="200" w:name="_Toc151801302"/>
      <w:bookmarkStart w:id="201" w:name="_Toc164071746"/>
      <w:bookmarkStart w:id="202" w:name="_Toc341685856"/>
      <w:r>
        <w:rPr>
          <w:rStyle w:val="CharSectno"/>
        </w:rPr>
        <w:t>12</w:t>
      </w:r>
      <w:r>
        <w:rPr>
          <w:snapToGrid w:val="0"/>
        </w:rPr>
        <w:t>.</w:t>
      </w:r>
      <w:r>
        <w:rPr>
          <w:snapToGrid w:val="0"/>
        </w:rPr>
        <w:tab/>
        <w:t>Effect of advertisement of moneys</w:t>
      </w:r>
      <w:bookmarkEnd w:id="196"/>
      <w:bookmarkEnd w:id="197"/>
      <w:bookmarkEnd w:id="198"/>
      <w:bookmarkEnd w:id="199"/>
      <w:bookmarkEnd w:id="200"/>
      <w:bookmarkEnd w:id="201"/>
      <w:bookmarkEnd w:id="202"/>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203" w:name="_Toc379290264"/>
      <w:bookmarkStart w:id="204" w:name="_Toc424558503"/>
      <w:bookmarkStart w:id="205" w:name="_Toc434931179"/>
      <w:bookmarkStart w:id="206" w:name="_Toc434931214"/>
      <w:bookmarkStart w:id="207" w:name="_Toc72650425"/>
      <w:bookmarkStart w:id="208" w:name="_Toc75940999"/>
      <w:bookmarkStart w:id="209" w:name="_Toc81965351"/>
      <w:bookmarkStart w:id="210" w:name="_Toc151801303"/>
      <w:bookmarkStart w:id="211" w:name="_Toc151958933"/>
      <w:bookmarkStart w:id="212" w:name="_Toc152128442"/>
      <w:bookmarkStart w:id="213" w:name="_Toc152142258"/>
      <w:bookmarkStart w:id="214" w:name="_Toc160953957"/>
      <w:bookmarkStart w:id="215" w:name="_Toc164071747"/>
      <w:bookmarkStart w:id="216" w:name="_Toc170719394"/>
      <w:bookmarkStart w:id="217" w:name="_Toc171071318"/>
      <w:bookmarkStart w:id="218" w:name="_Toc171071363"/>
      <w:bookmarkStart w:id="219" w:name="_Toc194904066"/>
      <w:bookmarkStart w:id="220" w:name="_Toc202243866"/>
      <w:bookmarkStart w:id="221" w:name="_Toc341685857"/>
      <w:r>
        <w:rPr>
          <w:rStyle w:val="CharDivNo"/>
        </w:rPr>
        <w:t>Division 2</w:t>
      </w:r>
      <w:r>
        <w:rPr>
          <w:snapToGrid w:val="0"/>
        </w:rPr>
        <w:t> — </w:t>
      </w:r>
      <w:r>
        <w:rPr>
          <w:rStyle w:val="CharDivText"/>
        </w:rPr>
        <w:t>Payments to or from Treasury</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379290265"/>
      <w:bookmarkStart w:id="223" w:name="_Toc434931215"/>
      <w:bookmarkStart w:id="224" w:name="_Toc459513435"/>
      <w:bookmarkStart w:id="225" w:name="_Toc38858642"/>
      <w:bookmarkStart w:id="226" w:name="_Toc151801304"/>
      <w:bookmarkStart w:id="227" w:name="_Toc164071748"/>
      <w:bookmarkStart w:id="228" w:name="_Toc341685858"/>
      <w:r>
        <w:rPr>
          <w:rStyle w:val="CharSectno"/>
        </w:rPr>
        <w:t>13</w:t>
      </w:r>
      <w:r>
        <w:rPr>
          <w:snapToGrid w:val="0"/>
        </w:rPr>
        <w:t>.</w:t>
      </w:r>
      <w:r>
        <w:rPr>
          <w:snapToGrid w:val="0"/>
        </w:rPr>
        <w:tab/>
        <w:t>Money not claimed, and voluntarily paid to Treasury otherwise than as unclaimed or prescribed retained money</w:t>
      </w:r>
      <w:bookmarkEnd w:id="222"/>
      <w:bookmarkEnd w:id="223"/>
      <w:bookmarkEnd w:id="224"/>
      <w:bookmarkEnd w:id="225"/>
      <w:bookmarkEnd w:id="226"/>
      <w:bookmarkEnd w:id="227"/>
      <w:bookmarkEnd w:id="228"/>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229" w:name="_Toc379290266"/>
      <w:bookmarkStart w:id="230" w:name="_Toc434931216"/>
      <w:bookmarkStart w:id="231" w:name="_Toc459513436"/>
      <w:bookmarkStart w:id="232" w:name="_Toc38858643"/>
      <w:bookmarkStart w:id="233" w:name="_Toc151801305"/>
      <w:bookmarkStart w:id="234" w:name="_Toc164071749"/>
      <w:bookmarkStart w:id="235" w:name="_Toc341685859"/>
      <w:r>
        <w:rPr>
          <w:rStyle w:val="CharSectno"/>
        </w:rPr>
        <w:t>14</w:t>
      </w:r>
      <w:r>
        <w:rPr>
          <w:snapToGrid w:val="0"/>
        </w:rPr>
        <w:t>.</w:t>
      </w:r>
      <w:r>
        <w:rPr>
          <w:snapToGrid w:val="0"/>
        </w:rPr>
        <w:tab/>
        <w:t>Advertised money unpaid payable to the Treasurer</w:t>
      </w:r>
      <w:bookmarkEnd w:id="229"/>
      <w:bookmarkEnd w:id="230"/>
      <w:bookmarkEnd w:id="231"/>
      <w:bookmarkEnd w:id="232"/>
      <w:bookmarkEnd w:id="233"/>
      <w:bookmarkEnd w:id="234"/>
      <w:bookmarkEnd w:id="235"/>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236" w:name="_Toc379290267"/>
      <w:bookmarkStart w:id="237" w:name="_Toc434931217"/>
      <w:bookmarkStart w:id="238" w:name="_Toc459513437"/>
      <w:bookmarkStart w:id="239" w:name="_Toc38858644"/>
      <w:bookmarkStart w:id="240" w:name="_Toc151801306"/>
      <w:bookmarkStart w:id="241" w:name="_Toc164071750"/>
      <w:bookmarkStart w:id="242" w:name="_Toc341685860"/>
      <w:r>
        <w:rPr>
          <w:rStyle w:val="CharSectno"/>
        </w:rPr>
        <w:t>15</w:t>
      </w:r>
      <w:r>
        <w:rPr>
          <w:snapToGrid w:val="0"/>
        </w:rPr>
        <w:t>.</w:t>
      </w:r>
      <w:r>
        <w:rPr>
          <w:snapToGrid w:val="0"/>
        </w:rPr>
        <w:tab/>
        <w:t>Treasurer may make payment to claimant</w:t>
      </w:r>
      <w:bookmarkEnd w:id="236"/>
      <w:bookmarkEnd w:id="237"/>
      <w:bookmarkEnd w:id="238"/>
      <w:bookmarkEnd w:id="239"/>
      <w:bookmarkEnd w:id="240"/>
      <w:bookmarkEnd w:id="241"/>
      <w:bookmarkEnd w:id="242"/>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w:t>
      </w:r>
      <w:del w:id="243" w:author="svcMRProcess" w:date="2019-01-24T13:21:00Z">
        <w:r>
          <w:delText xml:space="preserve"> by</w:delText>
        </w:r>
      </w:del>
      <w:ins w:id="244" w:author="svcMRProcess" w:date="2019-01-24T13:21:00Z">
        <w:r>
          <w:t>:</w:t>
        </w:r>
      </w:ins>
      <w:r>
        <w:t xml:space="preserve"> No. 6 of 1993 s. 11; No. 49 of 1996 s. 64; No. 77 of 2006 s. 4.]</w:t>
      </w:r>
    </w:p>
    <w:p>
      <w:pPr>
        <w:pStyle w:val="Heading5"/>
        <w:rPr>
          <w:snapToGrid w:val="0"/>
        </w:rPr>
      </w:pPr>
      <w:bookmarkStart w:id="245" w:name="_Toc379290268"/>
      <w:bookmarkStart w:id="246" w:name="_Toc434931218"/>
      <w:bookmarkStart w:id="247" w:name="_Toc459513438"/>
      <w:bookmarkStart w:id="248" w:name="_Toc38858645"/>
      <w:bookmarkStart w:id="249" w:name="_Toc151801307"/>
      <w:bookmarkStart w:id="250" w:name="_Toc164071751"/>
      <w:bookmarkStart w:id="251" w:name="_Toc341685861"/>
      <w:r>
        <w:rPr>
          <w:rStyle w:val="CharSectno"/>
        </w:rPr>
        <w:t>16</w:t>
      </w:r>
      <w:r>
        <w:rPr>
          <w:snapToGrid w:val="0"/>
        </w:rPr>
        <w:t>.</w:t>
      </w:r>
      <w:r>
        <w:rPr>
          <w:snapToGrid w:val="0"/>
        </w:rPr>
        <w:tab/>
        <w:t>Interest on payments made</w:t>
      </w:r>
      <w:bookmarkEnd w:id="245"/>
      <w:bookmarkEnd w:id="246"/>
      <w:bookmarkEnd w:id="247"/>
      <w:bookmarkEnd w:id="248"/>
      <w:bookmarkEnd w:id="249"/>
      <w:bookmarkEnd w:id="250"/>
      <w:bookmarkEnd w:id="251"/>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 xml:space="preserve">The interest payable under subsection (2) shall be calculated at a rate to be determined by the Treasurer, being a rate not less than that payable from time to time on ordinary savings accounts with the Commonwealth Bank of </w:t>
      </w:r>
      <w:smartTag w:uri="urn:schemas-microsoft-com:office:smarttags" w:element="country-region">
        <w:smartTag w:uri="urn:schemas-microsoft-com:office:smarttags" w:element="place">
          <w:r>
            <w:rPr>
              <w:snapToGrid w:val="0"/>
            </w:rPr>
            <w:t>Australia</w:t>
          </w:r>
        </w:smartTag>
      </w:smartTag>
      <w:r>
        <w:rPr>
          <w:snapToGrid w:val="0"/>
        </w:rPr>
        <w:t>.</w:t>
      </w:r>
    </w:p>
    <w:p>
      <w:pPr>
        <w:pStyle w:val="Footnotesection"/>
      </w:pPr>
      <w:r>
        <w:tab/>
        <w:t>[Section 16 amended</w:t>
      </w:r>
      <w:del w:id="252" w:author="svcMRProcess" w:date="2019-01-24T13:21:00Z">
        <w:r>
          <w:delText xml:space="preserve"> by</w:delText>
        </w:r>
      </w:del>
      <w:ins w:id="253" w:author="svcMRProcess" w:date="2019-01-24T13:21:00Z">
        <w:r>
          <w:t>:</w:t>
        </w:r>
      </w:ins>
      <w:r>
        <w:t xml:space="preserve"> No. 6 of 1994 s. 13; No. 14 of 1995 s. 44.]</w:t>
      </w:r>
    </w:p>
    <w:p>
      <w:pPr>
        <w:pStyle w:val="Heading5"/>
        <w:rPr>
          <w:snapToGrid w:val="0"/>
        </w:rPr>
      </w:pPr>
      <w:bookmarkStart w:id="254" w:name="_Toc379290269"/>
      <w:bookmarkStart w:id="255" w:name="_Toc434931219"/>
      <w:bookmarkStart w:id="256" w:name="_Toc459513439"/>
      <w:bookmarkStart w:id="257" w:name="_Toc38858646"/>
      <w:bookmarkStart w:id="258" w:name="_Toc151801308"/>
      <w:bookmarkStart w:id="259" w:name="_Toc164071752"/>
      <w:bookmarkStart w:id="260" w:name="_Toc341685862"/>
      <w:r>
        <w:rPr>
          <w:rStyle w:val="CharSectno"/>
        </w:rPr>
        <w:t>17</w:t>
      </w:r>
      <w:r>
        <w:rPr>
          <w:snapToGrid w:val="0"/>
        </w:rPr>
        <w:t>.</w:t>
      </w:r>
      <w:r>
        <w:rPr>
          <w:snapToGrid w:val="0"/>
        </w:rPr>
        <w:tab/>
        <w:t>Money recoverable by Treasurer</w:t>
      </w:r>
      <w:bookmarkEnd w:id="254"/>
      <w:bookmarkEnd w:id="255"/>
      <w:bookmarkEnd w:id="256"/>
      <w:bookmarkEnd w:id="257"/>
      <w:bookmarkEnd w:id="258"/>
      <w:bookmarkEnd w:id="259"/>
      <w:bookmarkEnd w:id="260"/>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261" w:name="_Toc459513440"/>
      <w:bookmarkStart w:id="262" w:name="_Toc38858647"/>
      <w:bookmarkStart w:id="263" w:name="_Toc151801309"/>
      <w:bookmarkStart w:id="264" w:name="_Toc379290270"/>
      <w:bookmarkStart w:id="265" w:name="_Toc434931220"/>
      <w:bookmarkStart w:id="266" w:name="_Toc164071753"/>
      <w:bookmarkStart w:id="267" w:name="_Toc341685863"/>
      <w:r>
        <w:rPr>
          <w:rStyle w:val="CharSectno"/>
        </w:rPr>
        <w:t>18</w:t>
      </w:r>
      <w:r>
        <w:rPr>
          <w:snapToGrid w:val="0"/>
        </w:rPr>
        <w:t>.</w:t>
      </w:r>
      <w:r>
        <w:rPr>
          <w:snapToGrid w:val="0"/>
        </w:rPr>
        <w:tab/>
        <w:t xml:space="preserve">Payment into Consolidated </w:t>
      </w:r>
      <w:bookmarkEnd w:id="261"/>
      <w:bookmarkEnd w:id="262"/>
      <w:bookmarkEnd w:id="263"/>
      <w:r>
        <w:rPr>
          <w:snapToGrid w:val="0"/>
        </w:rPr>
        <w:t>Account</w:t>
      </w:r>
      <w:bookmarkEnd w:id="264"/>
      <w:bookmarkEnd w:id="265"/>
      <w:bookmarkEnd w:id="266"/>
      <w:bookmarkEnd w:id="267"/>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w:t>
      </w:r>
      <w:del w:id="268" w:author="svcMRProcess" w:date="2019-01-24T13:21:00Z">
        <w:r>
          <w:delText xml:space="preserve"> by</w:delText>
        </w:r>
      </w:del>
      <w:ins w:id="269" w:author="svcMRProcess" w:date="2019-01-24T13:21:00Z">
        <w:r>
          <w:t>:</w:t>
        </w:r>
      </w:ins>
      <w:r>
        <w:t xml:space="preserve"> No. 6 of 1993 s. 11; No. 49 of 1996 s. 64; No. 77 of 2006 s. 4.]</w:t>
      </w:r>
    </w:p>
    <w:p>
      <w:pPr>
        <w:pStyle w:val="Heading2"/>
      </w:pPr>
      <w:bookmarkStart w:id="270" w:name="_Toc379290271"/>
      <w:bookmarkStart w:id="271" w:name="_Toc424558510"/>
      <w:bookmarkStart w:id="272" w:name="_Toc434931186"/>
      <w:bookmarkStart w:id="273" w:name="_Toc434931221"/>
      <w:bookmarkStart w:id="274" w:name="_Toc72650432"/>
      <w:bookmarkStart w:id="275" w:name="_Toc75941006"/>
      <w:bookmarkStart w:id="276" w:name="_Toc81965358"/>
      <w:bookmarkStart w:id="277" w:name="_Toc151801310"/>
      <w:bookmarkStart w:id="278" w:name="_Toc151958940"/>
      <w:bookmarkStart w:id="279" w:name="_Toc152128449"/>
      <w:bookmarkStart w:id="280" w:name="_Toc152142265"/>
      <w:bookmarkStart w:id="281" w:name="_Toc160953964"/>
      <w:bookmarkStart w:id="282" w:name="_Toc164071754"/>
      <w:bookmarkStart w:id="283" w:name="_Toc170719401"/>
      <w:bookmarkStart w:id="284" w:name="_Toc171071325"/>
      <w:bookmarkStart w:id="285" w:name="_Toc171071370"/>
      <w:bookmarkStart w:id="286" w:name="_Toc194904073"/>
      <w:bookmarkStart w:id="287" w:name="_Toc202243873"/>
      <w:bookmarkStart w:id="288" w:name="_Toc341685864"/>
      <w:r>
        <w:rPr>
          <w:rStyle w:val="CharPartNo"/>
        </w:rPr>
        <w:t>Part 5</w:t>
      </w:r>
      <w:r>
        <w:rPr>
          <w:rStyle w:val="CharDivNo"/>
        </w:rPr>
        <w:t> </w:t>
      </w:r>
      <w:r>
        <w:t>—</w:t>
      </w:r>
      <w:r>
        <w:rPr>
          <w:rStyle w:val="CharDivText"/>
        </w:rPr>
        <w:t> </w:t>
      </w:r>
      <w:r>
        <w:rPr>
          <w:rStyle w:val="CharPartText"/>
        </w:rPr>
        <w:t>Administration</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379290272"/>
      <w:bookmarkStart w:id="290" w:name="_Toc434931222"/>
      <w:bookmarkStart w:id="291" w:name="_Toc459513441"/>
      <w:bookmarkStart w:id="292" w:name="_Toc38858648"/>
      <w:bookmarkStart w:id="293" w:name="_Toc151801311"/>
      <w:bookmarkStart w:id="294" w:name="_Toc164071755"/>
      <w:bookmarkStart w:id="295" w:name="_Toc341685865"/>
      <w:r>
        <w:rPr>
          <w:rStyle w:val="CharSectno"/>
        </w:rPr>
        <w:t>19</w:t>
      </w:r>
      <w:r>
        <w:rPr>
          <w:snapToGrid w:val="0"/>
        </w:rPr>
        <w:t>.</w:t>
      </w:r>
      <w:r>
        <w:rPr>
          <w:snapToGrid w:val="0"/>
        </w:rPr>
        <w:tab/>
        <w:t>Exemption</w:t>
      </w:r>
      <w:bookmarkEnd w:id="289"/>
      <w:bookmarkEnd w:id="290"/>
      <w:bookmarkEnd w:id="291"/>
      <w:bookmarkEnd w:id="292"/>
      <w:bookmarkEnd w:id="293"/>
      <w:bookmarkEnd w:id="294"/>
      <w:bookmarkEnd w:id="295"/>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296" w:name="_Toc379290273"/>
      <w:bookmarkStart w:id="297" w:name="_Toc434931223"/>
      <w:bookmarkStart w:id="298" w:name="_Toc459513442"/>
      <w:bookmarkStart w:id="299" w:name="_Toc38858649"/>
      <w:bookmarkStart w:id="300" w:name="_Toc151801312"/>
      <w:bookmarkStart w:id="301" w:name="_Toc164071756"/>
      <w:bookmarkStart w:id="302" w:name="_Toc341685866"/>
      <w:r>
        <w:rPr>
          <w:rStyle w:val="CharSectno"/>
        </w:rPr>
        <w:t>20</w:t>
      </w:r>
      <w:r>
        <w:rPr>
          <w:snapToGrid w:val="0"/>
        </w:rPr>
        <w:t>.</w:t>
      </w:r>
      <w:r>
        <w:rPr>
          <w:snapToGrid w:val="0"/>
        </w:rPr>
        <w:tab/>
        <w:t>Exemptions in respect of money subject to a trust</w:t>
      </w:r>
      <w:bookmarkEnd w:id="296"/>
      <w:bookmarkEnd w:id="297"/>
      <w:bookmarkEnd w:id="298"/>
      <w:bookmarkEnd w:id="299"/>
      <w:bookmarkEnd w:id="300"/>
      <w:bookmarkEnd w:id="301"/>
      <w:bookmarkEnd w:id="302"/>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303" w:name="_Toc379290274"/>
      <w:bookmarkStart w:id="304" w:name="_Toc434931224"/>
      <w:bookmarkStart w:id="305" w:name="_Toc459513443"/>
      <w:bookmarkStart w:id="306" w:name="_Toc38858650"/>
      <w:bookmarkStart w:id="307" w:name="_Toc151801313"/>
      <w:bookmarkStart w:id="308" w:name="_Toc164071757"/>
      <w:bookmarkStart w:id="309" w:name="_Toc341685867"/>
      <w:r>
        <w:rPr>
          <w:rStyle w:val="CharSectno"/>
        </w:rPr>
        <w:t>21</w:t>
      </w:r>
      <w:r>
        <w:rPr>
          <w:snapToGrid w:val="0"/>
        </w:rPr>
        <w:t>.</w:t>
      </w:r>
      <w:r>
        <w:rPr>
          <w:snapToGrid w:val="0"/>
        </w:rPr>
        <w:tab/>
        <w:t>Delegations and authorisations</w:t>
      </w:r>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310" w:name="_Toc379290275"/>
      <w:bookmarkStart w:id="311" w:name="_Toc434931225"/>
      <w:bookmarkStart w:id="312" w:name="_Toc459513444"/>
      <w:bookmarkStart w:id="313" w:name="_Toc38858651"/>
      <w:bookmarkStart w:id="314" w:name="_Toc151801314"/>
      <w:bookmarkStart w:id="315" w:name="_Toc164071758"/>
      <w:bookmarkStart w:id="316" w:name="_Toc341685868"/>
      <w:r>
        <w:rPr>
          <w:rStyle w:val="CharSectno"/>
        </w:rPr>
        <w:t>22</w:t>
      </w:r>
      <w:r>
        <w:rPr>
          <w:snapToGrid w:val="0"/>
        </w:rPr>
        <w:t>.</w:t>
      </w:r>
      <w:r>
        <w:rPr>
          <w:snapToGrid w:val="0"/>
        </w:rPr>
        <w:tab/>
        <w:t>Offences</w:t>
      </w:r>
      <w:bookmarkEnd w:id="310"/>
      <w:bookmarkEnd w:id="311"/>
      <w:bookmarkEnd w:id="312"/>
      <w:bookmarkEnd w:id="313"/>
      <w:bookmarkEnd w:id="314"/>
      <w:bookmarkEnd w:id="315"/>
      <w:bookmarkEnd w:id="316"/>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w:t>
      </w:r>
      <w:del w:id="317" w:author="svcMRProcess" w:date="2019-01-24T13:21:00Z">
        <w:r>
          <w:delText xml:space="preserve"> by</w:delText>
        </w:r>
      </w:del>
      <w:ins w:id="318" w:author="svcMRProcess" w:date="2019-01-24T13:21:00Z">
        <w:r>
          <w:t>:</w:t>
        </w:r>
      </w:ins>
      <w:r>
        <w:t xml:space="preserve"> No. 50 of 2003 s. 101(2).]</w:t>
      </w:r>
    </w:p>
    <w:p>
      <w:pPr>
        <w:pStyle w:val="Heading5"/>
        <w:rPr>
          <w:snapToGrid w:val="0"/>
        </w:rPr>
      </w:pPr>
      <w:bookmarkStart w:id="319" w:name="_Toc379290276"/>
      <w:bookmarkStart w:id="320" w:name="_Toc434931226"/>
      <w:bookmarkStart w:id="321" w:name="_Toc459513445"/>
      <w:bookmarkStart w:id="322" w:name="_Toc38858652"/>
      <w:bookmarkStart w:id="323" w:name="_Toc151801315"/>
      <w:bookmarkStart w:id="324" w:name="_Toc164071759"/>
      <w:bookmarkStart w:id="325" w:name="_Toc341685869"/>
      <w:r>
        <w:rPr>
          <w:rStyle w:val="CharSectno"/>
        </w:rPr>
        <w:t>23</w:t>
      </w:r>
      <w:r>
        <w:rPr>
          <w:snapToGrid w:val="0"/>
        </w:rPr>
        <w:t>.</w:t>
      </w:r>
      <w:r>
        <w:rPr>
          <w:snapToGrid w:val="0"/>
        </w:rPr>
        <w:tab/>
        <w:t>Regulations</w:t>
      </w:r>
      <w:bookmarkEnd w:id="319"/>
      <w:bookmarkEnd w:id="320"/>
      <w:bookmarkEnd w:id="321"/>
      <w:bookmarkEnd w:id="322"/>
      <w:bookmarkEnd w:id="323"/>
      <w:bookmarkEnd w:id="324"/>
      <w:bookmarkEnd w:id="32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26" w:name="_Toc379290277"/>
      <w:bookmarkStart w:id="327" w:name="_Toc434931227"/>
      <w:bookmarkStart w:id="328" w:name="_Toc459513446"/>
      <w:bookmarkStart w:id="329" w:name="_Toc38858653"/>
      <w:bookmarkStart w:id="330" w:name="_Toc151801316"/>
      <w:bookmarkStart w:id="331" w:name="_Toc164071760"/>
      <w:bookmarkStart w:id="332" w:name="_Toc341685870"/>
      <w:r>
        <w:rPr>
          <w:rStyle w:val="CharSectno"/>
        </w:rPr>
        <w:t>24</w:t>
      </w:r>
      <w:r>
        <w:rPr>
          <w:snapToGrid w:val="0"/>
        </w:rPr>
        <w:t>.</w:t>
      </w:r>
      <w:r>
        <w:rPr>
          <w:snapToGrid w:val="0"/>
        </w:rPr>
        <w:tab/>
        <w:t>Repeal</w:t>
      </w:r>
      <w:bookmarkEnd w:id="326"/>
      <w:bookmarkEnd w:id="327"/>
      <w:bookmarkEnd w:id="328"/>
      <w:bookmarkEnd w:id="329"/>
      <w:bookmarkEnd w:id="330"/>
      <w:bookmarkEnd w:id="331"/>
      <w:bookmarkEnd w:id="332"/>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333" w:name="_Toc379290278"/>
      <w:bookmarkStart w:id="334" w:name="_Toc434931228"/>
      <w:bookmarkStart w:id="335" w:name="_Toc459513447"/>
      <w:bookmarkStart w:id="336" w:name="_Toc38858654"/>
      <w:bookmarkStart w:id="337" w:name="_Toc151801317"/>
      <w:bookmarkStart w:id="338" w:name="_Toc164071761"/>
      <w:bookmarkStart w:id="339" w:name="_Toc341685871"/>
      <w:r>
        <w:rPr>
          <w:rStyle w:val="CharSectno"/>
        </w:rPr>
        <w:t>25</w:t>
      </w:r>
      <w:r>
        <w:rPr>
          <w:snapToGrid w:val="0"/>
        </w:rPr>
        <w:t>.</w:t>
      </w:r>
      <w:r>
        <w:rPr>
          <w:snapToGrid w:val="0"/>
        </w:rPr>
        <w:tab/>
        <w:t>Transitional provision</w:t>
      </w:r>
      <w:bookmarkEnd w:id="333"/>
      <w:bookmarkEnd w:id="334"/>
      <w:bookmarkEnd w:id="335"/>
      <w:bookmarkEnd w:id="336"/>
      <w:bookmarkEnd w:id="337"/>
      <w:bookmarkEnd w:id="338"/>
      <w:bookmarkEnd w:id="339"/>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5</w:t>
      </w:r>
      <w:r>
        <w:rPr>
          <w:snapToGrid w:val="0"/>
        </w:rPr>
        <w:t>.</w:t>
      </w:r>
    </w:p>
    <w:p>
      <w:pPr>
        <w:pStyle w:val="Footnotesection"/>
      </w:pPr>
      <w:r>
        <w:tab/>
        <w:t>[Section 25 amended</w:t>
      </w:r>
      <w:del w:id="340" w:author="svcMRProcess" w:date="2019-01-24T13:21:00Z">
        <w:r>
          <w:delText xml:space="preserve"> by</w:delText>
        </w:r>
      </w:del>
      <w:ins w:id="341" w:author="svcMRProcess" w:date="2019-01-24T13:21:00Z">
        <w:r>
          <w:t>:</w:t>
        </w:r>
      </w:ins>
      <w:r>
        <w:t xml:space="preserve"> No. 6 of 1993 s. 11.]</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42" w:name="_Toc379290279"/>
      <w:bookmarkStart w:id="343" w:name="_Toc424558518"/>
      <w:bookmarkStart w:id="344" w:name="_Toc434931194"/>
      <w:bookmarkStart w:id="345" w:name="_Toc434931229"/>
      <w:bookmarkStart w:id="346" w:name="_Toc72650440"/>
      <w:bookmarkStart w:id="347" w:name="_Toc75941014"/>
      <w:bookmarkStart w:id="348" w:name="_Toc81965366"/>
      <w:bookmarkStart w:id="349" w:name="_Toc151801318"/>
      <w:bookmarkStart w:id="350" w:name="_Toc151958948"/>
      <w:bookmarkStart w:id="351" w:name="_Toc152128457"/>
      <w:bookmarkStart w:id="352" w:name="_Toc152142273"/>
      <w:bookmarkStart w:id="353" w:name="_Toc160953972"/>
      <w:bookmarkStart w:id="354" w:name="_Toc164071762"/>
      <w:bookmarkStart w:id="355" w:name="_Toc170719409"/>
      <w:bookmarkStart w:id="356" w:name="_Toc171071333"/>
      <w:bookmarkStart w:id="357" w:name="_Toc171071378"/>
      <w:bookmarkStart w:id="358" w:name="_Toc194904081"/>
      <w:bookmarkStart w:id="359" w:name="_Toc202243881"/>
      <w:bookmarkStart w:id="360" w:name="_Toc341685872"/>
      <w:r>
        <w:t>Notes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w:t>
      </w:r>
      <w:del w:id="361" w:author="svcMRProcess" w:date="2019-01-24T13:21:00Z">
        <w:r>
          <w:rPr>
            <w:snapToGrid w:val="0"/>
            <w:vertAlign w:val="superscript"/>
          </w:rPr>
          <w:delText> 1a</w:delText>
        </w:r>
      </w:del>
      <w:r>
        <w:rPr>
          <w:snapToGrid w:val="0"/>
        </w:rPr>
        <w:t>.  The table also contains information about any reprint.</w:t>
      </w:r>
    </w:p>
    <w:p>
      <w:pPr>
        <w:pStyle w:val="nHeading3"/>
        <w:rPr>
          <w:snapToGrid w:val="0"/>
        </w:rPr>
      </w:pPr>
      <w:bookmarkStart w:id="362" w:name="_Toc379290280"/>
      <w:bookmarkStart w:id="363" w:name="_Toc434931230"/>
      <w:bookmarkStart w:id="364" w:name="_Toc164071763"/>
      <w:bookmarkStart w:id="365" w:name="_Toc341685873"/>
      <w:r>
        <w:rPr>
          <w:snapToGrid w:val="0"/>
        </w:rPr>
        <w:t>Compilation table</w:t>
      </w:r>
      <w:bookmarkEnd w:id="362"/>
      <w:bookmarkEnd w:id="363"/>
      <w:bookmarkEnd w:id="364"/>
      <w:bookmarkEnd w:id="36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70"/>
            </w:pPr>
            <w:r>
              <w:rPr>
                <w:i/>
              </w:rPr>
              <w:t>Unclaimed Money Act 1990</w:t>
            </w:r>
          </w:p>
        </w:tc>
        <w:tc>
          <w:tcPr>
            <w:tcW w:w="1134" w:type="dxa"/>
            <w:tcBorders>
              <w:top w:val="single" w:sz="8" w:space="0" w:color="auto"/>
            </w:tcBorders>
          </w:tcPr>
          <w:p>
            <w:pPr>
              <w:pStyle w:val="nTable"/>
              <w:spacing w:after="40"/>
            </w:pPr>
            <w:r>
              <w:t>31 of 1990</w:t>
            </w:r>
          </w:p>
        </w:tc>
        <w:tc>
          <w:tcPr>
            <w:tcW w:w="1134" w:type="dxa"/>
            <w:tcBorders>
              <w:top w:val="single" w:sz="8" w:space="0" w:color="auto"/>
            </w:tcBorders>
          </w:tcPr>
          <w:p>
            <w:pPr>
              <w:pStyle w:val="nTable"/>
              <w:spacing w:after="40"/>
            </w:pPr>
            <w:r>
              <w:t>9 Oct 1990</w:t>
            </w:r>
          </w:p>
        </w:tc>
        <w:tc>
          <w:tcPr>
            <w:tcW w:w="2552" w:type="dxa"/>
            <w:tcBorders>
              <w:top w:val="single" w:sz="8" w:space="0" w:color="auto"/>
            </w:tcBorders>
          </w:tcPr>
          <w:p>
            <w:pPr>
              <w:pStyle w:val="nTable"/>
              <w:spacing w:after="40"/>
            </w:pPr>
            <w:r>
              <w:t xml:space="preserve">12 Apr 1991 (see s. 2 and </w:t>
            </w:r>
            <w:r>
              <w:rPr>
                <w:i/>
              </w:rPr>
              <w:t>Gazette</w:t>
            </w:r>
            <w:r>
              <w:t xml:space="preserve"> 12 Apr 1991 p. 1597)</w:t>
            </w:r>
          </w:p>
        </w:tc>
      </w:tr>
      <w:tr>
        <w:trPr>
          <w:cantSplit/>
        </w:trPr>
        <w:tc>
          <w:tcPr>
            <w:tcW w:w="2269" w:type="dxa"/>
          </w:tcPr>
          <w:p>
            <w:pPr>
              <w:pStyle w:val="nTable"/>
              <w:spacing w:after="40"/>
              <w:ind w:right="170"/>
            </w:pPr>
            <w:r>
              <w:rPr>
                <w:i/>
              </w:rPr>
              <w:t>R &amp; I Bank Act 1990</w:t>
            </w:r>
            <w:r>
              <w:t xml:space="preserve"> s. 45(1)</w:t>
            </w:r>
          </w:p>
        </w:tc>
        <w:tc>
          <w:tcPr>
            <w:tcW w:w="1134" w:type="dxa"/>
          </w:tcPr>
          <w:p>
            <w:pPr>
              <w:pStyle w:val="nTable"/>
              <w:spacing w:after="40"/>
            </w:pPr>
            <w:r>
              <w:t>73 of 1990</w:t>
            </w:r>
          </w:p>
        </w:tc>
        <w:tc>
          <w:tcPr>
            <w:tcW w:w="1134" w:type="dxa"/>
          </w:tcPr>
          <w:p>
            <w:pPr>
              <w:pStyle w:val="nTable"/>
              <w:spacing w:after="40"/>
            </w:pPr>
            <w:r>
              <w:t>20 Dec 1990</w:t>
            </w:r>
          </w:p>
        </w:tc>
        <w:tc>
          <w:tcPr>
            <w:tcW w:w="2552" w:type="dxa"/>
          </w:tcPr>
          <w:p>
            <w:pPr>
              <w:pStyle w:val="nTable"/>
              <w:spacing w:after="40"/>
            </w:pPr>
            <w:r>
              <w:t xml:space="preserve">1 Jan 1991 (see s. 2(2) and </w:t>
            </w:r>
            <w:r>
              <w:rPr>
                <w:i/>
              </w:rPr>
              <w:t>Gazette</w:t>
            </w:r>
            <w:r>
              <w:t xml:space="preserve"> 28 Dec 1990 p. 6369)</w:t>
            </w:r>
          </w:p>
        </w:tc>
      </w:tr>
      <w:tr>
        <w:trPr>
          <w:cantSplit/>
        </w:trPr>
        <w:tc>
          <w:tcPr>
            <w:tcW w:w="2269" w:type="dxa"/>
          </w:tcPr>
          <w:p>
            <w:pPr>
              <w:pStyle w:val="nTable"/>
              <w:spacing w:after="40"/>
              <w:ind w:right="170"/>
            </w:pPr>
            <w:r>
              <w:rPr>
                <w:i/>
              </w:rPr>
              <w:t>Financial Administration Legislation Amendment  Act 1993</w:t>
            </w:r>
            <w:r>
              <w:t xml:space="preserve"> s. 11 and 16(1)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ind w:right="170"/>
            </w:pPr>
            <w:r>
              <w:rPr>
                <w:i/>
                <w:spacing w:val="-2"/>
              </w:rPr>
              <w:t>R &amp; I Bank Amendment Act 1994</w:t>
            </w:r>
            <w:r>
              <w:rPr>
                <w:spacing w:val="-2"/>
              </w:rPr>
              <w:t xml:space="preserve"> 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2" w:type="dxa"/>
          </w:tcPr>
          <w:p>
            <w:pPr>
              <w:pStyle w:val="nTable"/>
              <w:spacing w:after="40"/>
            </w:pPr>
            <w:r>
              <w:rPr>
                <w:spacing w:val="-2"/>
              </w:rPr>
              <w:t xml:space="preserve">26 Apr 1994 (see s. 2(2) and </w:t>
            </w:r>
            <w:r>
              <w:rPr>
                <w:i/>
                <w:spacing w:val="-2"/>
              </w:rPr>
              <w:t>Gazette</w:t>
            </w:r>
            <w:r>
              <w:rPr>
                <w:spacing w:val="-2"/>
              </w:rPr>
              <w:t xml:space="preserve"> 26 Apr 1994 p. 1743)</w:t>
            </w:r>
          </w:p>
        </w:tc>
      </w:tr>
      <w:tr>
        <w:trPr>
          <w:cantSplit/>
        </w:trPr>
        <w:tc>
          <w:tcPr>
            <w:tcW w:w="2269" w:type="dxa"/>
          </w:tcPr>
          <w:p>
            <w:pPr>
              <w:pStyle w:val="nTable"/>
              <w:spacing w:after="40"/>
              <w:ind w:right="170"/>
            </w:pPr>
            <w:r>
              <w:rPr>
                <w:i/>
                <w:spacing w:val="-2"/>
              </w:rPr>
              <w:t>Statutes (Repeals and Minor Amendments) Act 1994</w:t>
            </w:r>
            <w:r>
              <w:rPr>
                <w:spacing w:val="-2"/>
              </w:rPr>
              <w:t xml:space="preserve"> 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2" w:type="dxa"/>
          </w:tcPr>
          <w:p>
            <w:pPr>
              <w:pStyle w:val="nTable"/>
              <w:spacing w:after="40"/>
            </w:pPr>
            <w:r>
              <w:rPr>
                <w:spacing w:val="-2"/>
              </w:rPr>
              <w:t>9 Dec 1994 (see s.  2)</w:t>
            </w:r>
          </w:p>
        </w:tc>
      </w:tr>
      <w:tr>
        <w:trPr>
          <w:cantSplit/>
        </w:trPr>
        <w:tc>
          <w:tcPr>
            <w:tcW w:w="2269" w:type="dxa"/>
          </w:tcPr>
          <w:p>
            <w:pPr>
              <w:pStyle w:val="nTable"/>
              <w:spacing w:after="40"/>
              <w:ind w:right="170"/>
            </w:pPr>
            <w:r>
              <w:rPr>
                <w:i/>
                <w:spacing w:val="-2"/>
              </w:rPr>
              <w:t xml:space="preserve">Bank of </w:t>
            </w:r>
            <w:smartTag w:uri="urn:schemas-microsoft-com:office:smarttags" w:element="State">
              <w:smartTag w:uri="urn:schemas-microsoft-com:office:smarttags" w:element="place">
                <w:r>
                  <w:rPr>
                    <w:i/>
                    <w:spacing w:val="-2"/>
                  </w:rPr>
                  <w:t>Western Australia</w:t>
                </w:r>
              </w:smartTag>
            </w:smartTag>
            <w:r>
              <w:rPr>
                <w:i/>
                <w:spacing w:val="-2"/>
              </w:rPr>
              <w:t xml:space="preserve"> Act 1995</w:t>
            </w:r>
            <w:r>
              <w:rPr>
                <w:spacing w:val="-2"/>
              </w:rPr>
              <w:t xml:space="preserve"> s. 44</w:t>
            </w:r>
          </w:p>
        </w:tc>
        <w:tc>
          <w:tcPr>
            <w:tcW w:w="1134" w:type="dxa"/>
          </w:tcPr>
          <w:p>
            <w:pPr>
              <w:pStyle w:val="nTable"/>
              <w:keepNext/>
              <w:spacing w:after="40"/>
              <w:rPr>
                <w:spacing w:val="-2"/>
              </w:rPr>
            </w:pPr>
            <w:r>
              <w:rPr>
                <w:spacing w:val="-2"/>
              </w:rPr>
              <w:t>14 of 1995</w:t>
            </w:r>
          </w:p>
        </w:tc>
        <w:tc>
          <w:tcPr>
            <w:tcW w:w="1134" w:type="dxa"/>
          </w:tcPr>
          <w:p>
            <w:pPr>
              <w:pStyle w:val="nTable"/>
              <w:keepNext/>
              <w:spacing w:after="40"/>
            </w:pPr>
            <w:r>
              <w:rPr>
                <w:spacing w:val="-2"/>
              </w:rPr>
              <w:t>4 Jul 1995</w:t>
            </w:r>
          </w:p>
        </w:tc>
        <w:tc>
          <w:tcPr>
            <w:tcW w:w="2552" w:type="dxa"/>
          </w:tcPr>
          <w:p>
            <w:pPr>
              <w:pStyle w:val="nTable"/>
              <w:keepNext/>
              <w:spacing w:after="40"/>
            </w:pPr>
            <w:r>
              <w:rPr>
                <w:spacing w:val="-2"/>
              </w:rPr>
              <w:t xml:space="preserve">1 Dec 1995 (see s. 2(3) and </w:t>
            </w:r>
            <w:r>
              <w:rPr>
                <w:i/>
                <w:spacing w:val="-2"/>
              </w:rPr>
              <w:t>Gazette</w:t>
            </w:r>
            <w:r>
              <w:rPr>
                <w:spacing w:val="-2"/>
              </w:rPr>
              <w:t xml:space="preserve"> 29 Nov 1995 p. 5529)</w:t>
            </w:r>
          </w:p>
        </w:tc>
      </w:tr>
      <w:tr>
        <w:trPr>
          <w:cantSplit/>
        </w:trPr>
        <w:tc>
          <w:tcPr>
            <w:tcW w:w="2269" w:type="dxa"/>
          </w:tcPr>
          <w:p>
            <w:pPr>
              <w:pStyle w:val="nTable"/>
              <w:spacing w:after="40"/>
              <w:ind w:right="170"/>
              <w:rPr>
                <w:i/>
                <w:spacing w:val="-2"/>
              </w:rPr>
            </w:pPr>
            <w:r>
              <w:rPr>
                <w:i/>
                <w:spacing w:val="-2"/>
              </w:rPr>
              <w:t>Local Government (</w:t>
            </w:r>
            <w:r>
              <w:rPr>
                <w:i/>
              </w:rPr>
              <w:t>Consequential</w:t>
            </w:r>
            <w:r>
              <w:rPr>
                <w:i/>
                <w:spacing w:val="-2"/>
              </w:rPr>
              <w:t xml:space="preserve"> Amendments) Act 1996</w:t>
            </w:r>
            <w:r>
              <w:rPr>
                <w:spacing w:val="-2"/>
              </w:rPr>
              <w:t xml:space="preserve"> s. 4</w:t>
            </w:r>
          </w:p>
        </w:tc>
        <w:tc>
          <w:tcPr>
            <w:tcW w:w="1134" w:type="dxa"/>
          </w:tcPr>
          <w:p>
            <w:pPr>
              <w:pStyle w:val="nTable"/>
              <w:spacing w:after="40"/>
              <w:rPr>
                <w:spacing w:val="-2"/>
              </w:rPr>
            </w:pPr>
            <w:r>
              <w:rPr>
                <w:spacing w:val="-2"/>
              </w:rPr>
              <w:t>14 of 1996</w:t>
            </w:r>
          </w:p>
        </w:tc>
        <w:tc>
          <w:tcPr>
            <w:tcW w:w="1134" w:type="dxa"/>
          </w:tcPr>
          <w:p>
            <w:pPr>
              <w:pStyle w:val="nTable"/>
              <w:spacing w:after="40"/>
              <w:rPr>
                <w:spacing w:val="-2"/>
              </w:rPr>
            </w:pPr>
            <w:r>
              <w:rPr>
                <w:spacing w:val="-2"/>
              </w:rPr>
              <w:t>28 Jun 1996</w:t>
            </w:r>
          </w:p>
        </w:tc>
        <w:tc>
          <w:tcPr>
            <w:tcW w:w="2552" w:type="dxa"/>
          </w:tcPr>
          <w:p>
            <w:pPr>
              <w:pStyle w:val="nTable"/>
              <w:spacing w:after="40"/>
              <w:rPr>
                <w:spacing w:val="-2"/>
              </w:rPr>
            </w:pPr>
            <w:r>
              <w:rPr>
                <w:spacing w:val="-2"/>
              </w:rPr>
              <w:t>1 Jul 1996 (see s. 2)</w:t>
            </w:r>
          </w:p>
        </w:tc>
      </w:tr>
      <w:tr>
        <w:trPr>
          <w:cantSplit/>
        </w:trPr>
        <w:tc>
          <w:tcPr>
            <w:tcW w:w="2269" w:type="dxa"/>
          </w:tcPr>
          <w:p>
            <w:pPr>
              <w:pStyle w:val="nTable"/>
              <w:spacing w:after="40"/>
              <w:ind w:right="170"/>
            </w:pPr>
            <w:r>
              <w:rPr>
                <w:i/>
              </w:rPr>
              <w:t xml:space="preserve">Financial Legislation Amendment Act 1996 </w:t>
            </w:r>
            <w:r>
              <w:t>s. 64</w:t>
            </w:r>
          </w:p>
        </w:tc>
        <w:tc>
          <w:tcPr>
            <w:tcW w:w="1134" w:type="dxa"/>
          </w:tcPr>
          <w:p>
            <w:pPr>
              <w:pStyle w:val="nTable"/>
              <w:spacing w:after="40"/>
              <w:rPr>
                <w:spacing w:val="-2"/>
              </w:rPr>
            </w:pPr>
            <w:r>
              <w:rPr>
                <w:spacing w:val="-2"/>
              </w:rP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70"/>
            </w:pPr>
            <w:r>
              <w:rPr>
                <w:i/>
              </w:rPr>
              <w:t>Acts Amendment (Gaming) Act 1998</w:t>
            </w:r>
            <w:r>
              <w:t xml:space="preserve"> s. 68(2)</w:t>
            </w:r>
          </w:p>
        </w:tc>
        <w:tc>
          <w:tcPr>
            <w:tcW w:w="1134" w:type="dxa"/>
          </w:tcPr>
          <w:p>
            <w:pPr>
              <w:pStyle w:val="nTable"/>
              <w:spacing w:after="40"/>
              <w:rPr>
                <w:spacing w:val="-2"/>
              </w:rPr>
            </w:pPr>
            <w:r>
              <w:rPr>
                <w:spacing w:val="-2"/>
              </w:rP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rPr>
          <w:cantSplit/>
        </w:trPr>
        <w:tc>
          <w:tcPr>
            <w:tcW w:w="2269" w:type="dxa"/>
          </w:tcPr>
          <w:p>
            <w:pPr>
              <w:pStyle w:val="nTable"/>
              <w:spacing w:after="40"/>
              <w:ind w:right="170"/>
            </w:pPr>
            <w:r>
              <w:rPr>
                <w:i/>
              </w:rPr>
              <w:t>Port Authorities (Consequential Provisions) Act 1999</w:t>
            </w:r>
            <w:r>
              <w:t xml:space="preserve"> s. 21 and 26</w:t>
            </w:r>
          </w:p>
        </w:tc>
        <w:tc>
          <w:tcPr>
            <w:tcW w:w="1134" w:type="dxa"/>
          </w:tcPr>
          <w:p>
            <w:pPr>
              <w:pStyle w:val="nTable"/>
              <w:spacing w:after="40"/>
              <w:rPr>
                <w:spacing w:val="-2"/>
              </w:rPr>
            </w:pPr>
            <w:r>
              <w:rPr>
                <w:spacing w:val="-2"/>
              </w:rPr>
              <w:t>5 of 1999</w:t>
            </w:r>
          </w:p>
        </w:tc>
        <w:tc>
          <w:tcPr>
            <w:tcW w:w="1134" w:type="dxa"/>
          </w:tcPr>
          <w:p>
            <w:pPr>
              <w:pStyle w:val="nTable"/>
              <w:spacing w:after="40"/>
            </w:pPr>
            <w:r>
              <w:t>13 Apr 1999</w:t>
            </w:r>
          </w:p>
        </w:tc>
        <w:tc>
          <w:tcPr>
            <w:tcW w:w="2552" w:type="dxa"/>
          </w:tcPr>
          <w:p>
            <w:pPr>
              <w:pStyle w:val="nTable"/>
              <w:spacing w:after="40"/>
            </w:pPr>
            <w:r>
              <w:t xml:space="preserve">14 Aug 1999 (see s. 2 and </w:t>
            </w:r>
            <w:r>
              <w:rPr>
                <w:i/>
              </w:rPr>
              <w:t>Gazette</w:t>
            </w:r>
            <w:r>
              <w:t xml:space="preserve"> 13 Aug 1999 p. 3823)</w:t>
            </w:r>
          </w:p>
        </w:tc>
      </w:tr>
      <w:tr>
        <w:trPr>
          <w:cantSplit/>
        </w:trPr>
        <w:tc>
          <w:tcPr>
            <w:tcW w:w="2269" w:type="dxa"/>
          </w:tcPr>
          <w:p>
            <w:pPr>
              <w:pStyle w:val="nTable"/>
              <w:spacing w:after="40"/>
              <w:ind w:right="170"/>
            </w:pPr>
            <w:r>
              <w:rPr>
                <w:i/>
              </w:rPr>
              <w:t>Acts Amendment and Repeal (Financial Sector Reform) Act 1999</w:t>
            </w:r>
            <w:r>
              <w:t xml:space="preserve"> s. 109</w:t>
            </w:r>
          </w:p>
        </w:tc>
        <w:tc>
          <w:tcPr>
            <w:tcW w:w="1134" w:type="dxa"/>
          </w:tcPr>
          <w:p>
            <w:pPr>
              <w:pStyle w:val="nTable"/>
              <w:spacing w:after="40"/>
              <w:rPr>
                <w:spacing w:val="-2"/>
              </w:rPr>
            </w:pPr>
            <w:r>
              <w:rPr>
                <w:spacing w:val="-2"/>
              </w:rP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rPr>
          <w:cantSplit/>
        </w:trPr>
        <w:tc>
          <w:tcPr>
            <w:tcW w:w="7089" w:type="dxa"/>
            <w:gridSpan w:val="4"/>
          </w:tcPr>
          <w:p>
            <w:pPr>
              <w:pStyle w:val="nTable"/>
              <w:spacing w:after="40"/>
            </w:pPr>
            <w:r>
              <w:rPr>
                <w:b/>
                <w:bCs/>
              </w:rPr>
              <w:t xml:space="preserve">Reprint of the </w:t>
            </w:r>
            <w:r>
              <w:rPr>
                <w:b/>
                <w:bCs/>
                <w:i/>
              </w:rPr>
              <w:t>Unclaimed Money Act 1990</w:t>
            </w:r>
            <w:r>
              <w:rPr>
                <w:b/>
                <w:bCs/>
              </w:rPr>
              <w:t xml:space="preserve"> as at 5 Nov 1999</w:t>
            </w:r>
            <w:r>
              <w:t xml:space="preserve"> (includes amendments listed above)</w:t>
            </w:r>
          </w:p>
        </w:tc>
      </w:tr>
      <w:tr>
        <w:trPr>
          <w:cantSplit/>
        </w:trPr>
        <w:tc>
          <w:tcPr>
            <w:tcW w:w="2269" w:type="dxa"/>
          </w:tcPr>
          <w:p>
            <w:pPr>
              <w:pStyle w:val="nTable"/>
              <w:spacing w:after="40"/>
              <w:ind w:right="170"/>
            </w:pPr>
            <w:r>
              <w:rPr>
                <w:i/>
              </w:rPr>
              <w:t>Unclaimed Money (Superannuation and RSA Providers) Act 2003</w:t>
            </w:r>
            <w:r>
              <w:t xml:space="preserve"> s. 26</w:t>
            </w:r>
          </w:p>
        </w:tc>
        <w:tc>
          <w:tcPr>
            <w:tcW w:w="1134" w:type="dxa"/>
          </w:tcPr>
          <w:p>
            <w:pPr>
              <w:pStyle w:val="nTable"/>
              <w:spacing w:after="40"/>
              <w:rPr>
                <w:spacing w:val="-2"/>
              </w:rPr>
            </w:pPr>
            <w:r>
              <w:rPr>
                <w:spacing w:val="-2"/>
              </w:rPr>
              <w:t>19 of 2003</w:t>
            </w:r>
          </w:p>
        </w:tc>
        <w:tc>
          <w:tcPr>
            <w:tcW w:w="1134" w:type="dxa"/>
          </w:tcPr>
          <w:p>
            <w:pPr>
              <w:pStyle w:val="nTable"/>
              <w:spacing w:after="40"/>
            </w:pPr>
            <w:r>
              <w:t>17 Apr 2003</w:t>
            </w:r>
          </w:p>
        </w:tc>
        <w:tc>
          <w:tcPr>
            <w:tcW w:w="2552" w:type="dxa"/>
          </w:tcPr>
          <w:p>
            <w:pPr>
              <w:pStyle w:val="nTable"/>
              <w:spacing w:after="40"/>
            </w:pPr>
            <w:r>
              <w:t>1 Jul 2003 (see s. 2)</w:t>
            </w:r>
          </w:p>
        </w:tc>
      </w:tr>
      <w:tr>
        <w:trPr>
          <w:cantSplit/>
        </w:trPr>
        <w:tc>
          <w:tcPr>
            <w:tcW w:w="2269" w:type="dxa"/>
          </w:tcPr>
          <w:p>
            <w:pPr>
              <w:pStyle w:val="nTable"/>
              <w:spacing w:after="40"/>
              <w:ind w:right="170"/>
              <w:rPr>
                <w:i/>
              </w:rPr>
            </w:pPr>
            <w:r>
              <w:rPr>
                <w:i/>
              </w:rPr>
              <w:t xml:space="preserve">Corporations (Consequential Amendments) Act (No. 2) 2003 </w:t>
            </w:r>
            <w:r>
              <w:t>Pt. 25</w:t>
            </w:r>
          </w:p>
        </w:tc>
        <w:tc>
          <w:tcPr>
            <w:tcW w:w="1134" w:type="dxa"/>
          </w:tcPr>
          <w:p>
            <w:pPr>
              <w:pStyle w:val="nTable"/>
              <w:spacing w:after="40"/>
              <w:rPr>
                <w:spacing w:val="-2"/>
              </w:rPr>
            </w:pPr>
            <w:r>
              <w:rPr>
                <w:spacing w:val="-2"/>
              </w:rP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9" w:type="dxa"/>
          </w:tcPr>
          <w:p>
            <w:pPr>
              <w:pStyle w:val="nTable"/>
              <w:spacing w:after="40"/>
              <w:ind w:right="170"/>
              <w:rPr>
                <w:i/>
              </w:rPr>
            </w:pPr>
            <w:r>
              <w:rPr>
                <w:i/>
              </w:rPr>
              <w:t xml:space="preserve">Sentencing Legislation Amendment and Repeal Act 2003 </w:t>
            </w:r>
            <w:r>
              <w:t>s. 101</w:t>
            </w:r>
          </w:p>
        </w:tc>
        <w:tc>
          <w:tcPr>
            <w:tcW w:w="1134" w:type="dxa"/>
          </w:tcPr>
          <w:p>
            <w:pPr>
              <w:pStyle w:val="nTable"/>
              <w:spacing w:after="40"/>
              <w:rPr>
                <w:spacing w:val="-2"/>
              </w:rPr>
            </w:pPr>
            <w:r>
              <w:rPr>
                <w:spacing w:val="-2"/>
              </w:rP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rPr>
          <w:cantSplit/>
        </w:trPr>
        <w:tc>
          <w:tcPr>
            <w:tcW w:w="2269" w:type="dxa"/>
          </w:tcPr>
          <w:p>
            <w:pPr>
              <w:pStyle w:val="nTable"/>
              <w:spacing w:after="40"/>
              <w:ind w:right="170"/>
              <w:rPr>
                <w:iCs/>
              </w:rPr>
            </w:pPr>
            <w:r>
              <w:rPr>
                <w:i/>
              </w:rPr>
              <w:t>Road Traffic Amendment (Impounding and Confiscation of Vehicles) Act 2004</w:t>
            </w:r>
            <w:r>
              <w:rPr>
                <w:iCs/>
              </w:rPr>
              <w:t xml:space="preserve"> s. 15</w:t>
            </w:r>
          </w:p>
        </w:tc>
        <w:tc>
          <w:tcPr>
            <w:tcW w:w="1134" w:type="dxa"/>
          </w:tcPr>
          <w:p>
            <w:pPr>
              <w:pStyle w:val="nTable"/>
              <w:spacing w:after="40"/>
              <w:rPr>
                <w:spacing w:val="-2"/>
              </w:rPr>
            </w:pPr>
            <w:r>
              <w:rPr>
                <w:spacing w:val="-2"/>
              </w:rPr>
              <w:t>10 of 2004</w:t>
            </w:r>
          </w:p>
        </w:tc>
        <w:tc>
          <w:tcPr>
            <w:tcW w:w="1134" w:type="dxa"/>
          </w:tcPr>
          <w:p>
            <w:pPr>
              <w:pStyle w:val="nTable"/>
              <w:spacing w:after="40"/>
            </w:pPr>
            <w:r>
              <w:t>23 Jun 2004</w:t>
            </w:r>
          </w:p>
        </w:tc>
        <w:tc>
          <w:tcPr>
            <w:tcW w:w="2552" w:type="dxa"/>
          </w:tcPr>
          <w:p>
            <w:pPr>
              <w:pStyle w:val="nTable"/>
              <w:spacing w:after="40"/>
            </w:pPr>
            <w:r>
              <w:t xml:space="preserve">4 Sep 2004 (see s. 2 and </w:t>
            </w:r>
            <w:r>
              <w:rPr>
                <w:i/>
                <w:iCs/>
              </w:rPr>
              <w:t>Gazette</w:t>
            </w:r>
            <w:r>
              <w:t xml:space="preserve"> 3 Sep 2004 p. 3849)</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ind w:right="170"/>
              <w:rPr>
                <w:i/>
              </w:rPr>
            </w:pPr>
            <w:r>
              <w:rPr>
                <w:i/>
              </w:rPr>
              <w:t>Financial Legislation Amendment and Repeal Act 2006</w:t>
            </w:r>
            <w:r>
              <w:t xml:space="preserve"> s. 4 and 17</w:t>
            </w:r>
          </w:p>
        </w:tc>
        <w:tc>
          <w:tcPr>
            <w:tcW w:w="1134" w:type="dxa"/>
          </w:tcPr>
          <w:p>
            <w:pPr>
              <w:pStyle w:val="nTable"/>
              <w:spacing w:after="40"/>
              <w:rPr>
                <w:spacing w:val="-2"/>
              </w:rPr>
            </w:pPr>
            <w:r>
              <w:rPr>
                <w:spacing w:val="-2"/>
              </w:rP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rPr>
              <w:t>Gazette</w:t>
            </w:r>
            <w:r>
              <w:t xml:space="preserve"> 19 Jan 2007 p. 137)</w:t>
            </w:r>
          </w:p>
        </w:tc>
      </w:tr>
      <w:tr>
        <w:trPr>
          <w:cantSplit/>
        </w:trPr>
        <w:tc>
          <w:tcPr>
            <w:tcW w:w="7089" w:type="dxa"/>
            <w:gridSpan w:val="4"/>
          </w:tcPr>
          <w:p>
            <w:pPr>
              <w:pStyle w:val="nTable"/>
              <w:spacing w:after="40"/>
            </w:pPr>
            <w:r>
              <w:rPr>
                <w:b/>
                <w:bCs/>
              </w:rPr>
              <w:t xml:space="preserve">Reprint 2: The </w:t>
            </w:r>
            <w:r>
              <w:rPr>
                <w:b/>
                <w:bCs/>
                <w:i/>
              </w:rPr>
              <w:t>Unclaimed Money Act 1990</w:t>
            </w:r>
            <w:r>
              <w:rPr>
                <w:b/>
                <w:bCs/>
              </w:rPr>
              <w:t xml:space="preserve"> as at 9 Mar 2007</w:t>
            </w:r>
            <w:r>
              <w:t xml:space="preserve"> (includes amendments listed above except the amendments in the </w:t>
            </w:r>
            <w:r>
              <w:rPr>
                <w:i/>
                <w:snapToGrid w:val="0"/>
              </w:rPr>
              <w:t>Criminal Investigation (Consequential Provisions) Act 2006</w:t>
            </w:r>
            <w:r>
              <w:rPr>
                <w:iCs/>
                <w:snapToGrid w:val="0"/>
              </w:rPr>
              <w:t xml:space="preserve"> s. 73</w:t>
            </w:r>
            <w:r>
              <w:t>)</w:t>
            </w:r>
          </w:p>
        </w:tc>
      </w:tr>
      <w:tr>
        <w:trPr>
          <w:cantSplit/>
        </w:trPr>
        <w:tc>
          <w:tcPr>
            <w:tcW w:w="2269" w:type="dxa"/>
          </w:tcPr>
          <w:p>
            <w:pPr>
              <w:pStyle w:val="nTable"/>
              <w:spacing w:after="40"/>
              <w:ind w:right="170"/>
              <w:rPr>
                <w:i/>
              </w:rPr>
            </w:pPr>
            <w:r>
              <w:rPr>
                <w:i/>
                <w:snapToGrid w:val="0"/>
              </w:rPr>
              <w:t>Public Trustee and Trustee Companies Legislation Amendment Act 2008</w:t>
            </w:r>
            <w:r>
              <w:rPr>
                <w:iCs/>
                <w:snapToGrid w:val="0"/>
              </w:rPr>
              <w:t xml:space="preserve"> Pt. 4</w:t>
            </w:r>
          </w:p>
        </w:tc>
        <w:tc>
          <w:tcPr>
            <w:tcW w:w="1134" w:type="dxa"/>
          </w:tcPr>
          <w:p>
            <w:pPr>
              <w:pStyle w:val="nTable"/>
              <w:spacing w:after="40"/>
              <w:rPr>
                <w:spacing w:val="-2"/>
              </w:rPr>
            </w:pPr>
            <w:r>
              <w:rPr>
                <w:snapToGrid w:val="0"/>
              </w:rPr>
              <w:t>9 of 2008</w:t>
            </w:r>
          </w:p>
        </w:tc>
        <w:tc>
          <w:tcPr>
            <w:tcW w:w="1134" w:type="dxa"/>
          </w:tcPr>
          <w:p>
            <w:pPr>
              <w:pStyle w:val="nTable"/>
              <w:spacing w:after="40"/>
            </w:pPr>
            <w:r>
              <w:t>31 Mar 2008</w:t>
            </w:r>
          </w:p>
        </w:tc>
        <w:tc>
          <w:tcPr>
            <w:tcW w:w="2552" w:type="dxa"/>
          </w:tcPr>
          <w:p>
            <w:pPr>
              <w:pStyle w:val="nTable"/>
              <w:spacing w:after="40"/>
            </w:pPr>
            <w:r>
              <w:t xml:space="preserve">1 Jul 2008 (see s. 2 and </w:t>
            </w:r>
            <w:r>
              <w:rPr>
                <w:i/>
                <w:iCs/>
              </w:rPr>
              <w:t>Gazette</w:t>
            </w:r>
            <w:r>
              <w:t xml:space="preserve"> 24 Jun 2008 p. 2885)</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bl>
    <w:p>
      <w:pPr>
        <w:pStyle w:val="nSubsection"/>
        <w:tabs>
          <w:tab w:val="clear" w:pos="454"/>
          <w:tab w:val="left" w:pos="567"/>
        </w:tabs>
        <w:spacing w:before="120"/>
        <w:ind w:left="567" w:hanging="567"/>
        <w:rPr>
          <w:del w:id="366" w:author="svcMRProcess" w:date="2019-01-24T13:21:00Z"/>
          <w:snapToGrid w:val="0"/>
        </w:rPr>
      </w:pPr>
      <w:del w:id="367" w:author="svcMRProcess" w:date="2019-01-24T13: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8" w:author="svcMRProcess" w:date="2019-01-24T13:21:00Z"/>
        </w:rPr>
      </w:pPr>
      <w:bookmarkStart w:id="369" w:name="_Toc7405065"/>
      <w:bookmarkStart w:id="370" w:name="_Toc341685874"/>
      <w:del w:id="371" w:author="svcMRProcess" w:date="2019-01-24T13:21:00Z">
        <w:r>
          <w:delText>Provisions that have not come into operation</w:delText>
        </w:r>
        <w:bookmarkEnd w:id="369"/>
        <w:bookmarkEnd w:id="370"/>
      </w:del>
    </w:p>
    <w:tbl>
      <w:tblPr>
        <w:tblW w:w="0" w:type="auto"/>
        <w:tblInd w:w="2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372" w:author="svcMRProcess" w:date="2019-01-24T13:21:00Z"/>
        </w:trPr>
        <w:tc>
          <w:tcPr>
            <w:tcW w:w="2268" w:type="dxa"/>
          </w:tcPr>
          <w:p>
            <w:pPr>
              <w:pStyle w:val="nTable"/>
              <w:spacing w:after="40"/>
              <w:rPr>
                <w:del w:id="373" w:author="svcMRProcess" w:date="2019-01-24T13:21:00Z"/>
                <w:b/>
                <w:snapToGrid w:val="0"/>
                <w:lang w:val="en-US"/>
              </w:rPr>
            </w:pPr>
            <w:del w:id="374" w:author="svcMRProcess" w:date="2019-01-24T13:21:00Z">
              <w:r>
                <w:rPr>
                  <w:b/>
                  <w:snapToGrid w:val="0"/>
                  <w:lang w:val="en-US"/>
                </w:rPr>
                <w:delText>Short title</w:delText>
              </w:r>
            </w:del>
          </w:p>
        </w:tc>
        <w:tc>
          <w:tcPr>
            <w:tcW w:w="1118" w:type="dxa"/>
          </w:tcPr>
          <w:p>
            <w:pPr>
              <w:pStyle w:val="nTable"/>
              <w:spacing w:after="40"/>
              <w:rPr>
                <w:del w:id="375" w:author="svcMRProcess" w:date="2019-01-24T13:21:00Z"/>
                <w:b/>
                <w:snapToGrid w:val="0"/>
                <w:lang w:val="en-US"/>
              </w:rPr>
            </w:pPr>
            <w:del w:id="376" w:author="svcMRProcess" w:date="2019-01-24T13:21:00Z">
              <w:r>
                <w:rPr>
                  <w:b/>
                  <w:snapToGrid w:val="0"/>
                  <w:lang w:val="en-US"/>
                </w:rPr>
                <w:delText>Number and year</w:delText>
              </w:r>
            </w:del>
          </w:p>
        </w:tc>
        <w:tc>
          <w:tcPr>
            <w:tcW w:w="1134" w:type="dxa"/>
          </w:tcPr>
          <w:p>
            <w:pPr>
              <w:pStyle w:val="nTable"/>
              <w:spacing w:after="40"/>
              <w:rPr>
                <w:del w:id="377" w:author="svcMRProcess" w:date="2019-01-24T13:21:00Z"/>
                <w:b/>
                <w:snapToGrid w:val="0"/>
                <w:lang w:val="en-US"/>
              </w:rPr>
            </w:pPr>
            <w:del w:id="378" w:author="svcMRProcess" w:date="2019-01-24T13:21:00Z">
              <w:r>
                <w:rPr>
                  <w:b/>
                  <w:snapToGrid w:val="0"/>
                  <w:lang w:val="en-US"/>
                </w:rPr>
                <w:delText>Assent</w:delText>
              </w:r>
            </w:del>
          </w:p>
        </w:tc>
        <w:tc>
          <w:tcPr>
            <w:tcW w:w="2552" w:type="dxa"/>
          </w:tcPr>
          <w:p>
            <w:pPr>
              <w:pStyle w:val="nTable"/>
              <w:spacing w:after="40"/>
              <w:rPr>
                <w:del w:id="379" w:author="svcMRProcess" w:date="2019-01-24T13:21:00Z"/>
                <w:b/>
                <w:snapToGrid w:val="0"/>
                <w:lang w:val="en-US"/>
              </w:rPr>
            </w:pPr>
            <w:del w:id="380" w:author="svcMRProcess" w:date="2019-01-24T13:2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8" w:space="0" w:color="auto"/>
            </w:tcBorders>
          </w:tcPr>
          <w:p>
            <w:pPr>
              <w:pStyle w:val="nTable"/>
              <w:spacing w:after="40"/>
              <w:ind w:right="113"/>
              <w:rPr>
                <w:i/>
              </w:rPr>
            </w:pPr>
            <w:r>
              <w:rPr>
                <w:i/>
                <w:snapToGrid w:val="0"/>
              </w:rPr>
              <w:t>Aboriginal Affairs Planning Authority Amendment Act 2012</w:t>
            </w:r>
            <w:r>
              <w:rPr>
                <w:snapToGrid w:val="0"/>
              </w:rPr>
              <w:t xml:space="preserve"> Pt. 3</w:t>
            </w:r>
            <w:r>
              <w:rPr>
                <w:snapToGrid w:val="0"/>
                <w:vertAlign w:val="superscript"/>
              </w:rPr>
              <w:t> </w:t>
            </w:r>
            <w:del w:id="381" w:author="svcMRProcess" w:date="2019-01-24T13:21:00Z">
              <w:r>
                <w:rPr>
                  <w:snapToGrid w:val="0"/>
                  <w:vertAlign w:val="superscript"/>
                  <w:lang w:val="en-US"/>
                </w:rPr>
                <w:delText>4</w:delText>
              </w:r>
            </w:del>
          </w:p>
        </w:tc>
        <w:tc>
          <w:tcPr>
            <w:tcW w:w="1134" w:type="dxa"/>
            <w:tcBorders>
              <w:bottom w:val="single" w:sz="8" w:space="0" w:color="auto"/>
            </w:tcBorders>
          </w:tcPr>
          <w:p>
            <w:pPr>
              <w:pStyle w:val="nTable"/>
              <w:spacing w:after="40"/>
            </w:pPr>
            <w:r>
              <w:rPr>
                <w:snapToGrid w:val="0"/>
              </w:rPr>
              <w:t>38 of 2012</w:t>
            </w:r>
          </w:p>
        </w:tc>
        <w:tc>
          <w:tcPr>
            <w:tcW w:w="1134" w:type="dxa"/>
            <w:tcBorders>
              <w:bottom w:val="single" w:sz="8" w:space="0" w:color="auto"/>
            </w:tcBorders>
          </w:tcPr>
          <w:p>
            <w:pPr>
              <w:pStyle w:val="nTable"/>
              <w:spacing w:after="40"/>
            </w:pPr>
            <w:r>
              <w:t>22 Nov 2012</w:t>
            </w:r>
          </w:p>
        </w:tc>
        <w:tc>
          <w:tcPr>
            <w:tcW w:w="2552" w:type="dxa"/>
            <w:tcBorders>
              <w:bottom w:val="single" w:sz="8" w:space="0" w:color="auto"/>
            </w:tcBorders>
          </w:tcPr>
          <w:p>
            <w:pPr>
              <w:pStyle w:val="nTable"/>
              <w:spacing w:after="40"/>
            </w:pPr>
            <w:del w:id="382" w:author="svcMRProcess" w:date="2019-01-24T13:21:00Z">
              <w:r>
                <w:rPr>
                  <w:snapToGrid w:val="0"/>
                  <w:lang w:val="en-US"/>
                </w:rPr>
                <w:delText>To be proclaimed</w:delText>
              </w:r>
            </w:del>
            <w:ins w:id="383" w:author="svcMRProcess" w:date="2019-01-24T13:21:00Z">
              <w:r>
                <w:rPr>
                  <w:snapToGrid w:val="0"/>
                </w:rPr>
                <w:t>7 Aug 2013</w:t>
              </w:r>
            </w:ins>
            <w:r>
              <w:rPr>
                <w:snapToGrid w:val="0"/>
              </w:rPr>
              <w:t xml:space="preserve"> (see s.</w:t>
            </w:r>
            <w:del w:id="384" w:author="svcMRProcess" w:date="2019-01-24T13:21:00Z">
              <w:r>
                <w:rPr>
                  <w:snapToGrid w:val="0"/>
                  <w:lang w:val="en-US"/>
                </w:rPr>
                <w:delText xml:space="preserve"> </w:delText>
              </w:r>
            </w:del>
            <w:ins w:id="385" w:author="svcMRProcess" w:date="2019-01-24T13:21:00Z">
              <w:r>
                <w:rPr>
                  <w:snapToGrid w:val="0"/>
                </w:rPr>
                <w:t> </w:t>
              </w:r>
            </w:ins>
            <w:r>
              <w:rPr>
                <w:snapToGrid w:val="0"/>
              </w:rPr>
              <w:t>2(b</w:t>
            </w:r>
            <w:del w:id="386" w:author="svcMRProcess" w:date="2019-01-24T13:21:00Z">
              <w:r>
                <w:rPr>
                  <w:snapToGrid w:val="0"/>
                  <w:lang w:val="en-US"/>
                </w:rPr>
                <w:delText>))</w:delText>
              </w:r>
            </w:del>
            <w:ins w:id="387" w:author="svcMRProcess" w:date="2019-01-24T13:21:00Z">
              <w:r>
                <w:rPr>
                  <w:snapToGrid w:val="0"/>
                </w:rPr>
                <w:t xml:space="preserve">) and </w:t>
              </w:r>
              <w:r>
                <w:rPr>
                  <w:i/>
                  <w:snapToGrid w:val="0"/>
                </w:rPr>
                <w:t>Gazette</w:t>
              </w:r>
              <w:r>
                <w:rPr>
                  <w:snapToGrid w:val="0"/>
                </w:rPr>
                <w:t xml:space="preserve"> 6 Aug 2013 p. 3647)</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t>Repealed by the Life Insurance (Consequential Amendments and Repeals) Act 1995 of the Commonwealth.</w:t>
      </w:r>
    </w:p>
    <w:p>
      <w:pPr>
        <w:pStyle w:val="nSubsection"/>
        <w:ind w:left="426" w:hanging="426"/>
        <w:rPr>
          <w:i/>
          <w:snapToGrid w:val="0"/>
        </w:rPr>
      </w:pPr>
      <w:r>
        <w:rPr>
          <w:snapToGrid w:val="0"/>
          <w:vertAlign w:val="superscript"/>
        </w:rPr>
        <w:t>3</w:t>
      </w:r>
      <w:r>
        <w:rPr>
          <w:snapToGrid w:val="0"/>
        </w:rPr>
        <w:tab/>
        <w:t xml:space="preserve">The </w:t>
      </w:r>
      <w:r>
        <w:rPr>
          <w:i/>
          <w:snapToGrid w:val="0"/>
        </w:rPr>
        <w:t>Companies (</w:t>
      </w:r>
      <w:smartTag w:uri="urn:schemas-microsoft-com:office:smarttags" w:element="State">
        <w:r>
          <w:rPr>
            <w:i/>
            <w:snapToGrid w:val="0"/>
          </w:rPr>
          <w:t>Western Australia</w:t>
        </w:r>
      </w:smartTag>
      <w:r>
        <w:rPr>
          <w:i/>
          <w:snapToGrid w:val="0"/>
        </w:rPr>
        <w:t>) Code</w:t>
      </w:r>
      <w:r>
        <w:rPr>
          <w:snapToGrid w:val="0"/>
        </w:rPr>
        <w:t xml:space="preserve"> </w:t>
      </w:r>
      <w:r>
        <w:t xml:space="preserve">and the </w:t>
      </w:r>
      <w:r>
        <w:rPr>
          <w:i/>
          <w:iCs/>
        </w:rPr>
        <w:t>Companies (Acquisition of Shares) (</w:t>
      </w:r>
      <w:smartTag w:uri="urn:schemas-microsoft-com:office:smarttags" w:element="place">
        <w:smartTag w:uri="urn:schemas-microsoft-com:office:smarttags" w:element="State">
          <w:r>
            <w:rPr>
              <w:i/>
              <w:iCs/>
            </w:rPr>
            <w:t>Western Australia</w:t>
          </w:r>
        </w:smartTag>
      </w:smartTag>
      <w:r>
        <w:rPr>
          <w:i/>
          <w:iCs/>
        </w:rPr>
        <w:t xml:space="preserve">) Code </w:t>
      </w:r>
      <w:r>
        <w:t xml:space="preserve">were </w:t>
      </w:r>
      <w:r>
        <w:rPr>
          <w:snapToGrid w:val="0"/>
        </w:rPr>
        <w:t xml:space="preserve">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rPr>
          <w:snapToGrid w:val="0"/>
        </w:rPr>
        <w:t xml:space="preserve"> and Part 2 of the </w:t>
      </w:r>
      <w:r>
        <w:rPr>
          <w:i/>
          <w:snapToGrid w:val="0"/>
        </w:rPr>
        <w:t>Corporations (Ancillary Provisions) Act 2001</w:t>
      </w:r>
      <w:r>
        <w:rPr>
          <w:snapToGrid w:val="0"/>
        </w:rPr>
        <w:t xml:space="preserve"> respectively.</w:t>
      </w:r>
    </w:p>
    <w:p>
      <w:pPr>
        <w:pStyle w:val="nSubsection"/>
        <w:ind w:left="426" w:hanging="426"/>
        <w:rPr>
          <w:del w:id="388" w:author="svcMRProcess" w:date="2019-01-24T13:21:00Z"/>
          <w:snapToGrid w:val="0"/>
        </w:rPr>
      </w:pPr>
      <w:del w:id="389" w:author="svcMRProcess" w:date="2019-01-24T13:2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Aboriginal Affairs Planning Authority Amendment Act 2012</w:delText>
        </w:r>
        <w:r>
          <w:rPr>
            <w:snapToGrid w:val="0"/>
          </w:rPr>
          <w:delText xml:space="preserve"> Pt. 3 had not come into operation.  It reads as follows:</w:delText>
        </w:r>
      </w:del>
    </w:p>
    <w:p>
      <w:pPr>
        <w:pStyle w:val="BlankOpen"/>
        <w:rPr>
          <w:del w:id="390" w:author="svcMRProcess" w:date="2019-01-24T13:21:00Z"/>
        </w:rPr>
      </w:pPr>
      <w:bookmarkStart w:id="391" w:name="AutoSch"/>
      <w:bookmarkEnd w:id="391"/>
    </w:p>
    <w:p>
      <w:pPr>
        <w:pStyle w:val="nzHeading2"/>
        <w:rPr>
          <w:del w:id="392" w:author="svcMRProcess" w:date="2019-01-24T13:21:00Z"/>
        </w:rPr>
      </w:pPr>
      <w:bookmarkStart w:id="393" w:name="_Toc329355390"/>
      <w:bookmarkStart w:id="394" w:name="_Toc329598471"/>
      <w:bookmarkStart w:id="395" w:name="_Toc329611519"/>
      <w:bookmarkStart w:id="396" w:name="_Toc329614825"/>
      <w:bookmarkStart w:id="397" w:name="_Toc329617429"/>
      <w:bookmarkStart w:id="398" w:name="_Toc329768666"/>
      <w:bookmarkStart w:id="399" w:name="_Toc329768681"/>
      <w:bookmarkStart w:id="400" w:name="_Toc329785180"/>
      <w:bookmarkStart w:id="401" w:name="_Toc329859336"/>
      <w:bookmarkStart w:id="402" w:name="_Toc329940869"/>
      <w:bookmarkStart w:id="403" w:name="_Toc329945498"/>
      <w:bookmarkStart w:id="404" w:name="_Toc329945774"/>
      <w:bookmarkStart w:id="405" w:name="_Toc329946405"/>
      <w:bookmarkStart w:id="406" w:name="_Toc329946737"/>
      <w:bookmarkStart w:id="407" w:name="_Toc330202890"/>
      <w:bookmarkStart w:id="408" w:name="_Toc330394118"/>
      <w:bookmarkStart w:id="409" w:name="_Toc330462553"/>
      <w:bookmarkStart w:id="410" w:name="_Toc330469789"/>
      <w:bookmarkStart w:id="411" w:name="_Toc331409530"/>
      <w:bookmarkStart w:id="412" w:name="_Toc332013434"/>
      <w:bookmarkStart w:id="413" w:name="_Toc332014255"/>
      <w:bookmarkStart w:id="414" w:name="_Toc332014350"/>
      <w:bookmarkStart w:id="415" w:name="_Toc333242176"/>
      <w:bookmarkStart w:id="416" w:name="_Toc333242188"/>
      <w:bookmarkStart w:id="417" w:name="_Toc333316995"/>
      <w:bookmarkStart w:id="418" w:name="_Toc333418097"/>
      <w:bookmarkStart w:id="419" w:name="_Toc334012781"/>
      <w:bookmarkStart w:id="420" w:name="_Toc336265017"/>
      <w:bookmarkStart w:id="421" w:name="_Toc340152504"/>
      <w:bookmarkStart w:id="422" w:name="_Toc340152516"/>
      <w:del w:id="423" w:author="svcMRProcess" w:date="2019-01-24T13:21:00Z">
        <w:r>
          <w:rPr>
            <w:rStyle w:val="CharPartNo"/>
          </w:rPr>
          <w:delText>Part 3</w:delText>
        </w:r>
        <w:r>
          <w:rPr>
            <w:rStyle w:val="CharDivNo"/>
          </w:rPr>
          <w:delText> </w:delText>
        </w:r>
        <w:r>
          <w:delText>—</w:delText>
        </w:r>
        <w:r>
          <w:rPr>
            <w:rStyle w:val="CharDivText"/>
          </w:rPr>
          <w:delText> </w:delText>
        </w:r>
        <w:r>
          <w:rPr>
            <w:rStyle w:val="CharPartText"/>
            <w:i/>
          </w:rPr>
          <w:delText xml:space="preserve">Unclaimed Money Act 1990 </w:delText>
        </w:r>
        <w:r>
          <w:rPr>
            <w:rStyle w:val="CharPartText"/>
          </w:rPr>
          <w:delText>amended</w:delTex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del>
    </w:p>
    <w:p>
      <w:pPr>
        <w:pStyle w:val="nzHeading5"/>
        <w:rPr>
          <w:del w:id="424" w:author="svcMRProcess" w:date="2019-01-24T13:21:00Z"/>
        </w:rPr>
      </w:pPr>
      <w:bookmarkStart w:id="425" w:name="_Toc329598472"/>
      <w:bookmarkStart w:id="426" w:name="_Toc340152517"/>
      <w:del w:id="427" w:author="svcMRProcess" w:date="2019-01-24T13:21:00Z">
        <w:r>
          <w:rPr>
            <w:rStyle w:val="CharSectno"/>
          </w:rPr>
          <w:delText>6</w:delText>
        </w:r>
        <w:r>
          <w:delText>.</w:delText>
        </w:r>
        <w:r>
          <w:tab/>
          <w:delText>Act amended</w:delText>
        </w:r>
        <w:bookmarkEnd w:id="425"/>
        <w:bookmarkEnd w:id="426"/>
      </w:del>
    </w:p>
    <w:p>
      <w:pPr>
        <w:pStyle w:val="nzSubsection"/>
        <w:rPr>
          <w:del w:id="428" w:author="svcMRProcess" w:date="2019-01-24T13:21:00Z"/>
        </w:rPr>
      </w:pPr>
      <w:del w:id="429" w:author="svcMRProcess" w:date="2019-01-24T13:21:00Z">
        <w:r>
          <w:tab/>
        </w:r>
        <w:r>
          <w:tab/>
          <w:delText xml:space="preserve">This Part amends the </w:delText>
        </w:r>
        <w:r>
          <w:rPr>
            <w:i/>
          </w:rPr>
          <w:delText>Unclaimed Money Act 1990.</w:delText>
        </w:r>
      </w:del>
    </w:p>
    <w:p>
      <w:pPr>
        <w:pStyle w:val="nzHeading5"/>
        <w:rPr>
          <w:del w:id="430" w:author="svcMRProcess" w:date="2019-01-24T13:21:00Z"/>
        </w:rPr>
      </w:pPr>
      <w:bookmarkStart w:id="431" w:name="_Toc329598473"/>
      <w:bookmarkStart w:id="432" w:name="_Toc340152518"/>
      <w:del w:id="433" w:author="svcMRProcess" w:date="2019-01-24T13:21:00Z">
        <w:r>
          <w:rPr>
            <w:rStyle w:val="CharSectno"/>
          </w:rPr>
          <w:delText>7</w:delText>
        </w:r>
        <w:r>
          <w:delText>.</w:delText>
        </w:r>
        <w:r>
          <w:tab/>
          <w:delText>Section 9 amended</w:delText>
        </w:r>
        <w:bookmarkEnd w:id="431"/>
        <w:bookmarkEnd w:id="432"/>
      </w:del>
    </w:p>
    <w:p>
      <w:pPr>
        <w:pStyle w:val="nzSubsection"/>
        <w:rPr>
          <w:del w:id="434" w:author="svcMRProcess" w:date="2019-01-24T13:21:00Z"/>
        </w:rPr>
      </w:pPr>
      <w:del w:id="435" w:author="svcMRProcess" w:date="2019-01-24T13:21:00Z">
        <w:r>
          <w:tab/>
        </w:r>
        <w:r>
          <w:tab/>
          <w:delText>Delete section 9(1)(a).</w:delText>
        </w:r>
      </w:del>
    </w:p>
    <w:p>
      <w:pPr>
        <w:pStyle w:val="BlankClose"/>
        <w:rPr>
          <w:del w:id="436" w:author="svcMRProcess" w:date="2019-01-24T13:21:00Z"/>
        </w:rPr>
      </w:pPr>
    </w:p>
    <w:p>
      <w:pPr>
        <w:pStyle w:val="nSubsection"/>
        <w:ind w:left="426" w:hanging="426"/>
        <w:rPr>
          <w:ins w:id="437" w:author="svcMRProcess" w:date="2019-01-24T13:21:00Z"/>
        </w:rPr>
      </w:pPr>
      <w:ins w:id="438" w:author="svcMRProcess" w:date="2019-01-24T13:21:00Z">
        <w:r>
          <w:rPr>
            <w:snapToGrid w:val="0"/>
            <w:vertAlign w:val="superscript"/>
          </w:rPr>
          <w:t>4</w:t>
        </w:r>
        <w:r>
          <w:rPr>
            <w:snapToGrid w:val="0"/>
          </w:rPr>
          <w:tab/>
          <w:t xml:space="preserve">Footnote no longer applicable. </w:t>
        </w:r>
      </w:ins>
    </w:p>
    <w:p>
      <w:pPr>
        <w:pStyle w:val="nSubsection"/>
        <w:ind w:left="426" w:hanging="426"/>
        <w:rPr>
          <w:snapToGrid w:val="0"/>
        </w:rPr>
      </w:pPr>
      <w:r>
        <w:rPr>
          <w:snapToGrid w:val="0"/>
          <w:vertAlign w:val="superscript"/>
        </w:rPr>
        <w:t>5</w:t>
      </w:r>
      <w:r>
        <w:rPr>
          <w:snapToGrid w:val="0"/>
        </w:rPr>
        <w:tab/>
      </w:r>
      <w:r>
        <w:t>The former Consolidated Fund became the Consolidated Account.</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Unclaimed Money Act 1990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Unclaimed Money Act 1990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Unclaimed Money Act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Unclaimed Money Act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0" w:name="Coversheet"/>
    <w:bookmarkEnd w:id="4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222"/>
    <w:docVar w:name="WAFER_20140204142729" w:val="RemoveTocBookmarks,RemoveUnusedBookmarks,RemoveLanguageTags,UsedStyles,ResetPageSize,UpdateArrangement"/>
    <w:docVar w:name="WAFER_20140204142729_GUID" w:val="f7f610dc-f61f-4e33-8422-de7df6be9cae"/>
    <w:docVar w:name="WAFER_20140204145706" w:val="RemoveTocBookmarks,RunningHeaders"/>
    <w:docVar w:name="WAFER_20140204145706_GUID" w:val="f752a7c6-4bb2-4098-97c6-db9829590f35"/>
    <w:docVar w:name="WAFER_20150713115505" w:val="ResetPageSize,UpdateArrangement,UpdateNTable"/>
    <w:docVar w:name="WAFER_20150713115505_GUID" w:val="b4fc224f-703f-4df9-bd4b-9e737d1c684b"/>
    <w:docVar w:name="WAFER_20151110130105" w:val="UpdateStyles,UsedStyles"/>
    <w:docVar w:name="WAFER_20151110130105_GUID" w:val="311d850e-260f-4582-b9b4-c6c48786e7f5"/>
    <w:docVar w:name="WAFER_20151201140222" w:val="RemoveTrackChanges"/>
    <w:docVar w:name="WAFER_20151201140222_GUID" w:val="921ec737-c35a-4b8a-abab-217ff6e339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BBA70-5554-4FDF-ABCD-DBADE3D64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6743</Words>
  <Characters>30416</Characters>
  <Application>Microsoft Office Word</Application>
  <DocSecurity>0</DocSecurity>
  <Lines>894</Lines>
  <Paragraphs>458</Paragraphs>
  <ScaleCrop>false</ScaleCrop>
  <HeadingPairs>
    <vt:vector size="2" baseType="variant">
      <vt:variant>
        <vt:lpstr>Title</vt:lpstr>
      </vt:variant>
      <vt:variant>
        <vt:i4>1</vt:i4>
      </vt:variant>
    </vt:vector>
  </HeadingPairs>
  <TitlesOfParts>
    <vt:vector size="1" baseType="lpstr">
      <vt:lpstr>Unclaimed Money Act 1990</vt:lpstr>
    </vt:vector>
  </TitlesOfParts>
  <Manager/>
  <Company/>
  <LinksUpToDate>false</LinksUpToDate>
  <CharactersWithSpaces>36701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02-f0-02 - 02-g0-05</dc:title>
  <dc:subject/>
  <dc:creator/>
  <cp:keywords/>
  <dc:description/>
  <cp:lastModifiedBy>svcMRProcess</cp:lastModifiedBy>
  <cp:revision>2</cp:revision>
  <cp:lastPrinted>2007-04-04T07:46:00Z</cp:lastPrinted>
  <dcterms:created xsi:type="dcterms:W3CDTF">2019-01-24T05:21:00Z</dcterms:created>
  <dcterms:modified xsi:type="dcterms:W3CDTF">2019-01-24T05:21:00Z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22 Nov 2012</vt:lpwstr>
  </property>
  <property fmtid="{D5CDD505-2E9C-101B-9397-08002B2CF9AE}" pid="9" name="ToSuffix">
    <vt:lpwstr>02-g0-05</vt:lpwstr>
  </property>
  <property fmtid="{D5CDD505-2E9C-101B-9397-08002B2CF9AE}" pid="10" name="ToAsAtDate">
    <vt:lpwstr>07 Aug 2013</vt:lpwstr>
  </property>
</Properties>
</file>