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22 Aug 2013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A</w:t>
      </w:r>
      <w:bookmarkStart w:id="0" w:name="_GoBack"/>
      <w:bookmarkEnd w:id="0"/>
      <w:r>
        <w:rPr>
          <w:snapToGrid w:val="0"/>
        </w:rPr>
        <w:t xml:space="preserve">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bookmarkStart w:id="4" w:name="_Toc365033400"/>
      <w:bookmarkStart w:id="5" w:name="_Toc27204751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6" w:name="_Toc411144946"/>
      <w:bookmarkStart w:id="7" w:name="_Toc2408850"/>
      <w:bookmarkStart w:id="8" w:name="_Toc6040943"/>
      <w:bookmarkStart w:id="9" w:name="_Toc365033401"/>
      <w:bookmarkStart w:id="10" w:name="_Toc2720475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11" w:name="_Toc411144947"/>
      <w:bookmarkStart w:id="12" w:name="_Toc2408851"/>
      <w:bookmarkStart w:id="13" w:name="_Toc6040944"/>
      <w:bookmarkStart w:id="14" w:name="_Toc365033402"/>
      <w:bookmarkStart w:id="15" w:name="_Toc272047512"/>
      <w:r>
        <w:rPr>
          <w:rStyle w:val="CharSectno"/>
        </w:rPr>
        <w:t>3</w:t>
      </w:r>
      <w:r>
        <w:rPr>
          <w:snapToGrid w:val="0"/>
        </w:rPr>
        <w:t>.</w:t>
      </w:r>
      <w:r>
        <w:rPr>
          <w:snapToGrid w:val="0"/>
        </w:rPr>
        <w:tab/>
        <w:t>Interpretation</w:t>
      </w:r>
      <w:bookmarkEnd w:id="11"/>
      <w:bookmarkEnd w:id="12"/>
      <w:bookmarkEnd w:id="13"/>
      <w:bookmarkEnd w:id="14"/>
      <w:bookmarkEnd w:id="15"/>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6" w:name="endcomma"/>
      <w:bookmarkEnd w:id="16"/>
      <w:r>
        <w:rPr>
          <w:rStyle w:val="CharDefText"/>
        </w:rPr>
        <w:t>Fremantle Fund</w:t>
      </w:r>
      <w:r>
        <w:t xml:space="preserve"> </w:t>
      </w:r>
      <w:bookmarkStart w:id="17" w:name="comma"/>
      <w:bookmarkEnd w:id="17"/>
      <w:r>
        <w:t>means the City of Fremantle Trust Fund referred to in the Agreement.</w:t>
      </w:r>
    </w:p>
    <w:p>
      <w:pPr>
        <w:pStyle w:val="Heading5"/>
        <w:rPr>
          <w:snapToGrid w:val="0"/>
        </w:rPr>
      </w:pPr>
      <w:bookmarkStart w:id="18" w:name="_Toc411144948"/>
      <w:bookmarkStart w:id="19" w:name="_Toc2408852"/>
      <w:bookmarkStart w:id="20" w:name="_Toc6040945"/>
      <w:bookmarkStart w:id="21" w:name="_Toc365033403"/>
      <w:bookmarkStart w:id="22" w:name="_Toc272047513"/>
      <w:r>
        <w:rPr>
          <w:rStyle w:val="CharSectno"/>
        </w:rPr>
        <w:t>4</w:t>
      </w:r>
      <w:r>
        <w:rPr>
          <w:snapToGrid w:val="0"/>
        </w:rPr>
        <w:t>.</w:t>
      </w:r>
      <w:r>
        <w:rPr>
          <w:snapToGrid w:val="0"/>
        </w:rPr>
        <w:tab/>
        <w:t>Repeal</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23" w:name="_Toc411144949"/>
      <w:bookmarkStart w:id="24" w:name="_Toc2408853"/>
      <w:bookmarkStart w:id="25" w:name="_Toc6040946"/>
      <w:bookmarkStart w:id="26" w:name="_Toc365033404"/>
      <w:bookmarkStart w:id="27" w:name="_Toc272047514"/>
      <w:r>
        <w:rPr>
          <w:rStyle w:val="CharSectno"/>
        </w:rPr>
        <w:lastRenderedPageBreak/>
        <w:t>5</w:t>
      </w:r>
      <w:r>
        <w:rPr>
          <w:snapToGrid w:val="0"/>
        </w:rPr>
        <w:t>.</w:t>
      </w:r>
      <w:r>
        <w:rPr>
          <w:snapToGrid w:val="0"/>
        </w:rPr>
        <w:tab/>
        <w:t>Dissolution of Board</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28" w:name="_Toc411144950"/>
      <w:bookmarkStart w:id="29" w:name="_Toc2408854"/>
      <w:bookmarkStart w:id="30" w:name="_Toc6040947"/>
      <w:bookmarkStart w:id="31" w:name="_Toc365033405"/>
      <w:bookmarkStart w:id="32" w:name="_Toc272047515"/>
      <w:r>
        <w:rPr>
          <w:rStyle w:val="CharSectno"/>
        </w:rPr>
        <w:t>6</w:t>
      </w:r>
      <w:r>
        <w:rPr>
          <w:snapToGrid w:val="0"/>
        </w:rPr>
        <w:t>.</w:t>
      </w:r>
      <w:r>
        <w:rPr>
          <w:snapToGrid w:val="0"/>
        </w:rPr>
        <w:tab/>
        <w:t>Agreement approved</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33" w:name="_Toc411144951"/>
      <w:bookmarkStart w:id="34" w:name="_Toc2408855"/>
      <w:bookmarkStart w:id="35" w:name="_Toc6040948"/>
      <w:bookmarkStart w:id="36" w:name="_Toc365033406"/>
      <w:bookmarkStart w:id="37" w:name="_Toc272047516"/>
      <w:r>
        <w:rPr>
          <w:rStyle w:val="CharSectno"/>
        </w:rPr>
        <w:t>7</w:t>
      </w:r>
      <w:r>
        <w:rPr>
          <w:snapToGrid w:val="0"/>
        </w:rPr>
        <w:t>.</w:t>
      </w:r>
      <w:r>
        <w:rPr>
          <w:snapToGrid w:val="0"/>
        </w:rPr>
        <w:tab/>
        <w:t>Trust Funds constituted bodies corporate and transition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lastRenderedPageBreak/>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38" w:name="_Toc411144952"/>
      <w:bookmarkStart w:id="39" w:name="_Toc2408856"/>
      <w:bookmarkStart w:id="40" w:name="_Toc6040949"/>
      <w:bookmarkStart w:id="41" w:name="_Toc365033407"/>
      <w:bookmarkStart w:id="42" w:name="_Toc272047517"/>
      <w:r>
        <w:rPr>
          <w:rStyle w:val="CharSectno"/>
        </w:rPr>
        <w:t>8</w:t>
      </w:r>
      <w:r>
        <w:rPr>
          <w:snapToGrid w:val="0"/>
        </w:rPr>
        <w:t>.</w:t>
      </w:r>
      <w:r>
        <w:rPr>
          <w:snapToGrid w:val="0"/>
        </w:rPr>
        <w:tab/>
        <w:t>Power to Funds to give effectual receipt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43" w:name="_Toc411144953"/>
      <w:bookmarkStart w:id="44" w:name="_Toc2408857"/>
      <w:bookmarkStart w:id="45" w:name="_Toc6040950"/>
      <w:bookmarkStart w:id="46" w:name="_Toc365033408"/>
      <w:bookmarkStart w:id="47" w:name="_Toc272047518"/>
      <w:r>
        <w:rPr>
          <w:rStyle w:val="CharSectno"/>
        </w:rPr>
        <w:t>9</w:t>
      </w:r>
      <w:r>
        <w:rPr>
          <w:snapToGrid w:val="0"/>
        </w:rPr>
        <w:t>.</w:t>
      </w:r>
      <w:r>
        <w:rPr>
          <w:snapToGrid w:val="0"/>
        </w:rPr>
        <w:tab/>
        <w:t>Exemption from stamp duty on Agreement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8" w:name="_Toc6040951"/>
      <w:bookmarkStart w:id="49" w:name="_Toc267913004"/>
      <w:bookmarkStart w:id="50" w:name="_Toc268249791"/>
      <w:bookmarkStart w:id="51" w:name="_Toc272047519"/>
      <w:bookmarkStart w:id="52" w:name="_Toc365026231"/>
      <w:bookmarkStart w:id="53" w:name="_Toc365033409"/>
      <w:r>
        <w:rPr>
          <w:rStyle w:val="CharSchNo"/>
        </w:rPr>
        <w:t>Schedule</w:t>
      </w:r>
      <w:bookmarkEnd w:id="48"/>
      <w:bookmarkEnd w:id="49"/>
      <w:r>
        <w:t> — </w:t>
      </w:r>
      <w:r>
        <w:rPr>
          <w:rStyle w:val="CharSchText"/>
        </w:rPr>
        <w:t>Trust Funds Agreement</w:t>
      </w:r>
      <w:bookmarkEnd w:id="50"/>
      <w:bookmarkEnd w:id="51"/>
      <w:bookmarkEnd w:id="52"/>
      <w:bookmarkEnd w:id="53"/>
    </w:p>
    <w:p>
      <w:pPr>
        <w:pStyle w:val="yShoulderClause"/>
        <w:rPr>
          <w:snapToGrid w:val="0"/>
        </w:rPr>
      </w:pPr>
      <w:r>
        <w:rPr>
          <w:snapToGrid w:val="0"/>
        </w:rPr>
        <w:t>[s. 3]</w:t>
      </w:r>
    </w:p>
    <w:p>
      <w:pPr>
        <w:pStyle w:val="yFootnoteheading"/>
      </w:pPr>
      <w:r>
        <w:tab/>
        <w:t>[Heading amended by No. 19 of 2010 s. 4.]</w:t>
      </w:r>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r>
              <w:rPr>
                <w:noProof/>
                <w:lang w:eastAsia="en-AU"/>
              </w:rPr>
              <w:drawing>
                <wp:inline distT="0" distB="0" distL="0" distR="0">
                  <wp:extent cx="127000" cy="9226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22655"/>
                          </a:xfrm>
                          <a:prstGeom prst="rect">
                            <a:avLst/>
                          </a:prstGeom>
                          <a:noFill/>
                          <a:ln>
                            <a:noFill/>
                          </a:ln>
                        </pic:spPr>
                      </pic:pic>
                    </a:graphicData>
                  </a:graphic>
                </wp:inline>
              </w:drawing>
            </w:r>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r>
              <w:rPr>
                <w:noProof/>
                <w:lang w:eastAsia="en-AU"/>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r>
              <w:rPr>
                <w:noProof/>
                <w:lang w:eastAsia="en-AU"/>
              </w:rPr>
              <w:drawing>
                <wp:inline distT="0" distB="0" distL="0" distR="0">
                  <wp:extent cx="127000" cy="4451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45135"/>
                          </a:xfrm>
                          <a:prstGeom prst="rect">
                            <a:avLst/>
                          </a:prstGeom>
                          <a:noFill/>
                          <a:ln>
                            <a:noFill/>
                          </a:ln>
                        </pic:spPr>
                      </pic:pic>
                    </a:graphicData>
                  </a:graphic>
                </wp:inline>
              </w:drawing>
            </w:r>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4" w:name="_Toc267913005"/>
      <w:bookmarkStart w:id="55" w:name="_Toc268249792"/>
      <w:bookmarkStart w:id="56" w:name="_Toc272047520"/>
      <w:bookmarkStart w:id="57" w:name="_Toc365026232"/>
      <w:bookmarkStart w:id="58" w:name="_Toc365033410"/>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w:t>
      </w:r>
      <w:ins w:id="59" w:author="svcMRProcess" w:date="2020-02-14T08:4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0" w:name="UpToHere"/>
      <w:bookmarkStart w:id="61" w:name="_Toc6040952"/>
      <w:bookmarkStart w:id="62" w:name="_Toc365033411"/>
      <w:bookmarkStart w:id="63" w:name="_Toc272047521"/>
      <w:bookmarkEnd w:id="60"/>
      <w:r>
        <w:rPr>
          <w:snapToGrid w:val="0"/>
        </w:rPr>
        <w:t>Compilation table</w:t>
      </w:r>
      <w:bookmarkEnd w:id="61"/>
      <w:bookmarkEnd w:id="62"/>
      <w:bookmarkEnd w:id="63"/>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gridAfter w:val="1"/>
          <w:wAfter w:w="9" w:type="dxa"/>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gridSpan w:val="2"/>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gridAfter w:val="1"/>
          <w:wAfter w:w="9" w:type="dxa"/>
          <w:cantSplit/>
        </w:trPr>
        <w:tc>
          <w:tcPr>
            <w:tcW w:w="7088" w:type="dxa"/>
            <w:gridSpan w:val="5"/>
            <w:tcBorders>
              <w:top w:val="nil"/>
              <w:bottom w:val="nil"/>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r>
        <w:tblPrEx>
          <w:tblCellMar>
            <w:left w:w="56" w:type="dxa"/>
            <w:right w:w="56" w:type="dxa"/>
          </w:tblCellMar>
        </w:tblPrEx>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0" w:type="dxa"/>
          </w:tcPr>
          <w:p>
            <w:pPr>
              <w:pStyle w:val="nTable"/>
              <w:spacing w:after="40"/>
              <w:rPr>
                <w:snapToGrid w:val="0"/>
                <w:sz w:val="19"/>
                <w:lang w:val="en-US"/>
              </w:rPr>
            </w:pPr>
            <w:r>
              <w:rPr>
                <w:snapToGrid w:val="0"/>
                <w:sz w:val="19"/>
                <w:lang w:val="en-US"/>
              </w:rPr>
              <w:t>19 of 2010</w:t>
            </w:r>
          </w:p>
        </w:tc>
        <w:tc>
          <w:tcPr>
            <w:tcW w:w="1148" w:type="dxa"/>
            <w:gridSpan w:val="2"/>
          </w:tcPr>
          <w:p>
            <w:pPr>
              <w:pStyle w:val="nTable"/>
              <w:spacing w:after="40"/>
              <w:rPr>
                <w:snapToGrid w:val="0"/>
                <w:sz w:val="19"/>
                <w:lang w:val="en-US"/>
              </w:rPr>
            </w:pPr>
            <w:r>
              <w:rPr>
                <w:snapToGrid w:val="0"/>
                <w:sz w:val="19"/>
                <w:lang w:val="en-US"/>
              </w:rPr>
              <w:t>28 Jun 2010</w:t>
            </w:r>
          </w:p>
        </w:tc>
        <w:tc>
          <w:tcPr>
            <w:tcW w:w="256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CellMar>
            <w:left w:w="56" w:type="dxa"/>
            <w:right w:w="56" w:type="dxa"/>
          </w:tblCellMar>
        </w:tblPrEx>
        <w:trPr>
          <w:cantSplit/>
          <w:ins w:id="64" w:author="svcMRProcess" w:date="2020-02-14T08:48:00Z"/>
        </w:trPr>
        <w:tc>
          <w:tcPr>
            <w:tcW w:w="2268" w:type="dxa"/>
            <w:tcBorders>
              <w:bottom w:val="single" w:sz="4" w:space="0" w:color="auto"/>
            </w:tcBorders>
          </w:tcPr>
          <w:p>
            <w:pPr>
              <w:pStyle w:val="nTable"/>
              <w:spacing w:after="40"/>
              <w:ind w:right="113"/>
              <w:rPr>
                <w:ins w:id="65" w:author="svcMRProcess" w:date="2020-02-14T08:48:00Z"/>
                <w:i/>
                <w:snapToGrid w:val="0"/>
                <w:sz w:val="19"/>
                <w:lang w:val="en-US"/>
              </w:rPr>
            </w:pPr>
            <w:ins w:id="66" w:author="svcMRProcess" w:date="2020-02-14T08:48:00Z">
              <w:r>
                <w:rPr>
                  <w:i/>
                  <w:snapToGrid w:val="0"/>
                </w:rPr>
                <w:t>City of Fremantle and Town of East Fremantle Trust Funds (Amendment and Expiry) Act 2013 </w:t>
              </w:r>
              <w:r>
                <w:rPr>
                  <w:snapToGrid w:val="0"/>
                </w:rPr>
                <w:t>s. 1 and 2</w:t>
              </w:r>
            </w:ins>
          </w:p>
        </w:tc>
        <w:tc>
          <w:tcPr>
            <w:tcW w:w="1120" w:type="dxa"/>
            <w:tcBorders>
              <w:bottom w:val="single" w:sz="4" w:space="0" w:color="auto"/>
            </w:tcBorders>
          </w:tcPr>
          <w:p>
            <w:pPr>
              <w:pStyle w:val="nTable"/>
              <w:spacing w:after="40"/>
              <w:rPr>
                <w:ins w:id="67" w:author="svcMRProcess" w:date="2020-02-14T08:48:00Z"/>
                <w:snapToGrid w:val="0"/>
                <w:sz w:val="19"/>
                <w:lang w:val="en-US"/>
              </w:rPr>
            </w:pPr>
            <w:ins w:id="68" w:author="svcMRProcess" w:date="2020-02-14T08:48:00Z">
              <w:r>
                <w:rPr>
                  <w:sz w:val="19"/>
                </w:rPr>
                <w:t>9 of 2013</w:t>
              </w:r>
            </w:ins>
          </w:p>
        </w:tc>
        <w:tc>
          <w:tcPr>
            <w:tcW w:w="1148" w:type="dxa"/>
            <w:gridSpan w:val="2"/>
            <w:tcBorders>
              <w:bottom w:val="single" w:sz="4" w:space="0" w:color="auto"/>
            </w:tcBorders>
          </w:tcPr>
          <w:p>
            <w:pPr>
              <w:pStyle w:val="nTable"/>
              <w:spacing w:after="40"/>
              <w:rPr>
                <w:ins w:id="69" w:author="svcMRProcess" w:date="2020-02-14T08:48:00Z"/>
                <w:snapToGrid w:val="0"/>
                <w:sz w:val="19"/>
                <w:lang w:val="en-US"/>
              </w:rPr>
            </w:pPr>
            <w:ins w:id="70" w:author="svcMRProcess" w:date="2020-02-14T08:48:00Z">
              <w:r>
                <w:rPr>
                  <w:sz w:val="19"/>
                </w:rPr>
                <w:t>22 Aug 2013</w:t>
              </w:r>
            </w:ins>
          </w:p>
        </w:tc>
        <w:tc>
          <w:tcPr>
            <w:tcW w:w="2561" w:type="dxa"/>
            <w:gridSpan w:val="2"/>
            <w:tcBorders>
              <w:bottom w:val="single" w:sz="4" w:space="0" w:color="auto"/>
            </w:tcBorders>
          </w:tcPr>
          <w:p>
            <w:pPr>
              <w:pStyle w:val="nTable"/>
              <w:spacing w:after="40"/>
              <w:rPr>
                <w:ins w:id="71" w:author="svcMRProcess" w:date="2020-02-14T08:48:00Z"/>
                <w:snapToGrid w:val="0"/>
                <w:sz w:val="19"/>
                <w:lang w:val="en-US"/>
              </w:rPr>
            </w:pPr>
            <w:ins w:id="72" w:author="svcMRProcess" w:date="2020-02-14T08:48:00Z">
              <w:r>
                <w:rPr>
                  <w:sz w:val="19"/>
                </w:rPr>
                <w:t>22 Aug 2013 (see s. 2(a))</w:t>
              </w:r>
            </w:ins>
          </w:p>
        </w:tc>
      </w:tr>
    </w:tbl>
    <w:p>
      <w:pPr>
        <w:pStyle w:val="nSubsection"/>
        <w:tabs>
          <w:tab w:val="clear" w:pos="454"/>
          <w:tab w:val="left" w:pos="567"/>
        </w:tabs>
        <w:spacing w:before="120"/>
        <w:ind w:left="567" w:hanging="567"/>
        <w:rPr>
          <w:ins w:id="73" w:author="svcMRProcess" w:date="2020-02-14T08:48:00Z"/>
          <w:snapToGrid w:val="0"/>
        </w:rPr>
      </w:pPr>
      <w:ins w:id="74" w:author="svcMRProcess" w:date="2020-02-14T08: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 w:author="svcMRProcess" w:date="2020-02-14T08:48:00Z"/>
        </w:rPr>
      </w:pPr>
      <w:bookmarkStart w:id="76" w:name="_Toc365033412"/>
      <w:ins w:id="77" w:author="svcMRProcess" w:date="2020-02-14T08:48:00Z">
        <w:r>
          <w:t>Provisions that have not come into operation</w:t>
        </w:r>
        <w:bookmarkEnd w:id="76"/>
      </w:ins>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72"/>
        <w:gridCol w:w="1135"/>
        <w:gridCol w:w="1135"/>
        <w:gridCol w:w="2555"/>
      </w:tblGrid>
      <w:tr>
        <w:trPr>
          <w:cantSplit/>
          <w:tblHeader/>
          <w:ins w:id="78" w:author="svcMRProcess" w:date="2020-02-14T08:48:00Z"/>
        </w:trPr>
        <w:tc>
          <w:tcPr>
            <w:tcW w:w="2268" w:type="dxa"/>
            <w:tcBorders>
              <w:top w:val="single" w:sz="12" w:space="0" w:color="auto"/>
              <w:bottom w:val="single" w:sz="12" w:space="0" w:color="auto"/>
            </w:tcBorders>
          </w:tcPr>
          <w:p>
            <w:pPr>
              <w:pStyle w:val="nTable"/>
              <w:spacing w:before="60" w:after="60"/>
              <w:ind w:right="113"/>
              <w:rPr>
                <w:ins w:id="79" w:author="svcMRProcess" w:date="2020-02-14T08:48:00Z"/>
                <w:b/>
                <w:sz w:val="19"/>
              </w:rPr>
            </w:pPr>
            <w:ins w:id="80" w:author="svcMRProcess" w:date="2020-02-14T08:48:00Z">
              <w:r>
                <w:rPr>
                  <w:b/>
                  <w:sz w:val="19"/>
                </w:rPr>
                <w:t>Short title</w:t>
              </w:r>
            </w:ins>
          </w:p>
        </w:tc>
        <w:tc>
          <w:tcPr>
            <w:tcW w:w="1134" w:type="dxa"/>
            <w:tcBorders>
              <w:top w:val="single" w:sz="12" w:space="0" w:color="auto"/>
              <w:bottom w:val="single" w:sz="12" w:space="0" w:color="auto"/>
            </w:tcBorders>
          </w:tcPr>
          <w:p>
            <w:pPr>
              <w:pStyle w:val="nTable"/>
              <w:spacing w:before="60" w:after="60"/>
              <w:rPr>
                <w:ins w:id="81" w:author="svcMRProcess" w:date="2020-02-14T08:48:00Z"/>
                <w:b/>
                <w:sz w:val="19"/>
              </w:rPr>
            </w:pPr>
            <w:ins w:id="82" w:author="svcMRProcess" w:date="2020-02-14T08:48:00Z">
              <w:r>
                <w:rPr>
                  <w:b/>
                  <w:sz w:val="19"/>
                </w:rPr>
                <w:t>Number and year</w:t>
              </w:r>
            </w:ins>
          </w:p>
        </w:tc>
        <w:tc>
          <w:tcPr>
            <w:tcW w:w="1134" w:type="dxa"/>
            <w:tcBorders>
              <w:top w:val="single" w:sz="12" w:space="0" w:color="auto"/>
              <w:bottom w:val="single" w:sz="12" w:space="0" w:color="auto"/>
            </w:tcBorders>
          </w:tcPr>
          <w:p>
            <w:pPr>
              <w:pStyle w:val="nTable"/>
              <w:spacing w:before="60" w:after="60"/>
              <w:rPr>
                <w:ins w:id="83" w:author="svcMRProcess" w:date="2020-02-14T08:48:00Z"/>
                <w:b/>
                <w:sz w:val="19"/>
              </w:rPr>
            </w:pPr>
            <w:ins w:id="84" w:author="svcMRProcess" w:date="2020-02-14T08:48:00Z">
              <w:r>
                <w:rPr>
                  <w:b/>
                  <w:sz w:val="19"/>
                </w:rPr>
                <w:t>Assent</w:t>
              </w:r>
            </w:ins>
          </w:p>
        </w:tc>
        <w:tc>
          <w:tcPr>
            <w:tcW w:w="2552" w:type="dxa"/>
            <w:tcBorders>
              <w:top w:val="single" w:sz="12" w:space="0" w:color="auto"/>
              <w:bottom w:val="single" w:sz="12" w:space="0" w:color="auto"/>
            </w:tcBorders>
          </w:tcPr>
          <w:p>
            <w:pPr>
              <w:pStyle w:val="nTable"/>
              <w:spacing w:before="60" w:after="60"/>
              <w:rPr>
                <w:ins w:id="85" w:author="svcMRProcess" w:date="2020-02-14T08:48:00Z"/>
                <w:b/>
                <w:sz w:val="19"/>
              </w:rPr>
            </w:pPr>
            <w:ins w:id="86" w:author="svcMRProcess" w:date="2020-02-14T08:48:00Z">
              <w:r>
                <w:rPr>
                  <w:b/>
                  <w:sz w:val="19"/>
                </w:rPr>
                <w:t>Commencement</w:t>
              </w:r>
            </w:ins>
          </w:p>
        </w:tc>
      </w:tr>
      <w:tr>
        <w:trPr>
          <w:cantSplit/>
          <w:tblHeader/>
          <w:ins w:id="87" w:author="svcMRProcess" w:date="2020-02-14T08:48:00Z"/>
        </w:trPr>
        <w:tc>
          <w:tcPr>
            <w:tcW w:w="2268" w:type="dxa"/>
            <w:tcBorders>
              <w:top w:val="single" w:sz="12" w:space="0" w:color="auto"/>
              <w:bottom w:val="nil"/>
            </w:tcBorders>
          </w:tcPr>
          <w:p>
            <w:pPr>
              <w:pStyle w:val="nTable"/>
              <w:spacing w:before="60" w:after="60"/>
              <w:ind w:right="113"/>
              <w:rPr>
                <w:ins w:id="88" w:author="svcMRProcess" w:date="2020-02-14T08:48:00Z"/>
                <w:b/>
                <w:sz w:val="19"/>
              </w:rPr>
            </w:pPr>
            <w:ins w:id="89" w:author="svcMRProcess" w:date="2020-02-14T08:48:00Z">
              <w:r>
                <w:rPr>
                  <w:i/>
                  <w:snapToGrid w:val="0"/>
                </w:rPr>
                <w:t>City of Fremantle and Town of East Fremantle Trust Funds (Amendment and Expiry) Act 2013</w:t>
              </w:r>
              <w:r>
                <w:rPr>
                  <w:snapToGrid w:val="0"/>
                  <w:vertAlign w:val="superscript"/>
                </w:rPr>
                <w:t xml:space="preserve"> </w:t>
              </w:r>
              <w:r>
                <w:rPr>
                  <w:snapToGrid w:val="0"/>
                </w:rPr>
                <w:t>s.</w:t>
              </w:r>
              <w:r>
                <w:rPr>
                  <w:i/>
                  <w:snapToGrid w:val="0"/>
                </w:rPr>
                <w:t> </w:t>
              </w:r>
              <w:r>
                <w:rPr>
                  <w:snapToGrid w:val="0"/>
                </w:rPr>
                <w:t>3</w:t>
              </w:r>
              <w:r>
                <w:rPr>
                  <w:snapToGrid w:val="0"/>
                </w:rPr>
                <w:noBreakHyphen/>
                <w:t>8</w:t>
              </w:r>
              <w:r>
                <w:rPr>
                  <w:i/>
                  <w:snapToGrid w:val="0"/>
                </w:rPr>
                <w:t> </w:t>
              </w:r>
              <w:r>
                <w:rPr>
                  <w:snapToGrid w:val="0"/>
                  <w:vertAlign w:val="superscript"/>
                </w:rPr>
                <w:t>2</w:t>
              </w:r>
            </w:ins>
          </w:p>
        </w:tc>
        <w:tc>
          <w:tcPr>
            <w:tcW w:w="1134" w:type="dxa"/>
            <w:tcBorders>
              <w:top w:val="single" w:sz="12" w:space="0" w:color="auto"/>
              <w:bottom w:val="nil"/>
            </w:tcBorders>
          </w:tcPr>
          <w:p>
            <w:pPr>
              <w:pStyle w:val="nTable"/>
              <w:keepLines/>
              <w:tabs>
                <w:tab w:val="left" w:pos="893"/>
              </w:tabs>
              <w:spacing w:before="60" w:after="60"/>
              <w:rPr>
                <w:ins w:id="90" w:author="svcMRProcess" w:date="2020-02-14T08:48:00Z"/>
                <w:sz w:val="19"/>
              </w:rPr>
            </w:pPr>
            <w:ins w:id="91" w:author="svcMRProcess" w:date="2020-02-14T08:48:00Z">
              <w:r>
                <w:rPr>
                  <w:sz w:val="19"/>
                </w:rPr>
                <w:t>9 of 2013</w:t>
              </w:r>
            </w:ins>
          </w:p>
        </w:tc>
        <w:tc>
          <w:tcPr>
            <w:tcW w:w="1134" w:type="dxa"/>
            <w:tcBorders>
              <w:top w:val="single" w:sz="12" w:space="0" w:color="auto"/>
              <w:bottom w:val="nil"/>
            </w:tcBorders>
          </w:tcPr>
          <w:p>
            <w:pPr>
              <w:pStyle w:val="nTable"/>
              <w:keepLines/>
              <w:tabs>
                <w:tab w:val="left" w:pos="893"/>
              </w:tabs>
              <w:spacing w:before="60" w:after="60"/>
              <w:rPr>
                <w:ins w:id="92" w:author="svcMRProcess" w:date="2020-02-14T08:48:00Z"/>
                <w:sz w:val="19"/>
              </w:rPr>
            </w:pPr>
            <w:ins w:id="93" w:author="svcMRProcess" w:date="2020-02-14T08:48:00Z">
              <w:r>
                <w:rPr>
                  <w:sz w:val="19"/>
                </w:rPr>
                <w:t>22 Aug 2013</w:t>
              </w:r>
            </w:ins>
          </w:p>
        </w:tc>
        <w:tc>
          <w:tcPr>
            <w:tcW w:w="2552" w:type="dxa"/>
            <w:tcBorders>
              <w:top w:val="single" w:sz="12" w:space="0" w:color="auto"/>
              <w:bottom w:val="nil"/>
            </w:tcBorders>
          </w:tcPr>
          <w:p>
            <w:pPr>
              <w:pStyle w:val="nTable"/>
              <w:keepLines/>
              <w:tabs>
                <w:tab w:val="left" w:pos="893"/>
              </w:tabs>
              <w:spacing w:before="60" w:after="60"/>
              <w:rPr>
                <w:ins w:id="94" w:author="svcMRProcess" w:date="2020-02-14T08:48:00Z"/>
                <w:sz w:val="19"/>
              </w:rPr>
            </w:pPr>
            <w:ins w:id="95" w:author="svcMRProcess" w:date="2020-02-14T08:48:00Z">
              <w:r>
                <w:rPr>
                  <w:sz w:val="19"/>
                </w:rPr>
                <w:t>5 Sep 2013 (see s. 2(b))</w:t>
              </w:r>
            </w:ins>
          </w:p>
        </w:tc>
      </w:tr>
    </w:tbl>
    <w:p>
      <w:pPr>
        <w:pStyle w:val="nSubsection"/>
        <w:keepNext/>
        <w:spacing w:before="200"/>
        <w:rPr>
          <w:ins w:id="96" w:author="svcMRProcess" w:date="2020-02-14T08:48:00Z"/>
          <w:snapToGrid w:val="0"/>
        </w:rPr>
      </w:pPr>
      <w:ins w:id="97" w:author="svcMRProcess" w:date="2020-02-14T08:4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City of Fremantle and Town of East Fremantle Trust Funds (Amendment and Expiry) Act 2013</w:t>
        </w:r>
        <w:r>
          <w:rPr>
            <w:snapToGrid w:val="0"/>
          </w:rPr>
          <w:t xml:space="preserve"> s. 3</w:t>
        </w:r>
        <w:r>
          <w:rPr>
            <w:snapToGrid w:val="0"/>
          </w:rPr>
          <w:noBreakHyphen/>
          <w:t>8 had not come into operation.  They read as follows:</w:t>
        </w:r>
      </w:ins>
    </w:p>
    <w:p>
      <w:pPr>
        <w:pStyle w:val="BlankOpen"/>
        <w:rPr>
          <w:ins w:id="98" w:author="svcMRProcess" w:date="2020-02-14T08:48:00Z"/>
          <w:snapToGrid w:val="0"/>
        </w:rPr>
      </w:pPr>
    </w:p>
    <w:p>
      <w:pPr>
        <w:pStyle w:val="nzHeading5"/>
        <w:rPr>
          <w:ins w:id="99" w:author="svcMRProcess" w:date="2020-02-14T08:48:00Z"/>
          <w:snapToGrid w:val="0"/>
        </w:rPr>
      </w:pPr>
      <w:bookmarkStart w:id="100" w:name="_Toc365022744"/>
      <w:ins w:id="101" w:author="svcMRProcess" w:date="2020-02-14T08:48:00Z">
        <w:r>
          <w:rPr>
            <w:rStyle w:val="CharSectno"/>
          </w:rPr>
          <w:t>3</w:t>
        </w:r>
        <w:r>
          <w:rPr>
            <w:snapToGrid w:val="0"/>
          </w:rPr>
          <w:t>.</w:t>
        </w:r>
        <w:r>
          <w:rPr>
            <w:snapToGrid w:val="0"/>
          </w:rPr>
          <w:tab/>
          <w:t>Act amended</w:t>
        </w:r>
        <w:bookmarkEnd w:id="100"/>
      </w:ins>
    </w:p>
    <w:p>
      <w:pPr>
        <w:pStyle w:val="nzSubsection"/>
        <w:rPr>
          <w:ins w:id="102" w:author="svcMRProcess" w:date="2020-02-14T08:48:00Z"/>
        </w:rPr>
      </w:pPr>
      <w:ins w:id="103" w:author="svcMRProcess" w:date="2020-02-14T08:48:00Z">
        <w:r>
          <w:tab/>
        </w:r>
        <w:r>
          <w:tab/>
          <w:t xml:space="preserve">This Act amends the </w:t>
        </w:r>
        <w:r>
          <w:rPr>
            <w:i/>
          </w:rPr>
          <w:t>City of Fremantle and Town of East Fremantle Trust Funds Act 1961</w:t>
        </w:r>
        <w:r>
          <w:t>.</w:t>
        </w:r>
      </w:ins>
    </w:p>
    <w:p>
      <w:pPr>
        <w:pStyle w:val="nzHeading5"/>
        <w:rPr>
          <w:ins w:id="104" w:author="svcMRProcess" w:date="2020-02-14T08:48:00Z"/>
        </w:rPr>
      </w:pPr>
      <w:bookmarkStart w:id="105" w:name="_Toc365022745"/>
      <w:ins w:id="106" w:author="svcMRProcess" w:date="2020-02-14T08:48:00Z">
        <w:r>
          <w:rPr>
            <w:rStyle w:val="CharSectno"/>
          </w:rPr>
          <w:t>4</w:t>
        </w:r>
        <w:r>
          <w:t>.</w:t>
        </w:r>
        <w:r>
          <w:tab/>
          <w:t>Part 1 heading inserted</w:t>
        </w:r>
        <w:bookmarkEnd w:id="105"/>
      </w:ins>
    </w:p>
    <w:p>
      <w:pPr>
        <w:pStyle w:val="nzSubsection"/>
        <w:rPr>
          <w:ins w:id="107" w:author="svcMRProcess" w:date="2020-02-14T08:48:00Z"/>
        </w:rPr>
      </w:pPr>
      <w:ins w:id="108" w:author="svcMRProcess" w:date="2020-02-14T08:48:00Z">
        <w:r>
          <w:tab/>
        </w:r>
        <w:r>
          <w:tab/>
          <w:t>Before section 1 insert:</w:t>
        </w:r>
      </w:ins>
    </w:p>
    <w:p>
      <w:pPr>
        <w:pStyle w:val="BlankOpen"/>
        <w:rPr>
          <w:ins w:id="109" w:author="svcMRProcess" w:date="2020-02-14T08:48:00Z"/>
        </w:rPr>
      </w:pPr>
    </w:p>
    <w:p>
      <w:pPr>
        <w:pStyle w:val="nzHeading2"/>
        <w:rPr>
          <w:ins w:id="110" w:author="svcMRProcess" w:date="2020-02-14T08:48:00Z"/>
        </w:rPr>
      </w:pPr>
      <w:ins w:id="111" w:author="svcMRProcess" w:date="2020-02-14T08:48:00Z">
        <w:r>
          <w:t>Part 1</w:t>
        </w:r>
        <w:r>
          <w:rPr>
            <w:b w:val="0"/>
          </w:rPr>
          <w:t> </w:t>
        </w:r>
        <w:r>
          <w:t>—</w:t>
        </w:r>
        <w:r>
          <w:rPr>
            <w:b w:val="0"/>
          </w:rPr>
          <w:t> </w:t>
        </w:r>
        <w:r>
          <w:t>Preliminary</w:t>
        </w:r>
      </w:ins>
    </w:p>
    <w:p>
      <w:pPr>
        <w:pStyle w:val="BlankClose"/>
        <w:rPr>
          <w:ins w:id="112" w:author="svcMRProcess" w:date="2020-02-14T08:48:00Z"/>
        </w:rPr>
      </w:pPr>
    </w:p>
    <w:p>
      <w:pPr>
        <w:pStyle w:val="nzHeading5"/>
        <w:rPr>
          <w:ins w:id="113" w:author="svcMRProcess" w:date="2020-02-14T08:48:00Z"/>
        </w:rPr>
      </w:pPr>
      <w:bookmarkStart w:id="114" w:name="_Toc365022747"/>
      <w:ins w:id="115" w:author="svcMRProcess" w:date="2020-02-14T08:48:00Z">
        <w:r>
          <w:rPr>
            <w:rStyle w:val="CharSectno"/>
          </w:rPr>
          <w:t>5</w:t>
        </w:r>
        <w:r>
          <w:t>.</w:t>
        </w:r>
        <w:r>
          <w:tab/>
          <w:t>Section 3 amended</w:t>
        </w:r>
        <w:bookmarkEnd w:id="114"/>
      </w:ins>
    </w:p>
    <w:p>
      <w:pPr>
        <w:pStyle w:val="nzSubsection"/>
        <w:rPr>
          <w:ins w:id="116" w:author="svcMRProcess" w:date="2020-02-14T08:48:00Z"/>
        </w:rPr>
      </w:pPr>
      <w:ins w:id="117" w:author="svcMRProcess" w:date="2020-02-14T08:48:00Z">
        <w:r>
          <w:tab/>
          <w:t>(1)</w:t>
        </w:r>
        <w:r>
          <w:tab/>
          <w:t xml:space="preserve">In section 3 delete the definition of </w:t>
        </w:r>
        <w:r>
          <w:rPr>
            <w:b/>
            <w:i/>
          </w:rPr>
          <w:t>Board</w:t>
        </w:r>
        <w:r>
          <w:rPr>
            <w:caps/>
          </w:rPr>
          <w:t>.</w:t>
        </w:r>
      </w:ins>
    </w:p>
    <w:p>
      <w:pPr>
        <w:pStyle w:val="nzSubsection"/>
        <w:rPr>
          <w:ins w:id="118" w:author="svcMRProcess" w:date="2020-02-14T08:48:00Z"/>
        </w:rPr>
      </w:pPr>
      <w:ins w:id="119" w:author="svcMRProcess" w:date="2020-02-14T08:48:00Z">
        <w:r>
          <w:tab/>
          <w:t>(2)</w:t>
        </w:r>
        <w:r>
          <w:tab/>
          <w:t>In section 3 insert in alphabetical order:</w:t>
        </w:r>
      </w:ins>
    </w:p>
    <w:p>
      <w:pPr>
        <w:pStyle w:val="BlankOpen"/>
        <w:rPr>
          <w:ins w:id="120" w:author="svcMRProcess" w:date="2020-02-14T08:48:00Z"/>
        </w:rPr>
      </w:pPr>
    </w:p>
    <w:p>
      <w:pPr>
        <w:pStyle w:val="nzDefstart"/>
        <w:rPr>
          <w:ins w:id="121" w:author="svcMRProcess" w:date="2020-02-14T08:48:00Z"/>
        </w:rPr>
      </w:pPr>
      <w:ins w:id="122" w:author="svcMRProcess" w:date="2020-02-14T08:48:00Z">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ins>
    </w:p>
    <w:p>
      <w:pPr>
        <w:pStyle w:val="nzDefstart"/>
        <w:rPr>
          <w:ins w:id="123" w:author="svcMRProcess" w:date="2020-02-14T08:48:00Z"/>
        </w:rPr>
      </w:pPr>
      <w:ins w:id="124" w:author="svcMRProcess" w:date="2020-02-14T08:48:00Z">
        <w:r>
          <w:tab/>
        </w:r>
        <w:r>
          <w:rPr>
            <w:rStyle w:val="CharDefText"/>
          </w:rPr>
          <w:t>liability</w:t>
        </w:r>
        <w:r>
          <w:t xml:space="preserve"> means any liability, debt or obligation (whether present or future and whether vested or contingent);</w:t>
        </w:r>
      </w:ins>
    </w:p>
    <w:p>
      <w:pPr>
        <w:pStyle w:val="nzDefstart"/>
        <w:rPr>
          <w:ins w:id="125" w:author="svcMRProcess" w:date="2020-02-14T08:48:00Z"/>
        </w:rPr>
      </w:pPr>
      <w:ins w:id="126" w:author="svcMRProcess" w:date="2020-02-14T08:48:00Z">
        <w:r>
          <w:tab/>
        </w:r>
        <w:r>
          <w:rPr>
            <w:rStyle w:val="CharDefText"/>
          </w:rPr>
          <w:t>right</w:t>
        </w:r>
        <w:r>
          <w:t xml:space="preserve"> means any right, power, privilege or immunity (whether present or future and whether vested or contingent);</w:t>
        </w:r>
      </w:ins>
    </w:p>
    <w:p>
      <w:pPr>
        <w:pStyle w:val="nzDefstart"/>
        <w:rPr>
          <w:ins w:id="127" w:author="svcMRProcess" w:date="2020-02-14T08:48:00Z"/>
        </w:rPr>
      </w:pPr>
      <w:ins w:id="128" w:author="svcMRProcess" w:date="2020-02-14T08:48:00Z">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ins>
    </w:p>
    <w:p>
      <w:pPr>
        <w:pStyle w:val="BlankClose"/>
        <w:rPr>
          <w:ins w:id="129" w:author="svcMRProcess" w:date="2020-02-14T08:48:00Z"/>
        </w:rPr>
      </w:pPr>
    </w:p>
    <w:p>
      <w:pPr>
        <w:pStyle w:val="nzSubsection"/>
        <w:rPr>
          <w:ins w:id="130" w:author="svcMRProcess" w:date="2020-02-14T08:48:00Z"/>
        </w:rPr>
      </w:pPr>
      <w:ins w:id="131" w:author="svcMRProcess" w:date="2020-02-14T08:48:00Z">
        <w:r>
          <w:tab/>
          <w:t>(3)</w:t>
        </w:r>
        <w:r>
          <w:tab/>
          <w:t xml:space="preserve">In section 3 in the definition of </w:t>
        </w:r>
        <w:r>
          <w:rPr>
            <w:b/>
            <w:i/>
          </w:rPr>
          <w:t>Agreement</w:t>
        </w:r>
        <w:r>
          <w:t xml:space="preserve"> delete “is contained in the Schedule;” and insert:</w:t>
        </w:r>
      </w:ins>
    </w:p>
    <w:p>
      <w:pPr>
        <w:pStyle w:val="BlankOpen"/>
        <w:rPr>
          <w:ins w:id="132" w:author="svcMRProcess" w:date="2020-02-14T08:48:00Z"/>
        </w:rPr>
      </w:pPr>
    </w:p>
    <w:p>
      <w:pPr>
        <w:pStyle w:val="nzSubsection"/>
        <w:rPr>
          <w:ins w:id="133" w:author="svcMRProcess" w:date="2020-02-14T08:48:00Z"/>
        </w:rPr>
      </w:pPr>
      <w:ins w:id="134" w:author="svcMRProcess" w:date="2020-02-14T08:48:00Z">
        <w:r>
          <w:tab/>
        </w:r>
        <w:r>
          <w:tab/>
          <w:t>was contained in the Schedule to this Act immediately before transfer day;</w:t>
        </w:r>
      </w:ins>
    </w:p>
    <w:p>
      <w:pPr>
        <w:pStyle w:val="BlankClose"/>
        <w:rPr>
          <w:ins w:id="135" w:author="svcMRProcess" w:date="2020-02-14T08:48:00Z"/>
        </w:rPr>
      </w:pPr>
    </w:p>
    <w:p>
      <w:pPr>
        <w:pStyle w:val="nzSubsection"/>
        <w:rPr>
          <w:ins w:id="136" w:author="svcMRProcess" w:date="2020-02-14T08:48:00Z"/>
        </w:rPr>
      </w:pPr>
      <w:ins w:id="137" w:author="svcMRProcess" w:date="2020-02-14T08:48:00Z">
        <w:r>
          <w:tab/>
          <w:t>(4)</w:t>
        </w:r>
        <w:r>
          <w:tab/>
          <w:t xml:space="preserve">In section 3 in the definition of </w:t>
        </w:r>
        <w:r>
          <w:rPr>
            <w:b/>
            <w:i/>
          </w:rPr>
          <w:t>Fremantle Fund</w:t>
        </w:r>
        <w:r>
          <w:t xml:space="preserve"> delete “Agreement.” and insert:</w:t>
        </w:r>
      </w:ins>
    </w:p>
    <w:p>
      <w:pPr>
        <w:pStyle w:val="BlankOpen"/>
        <w:rPr>
          <w:ins w:id="138" w:author="svcMRProcess" w:date="2020-02-14T08:48:00Z"/>
        </w:rPr>
      </w:pPr>
    </w:p>
    <w:p>
      <w:pPr>
        <w:pStyle w:val="nzSubsection"/>
        <w:rPr>
          <w:ins w:id="139" w:author="svcMRProcess" w:date="2020-02-14T08:48:00Z"/>
        </w:rPr>
      </w:pPr>
      <w:ins w:id="140" w:author="svcMRProcess" w:date="2020-02-14T08:48:00Z">
        <w:r>
          <w:tab/>
        </w:r>
        <w:r>
          <w:tab/>
          <w:t>Agreement;</w:t>
        </w:r>
      </w:ins>
    </w:p>
    <w:p>
      <w:pPr>
        <w:pStyle w:val="BlankClose"/>
        <w:rPr>
          <w:ins w:id="141" w:author="svcMRProcess" w:date="2020-02-14T08:48:00Z"/>
        </w:rPr>
      </w:pPr>
    </w:p>
    <w:p>
      <w:pPr>
        <w:pStyle w:val="nzHeading5"/>
        <w:rPr>
          <w:ins w:id="142" w:author="svcMRProcess" w:date="2020-02-14T08:48:00Z"/>
        </w:rPr>
      </w:pPr>
      <w:bookmarkStart w:id="143" w:name="_Toc365022748"/>
      <w:ins w:id="144" w:author="svcMRProcess" w:date="2020-02-14T08:48:00Z">
        <w:r>
          <w:rPr>
            <w:rStyle w:val="CharSectno"/>
          </w:rPr>
          <w:t>6</w:t>
        </w:r>
        <w:r>
          <w:t>.</w:t>
        </w:r>
        <w:r>
          <w:tab/>
          <w:t>Parts 2 and 3 inserted</w:t>
        </w:r>
        <w:bookmarkEnd w:id="143"/>
      </w:ins>
    </w:p>
    <w:p>
      <w:pPr>
        <w:pStyle w:val="nzSubsection"/>
        <w:rPr>
          <w:ins w:id="145" w:author="svcMRProcess" w:date="2020-02-14T08:48:00Z"/>
        </w:rPr>
      </w:pPr>
      <w:ins w:id="146" w:author="svcMRProcess" w:date="2020-02-14T08:48:00Z">
        <w:r>
          <w:tab/>
        </w:r>
        <w:r>
          <w:tab/>
          <w:t>After section 3 insert:</w:t>
        </w:r>
      </w:ins>
    </w:p>
    <w:p>
      <w:pPr>
        <w:pStyle w:val="BlankOpen"/>
        <w:rPr>
          <w:ins w:id="147" w:author="svcMRProcess" w:date="2020-02-14T08:48:00Z"/>
        </w:rPr>
      </w:pPr>
    </w:p>
    <w:p>
      <w:pPr>
        <w:pStyle w:val="nzHeading2"/>
        <w:rPr>
          <w:ins w:id="148" w:author="svcMRProcess" w:date="2020-02-14T08:48:00Z"/>
        </w:rPr>
      </w:pPr>
      <w:ins w:id="149" w:author="svcMRProcess" w:date="2020-02-14T08:48:00Z">
        <w:r>
          <w:t>Part 2 — Transitional provisions relating to Fremantle Fund and East Fremantle Fund</w:t>
        </w:r>
      </w:ins>
    </w:p>
    <w:p>
      <w:pPr>
        <w:pStyle w:val="nzHeading3"/>
        <w:rPr>
          <w:ins w:id="150" w:author="svcMRProcess" w:date="2020-02-14T08:48:00Z"/>
        </w:rPr>
      </w:pPr>
      <w:ins w:id="151" w:author="svcMRProcess" w:date="2020-02-14T08:48:00Z">
        <w:r>
          <w:t>Division 1 — Fremantle Fund</w:t>
        </w:r>
      </w:ins>
    </w:p>
    <w:p>
      <w:pPr>
        <w:pStyle w:val="nzHeading5"/>
        <w:rPr>
          <w:ins w:id="152" w:author="svcMRProcess" w:date="2020-02-14T08:48:00Z"/>
        </w:rPr>
      </w:pPr>
      <w:bookmarkStart w:id="153" w:name="_Toc365022751"/>
      <w:ins w:id="154" w:author="svcMRProcess" w:date="2020-02-14T08:48:00Z">
        <w:r>
          <w:t>4.</w:t>
        </w:r>
        <w:r>
          <w:tab/>
          <w:t>Fremantle Fund abolished</w:t>
        </w:r>
        <w:bookmarkEnd w:id="153"/>
      </w:ins>
    </w:p>
    <w:p>
      <w:pPr>
        <w:pStyle w:val="nzSubsection"/>
        <w:rPr>
          <w:ins w:id="155" w:author="svcMRProcess" w:date="2020-02-14T08:48:00Z"/>
        </w:rPr>
      </w:pPr>
      <w:ins w:id="156" w:author="svcMRProcess" w:date="2020-02-14T08:48:00Z">
        <w:r>
          <w:tab/>
        </w:r>
        <w:r>
          <w:tab/>
          <w:t>The Fremantle Fund is abolished on transfer day.</w:t>
        </w:r>
      </w:ins>
    </w:p>
    <w:p>
      <w:pPr>
        <w:pStyle w:val="nzHeading5"/>
        <w:rPr>
          <w:ins w:id="157" w:author="svcMRProcess" w:date="2020-02-14T08:48:00Z"/>
        </w:rPr>
      </w:pPr>
      <w:bookmarkStart w:id="158" w:name="_Toc365022752"/>
      <w:ins w:id="159" w:author="svcMRProcess" w:date="2020-02-14T08:48:00Z">
        <w:r>
          <w:t>5.</w:t>
        </w:r>
        <w:r>
          <w:tab/>
          <w:t>Assets and liabilities of Fremantle Fund</w:t>
        </w:r>
        <w:bookmarkEnd w:id="158"/>
      </w:ins>
    </w:p>
    <w:p>
      <w:pPr>
        <w:pStyle w:val="nzSubsection"/>
        <w:rPr>
          <w:ins w:id="160" w:author="svcMRProcess" w:date="2020-02-14T08:48:00Z"/>
        </w:rPr>
      </w:pPr>
      <w:ins w:id="161" w:author="svcMRProcess" w:date="2020-02-14T08:48:00Z">
        <w:r>
          <w:tab/>
          <w:t>(1)</w:t>
        </w:r>
        <w:r>
          <w:tab/>
          <w:t xml:space="preserve">On transfer day — </w:t>
        </w:r>
      </w:ins>
    </w:p>
    <w:p>
      <w:pPr>
        <w:pStyle w:val="nzIndenta"/>
        <w:rPr>
          <w:ins w:id="162" w:author="svcMRProcess" w:date="2020-02-14T08:48:00Z"/>
        </w:rPr>
      </w:pPr>
      <w:ins w:id="163" w:author="svcMRProcess" w:date="2020-02-14T08:48:00Z">
        <w:r>
          <w:tab/>
          <w:t>(a)</w:t>
        </w:r>
        <w:r>
          <w:tab/>
          <w:t>the assets and rights of the Fremantle Fund immediately before that day become assets and rights of the City of Fremantle by force of this section; and</w:t>
        </w:r>
      </w:ins>
    </w:p>
    <w:p>
      <w:pPr>
        <w:pStyle w:val="nzIndenta"/>
        <w:rPr>
          <w:ins w:id="164" w:author="svcMRProcess" w:date="2020-02-14T08:48:00Z"/>
        </w:rPr>
      </w:pPr>
      <w:ins w:id="165" w:author="svcMRProcess" w:date="2020-02-14T08:48:00Z">
        <w:r>
          <w:tab/>
          <w:t>(b)</w:t>
        </w:r>
        <w:r>
          <w:tab/>
          <w:t>the liabilities of the Fremantle Fund immediately before that day become liabilities of the City of Fremantle by force of this section.</w:t>
        </w:r>
      </w:ins>
    </w:p>
    <w:p>
      <w:pPr>
        <w:pStyle w:val="nzSubsection"/>
        <w:rPr>
          <w:ins w:id="166" w:author="svcMRProcess" w:date="2020-02-14T08:48:00Z"/>
        </w:rPr>
      </w:pPr>
      <w:ins w:id="167" w:author="svcMRProcess" w:date="2020-02-14T08:48:00Z">
        <w:r>
          <w:tab/>
          <w:t>(2)</w:t>
        </w:r>
        <w:r>
          <w:tab/>
          <w:t xml:space="preserve">This section applies despite — </w:t>
        </w:r>
      </w:ins>
    </w:p>
    <w:p>
      <w:pPr>
        <w:pStyle w:val="nzIndenta"/>
        <w:rPr>
          <w:ins w:id="168" w:author="svcMRProcess" w:date="2020-02-14T08:48:00Z"/>
        </w:rPr>
      </w:pPr>
      <w:ins w:id="169" w:author="svcMRProcess" w:date="2020-02-14T08:48:00Z">
        <w:r>
          <w:tab/>
          <w:t>(a)</w:t>
        </w:r>
        <w:r>
          <w:tab/>
          <w:t>any other law of the State; and</w:t>
        </w:r>
      </w:ins>
    </w:p>
    <w:p>
      <w:pPr>
        <w:pStyle w:val="nzIndenta"/>
        <w:rPr>
          <w:ins w:id="170" w:author="svcMRProcess" w:date="2020-02-14T08:48:00Z"/>
        </w:rPr>
      </w:pPr>
      <w:ins w:id="171" w:author="svcMRProcess" w:date="2020-02-14T08:48:00Z">
        <w:r>
          <w:tab/>
          <w:t>(b)</w:t>
        </w:r>
        <w:r>
          <w:tab/>
          <w:t>the Agreement; and</w:t>
        </w:r>
      </w:ins>
    </w:p>
    <w:p>
      <w:pPr>
        <w:pStyle w:val="nzIndenta"/>
        <w:rPr>
          <w:ins w:id="172" w:author="svcMRProcess" w:date="2020-02-14T08:48:00Z"/>
        </w:rPr>
      </w:pPr>
      <w:ins w:id="173" w:author="svcMRProcess" w:date="2020-02-14T08:48:00Z">
        <w:r>
          <w:tab/>
          <w:t>(c)</w:t>
        </w:r>
        <w:r>
          <w:tab/>
          <w:t>any other contract, agreement, document, order or instrument.</w:t>
        </w:r>
      </w:ins>
    </w:p>
    <w:p>
      <w:pPr>
        <w:pStyle w:val="nzHeading5"/>
        <w:rPr>
          <w:ins w:id="174" w:author="svcMRProcess" w:date="2020-02-14T08:48:00Z"/>
        </w:rPr>
      </w:pPr>
      <w:bookmarkStart w:id="175" w:name="_Toc365022753"/>
      <w:ins w:id="176" w:author="svcMRProcess" w:date="2020-02-14T08:48:00Z">
        <w:r>
          <w:t>6.</w:t>
        </w:r>
        <w:r>
          <w:tab/>
          <w:t>Proceedings relating to Fremantle Fund</w:t>
        </w:r>
        <w:bookmarkEnd w:id="175"/>
      </w:ins>
    </w:p>
    <w:p>
      <w:pPr>
        <w:pStyle w:val="nzSubsection"/>
        <w:rPr>
          <w:ins w:id="177" w:author="svcMRProcess" w:date="2020-02-14T08:48:00Z"/>
        </w:rPr>
      </w:pPr>
      <w:ins w:id="178" w:author="svcMRProcess" w:date="2020-02-14T08:48:00Z">
        <w:r>
          <w:tab/>
          <w:t>(1)</w:t>
        </w:r>
        <w:r>
          <w:tab/>
          <w:t>On and after transfer day, any proceedings that immediately before that day might have been commenced or continued by the Fremantle Fund may be commenced or continued by the City of Fremantle.</w:t>
        </w:r>
      </w:ins>
    </w:p>
    <w:p>
      <w:pPr>
        <w:pStyle w:val="nzSubsection"/>
        <w:rPr>
          <w:ins w:id="179" w:author="svcMRProcess" w:date="2020-02-14T08:48:00Z"/>
        </w:rPr>
      </w:pPr>
      <w:ins w:id="180" w:author="svcMRProcess" w:date="2020-02-14T08:48:00Z">
        <w:r>
          <w:tab/>
          <w:t>(2)</w:t>
        </w:r>
        <w:r>
          <w:tab/>
          <w:t>On and after transfer day, any proceedings that immediately before that day might have been commenced or continued against the Fremantle Fund may be commenced or continued against the City of Fremantle.</w:t>
        </w:r>
      </w:ins>
    </w:p>
    <w:p>
      <w:pPr>
        <w:pStyle w:val="nzHeading5"/>
        <w:rPr>
          <w:ins w:id="181" w:author="svcMRProcess" w:date="2020-02-14T08:48:00Z"/>
        </w:rPr>
      </w:pPr>
      <w:bookmarkStart w:id="182" w:name="_Toc365022754"/>
      <w:ins w:id="183" w:author="svcMRProcess" w:date="2020-02-14T08:48:00Z">
        <w:r>
          <w:t>7.</w:t>
        </w:r>
        <w:r>
          <w:tab/>
          <w:t>Agreements and instruments relating to Fremantle Fund</w:t>
        </w:r>
        <w:bookmarkEnd w:id="182"/>
      </w:ins>
    </w:p>
    <w:p>
      <w:pPr>
        <w:pStyle w:val="nzSubsection"/>
        <w:rPr>
          <w:ins w:id="184" w:author="svcMRProcess" w:date="2020-02-14T08:48:00Z"/>
        </w:rPr>
      </w:pPr>
      <w:ins w:id="185" w:author="svcMRProcess" w:date="2020-02-14T08:48:00Z">
        <w:r>
          <w:tab/>
          <w:t>(1)</w:t>
        </w:r>
        <w:r>
          <w:tab/>
          <w:t xml:space="preserve">Any agreement or instrument — </w:t>
        </w:r>
      </w:ins>
    </w:p>
    <w:p>
      <w:pPr>
        <w:pStyle w:val="nzIndenta"/>
        <w:rPr>
          <w:ins w:id="186" w:author="svcMRProcess" w:date="2020-02-14T08:48:00Z"/>
        </w:rPr>
      </w:pPr>
      <w:ins w:id="187" w:author="svcMRProcess" w:date="2020-02-14T08:48:00Z">
        <w:r>
          <w:tab/>
          <w:t>(a)</w:t>
        </w:r>
        <w:r>
          <w:tab/>
          <w:t>that is in force immediately before transfer day; and</w:t>
        </w:r>
      </w:ins>
    </w:p>
    <w:p>
      <w:pPr>
        <w:pStyle w:val="nzIndenta"/>
        <w:rPr>
          <w:ins w:id="188" w:author="svcMRProcess" w:date="2020-02-14T08:48:00Z"/>
        </w:rPr>
      </w:pPr>
      <w:ins w:id="189" w:author="svcMRProcess" w:date="2020-02-14T08:48:00Z">
        <w:r>
          <w:tab/>
          <w:t>(b)</w:t>
        </w:r>
        <w:r>
          <w:tab/>
          <w:t>to which the Fremantle Fund is a party; and</w:t>
        </w:r>
      </w:ins>
    </w:p>
    <w:p>
      <w:pPr>
        <w:pStyle w:val="nzIndenta"/>
        <w:rPr>
          <w:ins w:id="190" w:author="svcMRProcess" w:date="2020-02-14T08:48:00Z"/>
        </w:rPr>
      </w:pPr>
      <w:ins w:id="191" w:author="svcMRProcess" w:date="2020-02-14T08:48:00Z">
        <w:r>
          <w:tab/>
          <w:t>(c)</w:t>
        </w:r>
        <w:r>
          <w:tab/>
          <w:t xml:space="preserve">that is not — </w:t>
        </w:r>
      </w:ins>
    </w:p>
    <w:p>
      <w:pPr>
        <w:pStyle w:val="nzIndenti"/>
        <w:rPr>
          <w:ins w:id="192" w:author="svcMRProcess" w:date="2020-02-14T08:48:00Z"/>
        </w:rPr>
      </w:pPr>
      <w:ins w:id="193" w:author="svcMRProcess" w:date="2020-02-14T08:48:00Z">
        <w:r>
          <w:tab/>
          <w:t>(i)</w:t>
        </w:r>
        <w:r>
          <w:tab/>
          <w:t>a loan debenture agreement to which section 8 applies; or</w:t>
        </w:r>
      </w:ins>
    </w:p>
    <w:p>
      <w:pPr>
        <w:pStyle w:val="nzIndenti"/>
        <w:rPr>
          <w:ins w:id="194" w:author="svcMRProcess" w:date="2020-02-14T08:48:00Z"/>
        </w:rPr>
      </w:pPr>
      <w:ins w:id="195" w:author="svcMRProcess" w:date="2020-02-14T08:48:00Z">
        <w:r>
          <w:tab/>
          <w:t>(ii)</w:t>
        </w:r>
        <w:r>
          <w:tab/>
          <w:t>the Reserve 34837 order (as defined in section 9),</w:t>
        </w:r>
      </w:ins>
    </w:p>
    <w:p>
      <w:pPr>
        <w:pStyle w:val="nzSubsection"/>
        <w:rPr>
          <w:ins w:id="196" w:author="svcMRProcess" w:date="2020-02-14T08:48:00Z"/>
        </w:rPr>
      </w:pPr>
      <w:ins w:id="197" w:author="svcMRProcess" w:date="2020-02-14T08:48:00Z">
        <w:r>
          <w:tab/>
        </w:r>
        <w:r>
          <w:tab/>
          <w:t>has effect on and after transfer day as if the City of Fremantle were substituted for the Fremantle Fund as a party to the agreement or instrument.</w:t>
        </w:r>
      </w:ins>
    </w:p>
    <w:p>
      <w:pPr>
        <w:pStyle w:val="nzSubsection"/>
        <w:rPr>
          <w:ins w:id="198" w:author="svcMRProcess" w:date="2020-02-14T08:48:00Z"/>
        </w:rPr>
      </w:pPr>
      <w:ins w:id="199" w:author="svcMRProcess" w:date="2020-02-14T08:48:00Z">
        <w:r>
          <w:tab/>
          <w:t>(2)</w:t>
        </w:r>
        <w:r>
          <w:tab/>
          <w:t xml:space="preserve">Any agreement or instrument — </w:t>
        </w:r>
      </w:ins>
    </w:p>
    <w:p>
      <w:pPr>
        <w:pStyle w:val="nzIndenta"/>
        <w:rPr>
          <w:ins w:id="200" w:author="svcMRProcess" w:date="2020-02-14T08:48:00Z"/>
        </w:rPr>
      </w:pPr>
      <w:ins w:id="201" w:author="svcMRProcess" w:date="2020-02-14T08:48:00Z">
        <w:r>
          <w:tab/>
          <w:t>(a)</w:t>
        </w:r>
        <w:r>
          <w:tab/>
          <w:t>that is in force immediately before transfer day; and</w:t>
        </w:r>
      </w:ins>
    </w:p>
    <w:p>
      <w:pPr>
        <w:pStyle w:val="nzIndenta"/>
        <w:rPr>
          <w:ins w:id="202" w:author="svcMRProcess" w:date="2020-02-14T08:48:00Z"/>
        </w:rPr>
      </w:pPr>
      <w:ins w:id="203" w:author="svcMRProcess" w:date="2020-02-14T08:48:00Z">
        <w:r>
          <w:tab/>
          <w:t>(b)</w:t>
        </w:r>
        <w:r>
          <w:tab/>
          <w:t>that includes a reference to the Fremantle Fund; and</w:t>
        </w:r>
      </w:ins>
    </w:p>
    <w:p>
      <w:pPr>
        <w:pStyle w:val="nzIndenta"/>
        <w:rPr>
          <w:ins w:id="204" w:author="svcMRProcess" w:date="2020-02-14T08:48:00Z"/>
        </w:rPr>
      </w:pPr>
      <w:ins w:id="205" w:author="svcMRProcess" w:date="2020-02-14T08:48:00Z">
        <w:r>
          <w:tab/>
          <w:t>(c)</w:t>
        </w:r>
        <w:r>
          <w:tab/>
          <w:t xml:space="preserve">that is not — </w:t>
        </w:r>
      </w:ins>
    </w:p>
    <w:p>
      <w:pPr>
        <w:pStyle w:val="nzIndenti"/>
        <w:rPr>
          <w:ins w:id="206" w:author="svcMRProcess" w:date="2020-02-14T08:48:00Z"/>
        </w:rPr>
      </w:pPr>
      <w:ins w:id="207" w:author="svcMRProcess" w:date="2020-02-14T08:48:00Z">
        <w:r>
          <w:tab/>
          <w:t>(i)</w:t>
        </w:r>
        <w:r>
          <w:tab/>
          <w:t>a loan debenture agreement to which section 8 applies; or</w:t>
        </w:r>
      </w:ins>
    </w:p>
    <w:p>
      <w:pPr>
        <w:pStyle w:val="nzIndenti"/>
        <w:rPr>
          <w:ins w:id="208" w:author="svcMRProcess" w:date="2020-02-14T08:48:00Z"/>
        </w:rPr>
      </w:pPr>
      <w:ins w:id="209" w:author="svcMRProcess" w:date="2020-02-14T08:48:00Z">
        <w:r>
          <w:tab/>
          <w:t>(ii)</w:t>
        </w:r>
        <w:r>
          <w:tab/>
          <w:t>the Reserve 34837 order (as defined in section 9),</w:t>
        </w:r>
      </w:ins>
    </w:p>
    <w:p>
      <w:pPr>
        <w:pStyle w:val="nzSubsection"/>
        <w:rPr>
          <w:ins w:id="210" w:author="svcMRProcess" w:date="2020-02-14T08:48:00Z"/>
        </w:rPr>
      </w:pPr>
      <w:ins w:id="211" w:author="svcMRProcess" w:date="2020-02-14T08:48:00Z">
        <w:r>
          <w:tab/>
        </w:r>
        <w:r>
          <w:tab/>
          <w:t>has effect on and after transfer day as if any reference in the agreement or instrument to the Fremantle Fund were (unless the context otherwise requires) a reference to the City of Fremantle.</w:t>
        </w:r>
      </w:ins>
    </w:p>
    <w:p>
      <w:pPr>
        <w:pStyle w:val="nzHeading5"/>
        <w:rPr>
          <w:ins w:id="212" w:author="svcMRProcess" w:date="2020-02-14T08:48:00Z"/>
        </w:rPr>
      </w:pPr>
      <w:bookmarkStart w:id="213" w:name="_Toc365022755"/>
      <w:ins w:id="214" w:author="svcMRProcess" w:date="2020-02-14T08:48:00Z">
        <w:r>
          <w:t>8.</w:t>
        </w:r>
        <w:r>
          <w:tab/>
          <w:t>Loan debenture agreements between Fremantle Fund and City of Fremantle</w:t>
        </w:r>
        <w:bookmarkEnd w:id="213"/>
      </w:ins>
    </w:p>
    <w:p>
      <w:pPr>
        <w:pStyle w:val="nzSubsection"/>
        <w:rPr>
          <w:ins w:id="215" w:author="svcMRProcess" w:date="2020-02-14T08:48:00Z"/>
        </w:rPr>
      </w:pPr>
      <w:ins w:id="216" w:author="svcMRProcess" w:date="2020-02-14T08:48:00Z">
        <w:r>
          <w:tab/>
        </w:r>
        <w:r>
          <w:tab/>
          <w:t xml:space="preserve">On transfer day, a loan debenture agreement — </w:t>
        </w:r>
      </w:ins>
    </w:p>
    <w:p>
      <w:pPr>
        <w:pStyle w:val="nzIndenta"/>
        <w:rPr>
          <w:ins w:id="217" w:author="svcMRProcess" w:date="2020-02-14T08:48:00Z"/>
        </w:rPr>
      </w:pPr>
      <w:ins w:id="218" w:author="svcMRProcess" w:date="2020-02-14T08:48:00Z">
        <w:r>
          <w:tab/>
          <w:t>(a)</w:t>
        </w:r>
        <w:r>
          <w:tab/>
          <w:t>that is in force immediately before transfer day; and</w:t>
        </w:r>
      </w:ins>
    </w:p>
    <w:p>
      <w:pPr>
        <w:pStyle w:val="nzIndenta"/>
        <w:rPr>
          <w:ins w:id="219" w:author="svcMRProcess" w:date="2020-02-14T08:48:00Z"/>
        </w:rPr>
      </w:pPr>
      <w:ins w:id="220" w:author="svcMRProcess" w:date="2020-02-14T08:48:00Z">
        <w:r>
          <w:tab/>
          <w:t>(b)</w:t>
        </w:r>
        <w:r>
          <w:tab/>
          <w:t>to which the Fremantle Fund and the City of Fremantle are parties,</w:t>
        </w:r>
      </w:ins>
    </w:p>
    <w:p>
      <w:pPr>
        <w:pStyle w:val="nzSubsection"/>
        <w:rPr>
          <w:ins w:id="221" w:author="svcMRProcess" w:date="2020-02-14T08:48:00Z"/>
        </w:rPr>
      </w:pPr>
      <w:ins w:id="222" w:author="svcMRProcess" w:date="2020-02-14T08:48:00Z">
        <w:r>
          <w:tab/>
        </w:r>
        <w:r>
          <w:tab/>
          <w:t>ceases to be in force.</w:t>
        </w:r>
      </w:ins>
    </w:p>
    <w:p>
      <w:pPr>
        <w:pStyle w:val="nzHeading5"/>
        <w:rPr>
          <w:ins w:id="223" w:author="svcMRProcess" w:date="2020-02-14T08:48:00Z"/>
        </w:rPr>
      </w:pPr>
      <w:bookmarkStart w:id="224" w:name="_Toc365022756"/>
      <w:ins w:id="225" w:author="svcMRProcess" w:date="2020-02-14T08:48:00Z">
        <w:r>
          <w:t>9.</w:t>
        </w:r>
        <w:r>
          <w:tab/>
          <w:t>Care, control and management of Reserve 34837</w:t>
        </w:r>
        <w:bookmarkEnd w:id="224"/>
      </w:ins>
    </w:p>
    <w:p>
      <w:pPr>
        <w:pStyle w:val="nzSubsection"/>
        <w:rPr>
          <w:ins w:id="226" w:author="svcMRProcess" w:date="2020-02-14T08:48:00Z"/>
        </w:rPr>
      </w:pPr>
      <w:ins w:id="227" w:author="svcMRProcess" w:date="2020-02-14T08:48:00Z">
        <w:r>
          <w:tab/>
          <w:t>(1)</w:t>
        </w:r>
        <w:r>
          <w:tab/>
          <w:t xml:space="preserve">In this section — </w:t>
        </w:r>
      </w:ins>
    </w:p>
    <w:p>
      <w:pPr>
        <w:pStyle w:val="nzDefstart"/>
        <w:rPr>
          <w:ins w:id="228" w:author="svcMRProcess" w:date="2020-02-14T08:48:00Z"/>
        </w:rPr>
      </w:pPr>
      <w:ins w:id="229" w:author="svcMRProcess" w:date="2020-02-14T08:48:00Z">
        <w:r>
          <w:tab/>
        </w:r>
        <w:r>
          <w:rPr>
            <w:rStyle w:val="CharDefText"/>
          </w:rPr>
          <w:t>Reserve 34837 order</w:t>
        </w:r>
        <w:r>
          <w:t xml:space="preserve"> means the order that — </w:t>
        </w:r>
      </w:ins>
    </w:p>
    <w:p>
      <w:pPr>
        <w:pStyle w:val="nzDefpara"/>
        <w:rPr>
          <w:ins w:id="230" w:author="svcMRProcess" w:date="2020-02-14T08:48:00Z"/>
        </w:rPr>
      </w:pPr>
      <w:ins w:id="231" w:author="svcMRProcess" w:date="2020-02-14T08:48:00Z">
        <w:r>
          <w:tab/>
          <w:t>(a)</w:t>
        </w:r>
        <w:r>
          <w:tab/>
          <w:t xml:space="preserve">was made under the </w:t>
        </w:r>
        <w:r>
          <w:rPr>
            <w:i/>
          </w:rPr>
          <w:t>Land Act 1933</w:t>
        </w:r>
        <w:r>
          <w:t xml:space="preserve"> section 33 in relation to Reserve no. 34837 on 21 September 1977; and</w:t>
        </w:r>
      </w:ins>
    </w:p>
    <w:p>
      <w:pPr>
        <w:pStyle w:val="nzDefpara"/>
        <w:rPr>
          <w:ins w:id="232" w:author="svcMRProcess" w:date="2020-02-14T08:48:00Z"/>
        </w:rPr>
      </w:pPr>
      <w:ins w:id="233" w:author="svcMRProcess" w:date="2020-02-14T08:48:00Z">
        <w:r>
          <w:tab/>
          <w:t>(b)</w:t>
        </w:r>
        <w:r>
          <w:tab/>
          <w:t xml:space="preserve">subsists under the </w:t>
        </w:r>
        <w:r>
          <w:rPr>
            <w:i/>
          </w:rPr>
          <w:t>Land Administration Act 1997</w:t>
        </w:r>
        <w:r>
          <w:t xml:space="preserve"> Schedule 2 clause 16.</w:t>
        </w:r>
      </w:ins>
    </w:p>
    <w:p>
      <w:pPr>
        <w:pStyle w:val="nzSubsection"/>
        <w:rPr>
          <w:ins w:id="234" w:author="svcMRProcess" w:date="2020-02-14T08:48:00Z"/>
        </w:rPr>
      </w:pPr>
      <w:ins w:id="235" w:author="svcMRProcess" w:date="2020-02-14T08:48:00Z">
        <w:r>
          <w:tab/>
          <w:t>(2)</w:t>
        </w:r>
        <w:r>
          <w:tab/>
          <w:t xml:space="preserve">On transfer day, the Reserve 34837 order is taken to be revoked under the </w:t>
        </w:r>
        <w:r>
          <w:rPr>
            <w:i/>
          </w:rPr>
          <w:t>Land Administration Act 1997</w:t>
        </w:r>
        <w:r>
          <w:t xml:space="preserve"> section 50(1).</w:t>
        </w:r>
      </w:ins>
    </w:p>
    <w:p>
      <w:pPr>
        <w:pStyle w:val="nzSubsection"/>
        <w:rPr>
          <w:ins w:id="236" w:author="svcMRProcess" w:date="2020-02-14T08:48:00Z"/>
        </w:rPr>
      </w:pPr>
      <w:ins w:id="237" w:author="svcMRProcess" w:date="2020-02-14T08:48:00Z">
        <w:r>
          <w:tab/>
          <w:t>(3)</w:t>
        </w:r>
        <w:r>
          <w:tab/>
          <w:t xml:space="preserve">On transfer day, the following orders are taken to be made — </w:t>
        </w:r>
      </w:ins>
    </w:p>
    <w:p>
      <w:pPr>
        <w:pStyle w:val="nzIndenta"/>
        <w:rPr>
          <w:ins w:id="238" w:author="svcMRProcess" w:date="2020-02-14T08:48:00Z"/>
        </w:rPr>
      </w:pPr>
      <w:ins w:id="239" w:author="svcMRProcess" w:date="2020-02-14T08:48:00Z">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ins>
    </w:p>
    <w:p>
      <w:pPr>
        <w:pStyle w:val="nzIndenta"/>
        <w:rPr>
          <w:ins w:id="240" w:author="svcMRProcess" w:date="2020-02-14T08:48:00Z"/>
        </w:rPr>
      </w:pPr>
      <w:ins w:id="241" w:author="svcMRProcess" w:date="2020-02-14T08:48:00Z">
        <w:r>
          <w:tab/>
          <w:t>(b)</w:t>
        </w:r>
        <w:r>
          <w:tab/>
          <w:t xml:space="preserve">an order under the </w:t>
        </w:r>
        <w:r>
          <w:rPr>
            <w:i/>
          </w:rPr>
          <w:t>Land Administration Act 1997</w:t>
        </w:r>
        <w:r>
          <w:t xml:space="preserve"> section 46(3) conferring on the City of Fremantle power, subject to the </w:t>
        </w:r>
        <w:r>
          <w:rPr>
            <w:i/>
          </w:rPr>
          <w:t>Land Administration Act 1997</w:t>
        </w:r>
        <w:r>
          <w:t xml:space="preserve"> section 18, to grant a lease or sublease or licence over the whole or any part of the relevant Crown land for the purposes referred to in paragraph (a).</w:t>
        </w:r>
      </w:ins>
    </w:p>
    <w:p>
      <w:pPr>
        <w:pStyle w:val="nzSubsection"/>
        <w:rPr>
          <w:ins w:id="242" w:author="svcMRProcess" w:date="2020-02-14T08:48:00Z"/>
        </w:rPr>
      </w:pPr>
      <w:ins w:id="243" w:author="svcMRProcess" w:date="2020-02-14T08:48:00Z">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ins>
    </w:p>
    <w:p>
      <w:pPr>
        <w:pStyle w:val="nzHeading5"/>
        <w:rPr>
          <w:ins w:id="244" w:author="svcMRProcess" w:date="2020-02-14T08:48:00Z"/>
        </w:rPr>
      </w:pPr>
      <w:bookmarkStart w:id="245" w:name="_Toc365022757"/>
      <w:ins w:id="246" w:author="svcMRProcess" w:date="2020-02-14T08:48:00Z">
        <w:r>
          <w:t>10.</w:t>
        </w:r>
        <w:r>
          <w:tab/>
          <w:t>Final report on Fremantle Fund</w:t>
        </w:r>
        <w:bookmarkEnd w:id="245"/>
      </w:ins>
    </w:p>
    <w:p>
      <w:pPr>
        <w:pStyle w:val="nzSubsection"/>
        <w:rPr>
          <w:ins w:id="247" w:author="svcMRProcess" w:date="2020-02-14T08:48:00Z"/>
        </w:rPr>
      </w:pPr>
      <w:ins w:id="248" w:author="svcMRProcess" w:date="2020-02-14T08:48:00Z">
        <w:r>
          <w:tab/>
        </w:r>
        <w:r>
          <w:tab/>
          <w:t xml:space="preserve">As soon as reasonably practicable after transfer day, the City of Fremantle must prepare and give to the Minister a report that does the following — </w:t>
        </w:r>
      </w:ins>
    </w:p>
    <w:p>
      <w:pPr>
        <w:pStyle w:val="nzIndenta"/>
        <w:rPr>
          <w:ins w:id="249" w:author="svcMRProcess" w:date="2020-02-14T08:48:00Z"/>
        </w:rPr>
      </w:pPr>
      <w:ins w:id="250" w:author="svcMRProcess" w:date="2020-02-14T08:48:00Z">
        <w:r>
          <w:tab/>
          <w:t>(a)</w:t>
        </w:r>
        <w:r>
          <w:tab/>
          <w:t>lists the assets and liabilities of the Fremantle Fund immediately before transfer day;</w:t>
        </w:r>
      </w:ins>
    </w:p>
    <w:p>
      <w:pPr>
        <w:pStyle w:val="nzIndenta"/>
        <w:rPr>
          <w:ins w:id="251" w:author="svcMRProcess" w:date="2020-02-14T08:48:00Z"/>
        </w:rPr>
      </w:pPr>
      <w:ins w:id="252" w:author="svcMRProcess" w:date="2020-02-14T08:48:00Z">
        <w:r>
          <w:tab/>
          <w:t>(b)</w:t>
        </w:r>
        <w:r>
          <w:tab/>
          <w:t xml:space="preserve">lists and gives details of any proceedings that, immediately before transfer day — </w:t>
        </w:r>
      </w:ins>
    </w:p>
    <w:p>
      <w:pPr>
        <w:pStyle w:val="nzIndenti"/>
        <w:rPr>
          <w:ins w:id="253" w:author="svcMRProcess" w:date="2020-02-14T08:48:00Z"/>
        </w:rPr>
      </w:pPr>
      <w:ins w:id="254" w:author="svcMRProcess" w:date="2020-02-14T08:48:00Z">
        <w:r>
          <w:tab/>
          <w:t>(i)</w:t>
        </w:r>
        <w:r>
          <w:tab/>
          <w:t>had been commenced by or against the Fremantle Fund; and</w:t>
        </w:r>
      </w:ins>
    </w:p>
    <w:p>
      <w:pPr>
        <w:pStyle w:val="nzIndenti"/>
        <w:rPr>
          <w:ins w:id="255" w:author="svcMRProcess" w:date="2020-02-14T08:48:00Z"/>
        </w:rPr>
      </w:pPr>
      <w:ins w:id="256" w:author="svcMRProcess" w:date="2020-02-14T08:48:00Z">
        <w:r>
          <w:tab/>
          <w:t>(ii)</w:t>
        </w:r>
        <w:r>
          <w:tab/>
          <w:t>had not been completed;</w:t>
        </w:r>
      </w:ins>
    </w:p>
    <w:p>
      <w:pPr>
        <w:pStyle w:val="nzIndenta"/>
        <w:rPr>
          <w:ins w:id="257" w:author="svcMRProcess" w:date="2020-02-14T08:48:00Z"/>
        </w:rPr>
      </w:pPr>
      <w:ins w:id="258" w:author="svcMRProcess" w:date="2020-02-14T08:48:00Z">
        <w:r>
          <w:tab/>
          <w:t>(c)</w:t>
        </w:r>
        <w:r>
          <w:tab/>
          <w:t>lists and gives details of any proceedings that the City of Fremantle is aware are likely to be commenced by or against the City of Fremantle in substitution for the Fremantle Fund pursuant to section 6;</w:t>
        </w:r>
      </w:ins>
    </w:p>
    <w:p>
      <w:pPr>
        <w:pStyle w:val="nzIndenta"/>
        <w:rPr>
          <w:ins w:id="259" w:author="svcMRProcess" w:date="2020-02-14T08:48:00Z"/>
        </w:rPr>
      </w:pPr>
      <w:ins w:id="260" w:author="svcMRProcess" w:date="2020-02-14T08:48:00Z">
        <w:r>
          <w:tab/>
          <w:t>(d)</w:t>
        </w:r>
        <w:r>
          <w:tab/>
          <w:t>lists and gives details of the effect of each agreement (other than a loan debenture agreement to which section 8 applies) and instrument that was in force immediately before transfer day to which the Fremantle Fund was a party;</w:t>
        </w:r>
      </w:ins>
    </w:p>
    <w:p>
      <w:pPr>
        <w:pStyle w:val="nzIndenta"/>
        <w:rPr>
          <w:ins w:id="261" w:author="svcMRProcess" w:date="2020-02-14T08:48:00Z"/>
        </w:rPr>
      </w:pPr>
      <w:ins w:id="262" w:author="svcMRProcess" w:date="2020-02-14T08:48:00Z">
        <w:r>
          <w:tab/>
          <w:t>(e)</w:t>
        </w:r>
        <w:r>
          <w:tab/>
          <w:t>lists and gives details of each loan debenture agreement that ceased to be in force under section 8 on transfer day;</w:t>
        </w:r>
      </w:ins>
    </w:p>
    <w:p>
      <w:pPr>
        <w:pStyle w:val="nzIndenta"/>
        <w:rPr>
          <w:ins w:id="263" w:author="svcMRProcess" w:date="2020-02-14T08:48:00Z"/>
        </w:rPr>
      </w:pPr>
      <w:ins w:id="264" w:author="svcMRProcess" w:date="2020-02-14T08:48:00Z">
        <w:r>
          <w:tab/>
          <w:t>(f)</w:t>
        </w:r>
        <w:r>
          <w:tab/>
          <w:t>states whether, immediately before transfer day, the Fremantle Fund held any assets with the East Fremantle Fund as tenants in common.</w:t>
        </w:r>
      </w:ins>
    </w:p>
    <w:p>
      <w:pPr>
        <w:pStyle w:val="nzHeading3"/>
        <w:rPr>
          <w:ins w:id="265" w:author="svcMRProcess" w:date="2020-02-14T08:48:00Z"/>
        </w:rPr>
      </w:pPr>
      <w:ins w:id="266" w:author="svcMRProcess" w:date="2020-02-14T08:48:00Z">
        <w:r>
          <w:t>Division 2 — East Fremantle Fund</w:t>
        </w:r>
      </w:ins>
    </w:p>
    <w:p>
      <w:pPr>
        <w:pStyle w:val="nzHeading5"/>
        <w:rPr>
          <w:ins w:id="267" w:author="svcMRProcess" w:date="2020-02-14T08:48:00Z"/>
        </w:rPr>
      </w:pPr>
      <w:bookmarkStart w:id="268" w:name="_Toc365022759"/>
      <w:ins w:id="269" w:author="svcMRProcess" w:date="2020-02-14T08:48:00Z">
        <w:r>
          <w:t>11.</w:t>
        </w:r>
        <w:r>
          <w:tab/>
          <w:t>East Fremantle Fund abolished</w:t>
        </w:r>
        <w:bookmarkEnd w:id="268"/>
      </w:ins>
    </w:p>
    <w:p>
      <w:pPr>
        <w:pStyle w:val="nzSubsection"/>
        <w:rPr>
          <w:ins w:id="270" w:author="svcMRProcess" w:date="2020-02-14T08:48:00Z"/>
        </w:rPr>
      </w:pPr>
      <w:ins w:id="271" w:author="svcMRProcess" w:date="2020-02-14T08:48:00Z">
        <w:r>
          <w:tab/>
        </w:r>
        <w:r>
          <w:tab/>
          <w:t>The East Fremantle Fund is abolished on transfer day.</w:t>
        </w:r>
      </w:ins>
    </w:p>
    <w:p>
      <w:pPr>
        <w:pStyle w:val="nzHeading5"/>
        <w:rPr>
          <w:ins w:id="272" w:author="svcMRProcess" w:date="2020-02-14T08:48:00Z"/>
        </w:rPr>
      </w:pPr>
      <w:bookmarkStart w:id="273" w:name="_Toc365022760"/>
      <w:ins w:id="274" w:author="svcMRProcess" w:date="2020-02-14T08:48:00Z">
        <w:r>
          <w:t>12.</w:t>
        </w:r>
        <w:r>
          <w:tab/>
          <w:t>Assets and liabilities of East Fremantle Fund</w:t>
        </w:r>
        <w:bookmarkEnd w:id="273"/>
      </w:ins>
    </w:p>
    <w:p>
      <w:pPr>
        <w:pStyle w:val="nzSubsection"/>
        <w:rPr>
          <w:ins w:id="275" w:author="svcMRProcess" w:date="2020-02-14T08:48:00Z"/>
        </w:rPr>
      </w:pPr>
      <w:ins w:id="276" w:author="svcMRProcess" w:date="2020-02-14T08:48:00Z">
        <w:r>
          <w:tab/>
          <w:t>(1)</w:t>
        </w:r>
        <w:r>
          <w:tab/>
          <w:t xml:space="preserve">On transfer day — </w:t>
        </w:r>
      </w:ins>
    </w:p>
    <w:p>
      <w:pPr>
        <w:pStyle w:val="nzIndenta"/>
        <w:rPr>
          <w:ins w:id="277" w:author="svcMRProcess" w:date="2020-02-14T08:48:00Z"/>
        </w:rPr>
      </w:pPr>
      <w:ins w:id="278" w:author="svcMRProcess" w:date="2020-02-14T08:48:00Z">
        <w:r>
          <w:tab/>
          <w:t>(a)</w:t>
        </w:r>
        <w:r>
          <w:tab/>
          <w:t>the assets and rights of the East Fremantle Fund immediately before that day become assets and rights of the Town of East Fremantle by force of this section; and</w:t>
        </w:r>
      </w:ins>
    </w:p>
    <w:p>
      <w:pPr>
        <w:pStyle w:val="nzIndenta"/>
        <w:rPr>
          <w:ins w:id="279" w:author="svcMRProcess" w:date="2020-02-14T08:48:00Z"/>
        </w:rPr>
      </w:pPr>
      <w:ins w:id="280" w:author="svcMRProcess" w:date="2020-02-14T08:48:00Z">
        <w:r>
          <w:tab/>
          <w:t>(b)</w:t>
        </w:r>
        <w:r>
          <w:tab/>
          <w:t>the liabilities of the East Fremantle Fund immediately before that day become liabilities of the Town of East Fremantle by force of this section.</w:t>
        </w:r>
      </w:ins>
    </w:p>
    <w:p>
      <w:pPr>
        <w:pStyle w:val="nzSubsection"/>
        <w:rPr>
          <w:ins w:id="281" w:author="svcMRProcess" w:date="2020-02-14T08:48:00Z"/>
        </w:rPr>
      </w:pPr>
      <w:ins w:id="282" w:author="svcMRProcess" w:date="2020-02-14T08:48:00Z">
        <w:r>
          <w:tab/>
          <w:t>(2)</w:t>
        </w:r>
        <w:r>
          <w:tab/>
          <w:t xml:space="preserve">This section applies despite — </w:t>
        </w:r>
      </w:ins>
    </w:p>
    <w:p>
      <w:pPr>
        <w:pStyle w:val="nzIndenta"/>
        <w:rPr>
          <w:ins w:id="283" w:author="svcMRProcess" w:date="2020-02-14T08:48:00Z"/>
        </w:rPr>
      </w:pPr>
      <w:ins w:id="284" w:author="svcMRProcess" w:date="2020-02-14T08:48:00Z">
        <w:r>
          <w:tab/>
          <w:t>(a)</w:t>
        </w:r>
        <w:r>
          <w:tab/>
          <w:t>any other law of the State; and</w:t>
        </w:r>
      </w:ins>
    </w:p>
    <w:p>
      <w:pPr>
        <w:pStyle w:val="nzIndenta"/>
        <w:rPr>
          <w:ins w:id="285" w:author="svcMRProcess" w:date="2020-02-14T08:48:00Z"/>
        </w:rPr>
      </w:pPr>
      <w:ins w:id="286" w:author="svcMRProcess" w:date="2020-02-14T08:48:00Z">
        <w:r>
          <w:tab/>
          <w:t>(b)</w:t>
        </w:r>
        <w:r>
          <w:tab/>
          <w:t>the Agreement; and</w:t>
        </w:r>
      </w:ins>
    </w:p>
    <w:p>
      <w:pPr>
        <w:pStyle w:val="nzIndenta"/>
        <w:rPr>
          <w:ins w:id="287" w:author="svcMRProcess" w:date="2020-02-14T08:48:00Z"/>
        </w:rPr>
      </w:pPr>
      <w:ins w:id="288" w:author="svcMRProcess" w:date="2020-02-14T08:48:00Z">
        <w:r>
          <w:tab/>
          <w:t>(c)</w:t>
        </w:r>
        <w:r>
          <w:tab/>
          <w:t>any other contract, agreement, document, order or instrument.</w:t>
        </w:r>
      </w:ins>
    </w:p>
    <w:p>
      <w:pPr>
        <w:pStyle w:val="nzHeading5"/>
        <w:rPr>
          <w:ins w:id="289" w:author="svcMRProcess" w:date="2020-02-14T08:48:00Z"/>
        </w:rPr>
      </w:pPr>
      <w:bookmarkStart w:id="290" w:name="_Toc365022761"/>
      <w:ins w:id="291" w:author="svcMRProcess" w:date="2020-02-14T08:48:00Z">
        <w:r>
          <w:t>13.</w:t>
        </w:r>
        <w:r>
          <w:tab/>
          <w:t>Proceedings relating to East Fremantle Fund</w:t>
        </w:r>
        <w:bookmarkEnd w:id="290"/>
      </w:ins>
    </w:p>
    <w:p>
      <w:pPr>
        <w:pStyle w:val="nzSubsection"/>
        <w:rPr>
          <w:ins w:id="292" w:author="svcMRProcess" w:date="2020-02-14T08:48:00Z"/>
        </w:rPr>
      </w:pPr>
      <w:ins w:id="293" w:author="svcMRProcess" w:date="2020-02-14T08:48:00Z">
        <w:r>
          <w:tab/>
          <w:t>(1)</w:t>
        </w:r>
        <w:r>
          <w:tab/>
          <w:t>On and after transfer day, any proceedings that immediately before that day might have been commenced or continued by the East Fremantle Fund may be commenced or continued by the Town of East Fremantle.</w:t>
        </w:r>
      </w:ins>
    </w:p>
    <w:p>
      <w:pPr>
        <w:pStyle w:val="nzSubsection"/>
        <w:rPr>
          <w:ins w:id="294" w:author="svcMRProcess" w:date="2020-02-14T08:48:00Z"/>
        </w:rPr>
      </w:pPr>
      <w:ins w:id="295" w:author="svcMRProcess" w:date="2020-02-14T08:48:00Z">
        <w:r>
          <w:tab/>
          <w:t>(2)</w:t>
        </w:r>
        <w:r>
          <w:tab/>
          <w:t>On and after transfer day, any proceedings that immediately before that day might have been commenced or continued against the East Fremantle Fund may be commenced or continued against the Town of East Fremantle.</w:t>
        </w:r>
      </w:ins>
    </w:p>
    <w:p>
      <w:pPr>
        <w:pStyle w:val="nzHeading5"/>
        <w:rPr>
          <w:ins w:id="296" w:author="svcMRProcess" w:date="2020-02-14T08:48:00Z"/>
        </w:rPr>
      </w:pPr>
      <w:bookmarkStart w:id="297" w:name="_Toc365022762"/>
      <w:ins w:id="298" w:author="svcMRProcess" w:date="2020-02-14T08:48:00Z">
        <w:r>
          <w:t>14.</w:t>
        </w:r>
        <w:r>
          <w:tab/>
          <w:t>Agreements and instruments relating to East Fremantle Fund</w:t>
        </w:r>
        <w:bookmarkEnd w:id="297"/>
      </w:ins>
    </w:p>
    <w:p>
      <w:pPr>
        <w:pStyle w:val="nzSubsection"/>
        <w:rPr>
          <w:ins w:id="299" w:author="svcMRProcess" w:date="2020-02-14T08:48:00Z"/>
        </w:rPr>
      </w:pPr>
      <w:ins w:id="300" w:author="svcMRProcess" w:date="2020-02-14T08:48:00Z">
        <w:r>
          <w:tab/>
          <w:t>(1)</w:t>
        </w:r>
        <w:r>
          <w:tab/>
          <w:t xml:space="preserve">Any agreement or instrument — </w:t>
        </w:r>
      </w:ins>
    </w:p>
    <w:p>
      <w:pPr>
        <w:pStyle w:val="nzIndenta"/>
        <w:rPr>
          <w:ins w:id="301" w:author="svcMRProcess" w:date="2020-02-14T08:48:00Z"/>
        </w:rPr>
      </w:pPr>
      <w:ins w:id="302" w:author="svcMRProcess" w:date="2020-02-14T08:48:00Z">
        <w:r>
          <w:tab/>
          <w:t>(a)</w:t>
        </w:r>
        <w:r>
          <w:tab/>
          <w:t>that is in force immediately before transfer day; and</w:t>
        </w:r>
      </w:ins>
    </w:p>
    <w:p>
      <w:pPr>
        <w:pStyle w:val="nzIndenta"/>
        <w:rPr>
          <w:ins w:id="303" w:author="svcMRProcess" w:date="2020-02-14T08:48:00Z"/>
        </w:rPr>
      </w:pPr>
      <w:ins w:id="304" w:author="svcMRProcess" w:date="2020-02-14T08:48:00Z">
        <w:r>
          <w:tab/>
          <w:t>(b)</w:t>
        </w:r>
        <w:r>
          <w:tab/>
          <w:t>to which the East Fremantle Fund is a party,</w:t>
        </w:r>
      </w:ins>
    </w:p>
    <w:p>
      <w:pPr>
        <w:pStyle w:val="nzSubsection"/>
        <w:rPr>
          <w:ins w:id="305" w:author="svcMRProcess" w:date="2020-02-14T08:48:00Z"/>
        </w:rPr>
      </w:pPr>
      <w:ins w:id="306" w:author="svcMRProcess" w:date="2020-02-14T08:48:00Z">
        <w:r>
          <w:tab/>
        </w:r>
        <w:r>
          <w:tab/>
          <w:t>has effect on and after transfer day as if the Town of East Fremantle were substituted for the East Fremantle Fund as a party to the agreement or instrument.</w:t>
        </w:r>
      </w:ins>
    </w:p>
    <w:p>
      <w:pPr>
        <w:pStyle w:val="nzSubsection"/>
        <w:rPr>
          <w:ins w:id="307" w:author="svcMRProcess" w:date="2020-02-14T08:48:00Z"/>
        </w:rPr>
      </w:pPr>
      <w:ins w:id="308" w:author="svcMRProcess" w:date="2020-02-14T08:48:00Z">
        <w:r>
          <w:tab/>
          <w:t>(2)</w:t>
        </w:r>
        <w:r>
          <w:tab/>
          <w:t xml:space="preserve">Any agreement or instrument — </w:t>
        </w:r>
      </w:ins>
    </w:p>
    <w:p>
      <w:pPr>
        <w:pStyle w:val="nzIndenta"/>
        <w:rPr>
          <w:ins w:id="309" w:author="svcMRProcess" w:date="2020-02-14T08:48:00Z"/>
        </w:rPr>
      </w:pPr>
      <w:ins w:id="310" w:author="svcMRProcess" w:date="2020-02-14T08:48:00Z">
        <w:r>
          <w:tab/>
          <w:t>(a)</w:t>
        </w:r>
        <w:r>
          <w:tab/>
          <w:t>that is in force immediately before transfer day; and</w:t>
        </w:r>
      </w:ins>
    </w:p>
    <w:p>
      <w:pPr>
        <w:pStyle w:val="nzIndenta"/>
        <w:rPr>
          <w:ins w:id="311" w:author="svcMRProcess" w:date="2020-02-14T08:48:00Z"/>
        </w:rPr>
      </w:pPr>
      <w:ins w:id="312" w:author="svcMRProcess" w:date="2020-02-14T08:48:00Z">
        <w:r>
          <w:tab/>
          <w:t>(b)</w:t>
        </w:r>
        <w:r>
          <w:tab/>
          <w:t>that includes a reference to the East Fremantle Fund,</w:t>
        </w:r>
      </w:ins>
    </w:p>
    <w:p>
      <w:pPr>
        <w:pStyle w:val="nzSubsection"/>
        <w:rPr>
          <w:ins w:id="313" w:author="svcMRProcess" w:date="2020-02-14T08:48:00Z"/>
        </w:rPr>
      </w:pPr>
      <w:ins w:id="314" w:author="svcMRProcess" w:date="2020-02-14T08:48:00Z">
        <w:r>
          <w:tab/>
        </w:r>
        <w:r>
          <w:tab/>
          <w:t>has effect on and after transfer day as if any reference in the agreement or instrument to the East Fremantle Fund were (unless the context otherwise requires) a reference to the Town of East Fremantle.</w:t>
        </w:r>
      </w:ins>
    </w:p>
    <w:p>
      <w:pPr>
        <w:pStyle w:val="nzHeading5"/>
        <w:rPr>
          <w:ins w:id="315" w:author="svcMRProcess" w:date="2020-02-14T08:48:00Z"/>
        </w:rPr>
      </w:pPr>
      <w:bookmarkStart w:id="316" w:name="_Toc365022763"/>
      <w:ins w:id="317" w:author="svcMRProcess" w:date="2020-02-14T08:48:00Z">
        <w:r>
          <w:t>15.</w:t>
        </w:r>
        <w:r>
          <w:tab/>
          <w:t>Final report on East Fremantle Fund</w:t>
        </w:r>
        <w:bookmarkEnd w:id="316"/>
      </w:ins>
    </w:p>
    <w:p>
      <w:pPr>
        <w:pStyle w:val="nzSubsection"/>
        <w:rPr>
          <w:ins w:id="318" w:author="svcMRProcess" w:date="2020-02-14T08:48:00Z"/>
        </w:rPr>
      </w:pPr>
      <w:ins w:id="319" w:author="svcMRProcess" w:date="2020-02-14T08:48:00Z">
        <w:r>
          <w:tab/>
        </w:r>
        <w:r>
          <w:tab/>
          <w:t xml:space="preserve">As soon as reasonably practicable after transfer day, the Town of East Fremantle must prepare and give to the Minister a report that does the following — </w:t>
        </w:r>
      </w:ins>
    </w:p>
    <w:p>
      <w:pPr>
        <w:pStyle w:val="nzIndenta"/>
        <w:rPr>
          <w:ins w:id="320" w:author="svcMRProcess" w:date="2020-02-14T08:48:00Z"/>
        </w:rPr>
      </w:pPr>
      <w:ins w:id="321" w:author="svcMRProcess" w:date="2020-02-14T08:48:00Z">
        <w:r>
          <w:tab/>
          <w:t>(a)</w:t>
        </w:r>
        <w:r>
          <w:tab/>
          <w:t>lists the assets and liabilities of the East Fremantle Fund immediately before transfer day;</w:t>
        </w:r>
      </w:ins>
    </w:p>
    <w:p>
      <w:pPr>
        <w:pStyle w:val="nzIndenta"/>
        <w:rPr>
          <w:ins w:id="322" w:author="svcMRProcess" w:date="2020-02-14T08:48:00Z"/>
        </w:rPr>
      </w:pPr>
      <w:ins w:id="323" w:author="svcMRProcess" w:date="2020-02-14T08:48:00Z">
        <w:r>
          <w:tab/>
          <w:t>(b)</w:t>
        </w:r>
        <w:r>
          <w:tab/>
          <w:t xml:space="preserve">lists and gives details of any proceedings that, immediately before transfer day — </w:t>
        </w:r>
      </w:ins>
    </w:p>
    <w:p>
      <w:pPr>
        <w:pStyle w:val="nzIndenti"/>
        <w:rPr>
          <w:ins w:id="324" w:author="svcMRProcess" w:date="2020-02-14T08:48:00Z"/>
        </w:rPr>
      </w:pPr>
      <w:ins w:id="325" w:author="svcMRProcess" w:date="2020-02-14T08:48:00Z">
        <w:r>
          <w:tab/>
          <w:t>(i)</w:t>
        </w:r>
        <w:r>
          <w:tab/>
          <w:t>had been commenced by or against the East Fremantle Fund; and</w:t>
        </w:r>
      </w:ins>
    </w:p>
    <w:p>
      <w:pPr>
        <w:pStyle w:val="nzIndenti"/>
        <w:rPr>
          <w:ins w:id="326" w:author="svcMRProcess" w:date="2020-02-14T08:48:00Z"/>
        </w:rPr>
      </w:pPr>
      <w:ins w:id="327" w:author="svcMRProcess" w:date="2020-02-14T08:48:00Z">
        <w:r>
          <w:tab/>
          <w:t>(ii)</w:t>
        </w:r>
        <w:r>
          <w:tab/>
          <w:t>had not been completed;</w:t>
        </w:r>
      </w:ins>
    </w:p>
    <w:p>
      <w:pPr>
        <w:pStyle w:val="nzIndenta"/>
        <w:rPr>
          <w:ins w:id="328" w:author="svcMRProcess" w:date="2020-02-14T08:48:00Z"/>
        </w:rPr>
      </w:pPr>
      <w:ins w:id="329" w:author="svcMRProcess" w:date="2020-02-14T08:48:00Z">
        <w:r>
          <w:tab/>
          <w:t>(c)</w:t>
        </w:r>
        <w:r>
          <w:tab/>
          <w:t>lists and gives details of any proceedings that the Town of East Fremantle is aware are likely to be commenced by or against the Town of East Fremantle in substitution for the East Fremantle Fund pursuant to section 13;</w:t>
        </w:r>
      </w:ins>
    </w:p>
    <w:p>
      <w:pPr>
        <w:pStyle w:val="nzIndenta"/>
        <w:rPr>
          <w:ins w:id="330" w:author="svcMRProcess" w:date="2020-02-14T08:48:00Z"/>
        </w:rPr>
      </w:pPr>
      <w:ins w:id="331" w:author="svcMRProcess" w:date="2020-02-14T08:48:00Z">
        <w:r>
          <w:tab/>
          <w:t>(d)</w:t>
        </w:r>
        <w:r>
          <w:tab/>
          <w:t>lists and gives details of the effect of each agreement and instrument that was in force immediately before transfer day to which the East Fremantle Fund was a party;</w:t>
        </w:r>
      </w:ins>
    </w:p>
    <w:p>
      <w:pPr>
        <w:pStyle w:val="nzIndenta"/>
        <w:rPr>
          <w:ins w:id="332" w:author="svcMRProcess" w:date="2020-02-14T08:48:00Z"/>
        </w:rPr>
      </w:pPr>
      <w:ins w:id="333" w:author="svcMRProcess" w:date="2020-02-14T08:48:00Z">
        <w:r>
          <w:tab/>
          <w:t>(e)</w:t>
        </w:r>
        <w:r>
          <w:tab/>
          <w:t>states whether, immediately before transfer day, the East Fremantle Fund held any assets with the Fremantle Fund as tenants in common.</w:t>
        </w:r>
      </w:ins>
    </w:p>
    <w:p>
      <w:pPr>
        <w:pStyle w:val="nzHeading3"/>
        <w:rPr>
          <w:ins w:id="334" w:author="svcMRProcess" w:date="2020-02-14T08:48:00Z"/>
        </w:rPr>
      </w:pPr>
      <w:ins w:id="335" w:author="svcMRProcess" w:date="2020-02-14T08:48:00Z">
        <w:r>
          <w:t>Division 3 — Miscellaneous</w:t>
        </w:r>
      </w:ins>
    </w:p>
    <w:p>
      <w:pPr>
        <w:pStyle w:val="nzHeading5"/>
        <w:rPr>
          <w:ins w:id="336" w:author="svcMRProcess" w:date="2020-02-14T08:48:00Z"/>
        </w:rPr>
      </w:pPr>
      <w:bookmarkStart w:id="337" w:name="_Toc365022765"/>
      <w:ins w:id="338" w:author="svcMRProcess" w:date="2020-02-14T08:48:00Z">
        <w:r>
          <w:t>16.</w:t>
        </w:r>
        <w:r>
          <w:tab/>
          <w:t>Registration of documents</w:t>
        </w:r>
        <w:bookmarkEnd w:id="337"/>
      </w:ins>
    </w:p>
    <w:p>
      <w:pPr>
        <w:pStyle w:val="nzSubsection"/>
        <w:rPr>
          <w:ins w:id="339" w:author="svcMRProcess" w:date="2020-02-14T08:48:00Z"/>
        </w:rPr>
      </w:pPr>
      <w:ins w:id="340" w:author="svcMRProcess" w:date="2020-02-14T08:48:00Z">
        <w:r>
          <w:tab/>
        </w:r>
        <w:r>
          <w:tab/>
          <w:t>The Registrar of Titles is to take notice of the provisions of this Part and is empowered to record and register in the appropriate manner the necessary documents, and otherwise to give effect to this Part.</w:t>
        </w:r>
      </w:ins>
    </w:p>
    <w:p>
      <w:pPr>
        <w:pStyle w:val="nzHeading2"/>
        <w:rPr>
          <w:ins w:id="341" w:author="svcMRProcess" w:date="2020-02-14T08:48:00Z"/>
        </w:rPr>
      </w:pPr>
      <w:ins w:id="342" w:author="svcMRProcess" w:date="2020-02-14T08:48:00Z">
        <w:r>
          <w:t>Part 3 — Expiry of Act</w:t>
        </w:r>
      </w:ins>
    </w:p>
    <w:p>
      <w:pPr>
        <w:pStyle w:val="nzHeading5"/>
        <w:rPr>
          <w:ins w:id="343" w:author="svcMRProcess" w:date="2020-02-14T08:48:00Z"/>
        </w:rPr>
      </w:pPr>
      <w:bookmarkStart w:id="344" w:name="_Toc365022767"/>
      <w:ins w:id="345" w:author="svcMRProcess" w:date="2020-02-14T08:48:00Z">
        <w:r>
          <w:t>17.</w:t>
        </w:r>
        <w:r>
          <w:tab/>
          <w:t>Act to expire</w:t>
        </w:r>
        <w:bookmarkEnd w:id="344"/>
      </w:ins>
    </w:p>
    <w:p>
      <w:pPr>
        <w:pStyle w:val="nzSubsection"/>
        <w:rPr>
          <w:ins w:id="346" w:author="svcMRProcess" w:date="2020-02-14T08:48:00Z"/>
        </w:rPr>
      </w:pPr>
      <w:ins w:id="347" w:author="svcMRProcess" w:date="2020-02-14T08:48:00Z">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ins>
    </w:p>
    <w:p>
      <w:pPr>
        <w:pStyle w:val="nzSubsection"/>
        <w:rPr>
          <w:ins w:id="348" w:author="svcMRProcess" w:date="2020-02-14T08:48:00Z"/>
        </w:rPr>
      </w:pPr>
      <w:ins w:id="349" w:author="svcMRProcess" w:date="2020-02-14T08:48:00Z">
        <w:r>
          <w:tab/>
          <w:t>(2)</w:t>
        </w:r>
        <w:r>
          <w:tab/>
          <w:t xml:space="preserve">The Minister must not publish a notice under subsection (1) unless — </w:t>
        </w:r>
      </w:ins>
    </w:p>
    <w:p>
      <w:pPr>
        <w:pStyle w:val="nzIndenta"/>
        <w:rPr>
          <w:ins w:id="350" w:author="svcMRProcess" w:date="2020-02-14T08:48:00Z"/>
        </w:rPr>
      </w:pPr>
      <w:ins w:id="351" w:author="svcMRProcess" w:date="2020-02-14T08:48:00Z">
        <w:r>
          <w:tab/>
          <w:t>(a)</w:t>
        </w:r>
        <w:r>
          <w:tab/>
          <w:t>the City of Fremantle has given the Minister a report under section 10; and</w:t>
        </w:r>
      </w:ins>
    </w:p>
    <w:p>
      <w:pPr>
        <w:pStyle w:val="nzIndenta"/>
        <w:rPr>
          <w:ins w:id="352" w:author="svcMRProcess" w:date="2020-02-14T08:48:00Z"/>
        </w:rPr>
      </w:pPr>
      <w:ins w:id="353" w:author="svcMRProcess" w:date="2020-02-14T08:48:00Z">
        <w:r>
          <w:tab/>
          <w:t>(b)</w:t>
        </w:r>
        <w:r>
          <w:tab/>
          <w:t>the Town of East Fremantle has given the Minister a report under section 15; and</w:t>
        </w:r>
      </w:ins>
    </w:p>
    <w:p>
      <w:pPr>
        <w:pStyle w:val="nzIndenta"/>
        <w:rPr>
          <w:ins w:id="354" w:author="svcMRProcess" w:date="2020-02-14T08:48:00Z"/>
        </w:rPr>
      </w:pPr>
      <w:ins w:id="355" w:author="svcMRProcess" w:date="2020-02-14T08:48:00Z">
        <w:r>
          <w:tab/>
          <w:t>(c)</w:t>
        </w:r>
        <w:r>
          <w:tab/>
          <w:t>the Minister has consulted the City of Fremantle and the Town of East Fremantle.</w:t>
        </w:r>
      </w:ins>
    </w:p>
    <w:p>
      <w:pPr>
        <w:pStyle w:val="nzSubsection"/>
        <w:rPr>
          <w:ins w:id="356" w:author="svcMRProcess" w:date="2020-02-14T08:48:00Z"/>
        </w:rPr>
      </w:pPr>
      <w:ins w:id="357" w:author="svcMRProcess" w:date="2020-02-14T08:48:00Z">
        <w:r>
          <w:tab/>
          <w:t>(3)</w:t>
        </w:r>
        <w:r>
          <w:tab/>
          <w:t>The Act expires as stated in a notice published under subsection (1).</w:t>
        </w:r>
      </w:ins>
    </w:p>
    <w:p>
      <w:pPr>
        <w:pStyle w:val="nzHeading5"/>
        <w:rPr>
          <w:ins w:id="358" w:author="svcMRProcess" w:date="2020-02-14T08:48:00Z"/>
        </w:rPr>
      </w:pPr>
      <w:bookmarkStart w:id="359" w:name="_Toc365022768"/>
      <w:ins w:id="360" w:author="svcMRProcess" w:date="2020-02-14T08:48:00Z">
        <w:r>
          <w:rPr>
            <w:rStyle w:val="CharSectno"/>
          </w:rPr>
          <w:t>7</w:t>
        </w:r>
        <w:r>
          <w:t>.</w:t>
        </w:r>
        <w:r>
          <w:tab/>
          <w:t>Sections 4 to 9 deleted</w:t>
        </w:r>
        <w:bookmarkEnd w:id="359"/>
      </w:ins>
    </w:p>
    <w:p>
      <w:pPr>
        <w:pStyle w:val="nzSubsection"/>
        <w:rPr>
          <w:ins w:id="361" w:author="svcMRProcess" w:date="2020-02-14T08:48:00Z"/>
        </w:rPr>
      </w:pPr>
      <w:ins w:id="362" w:author="svcMRProcess" w:date="2020-02-14T08:48:00Z">
        <w:r>
          <w:tab/>
        </w:r>
        <w:r>
          <w:tab/>
          <w:t>Delete sections 4 to 9.</w:t>
        </w:r>
      </w:ins>
    </w:p>
    <w:p>
      <w:pPr>
        <w:pStyle w:val="nzHeading5"/>
        <w:rPr>
          <w:ins w:id="363" w:author="svcMRProcess" w:date="2020-02-14T08:48:00Z"/>
        </w:rPr>
      </w:pPr>
      <w:bookmarkStart w:id="364" w:name="_Toc365022769"/>
      <w:ins w:id="365" w:author="svcMRProcess" w:date="2020-02-14T08:48:00Z">
        <w:r>
          <w:rPr>
            <w:rStyle w:val="CharSectno"/>
          </w:rPr>
          <w:t>8</w:t>
        </w:r>
        <w:r>
          <w:t>.</w:t>
        </w:r>
        <w:r>
          <w:tab/>
          <w:t>Schedule deleted</w:t>
        </w:r>
        <w:bookmarkEnd w:id="364"/>
      </w:ins>
    </w:p>
    <w:p>
      <w:pPr>
        <w:pStyle w:val="nzSubsection"/>
        <w:rPr>
          <w:ins w:id="366" w:author="svcMRProcess" w:date="2020-02-14T08:48:00Z"/>
        </w:rPr>
      </w:pPr>
      <w:ins w:id="367" w:author="svcMRProcess" w:date="2020-02-14T08:48:00Z">
        <w:r>
          <w:tab/>
        </w:r>
        <w:r>
          <w:tab/>
          <w:t>Delete the Schedule.</w:t>
        </w:r>
      </w:ins>
    </w:p>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City of Fremantle and Town of East Fremantle Trust Funds Act 1961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City of Fremantle and Town of East Fremantle Trust Funds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38"/>
    <w:docVar w:name="WAFER_20151208094838" w:val="RemoveTrackChanges"/>
    <w:docVar w:name="WAFER_20151208094838_GUID" w:val="47bbff3c-c8f1-4e3f-bead-dcc2a0be9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5389</Words>
  <Characters>25440</Characters>
  <Application>Microsoft Office Word</Application>
  <DocSecurity>0</DocSecurity>
  <Lines>687</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01-c0-02 - 01-d0-01</dc:title>
  <dc:subject/>
  <dc:creator/>
  <cp:keywords/>
  <dc:description/>
  <cp:lastModifiedBy>svcMRProcess</cp:lastModifiedBy>
  <cp:revision>2</cp:revision>
  <cp:lastPrinted>2002-03-19T01:37:00Z</cp:lastPrinted>
  <dcterms:created xsi:type="dcterms:W3CDTF">2020-02-14T00:48:00Z</dcterms:created>
  <dcterms:modified xsi:type="dcterms:W3CDTF">2020-02-14T00:48:00Z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20130822</vt:lpwstr>
  </property>
  <property fmtid="{D5CDD505-2E9C-101B-9397-08002B2CF9AE}" pid="4" name="OWLSUId">
    <vt:i4>129</vt:i4>
  </property>
  <property fmtid="{D5CDD505-2E9C-101B-9397-08002B2CF9AE}" pid="5" name="DocumentType">
    <vt:lpwstr>Act</vt:lpwstr>
  </property>
  <property fmtid="{D5CDD505-2E9C-101B-9397-08002B2CF9AE}" pid="6" name="FromSuffix">
    <vt:lpwstr>01-c0-02</vt:lpwstr>
  </property>
  <property fmtid="{D5CDD505-2E9C-101B-9397-08002B2CF9AE}" pid="7" name="FromAsAtDate">
    <vt:lpwstr>11 Sep 2010</vt:lpwstr>
  </property>
  <property fmtid="{D5CDD505-2E9C-101B-9397-08002B2CF9AE}" pid="8" name="ToSuffix">
    <vt:lpwstr>01-d0-01</vt:lpwstr>
  </property>
  <property fmtid="{D5CDD505-2E9C-101B-9397-08002B2CF9AE}" pid="9" name="ToAsAtDate">
    <vt:lpwstr>22 Aug 2013</vt:lpwstr>
  </property>
</Properties>
</file>