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2006</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04 Oct 2006</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71793481"/>
      <w:bookmarkStart w:id="156" w:name="_Toc512746194"/>
      <w:bookmarkStart w:id="157" w:name="_Toc515958175"/>
      <w:bookmarkStart w:id="158" w:name="_Toc86595740"/>
      <w:bookmarkStart w:id="159" w:name="_Toc131586125"/>
      <w:bookmarkStart w:id="160" w:name="_Toc147896673"/>
      <w:bookmarkStart w:id="161" w:name="_Toc142716500"/>
      <w:r>
        <w:rPr>
          <w:rStyle w:val="CharSectno"/>
        </w:rPr>
        <w:t>1</w:t>
      </w:r>
      <w:r>
        <w:rPr>
          <w:snapToGrid w:val="0"/>
        </w:rPr>
        <w:t>.</w:t>
      </w:r>
      <w:r>
        <w:rPr>
          <w:snapToGrid w:val="0"/>
        </w:rPr>
        <w:tab/>
        <w:t>Short title</w:t>
      </w:r>
      <w:bookmarkEnd w:id="155"/>
      <w:bookmarkEnd w:id="156"/>
      <w:bookmarkEnd w:id="157"/>
      <w:bookmarkEnd w:id="158"/>
      <w:bookmarkEnd w:id="159"/>
      <w:bookmarkEnd w:id="160"/>
      <w:bookmarkEnd w:id="16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2" w:name="_Toc86595741"/>
      <w:bookmarkStart w:id="163" w:name="_Toc131586126"/>
      <w:bookmarkStart w:id="164" w:name="_Toc147896674"/>
      <w:bookmarkStart w:id="165" w:name="_Toc142716501"/>
      <w:r>
        <w:rPr>
          <w:rStyle w:val="CharSectno"/>
        </w:rPr>
        <w:t>2</w:t>
      </w:r>
      <w:r>
        <w:t>.</w:t>
      </w:r>
      <w:r>
        <w:tab/>
        <w:t>Commencement</w:t>
      </w:r>
      <w:bookmarkEnd w:id="162"/>
      <w:bookmarkEnd w:id="163"/>
      <w:bookmarkEnd w:id="164"/>
      <w:bookmarkEnd w:id="165"/>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66" w:name="_Toc131586127"/>
      <w:bookmarkStart w:id="167" w:name="_Toc147896675"/>
      <w:bookmarkStart w:id="168" w:name="_Toc142716502"/>
      <w:r>
        <w:rPr>
          <w:rStyle w:val="CharSectno"/>
        </w:rPr>
        <w:t>3</w:t>
      </w:r>
      <w:r>
        <w:t>.</w:t>
      </w:r>
      <w:r>
        <w:tab/>
        <w:t>Principle that best interests of children are paramount</w:t>
      </w:r>
      <w:bookmarkEnd w:id="166"/>
      <w:bookmarkEnd w:id="167"/>
      <w:bookmarkEnd w:id="16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69" w:name="_Toc131586128"/>
      <w:bookmarkStart w:id="170" w:name="_Toc147896676"/>
      <w:bookmarkStart w:id="171" w:name="_Toc142716503"/>
      <w:r>
        <w:rPr>
          <w:rStyle w:val="CharSectno"/>
        </w:rPr>
        <w:t>4</w:t>
      </w:r>
      <w:r>
        <w:t>.</w:t>
      </w:r>
      <w:r>
        <w:tab/>
        <w:t>Terms used in this Act</w:t>
      </w:r>
      <w:bookmarkEnd w:id="169"/>
      <w:bookmarkEnd w:id="170"/>
      <w:bookmarkEnd w:id="171"/>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72" w:name="_Toc131586129"/>
      <w:bookmarkStart w:id="173" w:name="_Toc147896677"/>
      <w:bookmarkStart w:id="174" w:name="_Toc142716504"/>
      <w:r>
        <w:rPr>
          <w:rStyle w:val="CharSectno"/>
        </w:rPr>
        <w:t>5</w:t>
      </w:r>
      <w:r>
        <w:t>.</w:t>
      </w:r>
      <w:r>
        <w:tab/>
        <w:t>Managerial officers</w:t>
      </w:r>
      <w:bookmarkEnd w:id="172"/>
      <w:bookmarkEnd w:id="173"/>
      <w:bookmarkEnd w:id="174"/>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75" w:name="_Toc131586130"/>
      <w:bookmarkStart w:id="176" w:name="_Toc147896678"/>
      <w:bookmarkStart w:id="177" w:name="_Toc142716505"/>
      <w:r>
        <w:rPr>
          <w:rStyle w:val="CharSectno"/>
        </w:rPr>
        <w:t>6</w:t>
      </w:r>
      <w:r>
        <w:t>.</w:t>
      </w:r>
      <w:r>
        <w:tab/>
        <w:t>Meaning of “child</w:t>
      </w:r>
      <w:r>
        <w:noBreakHyphen/>
        <w:t>related work”</w:t>
      </w:r>
      <w:bookmarkEnd w:id="175"/>
      <w:bookmarkEnd w:id="176"/>
      <w:bookmarkEnd w:id="177"/>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8" w:name="_Toc131586131"/>
      <w:bookmarkStart w:id="179" w:name="_Toc147896679"/>
      <w:bookmarkStart w:id="180" w:name="_Toc142716506"/>
      <w:r>
        <w:rPr>
          <w:rStyle w:val="CharSectno"/>
        </w:rPr>
        <w:t>7</w:t>
      </w:r>
      <w:r>
        <w:t>.</w:t>
      </w:r>
      <w:r>
        <w:tab/>
        <w:t>Meaning of “Class 1 offence” and “Class 2 offence”</w:t>
      </w:r>
      <w:bookmarkEnd w:id="178"/>
      <w:bookmarkEnd w:id="179"/>
      <w:bookmarkEnd w:id="180"/>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1" w:name="_Toc131586132"/>
      <w:bookmarkStart w:id="182" w:name="_Toc147896680"/>
      <w:bookmarkStart w:id="183" w:name="_Toc142716507"/>
      <w:r>
        <w:rPr>
          <w:rStyle w:val="CharSectno"/>
        </w:rPr>
        <w:t>8</w:t>
      </w:r>
      <w:r>
        <w:t>.</w:t>
      </w:r>
      <w:r>
        <w:tab/>
        <w:t>References to convictions</w:t>
      </w:r>
      <w:bookmarkEnd w:id="181"/>
      <w:bookmarkEnd w:id="182"/>
      <w:bookmarkEnd w:id="183"/>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4" w:name="_Toc124041845"/>
      <w:bookmarkStart w:id="185" w:name="_Toc131586133"/>
      <w:bookmarkStart w:id="186" w:name="_Toc142716508"/>
      <w:bookmarkStart w:id="187" w:name="_Toc147896681"/>
      <w:r>
        <w:rPr>
          <w:rStyle w:val="CharPartNo"/>
        </w:rPr>
        <w:t>Part 2</w:t>
      </w:r>
      <w:r>
        <w:t> — </w:t>
      </w:r>
      <w:r>
        <w:rPr>
          <w:rStyle w:val="CharPartText"/>
        </w:rPr>
        <w:t>Assessment notices and negative notices</w:t>
      </w:r>
      <w:bookmarkEnd w:id="184"/>
      <w:bookmarkEnd w:id="185"/>
      <w:bookmarkEnd w:id="186"/>
      <w:bookmarkEnd w:id="187"/>
    </w:p>
    <w:p>
      <w:pPr>
        <w:pStyle w:val="Heading3"/>
      </w:pPr>
      <w:bookmarkStart w:id="188" w:name="_Toc124041846"/>
      <w:bookmarkStart w:id="189" w:name="_Toc131586134"/>
      <w:bookmarkStart w:id="190" w:name="_Toc142716509"/>
      <w:bookmarkStart w:id="191" w:name="_Toc147896682"/>
      <w:r>
        <w:rPr>
          <w:rStyle w:val="CharDivNo"/>
        </w:rPr>
        <w:t>Division 1</w:t>
      </w:r>
      <w:r>
        <w:t> — </w:t>
      </w:r>
      <w:r>
        <w:rPr>
          <w:rStyle w:val="CharDivText"/>
        </w:rPr>
        <w:t>Application for assessment notice</w:t>
      </w:r>
      <w:bookmarkEnd w:id="188"/>
      <w:bookmarkEnd w:id="189"/>
      <w:bookmarkEnd w:id="190"/>
      <w:bookmarkEnd w:id="191"/>
    </w:p>
    <w:p>
      <w:pPr>
        <w:pStyle w:val="Heading5"/>
      </w:pPr>
      <w:bookmarkStart w:id="192" w:name="_Toc131586135"/>
      <w:bookmarkStart w:id="193" w:name="_Toc147896683"/>
      <w:bookmarkStart w:id="194" w:name="_Toc142716510"/>
      <w:r>
        <w:rPr>
          <w:rStyle w:val="CharSectno"/>
        </w:rPr>
        <w:t>9</w:t>
      </w:r>
      <w:r>
        <w:t>.</w:t>
      </w:r>
      <w:r>
        <w:tab/>
        <w:t>Application for assessment notice (child</w:t>
      </w:r>
      <w:r>
        <w:noBreakHyphen/>
        <w:t>related employment)</w:t>
      </w:r>
      <w:bookmarkEnd w:id="192"/>
      <w:bookmarkEnd w:id="193"/>
      <w:bookmarkEnd w:id="194"/>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95" w:name="_Toc131586136"/>
      <w:bookmarkStart w:id="196" w:name="_Toc147896684"/>
      <w:bookmarkStart w:id="197" w:name="_Toc142716511"/>
      <w:r>
        <w:rPr>
          <w:rStyle w:val="CharSectno"/>
        </w:rPr>
        <w:t>10</w:t>
      </w:r>
      <w:r>
        <w:t>.</w:t>
      </w:r>
      <w:r>
        <w:tab/>
        <w:t>Application for assessment notice (child</w:t>
      </w:r>
      <w:r>
        <w:noBreakHyphen/>
        <w:t>related business)</w:t>
      </w:r>
      <w:bookmarkEnd w:id="195"/>
      <w:bookmarkEnd w:id="196"/>
      <w:bookmarkEnd w:id="197"/>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98" w:name="_Toc131586137"/>
      <w:bookmarkStart w:id="199" w:name="_Toc147896685"/>
      <w:bookmarkStart w:id="200" w:name="_Toc142716512"/>
      <w:r>
        <w:rPr>
          <w:rStyle w:val="CharSectno"/>
        </w:rPr>
        <w:t>11</w:t>
      </w:r>
      <w:r>
        <w:t>.</w:t>
      </w:r>
      <w:r>
        <w:tab/>
        <w:t>Withdrawal of application for assessment notice</w:t>
      </w:r>
      <w:bookmarkEnd w:id="198"/>
      <w:bookmarkEnd w:id="199"/>
      <w:bookmarkEnd w:id="200"/>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01" w:name="_Toc124041850"/>
      <w:bookmarkStart w:id="202" w:name="_Toc131586138"/>
      <w:bookmarkStart w:id="203" w:name="_Toc142716513"/>
      <w:bookmarkStart w:id="204" w:name="_Toc147896686"/>
      <w:r>
        <w:rPr>
          <w:rStyle w:val="CharDivNo"/>
        </w:rPr>
        <w:t>Division 2</w:t>
      </w:r>
      <w:r>
        <w:t> — </w:t>
      </w:r>
      <w:r>
        <w:rPr>
          <w:rStyle w:val="CharDivText"/>
        </w:rPr>
        <w:t>Issue of assessment notices and negative notices</w:t>
      </w:r>
      <w:bookmarkEnd w:id="201"/>
      <w:bookmarkEnd w:id="202"/>
      <w:bookmarkEnd w:id="203"/>
      <w:bookmarkEnd w:id="204"/>
    </w:p>
    <w:p>
      <w:pPr>
        <w:pStyle w:val="Heading5"/>
      </w:pPr>
      <w:bookmarkStart w:id="205" w:name="_Toc131586139"/>
      <w:bookmarkStart w:id="206" w:name="_Toc147896687"/>
      <w:bookmarkStart w:id="207" w:name="_Toc142716514"/>
      <w:r>
        <w:rPr>
          <w:rStyle w:val="CharSectno"/>
        </w:rPr>
        <w:t>12</w:t>
      </w:r>
      <w:r>
        <w:t>.</w:t>
      </w:r>
      <w:r>
        <w:tab/>
        <w:t>Decision on application for an assessment notice</w:t>
      </w:r>
      <w:bookmarkEnd w:id="205"/>
      <w:bookmarkEnd w:id="206"/>
      <w:bookmarkEnd w:id="207"/>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08" w:name="_Toc131586140"/>
      <w:bookmarkStart w:id="209" w:name="_Toc147896688"/>
      <w:bookmarkStart w:id="210" w:name="_Toc142716515"/>
      <w:r>
        <w:rPr>
          <w:rStyle w:val="CharSectno"/>
        </w:rPr>
        <w:t>13</w:t>
      </w:r>
      <w:r>
        <w:t>.</w:t>
      </w:r>
      <w:r>
        <w:tab/>
        <w:t>CEO to invite submission about criminal record and issue interim negative notice</w:t>
      </w:r>
      <w:bookmarkEnd w:id="208"/>
      <w:bookmarkEnd w:id="209"/>
      <w:bookmarkEnd w:id="210"/>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11" w:name="_Toc131586141"/>
      <w:bookmarkStart w:id="212" w:name="_Toc147896689"/>
      <w:bookmarkStart w:id="213" w:name="_Toc142716516"/>
      <w:r>
        <w:rPr>
          <w:rStyle w:val="CharSectno"/>
        </w:rPr>
        <w:t>14</w:t>
      </w:r>
      <w:r>
        <w:t>.</w:t>
      </w:r>
      <w:r>
        <w:tab/>
        <w:t>Duration of assessment notices and negative notices</w:t>
      </w:r>
      <w:bookmarkEnd w:id="211"/>
      <w:bookmarkEnd w:id="212"/>
      <w:bookmarkEnd w:id="21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14" w:name="_Toc131586142"/>
      <w:bookmarkStart w:id="215" w:name="_Toc147896690"/>
      <w:bookmarkStart w:id="216" w:name="_Toc142716517"/>
      <w:r>
        <w:rPr>
          <w:rStyle w:val="CharSectno"/>
        </w:rPr>
        <w:t>15</w:t>
      </w:r>
      <w:r>
        <w:t>.</w:t>
      </w:r>
      <w:r>
        <w:tab/>
        <w:t>Further assessment notice may be obtained</w:t>
      </w:r>
      <w:bookmarkEnd w:id="214"/>
      <w:bookmarkEnd w:id="215"/>
      <w:bookmarkEnd w:id="216"/>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17" w:name="_Toc124041855"/>
      <w:bookmarkStart w:id="218" w:name="_Toc131586143"/>
      <w:bookmarkStart w:id="219" w:name="_Toc142716518"/>
      <w:bookmarkStart w:id="220" w:name="_Toc147896691"/>
      <w:r>
        <w:rPr>
          <w:rStyle w:val="CharDivNo"/>
        </w:rPr>
        <w:t>Division 3</w:t>
      </w:r>
      <w:r>
        <w:t> — </w:t>
      </w:r>
      <w:r>
        <w:rPr>
          <w:rStyle w:val="CharDivText"/>
        </w:rPr>
        <w:t>CEO may require assessment notice to be applied for</w:t>
      </w:r>
      <w:bookmarkEnd w:id="217"/>
      <w:bookmarkEnd w:id="218"/>
      <w:bookmarkEnd w:id="219"/>
      <w:bookmarkEnd w:id="220"/>
    </w:p>
    <w:p>
      <w:pPr>
        <w:pStyle w:val="Heading5"/>
      </w:pPr>
      <w:bookmarkStart w:id="221" w:name="_Toc131586144"/>
      <w:bookmarkStart w:id="222" w:name="_Toc147896692"/>
      <w:bookmarkStart w:id="223" w:name="_Toc142716519"/>
      <w:r>
        <w:rPr>
          <w:rStyle w:val="CharSectno"/>
        </w:rPr>
        <w:t>16</w:t>
      </w:r>
      <w:r>
        <w:t>.</w:t>
      </w:r>
      <w:r>
        <w:tab/>
        <w:t>CEO may require certain employees to apply for assessment notice</w:t>
      </w:r>
      <w:bookmarkEnd w:id="221"/>
      <w:bookmarkEnd w:id="222"/>
      <w:bookmarkEnd w:id="223"/>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24" w:name="_Toc131586145"/>
      <w:bookmarkStart w:id="225" w:name="_Toc147896693"/>
      <w:bookmarkStart w:id="226" w:name="_Toc142716520"/>
      <w:r>
        <w:rPr>
          <w:rStyle w:val="CharSectno"/>
        </w:rPr>
        <w:t>17</w:t>
      </w:r>
      <w:r>
        <w:t>.</w:t>
      </w:r>
      <w:r>
        <w:tab/>
        <w:t>CEO may require certain people who carry out child</w:t>
      </w:r>
      <w:r>
        <w:noBreakHyphen/>
        <w:t>related work to apply for assessment notice</w:t>
      </w:r>
      <w:bookmarkEnd w:id="224"/>
      <w:bookmarkEnd w:id="225"/>
      <w:bookmarkEnd w:id="226"/>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27" w:name="_Toc131586146"/>
      <w:bookmarkStart w:id="228" w:name="_Toc147896694"/>
      <w:bookmarkStart w:id="229" w:name="_Toc142716521"/>
      <w:r>
        <w:rPr>
          <w:rStyle w:val="CharSectno"/>
        </w:rPr>
        <w:t>18</w:t>
      </w:r>
      <w:r>
        <w:t>.</w:t>
      </w:r>
      <w:r>
        <w:tab/>
        <w:t>CEO may issue negative notice if assessment notice not applied for</w:t>
      </w:r>
      <w:bookmarkEnd w:id="227"/>
      <w:bookmarkEnd w:id="228"/>
      <w:bookmarkEnd w:id="229"/>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30" w:name="_Toc124041859"/>
      <w:bookmarkStart w:id="231" w:name="_Toc131586147"/>
      <w:bookmarkStart w:id="232" w:name="_Toc142716522"/>
      <w:bookmarkStart w:id="233" w:name="_Toc147896695"/>
      <w:r>
        <w:rPr>
          <w:rStyle w:val="CharDivNo"/>
        </w:rPr>
        <w:t>Division 4</w:t>
      </w:r>
      <w:r>
        <w:t> — </w:t>
      </w:r>
      <w:r>
        <w:rPr>
          <w:rStyle w:val="CharDivText"/>
        </w:rPr>
        <w:t>Cancellation of assessment notices and negative notices</w:t>
      </w:r>
      <w:bookmarkEnd w:id="230"/>
      <w:bookmarkEnd w:id="231"/>
      <w:bookmarkEnd w:id="232"/>
      <w:bookmarkEnd w:id="233"/>
    </w:p>
    <w:p>
      <w:pPr>
        <w:pStyle w:val="Heading5"/>
      </w:pPr>
      <w:bookmarkStart w:id="234" w:name="_Toc131586148"/>
      <w:bookmarkStart w:id="235" w:name="_Toc147896696"/>
      <w:bookmarkStart w:id="236" w:name="_Toc142716523"/>
      <w:r>
        <w:rPr>
          <w:rStyle w:val="CharSectno"/>
        </w:rPr>
        <w:t>19</w:t>
      </w:r>
      <w:r>
        <w:t>.</w:t>
      </w:r>
      <w:r>
        <w:tab/>
        <w:t>Applications for cancellation of negative notice</w:t>
      </w:r>
      <w:bookmarkEnd w:id="234"/>
      <w:bookmarkEnd w:id="235"/>
      <w:bookmarkEnd w:id="236"/>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37" w:name="_Toc131586149"/>
      <w:bookmarkStart w:id="238" w:name="_Toc147896697"/>
      <w:bookmarkStart w:id="239" w:name="_Toc142716524"/>
      <w:r>
        <w:rPr>
          <w:rStyle w:val="CharSectno"/>
        </w:rPr>
        <w:t>20</w:t>
      </w:r>
      <w:r>
        <w:t>.</w:t>
      </w:r>
      <w:r>
        <w:tab/>
        <w:t>Cancellation of notice because of wrong or incomplete information</w:t>
      </w:r>
      <w:bookmarkEnd w:id="237"/>
      <w:bookmarkEnd w:id="238"/>
      <w:bookmarkEnd w:id="239"/>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40" w:name="_Toc131586150"/>
      <w:bookmarkStart w:id="241" w:name="_Toc147896698"/>
      <w:bookmarkStart w:id="242" w:name="_Toc142716525"/>
      <w:r>
        <w:rPr>
          <w:rStyle w:val="CharSectno"/>
        </w:rPr>
        <w:t>21</w:t>
      </w:r>
      <w:r>
        <w:t>.</w:t>
      </w:r>
      <w:r>
        <w:tab/>
        <w:t>Issue of notice cancels any previous notice</w:t>
      </w:r>
      <w:bookmarkEnd w:id="240"/>
      <w:bookmarkEnd w:id="241"/>
      <w:bookmarkEnd w:id="242"/>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43" w:name="_Toc124041863"/>
      <w:bookmarkStart w:id="244" w:name="_Toc131586151"/>
      <w:bookmarkStart w:id="245" w:name="_Toc142716526"/>
      <w:bookmarkStart w:id="246" w:name="_Toc147896699"/>
      <w:r>
        <w:rPr>
          <w:rStyle w:val="CharDivNo"/>
        </w:rPr>
        <w:t>Division 5</w:t>
      </w:r>
      <w:r>
        <w:t> — </w:t>
      </w:r>
      <w:r>
        <w:rPr>
          <w:rStyle w:val="CharDivText"/>
        </w:rPr>
        <w:t>Prohibitions relating to child</w:t>
      </w:r>
      <w:r>
        <w:rPr>
          <w:rStyle w:val="CharDivText"/>
        </w:rPr>
        <w:noBreakHyphen/>
        <w:t>related work</w:t>
      </w:r>
      <w:bookmarkEnd w:id="243"/>
      <w:bookmarkEnd w:id="244"/>
      <w:bookmarkEnd w:id="245"/>
      <w:bookmarkEnd w:id="246"/>
    </w:p>
    <w:p>
      <w:pPr>
        <w:pStyle w:val="Heading5"/>
      </w:pPr>
      <w:bookmarkStart w:id="247" w:name="_Toc131586152"/>
      <w:bookmarkStart w:id="248" w:name="_Toc147896700"/>
      <w:bookmarkStart w:id="249" w:name="_Toc142716527"/>
      <w:r>
        <w:rPr>
          <w:rStyle w:val="CharSectno"/>
        </w:rPr>
        <w:t>22</w:t>
      </w:r>
      <w:r>
        <w:t>.</w:t>
      </w:r>
      <w:r>
        <w:tab/>
        <w:t>Employers not to employ certain people in child</w:t>
      </w:r>
      <w:r>
        <w:noBreakHyphen/>
        <w:t>related employment</w:t>
      </w:r>
      <w:bookmarkEnd w:id="247"/>
      <w:bookmarkEnd w:id="248"/>
      <w:bookmarkEnd w:id="249"/>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50" w:name="_Toc131586153"/>
      <w:bookmarkStart w:id="251" w:name="_Toc147896701"/>
      <w:bookmarkStart w:id="252" w:name="_Toc142716528"/>
      <w:r>
        <w:rPr>
          <w:rStyle w:val="CharSectno"/>
        </w:rPr>
        <w:t>23</w:t>
      </w:r>
      <w:r>
        <w:t>.</w:t>
      </w:r>
      <w:r>
        <w:tab/>
        <w:t>People issued with negative notice or interim negative notice not to carry out child</w:t>
      </w:r>
      <w:r>
        <w:noBreakHyphen/>
        <w:t>related work</w:t>
      </w:r>
      <w:bookmarkEnd w:id="250"/>
      <w:bookmarkEnd w:id="251"/>
      <w:bookmarkEnd w:id="252"/>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53" w:name="_Toc131586154"/>
      <w:bookmarkStart w:id="254" w:name="_Toc147896702"/>
      <w:bookmarkStart w:id="255" w:name="_Toc142716529"/>
      <w:r>
        <w:rPr>
          <w:rStyle w:val="CharSectno"/>
        </w:rPr>
        <w:t>24</w:t>
      </w:r>
      <w:r>
        <w:t>.</w:t>
      </w:r>
      <w:r>
        <w:tab/>
        <w:t>People without current assessment notice not to carry out child</w:t>
      </w:r>
      <w:r>
        <w:noBreakHyphen/>
        <w:t>related work</w:t>
      </w:r>
      <w:bookmarkEnd w:id="253"/>
      <w:bookmarkEnd w:id="254"/>
      <w:bookmarkEnd w:id="255"/>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56" w:name="_Toc131586155"/>
      <w:bookmarkStart w:id="257" w:name="_Toc147896703"/>
      <w:bookmarkStart w:id="258" w:name="_Toc142716530"/>
      <w:r>
        <w:rPr>
          <w:rStyle w:val="CharSectno"/>
        </w:rPr>
        <w:t>25</w:t>
      </w:r>
      <w:r>
        <w:t>.</w:t>
      </w:r>
      <w:r>
        <w:tab/>
        <w:t>Defences for section 24</w:t>
      </w:r>
      <w:bookmarkEnd w:id="256"/>
      <w:bookmarkEnd w:id="257"/>
      <w:bookmarkEnd w:id="258"/>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59" w:name="_Toc124041868"/>
      <w:bookmarkStart w:id="260" w:name="_Toc131586156"/>
      <w:bookmarkStart w:id="261" w:name="_Toc142716531"/>
      <w:bookmarkStart w:id="262" w:name="_Toc147896704"/>
      <w:r>
        <w:rPr>
          <w:rStyle w:val="CharDivNo"/>
        </w:rPr>
        <w:t>Division 6</w:t>
      </w:r>
      <w:r>
        <w:t> — </w:t>
      </w:r>
      <w:r>
        <w:rPr>
          <w:rStyle w:val="CharDivText"/>
        </w:rPr>
        <w:t>Review by State Administrative Tribunal</w:t>
      </w:r>
      <w:bookmarkEnd w:id="259"/>
      <w:bookmarkEnd w:id="260"/>
      <w:bookmarkEnd w:id="261"/>
      <w:bookmarkEnd w:id="262"/>
    </w:p>
    <w:p>
      <w:pPr>
        <w:pStyle w:val="Heading5"/>
      </w:pPr>
      <w:bookmarkStart w:id="263" w:name="_Toc131586157"/>
      <w:bookmarkStart w:id="264" w:name="_Toc147896705"/>
      <w:bookmarkStart w:id="265" w:name="_Toc142716532"/>
      <w:r>
        <w:rPr>
          <w:rStyle w:val="CharSectno"/>
        </w:rPr>
        <w:t>26</w:t>
      </w:r>
      <w:r>
        <w:t>.</w:t>
      </w:r>
      <w:r>
        <w:tab/>
        <w:t>Review by State Administrative Tribunal</w:t>
      </w:r>
      <w:bookmarkEnd w:id="263"/>
      <w:bookmarkEnd w:id="264"/>
      <w:bookmarkEnd w:id="265"/>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66" w:name="_Toc124041870"/>
      <w:bookmarkStart w:id="267" w:name="_Toc131586158"/>
      <w:bookmarkStart w:id="268" w:name="_Toc142716533"/>
      <w:bookmarkStart w:id="269" w:name="_Toc147896706"/>
      <w:r>
        <w:rPr>
          <w:rStyle w:val="CharPartNo"/>
        </w:rPr>
        <w:t>Part 3</w:t>
      </w:r>
      <w:r>
        <w:t> — </w:t>
      </w:r>
      <w:r>
        <w:rPr>
          <w:rStyle w:val="CharPartText"/>
        </w:rPr>
        <w:t>Changes in criminal record and criminal record checks</w:t>
      </w:r>
      <w:bookmarkEnd w:id="266"/>
      <w:bookmarkEnd w:id="267"/>
      <w:bookmarkEnd w:id="268"/>
      <w:bookmarkEnd w:id="269"/>
    </w:p>
    <w:p>
      <w:pPr>
        <w:pStyle w:val="Heading3"/>
      </w:pPr>
      <w:bookmarkStart w:id="270" w:name="_Toc124041871"/>
      <w:bookmarkStart w:id="271" w:name="_Toc131586159"/>
      <w:bookmarkStart w:id="272" w:name="_Toc142716534"/>
      <w:bookmarkStart w:id="273" w:name="_Toc147896707"/>
      <w:r>
        <w:rPr>
          <w:rStyle w:val="CharDivNo"/>
        </w:rPr>
        <w:t>Division 1</w:t>
      </w:r>
      <w:r>
        <w:t> — </w:t>
      </w:r>
      <w:r>
        <w:rPr>
          <w:rStyle w:val="CharDivText"/>
        </w:rPr>
        <w:t>Relevant changes in criminal record</w:t>
      </w:r>
      <w:bookmarkEnd w:id="270"/>
      <w:bookmarkEnd w:id="271"/>
      <w:bookmarkEnd w:id="272"/>
      <w:bookmarkEnd w:id="273"/>
    </w:p>
    <w:p>
      <w:pPr>
        <w:pStyle w:val="Heading5"/>
      </w:pPr>
      <w:bookmarkStart w:id="274" w:name="_Toc131586160"/>
      <w:bookmarkStart w:id="275" w:name="_Toc147896708"/>
      <w:bookmarkStart w:id="276" w:name="_Toc142716535"/>
      <w:r>
        <w:rPr>
          <w:rStyle w:val="CharSectno"/>
        </w:rPr>
        <w:t>27</w:t>
      </w:r>
      <w:r>
        <w:t>.</w:t>
      </w:r>
      <w:r>
        <w:tab/>
        <w:t>Meaning of relevant change in criminal record and requirement to give notice of that change</w:t>
      </w:r>
      <w:bookmarkEnd w:id="274"/>
      <w:bookmarkEnd w:id="275"/>
      <w:bookmarkEnd w:id="27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277" w:name="_Toc131586161"/>
      <w:bookmarkStart w:id="278" w:name="_Toc147896709"/>
      <w:bookmarkStart w:id="279" w:name="_Toc142716536"/>
      <w:r>
        <w:rPr>
          <w:rStyle w:val="CharSectno"/>
        </w:rPr>
        <w:t>28</w:t>
      </w:r>
      <w:r>
        <w:t>.</w:t>
      </w:r>
      <w:r>
        <w:tab/>
        <w:t>Relevant change in criminal record of certain applicants</w:t>
      </w:r>
      <w:bookmarkEnd w:id="277"/>
      <w:bookmarkEnd w:id="278"/>
      <w:bookmarkEnd w:id="27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280" w:name="_Toc131586162"/>
      <w:bookmarkStart w:id="281" w:name="_Toc147896710"/>
      <w:bookmarkStart w:id="282" w:name="_Toc142716537"/>
      <w:r>
        <w:rPr>
          <w:rStyle w:val="CharSectno"/>
        </w:rPr>
        <w:t>29</w:t>
      </w:r>
      <w:r>
        <w:t>.</w:t>
      </w:r>
      <w:r>
        <w:tab/>
        <w:t>Relevant change in criminal record of people employed in child</w:t>
      </w:r>
      <w:r>
        <w:noBreakHyphen/>
        <w:t>related employment</w:t>
      </w:r>
      <w:bookmarkEnd w:id="280"/>
      <w:bookmarkEnd w:id="281"/>
      <w:bookmarkEnd w:id="282"/>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283" w:name="_Toc131586163"/>
      <w:bookmarkStart w:id="284" w:name="_Toc147896711"/>
      <w:bookmarkStart w:id="285" w:name="_Toc142716538"/>
      <w:r>
        <w:rPr>
          <w:rStyle w:val="CharSectno"/>
        </w:rPr>
        <w:t>30</w:t>
      </w:r>
      <w:r>
        <w:t>.</w:t>
      </w:r>
      <w:r>
        <w:tab/>
        <w:t>Relevant change in criminal record of people carrying on child</w:t>
      </w:r>
      <w:r>
        <w:noBreakHyphen/>
        <w:t>related business</w:t>
      </w:r>
      <w:bookmarkEnd w:id="283"/>
      <w:bookmarkEnd w:id="284"/>
      <w:bookmarkEnd w:id="28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286" w:name="_Toc131586164"/>
      <w:bookmarkStart w:id="287" w:name="_Toc147896712"/>
      <w:bookmarkStart w:id="288" w:name="_Toc142716539"/>
      <w:r>
        <w:rPr>
          <w:rStyle w:val="CharSectno"/>
        </w:rPr>
        <w:t>31</w:t>
      </w:r>
      <w:r>
        <w:t>.</w:t>
      </w:r>
      <w:r>
        <w:tab/>
        <w:t>Relevant change in criminal record of other people</w:t>
      </w:r>
      <w:bookmarkEnd w:id="286"/>
      <w:bookmarkEnd w:id="287"/>
      <w:bookmarkEnd w:id="28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289" w:name="_Toc131586165"/>
      <w:bookmarkStart w:id="290" w:name="_Toc147896713"/>
      <w:bookmarkStart w:id="291" w:name="_Toc142716540"/>
      <w:r>
        <w:rPr>
          <w:rStyle w:val="CharSectno"/>
        </w:rPr>
        <w:t>32</w:t>
      </w:r>
      <w:r>
        <w:t>.</w:t>
      </w:r>
      <w:r>
        <w:tab/>
        <w:t>CEO to treat notice of relevant change in criminal record as application for assessment notice</w:t>
      </w:r>
      <w:bookmarkEnd w:id="289"/>
      <w:bookmarkEnd w:id="290"/>
      <w:bookmarkEnd w:id="291"/>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292" w:name="_Toc131586166"/>
      <w:bookmarkStart w:id="293" w:name="_Toc147896714"/>
      <w:bookmarkStart w:id="294" w:name="_Toc142716541"/>
      <w:r>
        <w:rPr>
          <w:rStyle w:val="CharSectno"/>
        </w:rPr>
        <w:t>33</w:t>
      </w:r>
      <w:r>
        <w:t>.</w:t>
      </w:r>
      <w:r>
        <w:tab/>
        <w:t>People not to start or continue child</w:t>
      </w:r>
      <w:r>
        <w:noBreakHyphen/>
        <w:t>related work if convicted of Class 1 offence</w:t>
      </w:r>
      <w:bookmarkEnd w:id="292"/>
      <w:bookmarkEnd w:id="293"/>
      <w:bookmarkEnd w:id="294"/>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295" w:name="_Toc124041879"/>
      <w:bookmarkStart w:id="296" w:name="_Toc131586167"/>
      <w:bookmarkStart w:id="297" w:name="_Toc142716542"/>
      <w:bookmarkStart w:id="298" w:name="_Toc147896715"/>
      <w:r>
        <w:rPr>
          <w:rStyle w:val="CharDivNo"/>
        </w:rPr>
        <w:t>Division 2</w:t>
      </w:r>
      <w:r>
        <w:t> — </w:t>
      </w:r>
      <w:r>
        <w:rPr>
          <w:rStyle w:val="CharDivText"/>
        </w:rPr>
        <w:t>Criminal record checks</w:t>
      </w:r>
      <w:bookmarkEnd w:id="295"/>
      <w:bookmarkEnd w:id="296"/>
      <w:bookmarkEnd w:id="297"/>
      <w:bookmarkEnd w:id="298"/>
    </w:p>
    <w:p>
      <w:pPr>
        <w:pStyle w:val="Heading5"/>
      </w:pPr>
      <w:bookmarkStart w:id="299" w:name="_Toc131586168"/>
      <w:bookmarkStart w:id="300" w:name="_Toc147896716"/>
      <w:bookmarkStart w:id="301" w:name="_Toc142716543"/>
      <w:r>
        <w:rPr>
          <w:rStyle w:val="CharSectno"/>
        </w:rPr>
        <w:t>34</w:t>
      </w:r>
      <w:r>
        <w:t>.</w:t>
      </w:r>
      <w:r>
        <w:tab/>
        <w:t>CEO may carry out criminal record check</w:t>
      </w:r>
      <w:bookmarkEnd w:id="299"/>
      <w:bookmarkEnd w:id="300"/>
      <w:bookmarkEnd w:id="30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02" w:name="_Toc124041881"/>
      <w:bookmarkStart w:id="303" w:name="_Toc131586169"/>
      <w:bookmarkStart w:id="304" w:name="_Toc142716544"/>
      <w:bookmarkStart w:id="305" w:name="_Toc147896717"/>
      <w:r>
        <w:rPr>
          <w:rStyle w:val="CharPartNo"/>
        </w:rPr>
        <w:t>Part 4</w:t>
      </w:r>
      <w:r>
        <w:rPr>
          <w:rStyle w:val="CharDivNo"/>
        </w:rPr>
        <w:t> </w:t>
      </w:r>
      <w:r>
        <w:t>—</w:t>
      </w:r>
      <w:r>
        <w:rPr>
          <w:rStyle w:val="CharDivText"/>
        </w:rPr>
        <w:t> </w:t>
      </w:r>
      <w:r>
        <w:rPr>
          <w:rStyle w:val="CharPartText"/>
        </w:rPr>
        <w:t>General</w:t>
      </w:r>
      <w:bookmarkEnd w:id="302"/>
      <w:bookmarkEnd w:id="303"/>
      <w:bookmarkEnd w:id="304"/>
      <w:bookmarkEnd w:id="305"/>
    </w:p>
    <w:p>
      <w:pPr>
        <w:pStyle w:val="Heading5"/>
      </w:pPr>
      <w:bookmarkStart w:id="306" w:name="_Toc131586170"/>
      <w:bookmarkStart w:id="307" w:name="_Toc147896718"/>
      <w:bookmarkStart w:id="308" w:name="_Toc142716545"/>
      <w:r>
        <w:rPr>
          <w:rStyle w:val="CharSectno"/>
        </w:rPr>
        <w:t>35</w:t>
      </w:r>
      <w:r>
        <w:t>.</w:t>
      </w:r>
      <w:r>
        <w:tab/>
        <w:t>False or misleading information</w:t>
      </w:r>
      <w:bookmarkEnd w:id="306"/>
      <w:bookmarkEnd w:id="307"/>
      <w:bookmarkEnd w:id="308"/>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09" w:name="_Toc131586171"/>
      <w:bookmarkStart w:id="310" w:name="_Toc147896719"/>
      <w:bookmarkStart w:id="311" w:name="_Toc142716546"/>
      <w:r>
        <w:rPr>
          <w:rStyle w:val="CharSectno"/>
        </w:rPr>
        <w:t>36</w:t>
      </w:r>
      <w:r>
        <w:t>.</w:t>
      </w:r>
      <w:r>
        <w:tab/>
        <w:t>Return of assessment notice to CEO</w:t>
      </w:r>
      <w:bookmarkEnd w:id="309"/>
      <w:bookmarkEnd w:id="310"/>
      <w:bookmarkEnd w:id="31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12" w:name="_Toc131586172"/>
      <w:bookmarkStart w:id="313" w:name="_Toc147896720"/>
      <w:bookmarkStart w:id="314" w:name="_Toc142716547"/>
      <w:r>
        <w:rPr>
          <w:rStyle w:val="CharSectno"/>
        </w:rPr>
        <w:t>37</w:t>
      </w:r>
      <w:r>
        <w:t>.</w:t>
      </w:r>
      <w:r>
        <w:tab/>
        <w:t>Exchange of information with corresponding authorities</w:t>
      </w:r>
      <w:bookmarkEnd w:id="312"/>
      <w:bookmarkEnd w:id="313"/>
      <w:bookmarkEnd w:id="314"/>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15" w:name="_Toc131586173"/>
      <w:bookmarkStart w:id="316" w:name="_Toc147896721"/>
      <w:bookmarkStart w:id="317" w:name="_Toc142716548"/>
      <w:r>
        <w:rPr>
          <w:rStyle w:val="CharSectno"/>
        </w:rPr>
        <w:t>38</w:t>
      </w:r>
      <w:r>
        <w:t>.</w:t>
      </w:r>
      <w:r>
        <w:tab/>
        <w:t>CEO may disclose to certain bodies information about issue of negative notices and interim negative notices</w:t>
      </w:r>
      <w:bookmarkEnd w:id="315"/>
      <w:bookmarkEnd w:id="316"/>
      <w:bookmarkEnd w:id="317"/>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318" w:name="_Toc131586174"/>
      <w:bookmarkStart w:id="319" w:name="_Toc147896722"/>
      <w:bookmarkStart w:id="320" w:name="_Toc142716549"/>
      <w:r>
        <w:rPr>
          <w:rStyle w:val="CharSectno"/>
        </w:rPr>
        <w:t>39</w:t>
      </w:r>
      <w:r>
        <w:t>.</w:t>
      </w:r>
      <w:r>
        <w:tab/>
        <w:t>Confidentiality of information</w:t>
      </w:r>
      <w:bookmarkEnd w:id="318"/>
      <w:bookmarkEnd w:id="319"/>
      <w:bookmarkEnd w:id="32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21" w:name="_Toc131586175"/>
      <w:bookmarkStart w:id="322" w:name="_Toc147896723"/>
      <w:bookmarkStart w:id="323" w:name="_Toc142716550"/>
      <w:r>
        <w:rPr>
          <w:rStyle w:val="CharSectno"/>
        </w:rPr>
        <w:t>40</w:t>
      </w:r>
      <w:r>
        <w:t>.</w:t>
      </w:r>
      <w:r>
        <w:tab/>
        <w:t>Protection from liability for wrongdoing</w:t>
      </w:r>
      <w:bookmarkEnd w:id="321"/>
      <w:bookmarkEnd w:id="322"/>
      <w:bookmarkEnd w:id="323"/>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24" w:name="_Toc131586176"/>
      <w:bookmarkStart w:id="325" w:name="_Toc147896724"/>
      <w:bookmarkStart w:id="326" w:name="_Toc142716551"/>
      <w:r>
        <w:rPr>
          <w:rStyle w:val="CharSectno"/>
        </w:rPr>
        <w:t>41</w:t>
      </w:r>
      <w:r>
        <w:t>.</w:t>
      </w:r>
      <w:r>
        <w:tab/>
        <w:t>Employer to comply with Act despite other laws etc.</w:t>
      </w:r>
      <w:bookmarkEnd w:id="324"/>
      <w:bookmarkEnd w:id="325"/>
      <w:bookmarkEnd w:id="326"/>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27" w:name="_Toc131586177"/>
      <w:bookmarkStart w:id="328" w:name="_Toc147896725"/>
      <w:bookmarkStart w:id="329" w:name="_Toc142716552"/>
      <w:r>
        <w:rPr>
          <w:rStyle w:val="CharSectno"/>
        </w:rPr>
        <w:t>42</w:t>
      </w:r>
      <w:r>
        <w:t>.</w:t>
      </w:r>
      <w:r>
        <w:tab/>
        <w:t>CEO may require information to confirm compliance with Act</w:t>
      </w:r>
      <w:bookmarkEnd w:id="327"/>
      <w:bookmarkEnd w:id="328"/>
      <w:bookmarkEnd w:id="329"/>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30" w:name="_Toc131586178"/>
      <w:bookmarkStart w:id="331" w:name="_Toc147896726"/>
      <w:bookmarkStart w:id="332" w:name="_Toc142716553"/>
      <w:r>
        <w:rPr>
          <w:rStyle w:val="CharSectno"/>
        </w:rPr>
        <w:t>43</w:t>
      </w:r>
      <w:r>
        <w:t>.</w:t>
      </w:r>
      <w:r>
        <w:tab/>
        <w:t>Liability of partners for certain offences</w:t>
      </w:r>
      <w:bookmarkEnd w:id="330"/>
      <w:bookmarkEnd w:id="331"/>
      <w:bookmarkEnd w:id="332"/>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33" w:name="_Toc131586179"/>
      <w:bookmarkStart w:id="334" w:name="_Toc147896727"/>
      <w:bookmarkStart w:id="335" w:name="_Toc142716554"/>
      <w:r>
        <w:rPr>
          <w:rStyle w:val="CharSectno"/>
        </w:rPr>
        <w:t>44</w:t>
      </w:r>
      <w:r>
        <w:t>.</w:t>
      </w:r>
      <w:r>
        <w:tab/>
        <w:t>Evidentiary matters</w:t>
      </w:r>
      <w:bookmarkEnd w:id="333"/>
      <w:bookmarkEnd w:id="334"/>
      <w:bookmarkEnd w:id="335"/>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36" w:name="_Toc131586180"/>
      <w:bookmarkStart w:id="337" w:name="_Toc147896728"/>
      <w:bookmarkStart w:id="338" w:name="_Toc142716555"/>
      <w:r>
        <w:rPr>
          <w:rStyle w:val="CharSectno"/>
        </w:rPr>
        <w:t>45</w:t>
      </w:r>
      <w:r>
        <w:t>.</w:t>
      </w:r>
      <w:r>
        <w:tab/>
        <w:t>Delegation</w:t>
      </w:r>
      <w:bookmarkEnd w:id="336"/>
      <w:bookmarkEnd w:id="337"/>
      <w:bookmarkEnd w:id="338"/>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39" w:name="_Toc131586181"/>
      <w:bookmarkStart w:id="340" w:name="_Toc147896729"/>
      <w:bookmarkStart w:id="341" w:name="_Toc142716556"/>
      <w:r>
        <w:rPr>
          <w:rStyle w:val="CharSectno"/>
        </w:rPr>
        <w:t>46</w:t>
      </w:r>
      <w:r>
        <w:t>.</w:t>
      </w:r>
      <w:r>
        <w:tab/>
        <w:t>Regulations</w:t>
      </w:r>
      <w:bookmarkEnd w:id="339"/>
      <w:bookmarkEnd w:id="340"/>
      <w:bookmarkEnd w:id="3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42" w:name="_Toc131586182"/>
      <w:bookmarkStart w:id="343" w:name="_Toc147896730"/>
      <w:bookmarkStart w:id="344" w:name="_Toc142716557"/>
      <w:r>
        <w:rPr>
          <w:rStyle w:val="CharSectno"/>
        </w:rPr>
        <w:t>47</w:t>
      </w:r>
      <w:r>
        <w:t>.</w:t>
      </w:r>
      <w:r>
        <w:tab/>
        <w:t>Minister to review and report on Act</w:t>
      </w:r>
      <w:bookmarkEnd w:id="342"/>
      <w:bookmarkEnd w:id="343"/>
      <w:bookmarkEnd w:id="34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45" w:name="_Toc124041895"/>
      <w:bookmarkStart w:id="346" w:name="_Toc131586183"/>
      <w:bookmarkStart w:id="347" w:name="_Toc142716558"/>
      <w:bookmarkStart w:id="348" w:name="_Toc147896731"/>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45"/>
      <w:bookmarkEnd w:id="346"/>
      <w:bookmarkEnd w:id="347"/>
      <w:bookmarkEnd w:id="348"/>
    </w:p>
    <w:p>
      <w:pPr>
        <w:pStyle w:val="Heading5"/>
      </w:pPr>
      <w:bookmarkStart w:id="349" w:name="_Toc131586184"/>
      <w:bookmarkStart w:id="350" w:name="_Toc147896732"/>
      <w:bookmarkStart w:id="351" w:name="_Toc142716559"/>
      <w:r>
        <w:rPr>
          <w:rStyle w:val="CharSectno"/>
        </w:rPr>
        <w:t>48</w:t>
      </w:r>
      <w:r>
        <w:t>.</w:t>
      </w:r>
      <w:r>
        <w:tab/>
        <w:t>The Act amended</w:t>
      </w:r>
      <w:bookmarkEnd w:id="349"/>
      <w:bookmarkEnd w:id="350"/>
      <w:bookmarkEnd w:id="351"/>
    </w:p>
    <w:p>
      <w:pPr>
        <w:pStyle w:val="Subsection"/>
      </w:pPr>
      <w:r>
        <w:tab/>
      </w:r>
      <w:r>
        <w:tab/>
        <w:t xml:space="preserve">The amendments in this Part are to the </w:t>
      </w:r>
      <w:r>
        <w:rPr>
          <w:i/>
        </w:rPr>
        <w:t>Children and Community Services Act 2004</w:t>
      </w:r>
      <w:r>
        <w:t>.</w:t>
      </w:r>
    </w:p>
    <w:p>
      <w:pPr>
        <w:pStyle w:val="Heading5"/>
      </w:pPr>
      <w:bookmarkStart w:id="352" w:name="_Toc131586185"/>
      <w:bookmarkStart w:id="353" w:name="_Toc147896733"/>
      <w:bookmarkStart w:id="354" w:name="_Toc142716560"/>
      <w:r>
        <w:rPr>
          <w:rStyle w:val="CharSectno"/>
        </w:rPr>
        <w:t>49</w:t>
      </w:r>
      <w:r>
        <w:t>.</w:t>
      </w:r>
      <w:r>
        <w:tab/>
        <w:t>Section 197 amended</w:t>
      </w:r>
      <w:bookmarkEnd w:id="352"/>
      <w:bookmarkEnd w:id="353"/>
      <w:bookmarkEnd w:id="354"/>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Ednotesection"/>
      </w:pPr>
      <w:r>
        <w:t>[</w:t>
      </w:r>
      <w:r>
        <w:rPr>
          <w:b/>
          <w:bCs/>
        </w:rPr>
        <w:t>50-52.</w:t>
      </w:r>
      <w:r>
        <w:tab/>
        <w:t>Have not come into operation </w:t>
      </w:r>
      <w:r>
        <w:rPr>
          <w:vertAlign w:val="superscript"/>
        </w:rPr>
        <w:t>2</w:t>
      </w:r>
      <w:r>
        <w:t>.]</w:t>
      </w:r>
    </w:p>
    <w:p>
      <w:pPr>
        <w:pStyle w:val="Heading5"/>
      </w:pPr>
      <w:bookmarkStart w:id="355" w:name="_Toc131586186"/>
      <w:bookmarkStart w:id="356" w:name="_Toc147896734"/>
      <w:bookmarkStart w:id="357" w:name="_Toc142716561"/>
      <w:r>
        <w:rPr>
          <w:rStyle w:val="CharSectno"/>
        </w:rPr>
        <w:t>53</w:t>
      </w:r>
      <w:r>
        <w:t>.</w:t>
      </w:r>
      <w:r>
        <w:tab/>
        <w:t>Section 220 amended</w:t>
      </w:r>
      <w:bookmarkEnd w:id="355"/>
      <w:bookmarkEnd w:id="356"/>
      <w:bookmarkEnd w:id="357"/>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358" w:name="_Toc131586187"/>
      <w:bookmarkStart w:id="359" w:name="_Toc147896735"/>
      <w:bookmarkStart w:id="360" w:name="_Toc142716562"/>
      <w:r>
        <w:rPr>
          <w:rStyle w:val="CharSectno"/>
        </w:rPr>
        <w:t>54</w:t>
      </w:r>
      <w:r>
        <w:t>.</w:t>
      </w:r>
      <w:r>
        <w:tab/>
        <w:t>Section 221 amended</w:t>
      </w:r>
      <w:bookmarkEnd w:id="358"/>
      <w:bookmarkEnd w:id="359"/>
      <w:bookmarkEnd w:id="360"/>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361" w:name="_Toc131586188"/>
      <w:bookmarkStart w:id="362" w:name="_Toc147896736"/>
      <w:bookmarkStart w:id="363" w:name="_Toc142716563"/>
      <w:r>
        <w:rPr>
          <w:rStyle w:val="CharSectno"/>
        </w:rPr>
        <w:t>55</w:t>
      </w:r>
      <w:r>
        <w:t>.</w:t>
      </w:r>
      <w:r>
        <w:tab/>
        <w:t>Section 224 amended</w:t>
      </w:r>
      <w:bookmarkEnd w:id="361"/>
      <w:bookmarkEnd w:id="362"/>
      <w:bookmarkEnd w:id="363"/>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364" w:name="_Toc124041901"/>
      <w:bookmarkStart w:id="365" w:name="_Toc131586189"/>
      <w:bookmarkStart w:id="366" w:name="_Toc142716564"/>
      <w:bookmarkStart w:id="367" w:name="_Toc147896737"/>
      <w:r>
        <w:rPr>
          <w:rStyle w:val="CharPartNo"/>
        </w:rPr>
        <w:t>Part 6</w:t>
      </w:r>
      <w:r>
        <w:rPr>
          <w:rStyle w:val="CharDivNo"/>
        </w:rPr>
        <w:t> </w:t>
      </w:r>
      <w:r>
        <w:t>—</w:t>
      </w:r>
      <w:r>
        <w:rPr>
          <w:rStyle w:val="CharDivText"/>
        </w:rPr>
        <w:t> </w:t>
      </w:r>
      <w:r>
        <w:rPr>
          <w:rStyle w:val="CharPartText"/>
        </w:rPr>
        <w:t>Transitional provisions</w:t>
      </w:r>
      <w:bookmarkEnd w:id="364"/>
      <w:bookmarkEnd w:id="365"/>
      <w:bookmarkEnd w:id="366"/>
      <w:bookmarkEnd w:id="367"/>
    </w:p>
    <w:p>
      <w:pPr>
        <w:pStyle w:val="Heading5"/>
      </w:pPr>
      <w:bookmarkStart w:id="368" w:name="_Toc131586190"/>
      <w:bookmarkStart w:id="369" w:name="_Toc147896738"/>
      <w:bookmarkStart w:id="370" w:name="_Toc142716565"/>
      <w:r>
        <w:rPr>
          <w:rStyle w:val="CharSectno"/>
        </w:rPr>
        <w:t>56</w:t>
      </w:r>
      <w:r>
        <w:t>.</w:t>
      </w:r>
      <w:r>
        <w:tab/>
        <w:t>Terms used in this Part</w:t>
      </w:r>
      <w:bookmarkEnd w:id="368"/>
      <w:bookmarkEnd w:id="369"/>
      <w:bookmarkEnd w:id="370"/>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371" w:name="_Toc131586191"/>
      <w:bookmarkStart w:id="372" w:name="_Toc147896739"/>
      <w:bookmarkStart w:id="373" w:name="_Toc142716566"/>
      <w:r>
        <w:rPr>
          <w:rStyle w:val="CharSectno"/>
        </w:rPr>
        <w:t>57</w:t>
      </w:r>
      <w:r>
        <w:t>.</w:t>
      </w:r>
      <w:r>
        <w:tab/>
        <w:t>People carrying on a child</w:t>
      </w:r>
      <w:r>
        <w:noBreakHyphen/>
        <w:t>related business</w:t>
      </w:r>
      <w:bookmarkEnd w:id="371"/>
      <w:bookmarkEnd w:id="372"/>
      <w:bookmarkEnd w:id="373"/>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74" w:name="_Toc131586192"/>
      <w:bookmarkStart w:id="375" w:name="_Toc147896740"/>
      <w:bookmarkStart w:id="376" w:name="_Toc142716567"/>
      <w:r>
        <w:rPr>
          <w:rStyle w:val="CharSectno"/>
        </w:rPr>
        <w:t>58</w:t>
      </w:r>
      <w:r>
        <w:t>.</w:t>
      </w:r>
      <w:r>
        <w:tab/>
        <w:t>Volunteers continuing in child</w:t>
      </w:r>
      <w:r>
        <w:noBreakHyphen/>
        <w:t>related employment</w:t>
      </w:r>
      <w:bookmarkEnd w:id="374"/>
      <w:bookmarkEnd w:id="375"/>
      <w:bookmarkEnd w:id="376"/>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77" w:name="_Toc131586193"/>
      <w:bookmarkStart w:id="378" w:name="_Toc147896741"/>
      <w:bookmarkStart w:id="379" w:name="_Toc142716568"/>
      <w:r>
        <w:rPr>
          <w:rStyle w:val="CharSectno"/>
        </w:rPr>
        <w:t>59</w:t>
      </w:r>
      <w:r>
        <w:t>.</w:t>
      </w:r>
      <w:r>
        <w:tab/>
        <w:t>Ministers of religion etc. continuing in child</w:t>
      </w:r>
      <w:r>
        <w:noBreakHyphen/>
        <w:t>related employment</w:t>
      </w:r>
      <w:bookmarkEnd w:id="377"/>
      <w:bookmarkEnd w:id="378"/>
      <w:bookmarkEnd w:id="379"/>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80" w:name="_Toc131586194"/>
      <w:bookmarkStart w:id="381" w:name="_Toc147896742"/>
      <w:bookmarkStart w:id="382" w:name="_Toc142716569"/>
      <w:r>
        <w:rPr>
          <w:rStyle w:val="CharSectno"/>
        </w:rPr>
        <w:t>60</w:t>
      </w:r>
      <w:r>
        <w:t>.</w:t>
      </w:r>
      <w:r>
        <w:tab/>
        <w:t>Other people in child</w:t>
      </w:r>
      <w:r>
        <w:noBreakHyphen/>
        <w:t>related employment</w:t>
      </w:r>
      <w:bookmarkEnd w:id="380"/>
      <w:bookmarkEnd w:id="381"/>
      <w:bookmarkEnd w:id="382"/>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83" w:name="_Toc131586195"/>
      <w:bookmarkStart w:id="384" w:name="_Toc147896743"/>
      <w:bookmarkStart w:id="385" w:name="_Toc142716570"/>
      <w:r>
        <w:rPr>
          <w:rStyle w:val="CharSectno"/>
        </w:rPr>
        <w:t>61</w:t>
      </w:r>
      <w:r>
        <w:t>.</w:t>
      </w:r>
      <w:r>
        <w:tab/>
        <w:t>Transitional regulations</w:t>
      </w:r>
      <w:bookmarkEnd w:id="383"/>
      <w:bookmarkEnd w:id="384"/>
      <w:bookmarkEnd w:id="385"/>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86" w:name="_Toc131586196"/>
    </w:p>
    <w:p>
      <w:pPr>
        <w:pStyle w:val="yScheduleHeading"/>
      </w:pPr>
      <w:bookmarkStart w:id="387" w:name="_Toc142716571"/>
      <w:bookmarkStart w:id="388" w:name="_Toc147896744"/>
      <w:r>
        <w:rPr>
          <w:rStyle w:val="CharSchNo"/>
        </w:rPr>
        <w:t>Schedule 1</w:t>
      </w:r>
      <w:r>
        <w:t xml:space="preserve"> — </w:t>
      </w:r>
      <w:r>
        <w:rPr>
          <w:rStyle w:val="CharSchText"/>
        </w:rPr>
        <w:t>Class 1 offences</w:t>
      </w:r>
      <w:bookmarkEnd w:id="386"/>
      <w:bookmarkEnd w:id="387"/>
      <w:bookmarkEnd w:id="388"/>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389" w:name="_Toc131586197"/>
      <w:bookmarkStart w:id="390" w:name="_Toc142716572"/>
      <w:bookmarkStart w:id="391" w:name="_Toc147896745"/>
      <w:r>
        <w:rPr>
          <w:rStyle w:val="CharSchNo"/>
        </w:rPr>
        <w:t>Schedule 2</w:t>
      </w:r>
      <w:r>
        <w:t> — </w:t>
      </w:r>
      <w:r>
        <w:rPr>
          <w:rStyle w:val="CharSchText"/>
        </w:rPr>
        <w:t>Class 2 offences</w:t>
      </w:r>
      <w:bookmarkEnd w:id="389"/>
      <w:bookmarkEnd w:id="390"/>
      <w:bookmarkEnd w:id="391"/>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392" w:name="UpToHere"/>
      <w:bookmarkStart w:id="393" w:name="_Toc90459683"/>
      <w:bookmarkStart w:id="394" w:name="_Toc90694814"/>
      <w:bookmarkStart w:id="395" w:name="_Toc123526400"/>
      <w:bookmarkStart w:id="396" w:name="_Toc124041910"/>
      <w:bookmarkStart w:id="397" w:name="_Toc131586198"/>
      <w:bookmarkEnd w:id="392"/>
    </w:p>
    <w:p>
      <w:pPr>
        <w:pStyle w:val="nHeading2"/>
      </w:pPr>
      <w:bookmarkStart w:id="398" w:name="_Toc142716573"/>
      <w:bookmarkStart w:id="399" w:name="_Toc147896746"/>
      <w:r>
        <w:t>Notes</w:t>
      </w:r>
      <w:bookmarkEnd w:id="393"/>
      <w:bookmarkEnd w:id="394"/>
      <w:bookmarkEnd w:id="395"/>
      <w:bookmarkEnd w:id="396"/>
      <w:bookmarkEnd w:id="397"/>
      <w:bookmarkEnd w:id="398"/>
      <w:bookmarkEnd w:id="39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00" w:name="_Toc512403484"/>
      <w:bookmarkStart w:id="401" w:name="_Toc512403627"/>
      <w:bookmarkStart w:id="402" w:name="_Toc36369351"/>
      <w:bookmarkStart w:id="403" w:name="_Toc131586199"/>
      <w:bookmarkStart w:id="404" w:name="_Toc147896747"/>
      <w:bookmarkStart w:id="405" w:name="_Toc142716574"/>
      <w:r>
        <w:rPr>
          <w:snapToGrid w:val="0"/>
        </w:rPr>
        <w:t>Compilation table</w:t>
      </w:r>
      <w:bookmarkEnd w:id="400"/>
      <w:bookmarkEnd w:id="401"/>
      <w:bookmarkEnd w:id="402"/>
      <w:bookmarkEnd w:id="403"/>
      <w:bookmarkEnd w:id="404"/>
      <w:bookmarkEnd w:id="4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r>
              <w:rPr>
                <w:sz w:val="19"/>
              </w:rPr>
              <w:br/>
              <w:t>s. 50-52: to be proclaimed</w:t>
            </w:r>
          </w:p>
        </w:tc>
      </w:tr>
      <w:tr>
        <w:tc>
          <w:tcPr>
            <w:tcW w:w="2268" w:type="dxa"/>
            <w:tcBorders>
              <w:bottom w:val="single" w:sz="4" w:space="0" w:color="auto"/>
            </w:tcBorders>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Borders>
              <w:bottom w:val="single" w:sz="4" w:space="0" w:color="auto"/>
            </w:tcBorders>
          </w:tcPr>
          <w:p>
            <w:pPr>
              <w:pStyle w:val="nTable"/>
              <w:spacing w:before="100"/>
              <w:rPr>
                <w:sz w:val="19"/>
              </w:rPr>
            </w:pPr>
            <w:r>
              <w:rPr>
                <w:sz w:val="19"/>
              </w:rPr>
              <w:t>3 of 2006</w:t>
            </w:r>
          </w:p>
        </w:tc>
        <w:tc>
          <w:tcPr>
            <w:tcW w:w="1134" w:type="dxa"/>
            <w:tcBorders>
              <w:bottom w:val="single" w:sz="4" w:space="0" w:color="auto"/>
            </w:tcBorders>
          </w:tcPr>
          <w:p>
            <w:pPr>
              <w:pStyle w:val="nTable"/>
              <w:spacing w:before="100"/>
              <w:rPr>
                <w:sz w:val="19"/>
              </w:rPr>
            </w:pPr>
            <w:r>
              <w:rPr>
                <w:sz w:val="19"/>
              </w:rPr>
              <w:t>30 Mar 2006</w:t>
            </w:r>
          </w:p>
        </w:tc>
        <w:tc>
          <w:tcPr>
            <w:tcW w:w="2552" w:type="dxa"/>
            <w:tcBorders>
              <w:bottom w:val="single" w:sz="4" w:space="0" w:color="auto"/>
            </w:tcBorders>
          </w:tcPr>
          <w:p>
            <w:pPr>
              <w:pStyle w:val="nTable"/>
              <w:spacing w:before="100"/>
              <w:rPr>
                <w:sz w:val="19"/>
              </w:rPr>
            </w:pPr>
            <w:r>
              <w:rPr>
                <w:sz w:val="19"/>
              </w:rPr>
              <w:t>30 Mar 2006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6" w:name="_Toc534778309"/>
      <w:bookmarkStart w:id="407" w:name="_Toc7405063"/>
      <w:bookmarkStart w:id="408" w:name="_Toc131586200"/>
      <w:bookmarkStart w:id="409" w:name="_Toc147896748"/>
      <w:bookmarkStart w:id="410" w:name="_Toc142716575"/>
      <w:r>
        <w:rPr>
          <w:snapToGrid w:val="0"/>
        </w:rPr>
        <w:t>Provisions that have not come into operation</w:t>
      </w:r>
      <w:bookmarkEnd w:id="406"/>
      <w:bookmarkEnd w:id="407"/>
      <w:bookmarkEnd w:id="408"/>
      <w:bookmarkEnd w:id="409"/>
      <w:bookmarkEnd w:id="41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bottom w:val="nil"/>
            </w:tcBorders>
          </w:tcPr>
          <w:p>
            <w:pPr>
              <w:pStyle w:val="nTable"/>
              <w:spacing w:before="100"/>
              <w:rPr>
                <w:iCs/>
                <w:sz w:val="19"/>
                <w:vertAlign w:val="superscript"/>
              </w:rPr>
            </w:pPr>
            <w:r>
              <w:rPr>
                <w:i/>
                <w:noProof/>
                <w:snapToGrid w:val="0"/>
                <w:sz w:val="19"/>
              </w:rPr>
              <w:t>Working with Children (Criminal Record Checking) Act 2004</w:t>
            </w:r>
            <w:r>
              <w:rPr>
                <w:iCs/>
                <w:noProof/>
                <w:snapToGrid w:val="0"/>
                <w:sz w:val="19"/>
              </w:rPr>
              <w:t xml:space="preserve"> s. 50</w:t>
            </w:r>
            <w:r>
              <w:rPr>
                <w:iCs/>
                <w:noProof/>
                <w:snapToGrid w:val="0"/>
                <w:sz w:val="19"/>
              </w:rPr>
              <w:noBreakHyphen/>
              <w:t>52 </w:t>
            </w:r>
            <w:r>
              <w:rPr>
                <w:iCs/>
                <w:noProof/>
                <w:snapToGrid w:val="0"/>
                <w:sz w:val="19"/>
                <w:vertAlign w:val="superscript"/>
              </w:rPr>
              <w:t>2</w:t>
            </w:r>
          </w:p>
        </w:tc>
        <w:tc>
          <w:tcPr>
            <w:tcW w:w="1118" w:type="dxa"/>
            <w:tcBorders>
              <w:bottom w:val="nil"/>
            </w:tcBorders>
          </w:tcPr>
          <w:p>
            <w:pPr>
              <w:pStyle w:val="nTable"/>
              <w:spacing w:before="100"/>
              <w:rPr>
                <w:sz w:val="19"/>
              </w:rPr>
            </w:pPr>
            <w:r>
              <w:rPr>
                <w:sz w:val="19"/>
              </w:rPr>
              <w:t>65 of 2004</w:t>
            </w:r>
          </w:p>
        </w:tc>
        <w:tc>
          <w:tcPr>
            <w:tcW w:w="1195" w:type="dxa"/>
            <w:tcBorders>
              <w:bottom w:val="nil"/>
            </w:tcBorders>
          </w:tcPr>
          <w:p>
            <w:pPr>
              <w:pStyle w:val="nTable"/>
              <w:spacing w:before="100"/>
              <w:rPr>
                <w:sz w:val="19"/>
              </w:rPr>
            </w:pPr>
            <w:r>
              <w:rPr>
                <w:sz w:val="19"/>
              </w:rPr>
              <w:t>8 Dec 2004</w:t>
            </w:r>
          </w:p>
        </w:tc>
        <w:tc>
          <w:tcPr>
            <w:tcW w:w="2552" w:type="dxa"/>
            <w:tcBorders>
              <w:bottom w:val="nil"/>
            </w:tcBorders>
          </w:tcPr>
          <w:p>
            <w:pPr>
              <w:pStyle w:val="nTable"/>
              <w:spacing w:before="100"/>
              <w:rPr>
                <w:snapToGrid w:val="0"/>
                <w:lang w:val="en-US"/>
              </w:rPr>
            </w:pPr>
            <w:r>
              <w:rPr>
                <w:snapToGrid w:val="0"/>
                <w:lang w:val="en-US"/>
              </w:rPr>
              <w:t>To be proclaimed (see s. 2)</w:t>
            </w:r>
          </w:p>
        </w:tc>
      </w:tr>
      <w:tr>
        <w:trPr>
          <w:ins w:id="411" w:author="svcMRProcess" w:date="2018-09-10T08:59:00Z"/>
        </w:trPr>
        <w:tc>
          <w:tcPr>
            <w:tcW w:w="2223" w:type="dxa"/>
            <w:tcBorders>
              <w:top w:val="nil"/>
              <w:bottom w:val="single" w:sz="4" w:space="0" w:color="auto"/>
            </w:tcBorders>
          </w:tcPr>
          <w:p>
            <w:pPr>
              <w:pStyle w:val="nTable"/>
              <w:spacing w:before="100"/>
              <w:rPr>
                <w:ins w:id="412" w:author="svcMRProcess" w:date="2018-09-10T08:59:00Z"/>
                <w:i/>
                <w:noProof/>
                <w:snapToGrid w:val="0"/>
                <w:sz w:val="19"/>
              </w:rPr>
            </w:pPr>
            <w:ins w:id="413" w:author="svcMRProcess" w:date="2018-09-10T08:59:00Z">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3</w:t>
              </w:r>
            </w:ins>
          </w:p>
        </w:tc>
        <w:tc>
          <w:tcPr>
            <w:tcW w:w="1118" w:type="dxa"/>
            <w:tcBorders>
              <w:top w:val="nil"/>
              <w:bottom w:val="single" w:sz="4" w:space="0" w:color="auto"/>
            </w:tcBorders>
          </w:tcPr>
          <w:p>
            <w:pPr>
              <w:pStyle w:val="nTable"/>
              <w:spacing w:before="100"/>
              <w:rPr>
                <w:ins w:id="414" w:author="svcMRProcess" w:date="2018-09-10T08:59:00Z"/>
                <w:sz w:val="19"/>
              </w:rPr>
            </w:pPr>
            <w:ins w:id="415" w:author="svcMRProcess" w:date="2018-09-10T08:59:00Z">
              <w:r>
                <w:rPr>
                  <w:snapToGrid w:val="0"/>
                  <w:sz w:val="19"/>
                  <w:lang w:val="en-US"/>
                </w:rPr>
                <w:t>48 of 2006</w:t>
              </w:r>
            </w:ins>
          </w:p>
        </w:tc>
        <w:tc>
          <w:tcPr>
            <w:tcW w:w="1195" w:type="dxa"/>
            <w:tcBorders>
              <w:top w:val="nil"/>
              <w:bottom w:val="single" w:sz="4" w:space="0" w:color="auto"/>
            </w:tcBorders>
          </w:tcPr>
          <w:p>
            <w:pPr>
              <w:pStyle w:val="nTable"/>
              <w:spacing w:before="100"/>
              <w:rPr>
                <w:ins w:id="416" w:author="svcMRProcess" w:date="2018-09-10T08:59:00Z"/>
                <w:sz w:val="19"/>
              </w:rPr>
            </w:pPr>
            <w:ins w:id="417" w:author="svcMRProcess" w:date="2018-09-10T08:59:00Z">
              <w:r>
                <w:rPr>
                  <w:snapToGrid w:val="0"/>
                  <w:sz w:val="19"/>
                  <w:lang w:val="en-US"/>
                </w:rPr>
                <w:t>4 Oct 2006</w:t>
              </w:r>
            </w:ins>
          </w:p>
        </w:tc>
        <w:tc>
          <w:tcPr>
            <w:tcW w:w="2552" w:type="dxa"/>
            <w:tcBorders>
              <w:top w:val="nil"/>
              <w:bottom w:val="single" w:sz="4" w:space="0" w:color="auto"/>
            </w:tcBorders>
          </w:tcPr>
          <w:p>
            <w:pPr>
              <w:pStyle w:val="nTable"/>
              <w:spacing w:before="100"/>
              <w:rPr>
                <w:ins w:id="418" w:author="svcMRProcess" w:date="2018-09-10T08:59:00Z"/>
                <w:snapToGrid w:val="0"/>
                <w:lang w:val="en-US"/>
              </w:rPr>
            </w:pPr>
            <w:ins w:id="419" w:author="svcMRProcess" w:date="2018-09-10T08:59: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Working with Children (Criminal Record Checking) Act 2004</w:t>
      </w:r>
      <w:r>
        <w:rPr>
          <w:iCs/>
          <w:noProof/>
          <w:snapToGrid w:val="0"/>
          <w:sz w:val="19"/>
        </w:rPr>
        <w:t xml:space="preserve"> s. 50-52 </w:t>
      </w:r>
      <w:r>
        <w:rPr>
          <w:snapToGrid w:val="0"/>
        </w:rPr>
        <w:t>had not come into operation.  They read as follows:</w:t>
      </w:r>
    </w:p>
    <w:p>
      <w:pPr>
        <w:pStyle w:val="MiscOpen"/>
        <w:rPr>
          <w:snapToGrid w:val="0"/>
        </w:rPr>
      </w:pPr>
      <w:r>
        <w:rPr>
          <w:snapToGrid w:val="0"/>
        </w:rPr>
        <w:t>“</w:t>
      </w:r>
    </w:p>
    <w:p>
      <w:pPr>
        <w:pStyle w:val="nzHeading5"/>
      </w:pPr>
      <w:bookmarkStart w:id="420" w:name="_Toc86595789"/>
      <w:r>
        <w:rPr>
          <w:rStyle w:val="CharSectno"/>
        </w:rPr>
        <w:t>50</w:t>
      </w:r>
      <w:r>
        <w:t>.</w:t>
      </w:r>
      <w:r>
        <w:tab/>
        <w:t>Section 207 amended</w:t>
      </w:r>
      <w:bookmarkEnd w:id="420"/>
    </w:p>
    <w:p>
      <w:pPr>
        <w:pStyle w:val="nzSubsection"/>
      </w:pPr>
      <w:r>
        <w:tab/>
      </w:r>
      <w:r>
        <w:tab/>
        <w:t xml:space="preserve">Before section 207(2)(a) the following paragraph is inserted — </w:t>
      </w:r>
    </w:p>
    <w:p>
      <w:pPr>
        <w:pStyle w:val="MiscOpen"/>
        <w:ind w:left="1340"/>
      </w:pPr>
      <w:r>
        <w:t xml:space="preserve">“    </w:t>
      </w:r>
    </w:p>
    <w:p>
      <w:pPr>
        <w:pStyle w:val="nzIndenta"/>
      </w:pPr>
      <w:r>
        <w:tab/>
        <w:t>(aa)</w:t>
      </w:r>
      <w:r>
        <w:tab/>
        <w:t>has a current assessment notice;</w:t>
      </w:r>
    </w:p>
    <w:p>
      <w:pPr>
        <w:pStyle w:val="MiscClose"/>
      </w:pPr>
      <w:r>
        <w:t xml:space="preserve">    ”.</w:t>
      </w:r>
    </w:p>
    <w:p>
      <w:pPr>
        <w:pStyle w:val="nzHeading5"/>
      </w:pPr>
      <w:bookmarkStart w:id="421" w:name="_Toc86595790"/>
      <w:r>
        <w:rPr>
          <w:rStyle w:val="CharSectno"/>
        </w:rPr>
        <w:t>51</w:t>
      </w:r>
      <w:r>
        <w:t>.</w:t>
      </w:r>
      <w:r>
        <w:tab/>
        <w:t>Section 208 amended</w:t>
      </w:r>
      <w:bookmarkEnd w:id="421"/>
    </w:p>
    <w:p>
      <w:pPr>
        <w:pStyle w:val="nzSubsection"/>
      </w:pPr>
      <w:r>
        <w:tab/>
      </w:r>
      <w:r>
        <w:tab/>
        <w:t xml:space="preserve">After section 208(2)(b) the following paragraph is inserted — </w:t>
      </w:r>
    </w:p>
    <w:p>
      <w:pPr>
        <w:pStyle w:val="MiscOpen"/>
        <w:ind w:left="1340"/>
      </w:pPr>
      <w:r>
        <w:t xml:space="preserve">“    </w:t>
      </w:r>
    </w:p>
    <w:p>
      <w:pPr>
        <w:pStyle w:val="nzIndenta"/>
      </w:pPr>
      <w:r>
        <w:tab/>
        <w:t>(ba)</w:t>
      </w:r>
      <w:r>
        <w:tab/>
        <w:t>the nominated supervising officer and each managerial officer have a current assessment notice;</w:t>
      </w:r>
    </w:p>
    <w:p>
      <w:pPr>
        <w:pStyle w:val="MiscClose"/>
      </w:pPr>
      <w:r>
        <w:t xml:space="preserve">    ”.</w:t>
      </w:r>
    </w:p>
    <w:p>
      <w:pPr>
        <w:pStyle w:val="nzHeading5"/>
      </w:pPr>
      <w:bookmarkStart w:id="422" w:name="_Toc86595791"/>
      <w:r>
        <w:rPr>
          <w:rStyle w:val="CharSectno"/>
        </w:rPr>
        <w:t>52</w:t>
      </w:r>
      <w:r>
        <w:t>.</w:t>
      </w:r>
      <w:r>
        <w:tab/>
        <w:t>Section 209 amended</w:t>
      </w:r>
      <w:bookmarkEnd w:id="422"/>
    </w:p>
    <w:p>
      <w:pPr>
        <w:pStyle w:val="nzSubsection"/>
      </w:pPr>
      <w:r>
        <w:tab/>
      </w:r>
      <w:r>
        <w:tab/>
        <w:t xml:space="preserve">After section 209(2)(b) the following paragraph is inserted — </w:t>
      </w:r>
    </w:p>
    <w:p>
      <w:pPr>
        <w:pStyle w:val="MiscOpen"/>
        <w:ind w:left="1340"/>
      </w:pPr>
      <w:r>
        <w:t xml:space="preserve">“    </w:t>
      </w:r>
    </w:p>
    <w:p>
      <w:pPr>
        <w:pStyle w:val="nzIndenta"/>
      </w:pPr>
      <w:r>
        <w:tab/>
        <w:t>(ba)</w:t>
      </w:r>
      <w:r>
        <w:tab/>
        <w:t>the nominated supervising officer has a current assessment notice;</w:t>
      </w:r>
    </w:p>
    <w:p>
      <w:pPr>
        <w:pStyle w:val="MiscClose"/>
      </w:pPr>
      <w:r>
        <w:t xml:space="preserve">    ”.</w:t>
      </w:r>
    </w:p>
    <w:p>
      <w:pPr>
        <w:pStyle w:val="nSubsection"/>
        <w:keepNext/>
        <w:keepLines/>
        <w:spacing w:line="240" w:lineRule="atLeast"/>
        <w:rPr>
          <w:ins w:id="423" w:author="svcMRProcess" w:date="2018-09-10T08:59:00Z"/>
          <w:snapToGrid w:val="0"/>
        </w:rPr>
      </w:pPr>
      <w:ins w:id="424" w:author="svcMRProcess" w:date="2018-09-10T08:59:00Z">
        <w:r>
          <w:rPr>
            <w:vertAlign w:val="superscript"/>
          </w:rPr>
          <w:t>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ins>
    </w:p>
    <w:p>
      <w:pPr>
        <w:pStyle w:val="MiscOpen"/>
        <w:spacing w:before="0"/>
        <w:rPr>
          <w:ins w:id="425" w:author="svcMRProcess" w:date="2018-09-10T08:59:00Z"/>
          <w:snapToGrid w:val="0"/>
        </w:rPr>
      </w:pPr>
      <w:ins w:id="426" w:author="svcMRProcess" w:date="2018-09-10T08:59:00Z">
        <w:r>
          <w:rPr>
            <w:snapToGrid w:val="0"/>
          </w:rPr>
          <w:t>“</w:t>
        </w:r>
      </w:ins>
    </w:p>
    <w:p>
      <w:pPr>
        <w:pStyle w:val="nzHeading5"/>
        <w:rPr>
          <w:ins w:id="427" w:author="svcMRProcess" w:date="2018-09-10T08:59:00Z"/>
        </w:rPr>
      </w:pPr>
      <w:bookmarkStart w:id="428" w:name="_Toc112741027"/>
      <w:bookmarkStart w:id="429" w:name="_Toc147125482"/>
      <w:bookmarkStart w:id="430" w:name="_Toc147812927"/>
      <w:bookmarkStart w:id="431" w:name="_Toc147823407"/>
      <w:ins w:id="432" w:author="svcMRProcess" w:date="2018-09-10T08:59:00Z">
        <w:r>
          <w:rPr>
            <w:rStyle w:val="CharSectno"/>
          </w:rPr>
          <w:t>65</w:t>
        </w:r>
        <w:r>
          <w:t>.</w:t>
        </w:r>
        <w:r>
          <w:tab/>
          <w:t>Consequential amendments</w:t>
        </w:r>
        <w:bookmarkEnd w:id="428"/>
        <w:bookmarkEnd w:id="429"/>
        <w:bookmarkEnd w:id="430"/>
        <w:bookmarkEnd w:id="431"/>
      </w:ins>
    </w:p>
    <w:p>
      <w:pPr>
        <w:pStyle w:val="nzSubsection"/>
        <w:rPr>
          <w:ins w:id="433" w:author="svcMRProcess" w:date="2018-09-10T08:59:00Z"/>
        </w:rPr>
      </w:pPr>
      <w:ins w:id="434" w:author="svcMRProcess" w:date="2018-09-10T08:59:00Z">
        <w:r>
          <w:tab/>
        </w:r>
        <w:r>
          <w:tab/>
          <w:t>The Acts mentioned in Schedule 1 are amended as set out in that Schedule.</w:t>
        </w:r>
      </w:ins>
    </w:p>
    <w:p>
      <w:pPr>
        <w:pStyle w:val="MiscClose"/>
        <w:rPr>
          <w:ins w:id="435" w:author="svcMRProcess" w:date="2018-09-10T08:59:00Z"/>
        </w:rPr>
      </w:pPr>
      <w:ins w:id="436" w:author="svcMRProcess" w:date="2018-09-10T08:59:00Z">
        <w:r>
          <w:t>”.</w:t>
        </w:r>
      </w:ins>
    </w:p>
    <w:p>
      <w:pPr>
        <w:pStyle w:val="nSubsection"/>
        <w:rPr>
          <w:ins w:id="437" w:author="svcMRProcess" w:date="2018-09-10T08:59:00Z"/>
        </w:rPr>
      </w:pPr>
      <w:ins w:id="438" w:author="svcMRProcess" w:date="2018-09-10T08:59:00Z">
        <w:r>
          <w:tab/>
          <w:t>Schedule 1 cl. 3 reads as follows:</w:t>
        </w:r>
      </w:ins>
    </w:p>
    <w:p>
      <w:pPr>
        <w:pStyle w:val="MiscOpen"/>
        <w:rPr>
          <w:ins w:id="439" w:author="svcMRProcess" w:date="2018-09-10T08:59:00Z"/>
        </w:rPr>
      </w:pPr>
      <w:ins w:id="440" w:author="svcMRProcess" w:date="2018-09-10T08:59:00Z">
        <w:r>
          <w:t>“</w:t>
        </w:r>
      </w:ins>
    </w:p>
    <w:p>
      <w:pPr>
        <w:pStyle w:val="nzHeading2"/>
        <w:rPr>
          <w:ins w:id="441" w:author="svcMRProcess" w:date="2018-09-10T08:59:00Z"/>
        </w:rPr>
      </w:pPr>
      <w:bookmarkStart w:id="442" w:name="_Toc112741028"/>
      <w:bookmarkStart w:id="443" w:name="_Toc112741893"/>
      <w:bookmarkStart w:id="444" w:name="_Toc112741971"/>
      <w:bookmarkStart w:id="445" w:name="_Toc146431798"/>
      <w:bookmarkStart w:id="446" w:name="_Toc146433016"/>
      <w:bookmarkStart w:id="447" w:name="_Toc146434868"/>
      <w:bookmarkStart w:id="448" w:name="_Toc147125483"/>
      <w:bookmarkStart w:id="449" w:name="_Toc147812928"/>
      <w:bookmarkStart w:id="450" w:name="_Toc147823408"/>
      <w:ins w:id="451" w:author="svcMRProcess" w:date="2018-09-10T08:59:00Z">
        <w:r>
          <w:rPr>
            <w:rStyle w:val="CharSchNo"/>
          </w:rPr>
          <w:t>Schedule 1</w:t>
        </w:r>
        <w:r>
          <w:rPr>
            <w:rStyle w:val="CharSDivNo"/>
          </w:rPr>
          <w:t> </w:t>
        </w:r>
        <w:r>
          <w:t>—</w:t>
        </w:r>
        <w:bookmarkStart w:id="452" w:name="AutoSch"/>
        <w:bookmarkEnd w:id="452"/>
        <w:r>
          <w:rPr>
            <w:rStyle w:val="CharSDivText"/>
          </w:rPr>
          <w:t> </w:t>
        </w:r>
        <w:r>
          <w:rPr>
            <w:rStyle w:val="CharSchText"/>
          </w:rPr>
          <w:t>Consequential amendments</w:t>
        </w:r>
        <w:bookmarkEnd w:id="442"/>
        <w:bookmarkEnd w:id="443"/>
        <w:bookmarkEnd w:id="444"/>
        <w:bookmarkEnd w:id="445"/>
        <w:bookmarkEnd w:id="446"/>
        <w:bookmarkEnd w:id="447"/>
        <w:bookmarkEnd w:id="448"/>
        <w:bookmarkEnd w:id="449"/>
        <w:bookmarkEnd w:id="450"/>
      </w:ins>
    </w:p>
    <w:p>
      <w:pPr>
        <w:pStyle w:val="nzMiscellaneousBody"/>
        <w:jc w:val="right"/>
        <w:rPr>
          <w:ins w:id="453" w:author="svcMRProcess" w:date="2018-09-10T08:59:00Z"/>
        </w:rPr>
      </w:pPr>
      <w:ins w:id="454" w:author="svcMRProcess" w:date="2018-09-10T08:59:00Z">
        <w:r>
          <w:t>[s. 65]</w:t>
        </w:r>
      </w:ins>
    </w:p>
    <w:p>
      <w:pPr>
        <w:pStyle w:val="nzHeading5"/>
        <w:rPr>
          <w:ins w:id="455" w:author="svcMRProcess" w:date="2018-09-10T08:59:00Z"/>
        </w:rPr>
      </w:pPr>
      <w:bookmarkStart w:id="456" w:name="_Toc112741031"/>
      <w:bookmarkStart w:id="457" w:name="_Toc147125486"/>
      <w:bookmarkStart w:id="458" w:name="_Toc147812931"/>
      <w:bookmarkStart w:id="459" w:name="_Toc147823411"/>
      <w:ins w:id="460" w:author="svcMRProcess" w:date="2018-09-10T08:59:00Z">
        <w:r>
          <w:rPr>
            <w:rStyle w:val="CharSClsNo"/>
          </w:rPr>
          <w:t>3</w:t>
        </w:r>
        <w:r>
          <w:t>.</w:t>
        </w:r>
        <w:r>
          <w:tab/>
        </w:r>
        <w:r>
          <w:rPr>
            <w:i/>
            <w:iCs/>
          </w:rPr>
          <w:t>Working with Children (Criminal Record Checking) Act 2004</w:t>
        </w:r>
        <w:r>
          <w:t xml:space="preserve"> amended</w:t>
        </w:r>
        <w:bookmarkEnd w:id="456"/>
        <w:bookmarkEnd w:id="457"/>
        <w:bookmarkEnd w:id="458"/>
        <w:bookmarkEnd w:id="459"/>
      </w:ins>
    </w:p>
    <w:p>
      <w:pPr>
        <w:pStyle w:val="nzSubsection"/>
        <w:rPr>
          <w:ins w:id="461" w:author="svcMRProcess" w:date="2018-09-10T08:59:00Z"/>
        </w:rPr>
      </w:pPr>
      <w:ins w:id="462" w:author="svcMRProcess" w:date="2018-09-10T08:59:00Z">
        <w:r>
          <w:tab/>
          <w:t>(1)</w:t>
        </w:r>
        <w:r>
          <w:tab/>
          <w:t xml:space="preserve">The amendments in this clause are to the </w:t>
        </w:r>
        <w:r>
          <w:rPr>
            <w:i/>
          </w:rPr>
          <w:t>Working with Children (Criminal Record Checking) Act 2004</w:t>
        </w:r>
        <w:r>
          <w:rPr>
            <w:iCs/>
          </w:rPr>
          <w:t>.</w:t>
        </w:r>
      </w:ins>
    </w:p>
    <w:p>
      <w:pPr>
        <w:pStyle w:val="nzSubsection"/>
        <w:rPr>
          <w:ins w:id="463" w:author="svcMRProcess" w:date="2018-09-10T08:59:00Z"/>
        </w:rPr>
      </w:pPr>
      <w:ins w:id="464" w:author="svcMRProcess" w:date="2018-09-10T08:59:00Z">
        <w:r>
          <w:tab/>
          <w:t>(2)</w:t>
        </w:r>
        <w:r>
          <w:tab/>
          <w:t>Section 4 is amended as follows:</w:t>
        </w:r>
      </w:ins>
    </w:p>
    <w:p>
      <w:pPr>
        <w:pStyle w:val="nzIndenta"/>
        <w:rPr>
          <w:ins w:id="465" w:author="svcMRProcess" w:date="2018-09-10T08:59:00Z"/>
        </w:rPr>
      </w:pPr>
      <w:ins w:id="466" w:author="svcMRProcess" w:date="2018-09-10T08:59:00Z">
        <w:r>
          <w:tab/>
          <w:t>(a)</w:t>
        </w:r>
        <w:r>
          <w:tab/>
          <w:t>by deleting the definition of “CEO”;</w:t>
        </w:r>
      </w:ins>
    </w:p>
    <w:p>
      <w:pPr>
        <w:pStyle w:val="nzIndenta"/>
        <w:rPr>
          <w:ins w:id="467" w:author="svcMRProcess" w:date="2018-09-10T08:59:00Z"/>
        </w:rPr>
      </w:pPr>
      <w:ins w:id="468" w:author="svcMRProcess" w:date="2018-09-10T08:59:00Z">
        <w:r>
          <w:tab/>
          <w:t>(b)</w:t>
        </w:r>
        <w:r>
          <w:tab/>
          <w:t xml:space="preserve">by deleting the definition of “Commissioner” and inserting instead — </w:t>
        </w:r>
      </w:ins>
    </w:p>
    <w:p>
      <w:pPr>
        <w:pStyle w:val="MiscOpen"/>
        <w:ind w:left="880"/>
        <w:rPr>
          <w:ins w:id="469" w:author="svcMRProcess" w:date="2018-09-10T08:59:00Z"/>
        </w:rPr>
      </w:pPr>
      <w:ins w:id="470" w:author="svcMRProcess" w:date="2018-09-10T08:59:00Z">
        <w:r>
          <w:t xml:space="preserve">“    </w:t>
        </w:r>
      </w:ins>
    </w:p>
    <w:p>
      <w:pPr>
        <w:pStyle w:val="nzDefstart"/>
        <w:rPr>
          <w:ins w:id="471" w:author="svcMRProcess" w:date="2018-09-10T08:59:00Z"/>
        </w:rPr>
      </w:pPr>
      <w:ins w:id="472" w:author="svcMRProcess" w:date="2018-09-10T08:59:00Z">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ins>
    </w:p>
    <w:p>
      <w:pPr>
        <w:pStyle w:val="MiscClose"/>
        <w:rPr>
          <w:ins w:id="473" w:author="svcMRProcess" w:date="2018-09-10T08:59:00Z"/>
        </w:rPr>
      </w:pPr>
      <w:ins w:id="474" w:author="svcMRProcess" w:date="2018-09-10T08:59:00Z">
        <w:r>
          <w:t xml:space="preserve">    ”;</w:t>
        </w:r>
      </w:ins>
    </w:p>
    <w:p>
      <w:pPr>
        <w:pStyle w:val="nzIndenta"/>
        <w:rPr>
          <w:ins w:id="475" w:author="svcMRProcess" w:date="2018-09-10T08:59:00Z"/>
        </w:rPr>
      </w:pPr>
      <w:ins w:id="476" w:author="svcMRProcess" w:date="2018-09-10T08:59:00Z">
        <w:r>
          <w:tab/>
          <w:t>(c)</w:t>
        </w:r>
        <w:r>
          <w:tab/>
          <w:t xml:space="preserve">by inserting in the appropriate alphabetical position — </w:t>
        </w:r>
      </w:ins>
    </w:p>
    <w:p>
      <w:pPr>
        <w:pStyle w:val="MiscOpen"/>
        <w:ind w:left="880"/>
        <w:rPr>
          <w:ins w:id="477" w:author="svcMRProcess" w:date="2018-09-10T08:59:00Z"/>
        </w:rPr>
      </w:pPr>
      <w:ins w:id="478" w:author="svcMRProcess" w:date="2018-09-10T08:59:00Z">
        <w:r>
          <w:t xml:space="preserve">“    </w:t>
        </w:r>
      </w:ins>
    </w:p>
    <w:p>
      <w:pPr>
        <w:pStyle w:val="nzDefstart"/>
        <w:rPr>
          <w:ins w:id="479" w:author="svcMRProcess" w:date="2018-09-10T08:59:00Z"/>
        </w:rPr>
      </w:pPr>
      <w:ins w:id="480" w:author="svcMRProcess" w:date="2018-09-10T08:59:00Z">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ins>
    </w:p>
    <w:p>
      <w:pPr>
        <w:pStyle w:val="MiscClose"/>
        <w:rPr>
          <w:ins w:id="481" w:author="svcMRProcess" w:date="2018-09-10T08:59:00Z"/>
        </w:rPr>
      </w:pPr>
      <w:ins w:id="482" w:author="svcMRProcess" w:date="2018-09-10T08:59:00Z">
        <w:r>
          <w:t xml:space="preserve">    ”.</w:t>
        </w:r>
      </w:ins>
    </w:p>
    <w:p>
      <w:pPr>
        <w:pStyle w:val="nzSubsection"/>
        <w:rPr>
          <w:ins w:id="483" w:author="svcMRProcess" w:date="2018-09-10T08:59:00Z"/>
        </w:rPr>
      </w:pPr>
      <w:ins w:id="484" w:author="svcMRProcess" w:date="2018-09-10T08:59:00Z">
        <w:r>
          <w:tab/>
          <w:t>(3)</w:t>
        </w:r>
        <w:r>
          <w:tab/>
          <w:t xml:space="preserve">The heading to Part 2 Division 3 is amended by deleting “CEO” and inserting instead — </w:t>
        </w:r>
      </w:ins>
    </w:p>
    <w:p>
      <w:pPr>
        <w:pStyle w:val="nzSubsection"/>
        <w:rPr>
          <w:ins w:id="485" w:author="svcMRProcess" w:date="2018-09-10T08:59:00Z"/>
        </w:rPr>
      </w:pPr>
      <w:ins w:id="486" w:author="svcMRProcess" w:date="2018-09-10T08:59:00Z">
        <w:r>
          <w:tab/>
        </w:r>
        <w:r>
          <w:tab/>
          <w:t xml:space="preserve">“    </w:t>
        </w:r>
        <w:r>
          <w:rPr>
            <w:sz w:val="24"/>
          </w:rPr>
          <w:t>Commissioner</w:t>
        </w:r>
        <w:r>
          <w:t xml:space="preserve">    ”.</w:t>
        </w:r>
      </w:ins>
    </w:p>
    <w:p>
      <w:pPr>
        <w:pStyle w:val="nzSubsection"/>
        <w:rPr>
          <w:ins w:id="487" w:author="svcMRProcess" w:date="2018-09-10T08:59:00Z"/>
        </w:rPr>
      </w:pPr>
      <w:ins w:id="488" w:author="svcMRProcess" w:date="2018-09-10T08:59:00Z">
        <w:r>
          <w:tab/>
          <w:t>(4)</w:t>
        </w:r>
        <w:r>
          <w:tab/>
          <w:t xml:space="preserve">Section 17(1) is amended by inserting after “Commissioner” in both places where it occurs — </w:t>
        </w:r>
      </w:ins>
    </w:p>
    <w:p>
      <w:pPr>
        <w:pStyle w:val="nzSubsection"/>
        <w:rPr>
          <w:ins w:id="489" w:author="svcMRProcess" w:date="2018-09-10T08:59:00Z"/>
        </w:rPr>
      </w:pPr>
      <w:ins w:id="490" w:author="svcMRProcess" w:date="2018-09-10T08:59:00Z">
        <w:r>
          <w:tab/>
        </w:r>
        <w:r>
          <w:tab/>
          <w:t xml:space="preserve">“    </w:t>
        </w:r>
        <w:r>
          <w:rPr>
            <w:sz w:val="24"/>
          </w:rPr>
          <w:t>of Police</w:t>
        </w:r>
        <w:r>
          <w:t xml:space="preserve">    ”.</w:t>
        </w:r>
      </w:ins>
    </w:p>
    <w:p>
      <w:pPr>
        <w:pStyle w:val="nzSubsection"/>
        <w:rPr>
          <w:ins w:id="491" w:author="svcMRProcess" w:date="2018-09-10T08:59:00Z"/>
        </w:rPr>
      </w:pPr>
      <w:ins w:id="492" w:author="svcMRProcess" w:date="2018-09-10T08:59:00Z">
        <w:r>
          <w:tab/>
          <w:t>(5)</w:t>
        </w:r>
        <w:r>
          <w:tab/>
          <w:t xml:space="preserve">Section 17(2) is amended by inserting after “Commissioner” — </w:t>
        </w:r>
      </w:ins>
    </w:p>
    <w:p>
      <w:pPr>
        <w:pStyle w:val="nzSubsection"/>
        <w:rPr>
          <w:ins w:id="493" w:author="svcMRProcess" w:date="2018-09-10T08:59:00Z"/>
        </w:rPr>
      </w:pPr>
      <w:ins w:id="494" w:author="svcMRProcess" w:date="2018-09-10T08:59:00Z">
        <w:r>
          <w:tab/>
        </w:r>
        <w:r>
          <w:tab/>
          <w:t xml:space="preserve">“    </w:t>
        </w:r>
        <w:r>
          <w:rPr>
            <w:sz w:val="24"/>
          </w:rPr>
          <w:t>of Police</w:t>
        </w:r>
        <w:r>
          <w:t xml:space="preserve">    ”.</w:t>
        </w:r>
      </w:ins>
    </w:p>
    <w:p>
      <w:pPr>
        <w:pStyle w:val="nzSubsection"/>
        <w:rPr>
          <w:ins w:id="495" w:author="svcMRProcess" w:date="2018-09-10T08:59:00Z"/>
        </w:rPr>
      </w:pPr>
      <w:ins w:id="496" w:author="svcMRProcess" w:date="2018-09-10T08:59:00Z">
        <w:r>
          <w:tab/>
          <w:t>(6)</w:t>
        </w:r>
        <w:r>
          <w:tab/>
          <w:t xml:space="preserve">Section 34(1) is amended in paragraph (b) of the definition of “authorised person” by inserting after “Commissioner” — </w:t>
        </w:r>
      </w:ins>
    </w:p>
    <w:p>
      <w:pPr>
        <w:pStyle w:val="nzSubsection"/>
        <w:rPr>
          <w:ins w:id="497" w:author="svcMRProcess" w:date="2018-09-10T08:59:00Z"/>
        </w:rPr>
      </w:pPr>
      <w:ins w:id="498" w:author="svcMRProcess" w:date="2018-09-10T08:59:00Z">
        <w:r>
          <w:tab/>
        </w:r>
        <w:r>
          <w:tab/>
          <w:t xml:space="preserve">“    </w:t>
        </w:r>
        <w:r>
          <w:rPr>
            <w:sz w:val="24"/>
          </w:rPr>
          <w:t>of Police</w:t>
        </w:r>
        <w:r>
          <w:t xml:space="preserve">    ”.</w:t>
        </w:r>
      </w:ins>
    </w:p>
    <w:p>
      <w:pPr>
        <w:pStyle w:val="nzSubsection"/>
        <w:rPr>
          <w:ins w:id="499" w:author="svcMRProcess" w:date="2018-09-10T08:59:00Z"/>
        </w:rPr>
      </w:pPr>
      <w:ins w:id="500" w:author="svcMRProcess" w:date="2018-09-10T08:59:00Z">
        <w:r>
          <w:tab/>
          <w:t>(7)</w:t>
        </w:r>
        <w:r>
          <w:tab/>
          <w:t xml:space="preserve">Section 34(3) is amended by inserting after “Commissioner” in both places where it occurs — </w:t>
        </w:r>
      </w:ins>
    </w:p>
    <w:p>
      <w:pPr>
        <w:pStyle w:val="nzSubsection"/>
        <w:rPr>
          <w:ins w:id="501" w:author="svcMRProcess" w:date="2018-09-10T08:59:00Z"/>
        </w:rPr>
      </w:pPr>
      <w:ins w:id="502" w:author="svcMRProcess" w:date="2018-09-10T08:59:00Z">
        <w:r>
          <w:tab/>
        </w:r>
        <w:r>
          <w:tab/>
          <w:t xml:space="preserve">“    </w:t>
        </w:r>
        <w:r>
          <w:rPr>
            <w:sz w:val="24"/>
          </w:rPr>
          <w:t>of Police</w:t>
        </w:r>
        <w:r>
          <w:t xml:space="preserve">    ”.</w:t>
        </w:r>
      </w:ins>
    </w:p>
    <w:p>
      <w:pPr>
        <w:pStyle w:val="nzSubsection"/>
        <w:rPr>
          <w:ins w:id="503" w:author="svcMRProcess" w:date="2018-09-10T08:59:00Z"/>
        </w:rPr>
      </w:pPr>
      <w:ins w:id="504" w:author="svcMRProcess" w:date="2018-09-10T08:59:00Z">
        <w:r>
          <w:tab/>
          <w:t>(8)</w:t>
        </w:r>
        <w:r>
          <w:tab/>
          <w:t xml:space="preserve">The provisions mentioned in the Table to this subclause are amended by deleting “CEO” in each place where it occurs and inserting instead — </w:t>
        </w:r>
      </w:ins>
    </w:p>
    <w:p>
      <w:pPr>
        <w:pStyle w:val="nzSubsection"/>
        <w:rPr>
          <w:ins w:id="505" w:author="svcMRProcess" w:date="2018-09-10T08:59:00Z"/>
        </w:rPr>
      </w:pPr>
      <w:ins w:id="506" w:author="svcMRProcess" w:date="2018-09-10T08:59:00Z">
        <w:r>
          <w:tab/>
        </w:r>
        <w:r>
          <w:tab/>
          <w:t xml:space="preserve">“    </w:t>
        </w:r>
        <w:r>
          <w:rPr>
            <w:sz w:val="24"/>
          </w:rPr>
          <w:t>Commissioner</w:t>
        </w:r>
        <w:r>
          <w:t xml:space="preserve">    ”.</w:t>
        </w:r>
      </w:ins>
    </w:p>
    <w:p>
      <w:pPr>
        <w:pStyle w:val="nzMiscellaneousHeading"/>
        <w:rPr>
          <w:ins w:id="507" w:author="svcMRProcess" w:date="2018-09-10T08:59:00Z"/>
        </w:rPr>
      </w:pPr>
      <w:ins w:id="508" w:author="svcMRProcess" w:date="2018-09-10T08:59:00Z">
        <w:r>
          <w:rPr>
            <w:b/>
            <w:sz w:val="22"/>
          </w:rPr>
          <w:t>Table</w:t>
        </w:r>
      </w:ins>
    </w:p>
    <w:tbl>
      <w:tblPr>
        <w:tblW w:w="0" w:type="auto"/>
        <w:tblInd w:w="959" w:type="dxa"/>
        <w:tblLayout w:type="fixed"/>
        <w:tblLook w:val="0000" w:firstRow="0" w:lastRow="0" w:firstColumn="0" w:lastColumn="0" w:noHBand="0" w:noVBand="0"/>
      </w:tblPr>
      <w:tblGrid>
        <w:gridCol w:w="3047"/>
        <w:gridCol w:w="2222"/>
      </w:tblGrid>
      <w:tr>
        <w:trPr>
          <w:tblHeader/>
          <w:ins w:id="509" w:author="svcMRProcess" w:date="2018-09-10T08:59:00Z"/>
        </w:trPr>
        <w:tc>
          <w:tcPr>
            <w:tcW w:w="3047" w:type="dxa"/>
          </w:tcPr>
          <w:p>
            <w:pPr>
              <w:pStyle w:val="nzTable"/>
              <w:rPr>
                <w:ins w:id="510" w:author="svcMRProcess" w:date="2018-09-10T08:59:00Z"/>
              </w:rPr>
            </w:pPr>
            <w:ins w:id="511" w:author="svcMRProcess" w:date="2018-09-10T08:59:00Z">
              <w:r>
                <w:t>s. 3</w:t>
              </w:r>
            </w:ins>
          </w:p>
        </w:tc>
        <w:tc>
          <w:tcPr>
            <w:tcW w:w="2222" w:type="dxa"/>
          </w:tcPr>
          <w:p>
            <w:pPr>
              <w:pStyle w:val="nzTable"/>
              <w:rPr>
                <w:ins w:id="512" w:author="svcMRProcess" w:date="2018-09-10T08:59:00Z"/>
              </w:rPr>
            </w:pPr>
            <w:ins w:id="513" w:author="svcMRProcess" w:date="2018-09-10T08:59:00Z">
              <w:r>
                <w:t>s. 26(1) and (2)</w:t>
              </w:r>
            </w:ins>
          </w:p>
        </w:tc>
      </w:tr>
      <w:tr>
        <w:trPr>
          <w:ins w:id="514" w:author="svcMRProcess" w:date="2018-09-10T08:59:00Z"/>
        </w:trPr>
        <w:tc>
          <w:tcPr>
            <w:tcW w:w="3047" w:type="dxa"/>
          </w:tcPr>
          <w:p>
            <w:pPr>
              <w:pStyle w:val="nzTable"/>
              <w:rPr>
                <w:ins w:id="515" w:author="svcMRProcess" w:date="2018-09-10T08:59:00Z"/>
              </w:rPr>
            </w:pPr>
            <w:ins w:id="516" w:author="svcMRProcess" w:date="2018-09-10T08:59:00Z">
              <w:r>
                <w:t>s. 4 (definitions of “approved”, “assessment notice”, “criminal record check”, “interim negative notice”, “negative notice”)</w:t>
              </w:r>
            </w:ins>
          </w:p>
        </w:tc>
        <w:tc>
          <w:tcPr>
            <w:tcW w:w="2222" w:type="dxa"/>
          </w:tcPr>
          <w:p>
            <w:pPr>
              <w:pStyle w:val="nzTable"/>
              <w:rPr>
                <w:ins w:id="517" w:author="svcMRProcess" w:date="2018-09-10T08:59:00Z"/>
              </w:rPr>
            </w:pPr>
            <w:ins w:id="518" w:author="svcMRProcess" w:date="2018-09-10T08:59:00Z">
              <w:r>
                <w:t>s. 28(1) and (2)</w:t>
              </w:r>
            </w:ins>
          </w:p>
        </w:tc>
      </w:tr>
      <w:tr>
        <w:trPr>
          <w:ins w:id="519" w:author="svcMRProcess" w:date="2018-09-10T08:59:00Z"/>
        </w:trPr>
        <w:tc>
          <w:tcPr>
            <w:tcW w:w="3047" w:type="dxa"/>
          </w:tcPr>
          <w:p>
            <w:pPr>
              <w:pStyle w:val="nzTable"/>
              <w:rPr>
                <w:ins w:id="520" w:author="svcMRProcess" w:date="2018-09-10T08:59:00Z"/>
              </w:rPr>
            </w:pPr>
            <w:ins w:id="521" w:author="svcMRProcess" w:date="2018-09-10T08:59:00Z">
              <w:r>
                <w:t>s. 6(1)(b)</w:t>
              </w:r>
            </w:ins>
          </w:p>
        </w:tc>
        <w:tc>
          <w:tcPr>
            <w:tcW w:w="2222" w:type="dxa"/>
          </w:tcPr>
          <w:p>
            <w:pPr>
              <w:pStyle w:val="nzTable"/>
              <w:rPr>
                <w:ins w:id="522" w:author="svcMRProcess" w:date="2018-09-10T08:59:00Z"/>
              </w:rPr>
            </w:pPr>
            <w:ins w:id="523" w:author="svcMRProcess" w:date="2018-09-10T08:59:00Z">
              <w:r>
                <w:t>s. 29(2)</w:t>
              </w:r>
            </w:ins>
          </w:p>
        </w:tc>
      </w:tr>
      <w:tr>
        <w:trPr>
          <w:ins w:id="524" w:author="svcMRProcess" w:date="2018-09-10T08:59:00Z"/>
        </w:trPr>
        <w:tc>
          <w:tcPr>
            <w:tcW w:w="3047" w:type="dxa"/>
          </w:tcPr>
          <w:p>
            <w:pPr>
              <w:pStyle w:val="nzTable"/>
              <w:rPr>
                <w:ins w:id="525" w:author="svcMRProcess" w:date="2018-09-10T08:59:00Z"/>
              </w:rPr>
            </w:pPr>
            <w:ins w:id="526" w:author="svcMRProcess" w:date="2018-09-10T08:59:00Z">
              <w:r>
                <w:t>s. 9(1) and (4)</w:t>
              </w:r>
            </w:ins>
          </w:p>
        </w:tc>
        <w:tc>
          <w:tcPr>
            <w:tcW w:w="2222" w:type="dxa"/>
          </w:tcPr>
          <w:p>
            <w:pPr>
              <w:pStyle w:val="nzTable"/>
              <w:rPr>
                <w:ins w:id="527" w:author="svcMRProcess" w:date="2018-09-10T08:59:00Z"/>
              </w:rPr>
            </w:pPr>
            <w:ins w:id="528" w:author="svcMRProcess" w:date="2018-09-10T08:59:00Z">
              <w:r>
                <w:t>s. 30</w:t>
              </w:r>
            </w:ins>
          </w:p>
        </w:tc>
      </w:tr>
      <w:tr>
        <w:trPr>
          <w:ins w:id="529" w:author="svcMRProcess" w:date="2018-09-10T08:59:00Z"/>
        </w:trPr>
        <w:tc>
          <w:tcPr>
            <w:tcW w:w="3047" w:type="dxa"/>
          </w:tcPr>
          <w:p>
            <w:pPr>
              <w:pStyle w:val="nzTable"/>
              <w:rPr>
                <w:ins w:id="530" w:author="svcMRProcess" w:date="2018-09-10T08:59:00Z"/>
              </w:rPr>
            </w:pPr>
            <w:ins w:id="531" w:author="svcMRProcess" w:date="2018-09-10T08:59:00Z">
              <w:r>
                <w:t>s. 10(1) and (4)</w:t>
              </w:r>
            </w:ins>
          </w:p>
        </w:tc>
        <w:tc>
          <w:tcPr>
            <w:tcW w:w="2222" w:type="dxa"/>
          </w:tcPr>
          <w:p>
            <w:pPr>
              <w:pStyle w:val="nzTable"/>
              <w:rPr>
                <w:ins w:id="532" w:author="svcMRProcess" w:date="2018-09-10T08:59:00Z"/>
              </w:rPr>
            </w:pPr>
            <w:ins w:id="533" w:author="svcMRProcess" w:date="2018-09-10T08:59:00Z">
              <w:r>
                <w:t>s. 32(1)</w:t>
              </w:r>
            </w:ins>
          </w:p>
        </w:tc>
      </w:tr>
      <w:tr>
        <w:trPr>
          <w:ins w:id="534" w:author="svcMRProcess" w:date="2018-09-10T08:59:00Z"/>
        </w:trPr>
        <w:tc>
          <w:tcPr>
            <w:tcW w:w="3047" w:type="dxa"/>
          </w:tcPr>
          <w:p>
            <w:pPr>
              <w:pStyle w:val="nzTable"/>
              <w:rPr>
                <w:ins w:id="535" w:author="svcMRProcess" w:date="2018-09-10T08:59:00Z"/>
              </w:rPr>
            </w:pPr>
            <w:ins w:id="536" w:author="svcMRProcess" w:date="2018-09-10T08:59:00Z">
              <w:r>
                <w:t>s. 11(2) and (3)</w:t>
              </w:r>
            </w:ins>
          </w:p>
        </w:tc>
        <w:tc>
          <w:tcPr>
            <w:tcW w:w="2222" w:type="dxa"/>
          </w:tcPr>
          <w:p>
            <w:pPr>
              <w:pStyle w:val="nzTable"/>
              <w:rPr>
                <w:ins w:id="537" w:author="svcMRProcess" w:date="2018-09-10T08:59:00Z"/>
              </w:rPr>
            </w:pPr>
            <w:ins w:id="538" w:author="svcMRProcess" w:date="2018-09-10T08:59:00Z">
              <w:r>
                <w:t>s. 34(2), (3), (4) and (5)</w:t>
              </w:r>
            </w:ins>
          </w:p>
        </w:tc>
      </w:tr>
      <w:tr>
        <w:trPr>
          <w:ins w:id="539" w:author="svcMRProcess" w:date="2018-09-10T08:59:00Z"/>
        </w:trPr>
        <w:tc>
          <w:tcPr>
            <w:tcW w:w="3047" w:type="dxa"/>
          </w:tcPr>
          <w:p>
            <w:pPr>
              <w:pStyle w:val="nzTable"/>
              <w:rPr>
                <w:ins w:id="540" w:author="svcMRProcess" w:date="2018-09-10T08:59:00Z"/>
              </w:rPr>
            </w:pPr>
            <w:ins w:id="541" w:author="svcMRProcess" w:date="2018-09-10T08:59:00Z">
              <w:r>
                <w:t>s. 12(1) to (10)</w:t>
              </w:r>
            </w:ins>
          </w:p>
        </w:tc>
        <w:tc>
          <w:tcPr>
            <w:tcW w:w="2222" w:type="dxa"/>
          </w:tcPr>
          <w:p>
            <w:pPr>
              <w:pStyle w:val="nzTable"/>
              <w:rPr>
                <w:ins w:id="542" w:author="svcMRProcess" w:date="2018-09-10T08:59:00Z"/>
              </w:rPr>
            </w:pPr>
            <w:ins w:id="543" w:author="svcMRProcess" w:date="2018-09-10T08:59:00Z">
              <w:r>
                <w:t>s. 35(b)</w:t>
              </w:r>
            </w:ins>
          </w:p>
        </w:tc>
      </w:tr>
      <w:tr>
        <w:trPr>
          <w:ins w:id="544" w:author="svcMRProcess" w:date="2018-09-10T08:59:00Z"/>
        </w:trPr>
        <w:tc>
          <w:tcPr>
            <w:tcW w:w="3047" w:type="dxa"/>
          </w:tcPr>
          <w:p>
            <w:pPr>
              <w:pStyle w:val="nzTable"/>
              <w:rPr>
                <w:ins w:id="545" w:author="svcMRProcess" w:date="2018-09-10T08:59:00Z"/>
              </w:rPr>
            </w:pPr>
            <w:ins w:id="546" w:author="svcMRProcess" w:date="2018-09-10T08:59:00Z">
              <w:r>
                <w:t>s. 13(1) to (7)</w:t>
              </w:r>
            </w:ins>
          </w:p>
        </w:tc>
        <w:tc>
          <w:tcPr>
            <w:tcW w:w="2222" w:type="dxa"/>
          </w:tcPr>
          <w:p>
            <w:pPr>
              <w:pStyle w:val="nzTable"/>
              <w:rPr>
                <w:ins w:id="547" w:author="svcMRProcess" w:date="2018-09-10T08:59:00Z"/>
              </w:rPr>
            </w:pPr>
            <w:ins w:id="548" w:author="svcMRProcess" w:date="2018-09-10T08:59:00Z">
              <w:r>
                <w:t>s. 36</w:t>
              </w:r>
            </w:ins>
          </w:p>
        </w:tc>
      </w:tr>
      <w:tr>
        <w:trPr>
          <w:ins w:id="549" w:author="svcMRProcess" w:date="2018-09-10T08:59:00Z"/>
        </w:trPr>
        <w:tc>
          <w:tcPr>
            <w:tcW w:w="3047" w:type="dxa"/>
          </w:tcPr>
          <w:p>
            <w:pPr>
              <w:pStyle w:val="nzTable"/>
              <w:rPr>
                <w:ins w:id="550" w:author="svcMRProcess" w:date="2018-09-10T08:59:00Z"/>
              </w:rPr>
            </w:pPr>
            <w:ins w:id="551" w:author="svcMRProcess" w:date="2018-09-10T08:59:00Z">
              <w:r>
                <w:t>s. 16(1), (2) and (3)</w:t>
              </w:r>
            </w:ins>
          </w:p>
        </w:tc>
        <w:tc>
          <w:tcPr>
            <w:tcW w:w="2222" w:type="dxa"/>
          </w:tcPr>
          <w:p>
            <w:pPr>
              <w:pStyle w:val="nzTable"/>
              <w:rPr>
                <w:ins w:id="552" w:author="svcMRProcess" w:date="2018-09-10T08:59:00Z"/>
              </w:rPr>
            </w:pPr>
            <w:ins w:id="553" w:author="svcMRProcess" w:date="2018-09-10T08:59:00Z">
              <w:r>
                <w:t>s. 37(1), (2) and (3)</w:t>
              </w:r>
            </w:ins>
          </w:p>
        </w:tc>
      </w:tr>
      <w:tr>
        <w:trPr>
          <w:ins w:id="554" w:author="svcMRProcess" w:date="2018-09-10T08:59:00Z"/>
        </w:trPr>
        <w:tc>
          <w:tcPr>
            <w:tcW w:w="3047" w:type="dxa"/>
          </w:tcPr>
          <w:p>
            <w:pPr>
              <w:pStyle w:val="nzTable"/>
              <w:rPr>
                <w:ins w:id="555" w:author="svcMRProcess" w:date="2018-09-10T08:59:00Z"/>
              </w:rPr>
            </w:pPr>
            <w:ins w:id="556" w:author="svcMRProcess" w:date="2018-09-10T08:59:00Z">
              <w:r>
                <w:t>s. 17(1) and (3)</w:t>
              </w:r>
            </w:ins>
          </w:p>
        </w:tc>
        <w:tc>
          <w:tcPr>
            <w:tcW w:w="2222" w:type="dxa"/>
          </w:tcPr>
          <w:p>
            <w:pPr>
              <w:pStyle w:val="nzTable"/>
              <w:rPr>
                <w:ins w:id="557" w:author="svcMRProcess" w:date="2018-09-10T08:59:00Z"/>
              </w:rPr>
            </w:pPr>
            <w:ins w:id="558" w:author="svcMRProcess" w:date="2018-09-10T08:59:00Z">
              <w:r>
                <w:t>s. 38(2), (3) and (4)</w:t>
              </w:r>
            </w:ins>
          </w:p>
        </w:tc>
      </w:tr>
      <w:tr>
        <w:trPr>
          <w:ins w:id="559" w:author="svcMRProcess" w:date="2018-09-10T08:59:00Z"/>
        </w:trPr>
        <w:tc>
          <w:tcPr>
            <w:tcW w:w="3047" w:type="dxa"/>
          </w:tcPr>
          <w:p>
            <w:pPr>
              <w:pStyle w:val="nzTable"/>
              <w:rPr>
                <w:ins w:id="560" w:author="svcMRProcess" w:date="2018-09-10T08:59:00Z"/>
              </w:rPr>
            </w:pPr>
            <w:ins w:id="561" w:author="svcMRProcess" w:date="2018-09-10T08:59:00Z">
              <w:r>
                <w:t>s. 18(1) and (2)</w:t>
              </w:r>
            </w:ins>
          </w:p>
        </w:tc>
        <w:tc>
          <w:tcPr>
            <w:tcW w:w="2222" w:type="dxa"/>
          </w:tcPr>
          <w:p>
            <w:pPr>
              <w:pStyle w:val="nzTable"/>
              <w:rPr>
                <w:ins w:id="562" w:author="svcMRProcess" w:date="2018-09-10T08:59:00Z"/>
              </w:rPr>
            </w:pPr>
            <w:ins w:id="563" w:author="svcMRProcess" w:date="2018-09-10T08:59:00Z">
              <w:r>
                <w:t>s. 42(2)</w:t>
              </w:r>
            </w:ins>
          </w:p>
        </w:tc>
      </w:tr>
      <w:tr>
        <w:trPr>
          <w:ins w:id="564" w:author="svcMRProcess" w:date="2018-09-10T08:59:00Z"/>
        </w:trPr>
        <w:tc>
          <w:tcPr>
            <w:tcW w:w="3047" w:type="dxa"/>
          </w:tcPr>
          <w:p>
            <w:pPr>
              <w:pStyle w:val="nzTable"/>
              <w:rPr>
                <w:ins w:id="565" w:author="svcMRProcess" w:date="2018-09-10T08:59:00Z"/>
              </w:rPr>
            </w:pPr>
            <w:ins w:id="566" w:author="svcMRProcess" w:date="2018-09-10T08:59:00Z">
              <w:r>
                <w:t>s. 19(1), (9) and (10)</w:t>
              </w:r>
            </w:ins>
          </w:p>
        </w:tc>
        <w:tc>
          <w:tcPr>
            <w:tcW w:w="2222" w:type="dxa"/>
          </w:tcPr>
          <w:p>
            <w:pPr>
              <w:pStyle w:val="nzTable"/>
              <w:rPr>
                <w:ins w:id="567" w:author="svcMRProcess" w:date="2018-09-10T08:59:00Z"/>
              </w:rPr>
            </w:pPr>
            <w:ins w:id="568" w:author="svcMRProcess" w:date="2018-09-10T08:59:00Z">
              <w:r>
                <w:t>s. 44(3), (4) and (5)</w:t>
              </w:r>
            </w:ins>
          </w:p>
        </w:tc>
      </w:tr>
      <w:tr>
        <w:trPr>
          <w:ins w:id="569" w:author="svcMRProcess" w:date="2018-09-10T08:59:00Z"/>
        </w:trPr>
        <w:tc>
          <w:tcPr>
            <w:tcW w:w="3047" w:type="dxa"/>
          </w:tcPr>
          <w:p>
            <w:pPr>
              <w:pStyle w:val="nzTable"/>
              <w:rPr>
                <w:ins w:id="570" w:author="svcMRProcess" w:date="2018-09-10T08:59:00Z"/>
              </w:rPr>
            </w:pPr>
            <w:ins w:id="571" w:author="svcMRProcess" w:date="2018-09-10T08:59:00Z">
              <w:r>
                <w:t>s. 20(2), (3), (5) and (6)</w:t>
              </w:r>
            </w:ins>
          </w:p>
        </w:tc>
        <w:tc>
          <w:tcPr>
            <w:tcW w:w="2222" w:type="dxa"/>
          </w:tcPr>
          <w:p>
            <w:pPr>
              <w:pStyle w:val="nzTable"/>
              <w:rPr>
                <w:ins w:id="572" w:author="svcMRProcess" w:date="2018-09-10T08:59:00Z"/>
              </w:rPr>
            </w:pPr>
            <w:ins w:id="573" w:author="svcMRProcess" w:date="2018-09-10T08:59:00Z">
              <w:r>
                <w:t>s. 45(1), (3), (4) and (6)</w:t>
              </w:r>
            </w:ins>
          </w:p>
        </w:tc>
      </w:tr>
    </w:tbl>
    <w:p>
      <w:pPr>
        <w:pStyle w:val="MiscClose"/>
        <w:rPr>
          <w:ins w:id="574" w:author="svcMRProcess" w:date="2018-09-10T08:59:00Z"/>
        </w:rPr>
      </w:pPr>
      <w:ins w:id="575" w:author="svcMRProcess" w:date="2018-09-10T08:59: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11825</Words>
  <Characters>57234</Characters>
  <Application>Microsoft Office Word</Application>
  <DocSecurity>0</DocSecurity>
  <Lines>1683</Lines>
  <Paragraphs>1046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68013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00-c0-04 - 00-d0-02</dc:title>
  <dc:subject/>
  <dc:creator/>
  <cp:keywords/>
  <dc:description/>
  <cp:lastModifiedBy>svcMRProcess</cp:lastModifiedBy>
  <cp:revision>2</cp:revision>
  <cp:lastPrinted>2004-12-10T04:06:00Z</cp:lastPrinted>
  <dcterms:created xsi:type="dcterms:W3CDTF">2018-09-10T00:59:00Z</dcterms:created>
  <dcterms:modified xsi:type="dcterms:W3CDTF">2018-09-10T00:59:00Z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9277</vt:i4>
  </property>
  <property fmtid="{D5CDD505-2E9C-101B-9397-08002B2CF9AE}" pid="6" name="FromSuffix">
    <vt:lpwstr>00-c0-04</vt:lpwstr>
  </property>
  <property fmtid="{D5CDD505-2E9C-101B-9397-08002B2CF9AE}" pid="7" name="FromAsAtDate">
    <vt:lpwstr>30 Mar 2006</vt:lpwstr>
  </property>
  <property fmtid="{D5CDD505-2E9C-101B-9397-08002B2CF9AE}" pid="8" name="ToSuffix">
    <vt:lpwstr>00-d0-02</vt:lpwstr>
  </property>
  <property fmtid="{D5CDD505-2E9C-101B-9397-08002B2CF9AE}" pid="9" name="ToAsAtDate">
    <vt:lpwstr>04 Oct 2006</vt:lpwstr>
  </property>
</Properties>
</file>