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Aug 2013</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3:01:00Z"/>
        </w:trPr>
        <w:tc>
          <w:tcPr>
            <w:tcW w:w="2434" w:type="dxa"/>
            <w:vMerge w:val="restart"/>
          </w:tcPr>
          <w:p>
            <w:pPr>
              <w:rPr>
                <w:del w:id="1" w:author="Master Repository Process" w:date="2021-08-01T03:01:00Z"/>
              </w:rPr>
            </w:pPr>
          </w:p>
        </w:tc>
        <w:tc>
          <w:tcPr>
            <w:tcW w:w="2434" w:type="dxa"/>
            <w:vMerge w:val="restart"/>
          </w:tcPr>
          <w:p>
            <w:pPr>
              <w:jc w:val="center"/>
              <w:rPr>
                <w:del w:id="2" w:author="Master Repository Process" w:date="2021-08-01T03:01:00Z"/>
              </w:rPr>
            </w:pPr>
            <w:del w:id="3" w:author="Master Repository Process" w:date="2021-08-01T03:01: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3:01:00Z"/>
              </w:rPr>
            </w:pPr>
            <w:del w:id="5" w:author="Master Repository Process" w:date="2021-08-01T03:01: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03:01:00Z"/>
        </w:trPr>
        <w:tc>
          <w:tcPr>
            <w:tcW w:w="2434" w:type="dxa"/>
            <w:vMerge/>
          </w:tcPr>
          <w:p>
            <w:pPr>
              <w:rPr>
                <w:del w:id="7" w:author="Master Repository Process" w:date="2021-08-01T03:01:00Z"/>
              </w:rPr>
            </w:pPr>
          </w:p>
        </w:tc>
        <w:tc>
          <w:tcPr>
            <w:tcW w:w="2434" w:type="dxa"/>
            <w:vMerge/>
          </w:tcPr>
          <w:p>
            <w:pPr>
              <w:jc w:val="center"/>
              <w:rPr>
                <w:del w:id="8" w:author="Master Repository Process" w:date="2021-08-01T03:01:00Z"/>
              </w:rPr>
            </w:pPr>
          </w:p>
        </w:tc>
        <w:tc>
          <w:tcPr>
            <w:tcW w:w="2434" w:type="dxa"/>
          </w:tcPr>
          <w:p>
            <w:pPr>
              <w:keepNext/>
              <w:rPr>
                <w:del w:id="9" w:author="Master Repository Process" w:date="2021-08-01T03:01:00Z"/>
                <w:b/>
                <w:sz w:val="22"/>
              </w:rPr>
            </w:pPr>
            <w:del w:id="10" w:author="Master Repository Process" w:date="2021-08-01T03:01:00Z">
              <w:r>
                <w:rPr>
                  <w:b/>
                  <w:sz w:val="22"/>
                </w:rPr>
                <w:delText>at 2</w:delText>
              </w:r>
              <w:r>
                <w:rPr>
                  <w:b/>
                  <w:snapToGrid w:val="0"/>
                  <w:sz w:val="22"/>
                </w:rPr>
                <w:delText xml:space="preserve"> August 2013</w:delText>
              </w:r>
            </w:del>
          </w:p>
        </w:tc>
      </w:tr>
    </w:tbl>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1" w:name="_Toc378170324"/>
      <w:bookmarkStart w:id="12" w:name="_Toc423332722"/>
      <w:bookmarkStart w:id="13" w:name="_Toc425219441"/>
      <w:bookmarkStart w:id="14" w:name="_Toc426249308"/>
      <w:bookmarkStart w:id="15" w:name="_Toc449924704"/>
      <w:bookmarkStart w:id="16" w:name="_Toc449947722"/>
      <w:bookmarkStart w:id="17" w:name="_Toc454185713"/>
      <w:bookmarkStart w:id="18" w:name="_Toc515958686"/>
      <w:bookmarkStart w:id="19" w:name="_Toc131825430"/>
      <w:bookmarkStart w:id="20" w:name="_Toc364753094"/>
      <w:r>
        <w:rPr>
          <w:rStyle w:val="CharSectno"/>
        </w:rPr>
        <w:t>1</w:t>
      </w:r>
      <w:bookmarkStart w:id="21" w:name="_GoBack"/>
      <w:bookmarkEnd w:id="21"/>
      <w:r>
        <w:t>.</w:t>
      </w:r>
      <w:r>
        <w:tab/>
        <w:t>Citation</w:t>
      </w:r>
      <w:bookmarkEnd w:id="11"/>
      <w:bookmarkEnd w:id="12"/>
      <w:bookmarkEnd w:id="13"/>
      <w:bookmarkEnd w:id="14"/>
      <w:bookmarkEnd w:id="15"/>
      <w:bookmarkEnd w:id="16"/>
      <w:bookmarkEnd w:id="17"/>
      <w:bookmarkEnd w:id="18"/>
      <w:bookmarkEnd w:id="19"/>
      <w:bookmarkEnd w:id="20"/>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2" w:name="_Toc378170325"/>
      <w:bookmarkStart w:id="23" w:name="_Toc423332723"/>
      <w:bookmarkStart w:id="24" w:name="_Toc425219442"/>
      <w:bookmarkStart w:id="25" w:name="_Toc426249309"/>
      <w:bookmarkStart w:id="26" w:name="_Toc449924705"/>
      <w:bookmarkStart w:id="27" w:name="_Toc449947723"/>
      <w:bookmarkStart w:id="28" w:name="_Toc454185714"/>
      <w:bookmarkStart w:id="29" w:name="_Toc515958687"/>
      <w:bookmarkStart w:id="30" w:name="_Toc131825431"/>
      <w:bookmarkStart w:id="31" w:name="_Toc364753095"/>
      <w:r>
        <w:rPr>
          <w:rStyle w:val="CharSectno"/>
        </w:rPr>
        <w:t>2</w:t>
      </w:r>
      <w:r>
        <w:rPr>
          <w:spacing w:val="-2"/>
        </w:rPr>
        <w:t>.</w:t>
      </w:r>
      <w:r>
        <w:rPr>
          <w:spacing w:val="-2"/>
        </w:rPr>
        <w:tab/>
        <w:t>Commencement</w:t>
      </w:r>
      <w:bookmarkEnd w:id="22"/>
      <w:bookmarkEnd w:id="23"/>
      <w:bookmarkEnd w:id="24"/>
      <w:bookmarkEnd w:id="25"/>
      <w:bookmarkEnd w:id="26"/>
      <w:bookmarkEnd w:id="27"/>
      <w:bookmarkEnd w:id="28"/>
      <w:bookmarkEnd w:id="29"/>
      <w:bookmarkEnd w:id="30"/>
      <w:bookmarkEnd w:id="3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2" w:name="_Toc378170326"/>
      <w:bookmarkStart w:id="33" w:name="_Toc131825432"/>
      <w:bookmarkStart w:id="34" w:name="_Toc364753096"/>
      <w:r>
        <w:rPr>
          <w:rStyle w:val="CharSectno"/>
        </w:rPr>
        <w:t>3</w:t>
      </w:r>
      <w:r>
        <w:t>.</w:t>
      </w:r>
      <w:r>
        <w:tab/>
        <w:t>Nominations for Board membership (s. 7)</w:t>
      </w:r>
      <w:bookmarkEnd w:id="32"/>
      <w:bookmarkEnd w:id="33"/>
      <w:bookmarkEnd w:id="3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35" w:name="_Toc378170327"/>
      <w:bookmarkStart w:id="36" w:name="_Toc364753097"/>
      <w:bookmarkStart w:id="37" w:name="_Toc131825433"/>
      <w:r>
        <w:rPr>
          <w:rStyle w:val="CharSectno"/>
        </w:rPr>
        <w:t>4A</w:t>
      </w:r>
      <w:r>
        <w:t>.</w:t>
      </w:r>
      <w:r>
        <w:tab/>
        <w:t>Disability Service Standards (s. 12)</w:t>
      </w:r>
      <w:bookmarkEnd w:id="35"/>
      <w:bookmarkEnd w:id="36"/>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lastRenderedPageBreak/>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38" w:name="_Toc378170328"/>
      <w:bookmarkStart w:id="39" w:name="_Toc364753098"/>
      <w:r>
        <w:rPr>
          <w:rStyle w:val="CharSectno"/>
        </w:rPr>
        <w:t>4</w:t>
      </w:r>
      <w:r>
        <w:t>.</w:t>
      </w:r>
      <w:r>
        <w:tab/>
        <w:t>Nominations for Council membership (s. 22)</w:t>
      </w:r>
      <w:bookmarkEnd w:id="38"/>
      <w:bookmarkEnd w:id="37"/>
      <w:bookmarkEnd w:id="39"/>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40" w:name="_Toc378170329"/>
      <w:bookmarkStart w:id="41" w:name="_Toc131825434"/>
      <w:bookmarkStart w:id="42" w:name="_Toc364753099"/>
      <w:r>
        <w:rPr>
          <w:rStyle w:val="CharSectno"/>
        </w:rPr>
        <w:t>5</w:t>
      </w:r>
      <w:r>
        <w:t>.</w:t>
      </w:r>
      <w:r>
        <w:tab/>
        <w:t>Procedure for public consultation by Council (s. 23)</w:t>
      </w:r>
      <w:bookmarkEnd w:id="40"/>
      <w:bookmarkEnd w:id="41"/>
      <w:bookmarkEnd w:id="4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bookmarkStart w:id="43" w:name="_Toc131825435"/>
      <w:r>
        <w:tab/>
        <w:t>[Regulation 5 amended in Gazette 11 Jun 2013 p. 2162 and 2164.]</w:t>
      </w:r>
    </w:p>
    <w:p>
      <w:pPr>
        <w:pStyle w:val="Heading5"/>
      </w:pPr>
      <w:bookmarkStart w:id="44" w:name="_Toc378170330"/>
      <w:bookmarkStart w:id="45" w:name="_Toc364753100"/>
      <w:r>
        <w:rPr>
          <w:rStyle w:val="CharSectno"/>
        </w:rPr>
        <w:t>6</w:t>
      </w:r>
      <w:r>
        <w:t>.</w:t>
      </w:r>
      <w:r>
        <w:tab/>
        <w:t>Public authorities to which Part 5 does not apply (s. 27)</w:t>
      </w:r>
      <w:bookmarkEnd w:id="44"/>
      <w:bookmarkEnd w:id="43"/>
      <w:bookmarkEnd w:id="45"/>
    </w:p>
    <w:p>
      <w:pPr>
        <w:pStyle w:val="Subsection"/>
      </w:pPr>
      <w:r>
        <w:tab/>
      </w:r>
      <w:r>
        <w:tab/>
        <w:t>Part 5 of the Act does not apply to any public authority except to a public authority specified in Schedule 1.</w:t>
      </w:r>
    </w:p>
    <w:p>
      <w:pPr>
        <w:pStyle w:val="Heading5"/>
      </w:pPr>
      <w:bookmarkStart w:id="46" w:name="_Toc378170331"/>
      <w:bookmarkStart w:id="47" w:name="_Toc131825436"/>
      <w:bookmarkStart w:id="48" w:name="_Toc364753101"/>
      <w:r>
        <w:rPr>
          <w:rStyle w:val="CharSectno"/>
        </w:rPr>
        <w:t>7</w:t>
      </w:r>
      <w:r>
        <w:t>.</w:t>
      </w:r>
      <w:r>
        <w:tab/>
        <w:t>Standards for disability access and inclusion plans (s. 28)</w:t>
      </w:r>
      <w:bookmarkEnd w:id="46"/>
      <w:bookmarkEnd w:id="47"/>
      <w:bookmarkEnd w:id="48"/>
    </w:p>
    <w:p>
      <w:pPr>
        <w:pStyle w:val="Subsection"/>
      </w:pPr>
      <w:r>
        <w:tab/>
      </w:r>
      <w:r>
        <w:tab/>
        <w:t>For the purposes of section 28(5) of the Act, the standards that a disability access and inclusion plan must meet are those specified in Schedule 2.</w:t>
      </w:r>
    </w:p>
    <w:p>
      <w:pPr>
        <w:pStyle w:val="Heading5"/>
      </w:pPr>
      <w:bookmarkStart w:id="49" w:name="_Toc378170332"/>
      <w:bookmarkStart w:id="50" w:name="_Toc131825437"/>
      <w:bookmarkStart w:id="51" w:name="_Toc364753102"/>
      <w:r>
        <w:rPr>
          <w:rStyle w:val="CharSectno"/>
        </w:rPr>
        <w:t>8</w:t>
      </w:r>
      <w:r>
        <w:t>.</w:t>
      </w:r>
      <w:r>
        <w:tab/>
        <w:t>Information in reports about disability access and inclusion plans (s. 29)</w:t>
      </w:r>
      <w:bookmarkEnd w:id="49"/>
      <w:bookmarkEnd w:id="50"/>
      <w:bookmarkEnd w:id="51"/>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52" w:name="_Toc378170333"/>
      <w:bookmarkStart w:id="53" w:name="_Toc131825438"/>
      <w:bookmarkStart w:id="54" w:name="_Toc364753103"/>
      <w:r>
        <w:rPr>
          <w:rStyle w:val="CharSectno"/>
        </w:rPr>
        <w:t>9</w:t>
      </w:r>
      <w:r>
        <w:t>.</w:t>
      </w:r>
      <w:r>
        <w:tab/>
        <w:t>Publication of disability access and inclusion plans (s. 29A)</w:t>
      </w:r>
      <w:bookmarkEnd w:id="52"/>
      <w:bookmarkEnd w:id="53"/>
      <w:bookmarkEnd w:id="54"/>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55" w:name="_Toc378170334"/>
      <w:bookmarkStart w:id="56" w:name="_Toc131825439"/>
      <w:bookmarkStart w:id="57" w:name="_Toc364753104"/>
      <w:r>
        <w:rPr>
          <w:rStyle w:val="CharSectno"/>
        </w:rPr>
        <w:t>10</w:t>
      </w:r>
      <w:r>
        <w:t>.</w:t>
      </w:r>
      <w:r>
        <w:tab/>
        <w:t>Procedure for public consultation by authorities (s. 28)</w:t>
      </w:r>
      <w:bookmarkEnd w:id="55"/>
      <w:bookmarkEnd w:id="56"/>
      <w:bookmarkEnd w:id="57"/>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bookmarkStart w:id="58" w:name="_Toc423332724"/>
      <w:bookmarkStart w:id="59" w:name="_Toc425219443"/>
      <w:bookmarkStart w:id="60" w:name="_Toc426249310"/>
      <w:bookmarkStart w:id="61" w:name="_Toc449924706"/>
      <w:bookmarkStart w:id="62" w:name="_Toc449947724"/>
      <w:bookmarkStart w:id="63" w:name="_Toc454185715"/>
      <w:bookmarkStart w:id="64" w:name="_Toc515958688"/>
      <w:bookmarkStart w:id="65" w:name="_Toc131825440"/>
      <w:r>
        <w:tab/>
        <w:t>[Regulation 10 amended in Gazette 11 Jun 2013 p. 2162-3.]</w:t>
      </w:r>
    </w:p>
    <w:bookmarkEnd w:id="58"/>
    <w:bookmarkEnd w:id="59"/>
    <w:bookmarkEnd w:id="60"/>
    <w:bookmarkEnd w:id="61"/>
    <w:bookmarkEnd w:id="62"/>
    <w:bookmarkEnd w:id="63"/>
    <w:bookmarkEnd w:id="64"/>
    <w:bookmarkEnd w:id="65"/>
    <w:p>
      <w:pPr>
        <w:pStyle w:val="Ednotesection"/>
      </w:pPr>
      <w:r>
        <w:t>[</w:t>
      </w:r>
      <w:r>
        <w:rPr>
          <w:b/>
        </w:rPr>
        <w:t>11.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6" w:name="_Toc378170335"/>
      <w:bookmarkStart w:id="67" w:name="_Toc131825441"/>
      <w:bookmarkStart w:id="68" w:name="_Toc131825476"/>
      <w:bookmarkStart w:id="69" w:name="_Toc131825496"/>
      <w:bookmarkStart w:id="70" w:name="_Toc358643620"/>
      <w:bookmarkStart w:id="71" w:name="_Toc358643701"/>
      <w:bookmarkStart w:id="72" w:name="_Toc358643827"/>
      <w:bookmarkStart w:id="73" w:name="_Toc361141315"/>
      <w:bookmarkStart w:id="74" w:name="_Toc361145673"/>
      <w:bookmarkStart w:id="75" w:name="_Toc362935245"/>
      <w:bookmarkStart w:id="76" w:name="_Toc362935568"/>
      <w:bookmarkStart w:id="77" w:name="_Toc364421361"/>
      <w:bookmarkStart w:id="78" w:name="_Toc364753105"/>
      <w:r>
        <w:rPr>
          <w:rStyle w:val="CharSchNo"/>
        </w:rPr>
        <w:t>Schedule 1</w:t>
      </w:r>
      <w:r>
        <w:t> — </w:t>
      </w:r>
      <w:r>
        <w:rPr>
          <w:rStyle w:val="CharSchText"/>
        </w:rPr>
        <w:t>Public authorities to which Part 5 applies</w:t>
      </w:r>
      <w:bookmarkEnd w:id="66"/>
      <w:bookmarkEnd w:id="67"/>
      <w:bookmarkEnd w:id="68"/>
      <w:bookmarkEnd w:id="69"/>
      <w:bookmarkEnd w:id="70"/>
      <w:bookmarkEnd w:id="71"/>
      <w:bookmarkEnd w:id="72"/>
      <w:bookmarkEnd w:id="73"/>
      <w:bookmarkEnd w:id="74"/>
      <w:bookmarkEnd w:id="75"/>
      <w:bookmarkEnd w:id="76"/>
      <w:bookmarkEnd w:id="77"/>
      <w:bookmarkEnd w:id="78"/>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w:t>
      </w:r>
      <w:ins w:id="79" w:author="Master Repository Process" w:date="2021-08-01T03:01:00Z">
        <w:r>
          <w:rPr>
            <w:szCs w:val="22"/>
          </w:rPr>
          <w:t>and Retail</w:t>
        </w:r>
        <w:r>
          <w:t xml:space="preserve"> </w:t>
        </w:r>
      </w:ins>
      <w:r>
        <w:t xml:space="preserve">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rPr>
          <w:del w:id="80" w:author="Master Repository Process" w:date="2021-08-01T03:01:00Z"/>
        </w:rPr>
      </w:pPr>
      <w:del w:id="81" w:author="Master Repository Process" w:date="2021-08-01T03:01:00Z">
        <w:r>
          <w:delText>5C.</w:delText>
        </w:r>
        <w:r>
          <w:tab/>
          <w:delText xml:space="preserve">Electricity Retail Corporation established by the </w:delText>
        </w:r>
        <w:r>
          <w:rPr>
            <w:i/>
            <w:iCs/>
          </w:rPr>
          <w:delText>Electricity Corporations Act 2005</w:delText>
        </w:r>
        <w:r>
          <w:delText>.</w:delText>
        </w:r>
      </w:del>
    </w:p>
    <w:p>
      <w:pPr>
        <w:pStyle w:val="yNumberedItem"/>
        <w:rPr>
          <w:ins w:id="82" w:author="Master Repository Process" w:date="2021-08-01T03:01:00Z"/>
          <w:i/>
        </w:rPr>
      </w:pPr>
      <w:ins w:id="83" w:author="Master Repository Process" w:date="2021-08-01T03:01:00Z">
        <w:r>
          <w:rPr>
            <w:i/>
          </w:rPr>
          <w:t>[5C.</w:t>
        </w:r>
        <w:r>
          <w:rPr>
            <w:i/>
          </w:rPr>
          <w:tab/>
          <w:t>deleted]</w:t>
        </w:r>
      </w:ins>
    </w:p>
    <w:p>
      <w:pPr>
        <w:pStyle w:val="yNumberedItem"/>
      </w:pPr>
      <w:r>
        <w:t>6.</w:t>
      </w:r>
      <w:r>
        <w:tab/>
        <w:t xml:space="preserve">Fremantle Hospital established under the </w:t>
      </w:r>
      <w:r>
        <w:rPr>
          <w:i/>
          <w:iCs/>
        </w:rPr>
        <w:t>Hospitals and Health Services Act 1927</w:t>
      </w:r>
      <w:r>
        <w:t>.</w:t>
      </w:r>
    </w:p>
    <w:p>
      <w:pPr>
        <w:pStyle w:val="yNumberedItem"/>
      </w:pPr>
      <w:r>
        <w:t>7.</w:t>
      </w:r>
      <w:r>
        <w:tab/>
        <w:t xml:space="preserve">King Edward Memorial Hospital for Women established under the </w:t>
      </w:r>
      <w:r>
        <w:rPr>
          <w:i/>
        </w:rPr>
        <w:t>Hospitals and Health Services Act 1927</w:t>
      </w:r>
      <w:r>
        <w:t>.</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 xml:space="preserve">Regional Power Corporation established by the </w:t>
      </w:r>
      <w:r>
        <w:rPr>
          <w:i/>
        </w:rPr>
        <w:t>Electricity</w:t>
      </w:r>
      <w:r>
        <w:rPr>
          <w:i/>
          <w:iCs/>
        </w:rPr>
        <w:t xml:space="preserve"> Corporations Act 2005</w:t>
      </w:r>
      <w:r>
        <w:t>.</w:t>
      </w:r>
    </w:p>
    <w:p>
      <w:pPr>
        <w:pStyle w:val="yNumberedItem"/>
      </w:pPr>
      <w:r>
        <w:t>10.</w:t>
      </w:r>
      <w:r>
        <w:tab/>
        <w:t xml:space="preserve">Royal Perth Hospital established under the </w:t>
      </w:r>
      <w:r>
        <w:rPr>
          <w:i/>
        </w:rPr>
        <w:t>Hospitals and</w:t>
      </w:r>
      <w:r>
        <w:t xml:space="preserve">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Footnotesection"/>
      </w:pPr>
      <w:r>
        <w:tab/>
        <w:t>[Schedule 1 amended in Gazette 31 Mar 2006 p. 1343</w:t>
      </w:r>
      <w:ins w:id="84" w:author="Master Repository Process" w:date="2021-08-01T03:01:00Z">
        <w:r>
          <w:t>; 27 Dec 2013 p. 6472</w:t>
        </w:r>
      </w:ins>
      <w:r>
        <w:t>.]</w:t>
      </w:r>
    </w:p>
    <w:p>
      <w:pPr>
        <w:pStyle w:val="yScheduleHeading"/>
      </w:pPr>
      <w:bookmarkStart w:id="85" w:name="_Toc378170336"/>
      <w:bookmarkStart w:id="86" w:name="_Toc131825442"/>
      <w:bookmarkStart w:id="87" w:name="_Toc131825477"/>
      <w:bookmarkStart w:id="88" w:name="_Toc131825497"/>
      <w:bookmarkStart w:id="89" w:name="_Toc358643621"/>
      <w:bookmarkStart w:id="90" w:name="_Toc358643702"/>
      <w:bookmarkStart w:id="91" w:name="_Toc358643828"/>
      <w:bookmarkStart w:id="92" w:name="_Toc361141316"/>
      <w:bookmarkStart w:id="93" w:name="_Toc361145674"/>
      <w:bookmarkStart w:id="94" w:name="_Toc362935246"/>
      <w:bookmarkStart w:id="95" w:name="_Toc362935569"/>
      <w:bookmarkStart w:id="96" w:name="_Toc364421362"/>
      <w:bookmarkStart w:id="97" w:name="_Toc364753106"/>
      <w:r>
        <w:rPr>
          <w:rStyle w:val="CharSchNo"/>
        </w:rPr>
        <w:t>Schedule 2</w:t>
      </w:r>
      <w:r>
        <w:t> — </w:t>
      </w:r>
      <w:r>
        <w:rPr>
          <w:rStyle w:val="CharSchText"/>
        </w:rPr>
        <w:t>Standards for disability access and inclusion plans</w:t>
      </w:r>
      <w:bookmarkEnd w:id="85"/>
      <w:bookmarkEnd w:id="86"/>
      <w:bookmarkEnd w:id="87"/>
      <w:bookmarkEnd w:id="88"/>
      <w:bookmarkEnd w:id="89"/>
      <w:bookmarkEnd w:id="90"/>
      <w:bookmarkEnd w:id="91"/>
      <w:bookmarkEnd w:id="92"/>
      <w:bookmarkEnd w:id="93"/>
      <w:bookmarkEnd w:id="94"/>
      <w:bookmarkEnd w:id="95"/>
      <w:bookmarkEnd w:id="96"/>
      <w:bookmarkEnd w:id="9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Footnotesection"/>
      </w:pPr>
      <w:bookmarkStart w:id="98" w:name="_Toc131825443"/>
      <w:bookmarkStart w:id="99" w:name="_Toc131825478"/>
      <w:bookmarkStart w:id="100" w:name="_Toc131825498"/>
      <w:r>
        <w:tab/>
        <w:t>[Schedule 2 amended in Gazette 11 Jun 2013 p. 2164-5.]</w:t>
      </w:r>
    </w:p>
    <w:p>
      <w:pPr>
        <w:pStyle w:val="yScheduleHeading"/>
      </w:pPr>
      <w:bookmarkStart w:id="101" w:name="_Toc378170337"/>
      <w:bookmarkStart w:id="102" w:name="_Toc358643622"/>
      <w:bookmarkStart w:id="103" w:name="_Toc358643703"/>
      <w:bookmarkStart w:id="104" w:name="_Toc358643829"/>
      <w:bookmarkStart w:id="105" w:name="_Toc361141317"/>
      <w:bookmarkStart w:id="106" w:name="_Toc361145675"/>
      <w:bookmarkStart w:id="107" w:name="_Toc362935247"/>
      <w:bookmarkStart w:id="108" w:name="_Toc362935570"/>
      <w:bookmarkStart w:id="109" w:name="_Toc364421363"/>
      <w:bookmarkStart w:id="110" w:name="_Toc364753107"/>
      <w:r>
        <w:rPr>
          <w:rStyle w:val="CharSchNo"/>
        </w:rPr>
        <w:t>Schedule 3</w:t>
      </w:r>
      <w:r>
        <w:t> — </w:t>
      </w:r>
      <w:r>
        <w:rPr>
          <w:rStyle w:val="CharSchText"/>
        </w:rPr>
        <w:t>Desired outcomes of disability access and inclusion plans</w:t>
      </w:r>
      <w:bookmarkEnd w:id="101"/>
      <w:bookmarkEnd w:id="98"/>
      <w:bookmarkEnd w:id="99"/>
      <w:bookmarkEnd w:id="100"/>
      <w:bookmarkEnd w:id="102"/>
      <w:bookmarkEnd w:id="103"/>
      <w:bookmarkEnd w:id="104"/>
      <w:bookmarkEnd w:id="105"/>
      <w:bookmarkEnd w:id="106"/>
      <w:bookmarkEnd w:id="107"/>
      <w:bookmarkEnd w:id="108"/>
      <w:bookmarkEnd w:id="109"/>
      <w:bookmarkEnd w:id="110"/>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Footnotesection"/>
      </w:pPr>
      <w:r>
        <w:tab/>
        <w:t>[Schedule 3 amended in Gazette 11 Jun 2013 p. 2165.]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6" w:h="16838" w:code="9"/>
          <w:pgMar w:top="2381" w:right="2410" w:bottom="3544" w:left="2410" w:header="720" w:footer="3380" w:gutter="0"/>
          <w:cols w:space="720"/>
          <w:noEndnote/>
          <w:docGrid w:linePitch="326"/>
        </w:sectPr>
      </w:pPr>
    </w:p>
    <w:p>
      <w:pPr>
        <w:pStyle w:val="nHeading2"/>
      </w:pPr>
      <w:bookmarkStart w:id="111" w:name="_Toc378170338"/>
      <w:bookmarkStart w:id="112" w:name="_Toc85279542"/>
      <w:bookmarkStart w:id="113" w:name="_Toc90790489"/>
      <w:bookmarkStart w:id="114" w:name="_Toc90790533"/>
      <w:bookmarkStart w:id="115" w:name="_Toc90798226"/>
      <w:bookmarkStart w:id="116" w:name="_Toc131825444"/>
      <w:bookmarkStart w:id="117" w:name="_Toc131825479"/>
      <w:bookmarkStart w:id="118" w:name="_Toc131825499"/>
      <w:bookmarkStart w:id="119" w:name="_Toc358643623"/>
      <w:bookmarkStart w:id="120" w:name="_Toc358643704"/>
      <w:bookmarkStart w:id="121" w:name="_Toc358643830"/>
      <w:bookmarkStart w:id="122" w:name="_Toc361141318"/>
      <w:bookmarkStart w:id="123" w:name="_Toc361145676"/>
      <w:bookmarkStart w:id="124" w:name="_Toc362935248"/>
      <w:bookmarkStart w:id="125" w:name="_Toc362935571"/>
      <w:bookmarkStart w:id="126" w:name="_Toc364421364"/>
      <w:bookmarkStart w:id="127" w:name="_Toc364753108"/>
      <w:r>
        <w:t>Notes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nSubsection"/>
        <w:rPr>
          <w:snapToGrid w:val="0"/>
        </w:rPr>
      </w:pPr>
      <w:bookmarkStart w:id="128" w:name="_Toc23744458"/>
      <w:bookmarkStart w:id="129" w:name="_Toc85279543"/>
      <w:r>
        <w:rPr>
          <w:snapToGrid w:val="0"/>
          <w:vertAlign w:val="superscript"/>
        </w:rPr>
        <w:t>1</w:t>
      </w:r>
      <w:r>
        <w:rPr>
          <w:snapToGrid w:val="0"/>
        </w:rPr>
        <w:tab/>
        <w:t xml:space="preserve">This </w:t>
      </w:r>
      <w:del w:id="130" w:author="Master Repository Process" w:date="2021-08-01T03:01:00Z">
        <w:r>
          <w:rPr>
            <w:snapToGrid w:val="0"/>
          </w:rPr>
          <w:delText xml:space="preserve">reprint </w:delText>
        </w:r>
      </w:del>
      <w:r>
        <w:rPr>
          <w:snapToGrid w:val="0"/>
        </w:rPr>
        <w:t>is a compilation</w:t>
      </w:r>
      <w:del w:id="131" w:author="Master Repository Process" w:date="2021-08-01T03:01:00Z">
        <w:r>
          <w:rPr>
            <w:snapToGrid w:val="0"/>
          </w:rPr>
          <w:delText xml:space="preserve"> as at 2 August 2013</w:delText>
        </w:r>
      </w:del>
      <w:r>
        <w:rPr>
          <w:snapToGrid w:val="0"/>
        </w:rPr>
        <w:t xml:space="preserve"> of the </w:t>
      </w:r>
      <w:r>
        <w:rPr>
          <w:i/>
          <w:noProof/>
          <w:snapToGrid w:val="0"/>
        </w:rPr>
        <w:t>Disability Services Regulations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32" w:name="_Toc378170339"/>
      <w:bookmarkStart w:id="133" w:name="_Toc364753109"/>
      <w:bookmarkEnd w:id="128"/>
      <w:bookmarkEnd w:id="129"/>
      <w:r>
        <w:rPr>
          <w:snapToGrid w:val="0"/>
        </w:rPr>
        <w:t>Compilation table</w:t>
      </w:r>
      <w:bookmarkEnd w:id="132"/>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r. 1-6 and 10</w:t>
            </w:r>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 xml:space="preserve">Regulations other than r. 1 and 2: 12 Jun 2013 (see r. 2(c) and </w:t>
            </w:r>
            <w:r>
              <w:rPr>
                <w:i/>
                <w:sz w:val="19"/>
              </w:rPr>
              <w:t>Gazette</w:t>
            </w:r>
            <w:r>
              <w:rPr>
                <w:sz w:val="19"/>
              </w:rPr>
              <w:t xml:space="preserve"> 11 Jun 2013 p. 2161)</w:t>
            </w:r>
          </w:p>
        </w:tc>
      </w:tr>
      <w:tr>
        <w:tc>
          <w:tcPr>
            <w:tcW w:w="7088" w:type="dxa"/>
            <w:gridSpan w:val="3"/>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p>
        </w:tc>
      </w:tr>
      <w:tr>
        <w:trPr>
          <w:ins w:id="134" w:author="Master Repository Process" w:date="2021-08-01T03:01:00Z"/>
        </w:trPr>
        <w:tc>
          <w:tcPr>
            <w:tcW w:w="3119" w:type="dxa"/>
            <w:tcBorders>
              <w:bottom w:val="single" w:sz="4" w:space="0" w:color="auto"/>
            </w:tcBorders>
            <w:shd w:val="clear" w:color="auto" w:fill="auto"/>
          </w:tcPr>
          <w:p>
            <w:pPr>
              <w:pStyle w:val="nTable"/>
              <w:spacing w:before="60" w:after="60"/>
              <w:rPr>
                <w:ins w:id="135" w:author="Master Repository Process" w:date="2021-08-01T03:01:00Z"/>
                <w:sz w:val="19"/>
              </w:rPr>
            </w:pPr>
            <w:ins w:id="136" w:author="Master Repository Process" w:date="2021-08-01T03:01:00Z">
              <w:r>
                <w:rPr>
                  <w:i/>
                  <w:sz w:val="19"/>
                </w:rPr>
                <w:t>Electricity Corporations (Consequential Amendments) Regulations 2013</w:t>
              </w:r>
              <w:r>
                <w:rPr>
                  <w:sz w:val="19"/>
                </w:rPr>
                <w:t xml:space="preserve"> r. 4(1) and (2)</w:t>
              </w:r>
            </w:ins>
          </w:p>
        </w:tc>
        <w:tc>
          <w:tcPr>
            <w:tcW w:w="1276" w:type="dxa"/>
            <w:tcBorders>
              <w:bottom w:val="single" w:sz="4" w:space="0" w:color="auto"/>
            </w:tcBorders>
            <w:shd w:val="clear" w:color="auto" w:fill="auto"/>
          </w:tcPr>
          <w:p>
            <w:pPr>
              <w:pStyle w:val="nTable"/>
              <w:spacing w:before="60" w:after="60"/>
              <w:rPr>
                <w:ins w:id="137" w:author="Master Repository Process" w:date="2021-08-01T03:01:00Z"/>
                <w:sz w:val="19"/>
              </w:rPr>
            </w:pPr>
            <w:ins w:id="138" w:author="Master Repository Process" w:date="2021-08-01T03:01:00Z">
              <w:r>
                <w:rPr>
                  <w:sz w:val="19"/>
                </w:rPr>
                <w:t>27 Dec 2013 p. 6469-79</w:t>
              </w:r>
            </w:ins>
          </w:p>
        </w:tc>
        <w:tc>
          <w:tcPr>
            <w:tcW w:w="2693" w:type="dxa"/>
            <w:tcBorders>
              <w:bottom w:val="single" w:sz="4" w:space="0" w:color="auto"/>
            </w:tcBorders>
            <w:shd w:val="clear" w:color="auto" w:fill="auto"/>
          </w:tcPr>
          <w:p>
            <w:pPr>
              <w:pStyle w:val="nTable"/>
              <w:spacing w:before="60" w:after="60"/>
              <w:rPr>
                <w:ins w:id="139" w:author="Master Repository Process" w:date="2021-08-01T03:01:00Z"/>
                <w:sz w:val="19"/>
              </w:rPr>
            </w:pPr>
            <w:ins w:id="140" w:author="Master Repository Process" w:date="2021-08-01T03:01:00Z">
              <w:r>
                <w:rPr>
                  <w:sz w:val="19"/>
                </w:rPr>
                <w:t xml:space="preserve">1 Jan 2014 (see r. 2(c) and </w:t>
              </w:r>
              <w:r>
                <w:rPr>
                  <w:i/>
                  <w:sz w:val="19"/>
                </w:rPr>
                <w:t>Gazette</w:t>
              </w:r>
              <w:r>
                <w:rPr>
                  <w:sz w:val="19"/>
                </w:rPr>
                <w:t xml:space="preserve"> 27 Dec 2013 p. 6465)</w:t>
              </w:r>
            </w:ins>
          </w:p>
        </w:tc>
      </w:tr>
    </w:tbl>
    <w:p>
      <w:pPr>
        <w:pStyle w:val="nSubsection"/>
        <w:tabs>
          <w:tab w:val="clear" w:pos="454"/>
          <w:tab w:val="left" w:pos="567"/>
        </w:tabs>
        <w:spacing w:before="480"/>
        <w:ind w:left="567" w:hanging="567"/>
        <w:rPr>
          <w:snapToGrid w:val="0"/>
        </w:rPr>
      </w:pPr>
      <w:r>
        <w:rPr>
          <w:snapToGrid w:val="0"/>
          <w:vertAlign w:val="superscript"/>
        </w:rPr>
        <w:t>1a</w:t>
      </w:r>
      <w:r>
        <w:rPr>
          <w:snapToGrid w:val="0"/>
        </w:rPr>
        <w:tab/>
        <w:t>On the date as at which thi</w:t>
      </w:r>
      <w:bookmarkStart w:id="141" w:name="_Hlt507390729"/>
      <w:bookmarkEnd w:id="141"/>
      <w:r>
        <w:rPr>
          <w:snapToGrid w:val="0"/>
        </w:rPr>
        <w:t xml:space="preserve">s </w:t>
      </w:r>
      <w:del w:id="142" w:author="Master Repository Process" w:date="2021-08-01T03:01:00Z">
        <w:r>
          <w:rPr>
            <w:snapToGrid w:val="0"/>
          </w:rPr>
          <w:delText>reprint</w:delText>
        </w:r>
      </w:del>
      <w:ins w:id="143" w:author="Master Repository Process" w:date="2021-08-01T03:01:00Z">
        <w:r>
          <w:rPr>
            <w:snapToGrid w:val="0"/>
          </w:rPr>
          <w:t>compilation</w:t>
        </w:r>
      </w:ins>
      <w:r>
        <w:rPr>
          <w:snapToGrid w:val="0"/>
        </w:rPr>
        <w:t xml:space="preserve"> was prepared, provisions referred to in the following table had not come into operation and were therefore not included in </w:t>
      </w:r>
      <w:del w:id="144" w:author="Master Repository Process" w:date="2021-08-01T03:01:00Z">
        <w:r>
          <w:rPr>
            <w:snapToGrid w:val="0"/>
          </w:rPr>
          <w:delText>compiling the reprint.</w:delText>
        </w:r>
      </w:del>
      <w:ins w:id="145" w:author="Master Repository Process" w:date="2021-08-01T03:01:00Z">
        <w:r>
          <w:rPr>
            <w:snapToGrid w:val="0"/>
          </w:rPr>
          <w:t>this compilation.</w:t>
        </w:r>
      </w:ins>
      <w:r>
        <w:rPr>
          <w:snapToGrid w:val="0"/>
        </w:rPr>
        <w:t xml:space="preserve">  For the text of the provisions see the endnotes referred to in the table.</w:t>
      </w:r>
    </w:p>
    <w:p>
      <w:pPr>
        <w:pStyle w:val="nHeading3"/>
      </w:pPr>
      <w:bookmarkStart w:id="146" w:name="_Toc378170340"/>
      <w:bookmarkStart w:id="147" w:name="_Toc364753110"/>
      <w:r>
        <w:t>Provisions that have not come into operation</w:t>
      </w:r>
      <w:bookmarkEnd w:id="146"/>
      <w:bookmarkEnd w:id="14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4" w:space="0" w:color="auto"/>
              <w:bottom w:val="single" w:sz="4" w:space="0" w:color="auto"/>
            </w:tcBorders>
            <w:shd w:val="clear" w:color="auto" w:fill="auto"/>
          </w:tcPr>
          <w:p>
            <w:pPr>
              <w:pStyle w:val="nTable"/>
              <w:spacing w:before="60" w:after="60"/>
              <w:ind w:right="113"/>
              <w:rPr>
                <w:b/>
                <w:sz w:val="19"/>
              </w:rPr>
            </w:pPr>
            <w:r>
              <w:rPr>
                <w:b/>
                <w:sz w:val="19"/>
              </w:rPr>
              <w:t>Citation</w:t>
            </w:r>
          </w:p>
        </w:tc>
        <w:tc>
          <w:tcPr>
            <w:tcW w:w="1276" w:type="dxa"/>
            <w:tcBorders>
              <w:top w:val="single" w:sz="4" w:space="0" w:color="auto"/>
              <w:bottom w:val="single" w:sz="4" w:space="0" w:color="auto"/>
            </w:tcBorders>
            <w:shd w:val="clear" w:color="auto" w:fill="auto"/>
          </w:tcPr>
          <w:p>
            <w:pPr>
              <w:pStyle w:val="nTable"/>
              <w:spacing w:before="60" w:after="60"/>
              <w:rPr>
                <w:b/>
                <w:sz w:val="19"/>
              </w:rPr>
            </w:pPr>
            <w:r>
              <w:rPr>
                <w:b/>
                <w:sz w:val="19"/>
              </w:rPr>
              <w:t>Gazettal</w:t>
            </w:r>
          </w:p>
        </w:tc>
        <w:tc>
          <w:tcPr>
            <w:tcW w:w="2693" w:type="dxa"/>
            <w:tcBorders>
              <w:top w:val="single" w:sz="4" w:space="0" w:color="auto"/>
              <w:bottom w:val="single" w:sz="4" w:space="0" w:color="auto"/>
            </w:tcBorders>
            <w:shd w:val="clear" w:color="auto" w:fill="auto"/>
          </w:tcPr>
          <w:p>
            <w:pPr>
              <w:pStyle w:val="nTable"/>
              <w:spacing w:before="60" w:after="60"/>
              <w:rPr>
                <w:b/>
                <w:sz w:val="19"/>
              </w:rPr>
            </w:pPr>
            <w:r>
              <w:rPr>
                <w:b/>
                <w:sz w:val="19"/>
              </w:rPr>
              <w:t>Commencement</w:t>
            </w:r>
          </w:p>
        </w:tc>
      </w:tr>
      <w:tr>
        <w:trPr>
          <w:cantSplit/>
        </w:trPr>
        <w:tc>
          <w:tcPr>
            <w:tcW w:w="3118" w:type="dxa"/>
            <w:tcBorders>
              <w:top w:val="single" w:sz="4" w:space="0" w:color="auto"/>
            </w:tcBorders>
            <w:shd w:val="clear" w:color="auto" w:fill="auto"/>
          </w:tcPr>
          <w:p>
            <w:pPr>
              <w:pStyle w:val="nTable"/>
              <w:spacing w:before="60" w:after="60"/>
              <w:ind w:right="113"/>
              <w:rPr>
                <w:sz w:val="19"/>
              </w:rPr>
            </w:pPr>
            <w:r>
              <w:rPr>
                <w:i/>
                <w:sz w:val="19"/>
              </w:rPr>
              <w:t>Disability Services Amendment Regulations 2013</w:t>
            </w:r>
            <w:r>
              <w:rPr>
                <w:sz w:val="19"/>
              </w:rPr>
              <w:t xml:space="preserve"> r. 7-9</w:t>
            </w:r>
            <w:r>
              <w:rPr>
                <w:sz w:val="19"/>
                <w:vertAlign w:val="superscript"/>
              </w:rPr>
              <w:t> 2</w:t>
            </w:r>
          </w:p>
        </w:tc>
        <w:tc>
          <w:tcPr>
            <w:tcW w:w="1276" w:type="dxa"/>
            <w:tcBorders>
              <w:top w:val="single" w:sz="4" w:space="0" w:color="auto"/>
            </w:tcBorders>
            <w:shd w:val="clear" w:color="auto" w:fill="auto"/>
          </w:tcPr>
          <w:p>
            <w:pPr>
              <w:pStyle w:val="nTable"/>
              <w:spacing w:before="60" w:after="60"/>
              <w:rPr>
                <w:sz w:val="19"/>
              </w:rPr>
            </w:pPr>
            <w:r>
              <w:rPr>
                <w:sz w:val="19"/>
              </w:rPr>
              <w:t>11 Jun 2013 p. 2161-5</w:t>
            </w:r>
          </w:p>
        </w:tc>
        <w:tc>
          <w:tcPr>
            <w:tcW w:w="2693" w:type="dxa"/>
            <w:tcBorders>
              <w:top w:val="single" w:sz="4" w:space="0" w:color="auto"/>
            </w:tcBorders>
            <w:shd w:val="clear" w:color="auto" w:fill="auto"/>
          </w:tcPr>
          <w:p>
            <w:pPr>
              <w:pStyle w:val="nTable"/>
              <w:spacing w:before="60" w:after="60"/>
              <w:rPr>
                <w:sz w:val="19"/>
              </w:rPr>
            </w:pPr>
            <w:r>
              <w:rPr>
                <w:sz w:val="19"/>
              </w:rPr>
              <w:t>11 Jun 2014 (see r. 2(b))</w:t>
            </w:r>
          </w:p>
        </w:tc>
      </w:tr>
      <w:tr>
        <w:trPr>
          <w:cantSplit/>
          <w:ins w:id="148" w:author="Master Repository Process" w:date="2021-08-01T03:01:00Z"/>
        </w:trPr>
        <w:tc>
          <w:tcPr>
            <w:tcW w:w="3118" w:type="dxa"/>
            <w:tcBorders>
              <w:bottom w:val="single" w:sz="4" w:space="0" w:color="auto"/>
            </w:tcBorders>
            <w:shd w:val="clear" w:color="auto" w:fill="auto"/>
          </w:tcPr>
          <w:p>
            <w:pPr>
              <w:pStyle w:val="nTable"/>
              <w:spacing w:before="60" w:after="60"/>
              <w:ind w:right="113"/>
              <w:rPr>
                <w:ins w:id="149" w:author="Master Repository Process" w:date="2021-08-01T03:01:00Z"/>
                <w:i/>
                <w:sz w:val="19"/>
              </w:rPr>
            </w:pPr>
            <w:ins w:id="150" w:author="Master Repository Process" w:date="2021-08-01T03:01:00Z">
              <w:r>
                <w:rPr>
                  <w:i/>
                  <w:sz w:val="19"/>
                </w:rPr>
                <w:t>Electricity Corporations (Consequential Amendments) Regulations 2013</w:t>
              </w:r>
              <w:r>
                <w:rPr>
                  <w:sz w:val="19"/>
                </w:rPr>
                <w:t xml:space="preserve"> r. 4(3)</w:t>
              </w:r>
              <w:r>
                <w:rPr>
                  <w:sz w:val="19"/>
                  <w:vertAlign w:val="superscript"/>
                </w:rPr>
                <w:t> 3</w:t>
              </w:r>
            </w:ins>
          </w:p>
        </w:tc>
        <w:tc>
          <w:tcPr>
            <w:tcW w:w="1276" w:type="dxa"/>
            <w:tcBorders>
              <w:bottom w:val="single" w:sz="4" w:space="0" w:color="auto"/>
            </w:tcBorders>
            <w:shd w:val="clear" w:color="auto" w:fill="auto"/>
          </w:tcPr>
          <w:p>
            <w:pPr>
              <w:pStyle w:val="nTable"/>
              <w:spacing w:before="60" w:after="60"/>
              <w:rPr>
                <w:ins w:id="151" w:author="Master Repository Process" w:date="2021-08-01T03:01:00Z"/>
                <w:sz w:val="19"/>
              </w:rPr>
            </w:pPr>
            <w:ins w:id="152" w:author="Master Repository Process" w:date="2021-08-01T03:01:00Z">
              <w:r>
                <w:rPr>
                  <w:sz w:val="19"/>
                </w:rPr>
                <w:t>27 Dec 2013 p. 6469-79</w:t>
              </w:r>
            </w:ins>
          </w:p>
        </w:tc>
        <w:tc>
          <w:tcPr>
            <w:tcW w:w="2693" w:type="dxa"/>
            <w:tcBorders>
              <w:bottom w:val="single" w:sz="4" w:space="0" w:color="auto"/>
            </w:tcBorders>
            <w:shd w:val="clear" w:color="auto" w:fill="auto"/>
          </w:tcPr>
          <w:p>
            <w:pPr>
              <w:pStyle w:val="nTable"/>
              <w:spacing w:before="60" w:after="60"/>
              <w:rPr>
                <w:ins w:id="153" w:author="Master Repository Process" w:date="2021-08-01T03:01:00Z"/>
                <w:sz w:val="19"/>
              </w:rPr>
            </w:pPr>
            <w:ins w:id="154" w:author="Master Repository Process" w:date="2021-08-01T03:01:00Z">
              <w:r>
                <w:rPr>
                  <w:sz w:val="19"/>
                </w:rPr>
                <w:t xml:space="preserve">11 Jun 2014 (see r. 2(b) and </w:t>
              </w:r>
              <w:r>
                <w:rPr>
                  <w:i/>
                  <w:sz w:val="19"/>
                </w:rPr>
                <w:t>Gazette</w:t>
              </w:r>
              <w:r>
                <w:rPr>
                  <w:sz w:val="19"/>
                </w:rPr>
                <w:t xml:space="preserve"> 11 Jun 2013 p. 2161-5)</w:t>
              </w:r>
            </w:ins>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w:t>
      </w:r>
      <w:del w:id="155" w:author="Master Repository Process" w:date="2021-08-01T03:01:00Z">
        <w:r>
          <w:delText>reprint</w:delText>
        </w:r>
      </w:del>
      <w:ins w:id="156" w:author="Master Repository Process" w:date="2021-08-01T03:01:00Z">
        <w:r>
          <w:t>compilation</w:t>
        </w:r>
      </w:ins>
      <w:r>
        <w:t xml:space="preserve">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keepNext/>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Pr>
        <w:pStyle w:val="nSubsection"/>
        <w:keepNext/>
        <w:spacing w:before="200"/>
        <w:rPr>
          <w:ins w:id="157" w:author="Master Repository Process" w:date="2021-08-01T03:01:00Z"/>
          <w:snapToGrid w:val="0"/>
        </w:rPr>
      </w:pPr>
      <w:ins w:id="158" w:author="Master Repository Process" w:date="2021-08-01T03:01:00Z">
        <w:r>
          <w:rPr>
            <w:snapToGrid w:val="0"/>
            <w:vertAlign w:val="superscript"/>
          </w:rPr>
          <w:t>3</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Electricity Corporations (Consequential Amendments) Regulations 2013 </w:t>
        </w:r>
        <w:r>
          <w:rPr>
            <w:snapToGrid w:val="0"/>
          </w:rPr>
          <w:t>r. 4(3) had not come into operation.  It reads as follows:</w:t>
        </w:r>
      </w:ins>
    </w:p>
    <w:p>
      <w:pPr>
        <w:pStyle w:val="BlankOpen"/>
        <w:rPr>
          <w:ins w:id="159" w:author="Master Repository Process" w:date="2021-08-01T03:01:00Z"/>
          <w:snapToGrid w:val="0"/>
        </w:rPr>
      </w:pPr>
    </w:p>
    <w:p>
      <w:pPr>
        <w:pStyle w:val="nzHeading5"/>
        <w:rPr>
          <w:ins w:id="160" w:author="Master Repository Process" w:date="2021-08-01T03:01:00Z"/>
          <w:snapToGrid w:val="0"/>
        </w:rPr>
      </w:pPr>
      <w:ins w:id="161" w:author="Master Repository Process" w:date="2021-08-01T03:01:00Z">
        <w:r>
          <w:rPr>
            <w:rStyle w:val="CharSectno"/>
          </w:rPr>
          <w:t>4</w:t>
        </w:r>
        <w:r>
          <w:rPr>
            <w:snapToGrid w:val="0"/>
          </w:rPr>
          <w:t>.</w:t>
        </w:r>
        <w:r>
          <w:rPr>
            <w:snapToGrid w:val="0"/>
          </w:rPr>
          <w:tab/>
        </w:r>
        <w:r>
          <w:rPr>
            <w:i/>
            <w:snapToGrid w:val="0"/>
          </w:rPr>
          <w:t>Disability Services Regulations 2004</w:t>
        </w:r>
        <w:r>
          <w:rPr>
            <w:snapToGrid w:val="0"/>
          </w:rPr>
          <w:t xml:space="preserve"> </w:t>
        </w:r>
        <w:r>
          <w:t>amended</w:t>
        </w:r>
      </w:ins>
    </w:p>
    <w:p>
      <w:pPr>
        <w:pStyle w:val="nzSubsection"/>
        <w:rPr>
          <w:ins w:id="162" w:author="Master Repository Process" w:date="2021-08-01T03:01:00Z"/>
        </w:rPr>
      </w:pPr>
      <w:ins w:id="163" w:author="Master Repository Process" w:date="2021-08-01T03:01:00Z">
        <w:r>
          <w:tab/>
          <w:t>(3)</w:t>
        </w:r>
        <w:r>
          <w:tab/>
          <w:t>In Schedule 1:</w:t>
        </w:r>
      </w:ins>
    </w:p>
    <w:p>
      <w:pPr>
        <w:pStyle w:val="nzIndenta"/>
        <w:rPr>
          <w:ins w:id="164" w:author="Master Repository Process" w:date="2021-08-01T03:01:00Z"/>
        </w:rPr>
      </w:pPr>
      <w:ins w:id="165" w:author="Master Repository Process" w:date="2021-08-01T03:01:00Z">
        <w:r>
          <w:tab/>
          <w:t>(a)</w:t>
        </w:r>
        <w:r>
          <w:tab/>
          <w:t>in item 7 after “</w:t>
        </w:r>
        <w:r>
          <w:rPr>
            <w:sz w:val="22"/>
            <w:szCs w:val="22"/>
          </w:rPr>
          <w:t>Generation</w:t>
        </w:r>
        <w:r>
          <w:t>” insert:</w:t>
        </w:r>
      </w:ins>
    </w:p>
    <w:p>
      <w:pPr>
        <w:pStyle w:val="BlankOpen"/>
        <w:rPr>
          <w:ins w:id="166" w:author="Master Repository Process" w:date="2021-08-01T03:01:00Z"/>
        </w:rPr>
      </w:pPr>
    </w:p>
    <w:p>
      <w:pPr>
        <w:pStyle w:val="nzIndenta"/>
        <w:rPr>
          <w:ins w:id="167" w:author="Master Repository Process" w:date="2021-08-01T03:01:00Z"/>
          <w:sz w:val="22"/>
          <w:szCs w:val="22"/>
        </w:rPr>
      </w:pPr>
      <w:ins w:id="168" w:author="Master Repository Process" w:date="2021-08-01T03:01:00Z">
        <w:r>
          <w:tab/>
        </w:r>
        <w:r>
          <w:tab/>
        </w:r>
        <w:r>
          <w:rPr>
            <w:sz w:val="22"/>
            <w:szCs w:val="22"/>
          </w:rPr>
          <w:t xml:space="preserve">and </w:t>
        </w:r>
        <w:r>
          <w:t>Retail</w:t>
        </w:r>
      </w:ins>
    </w:p>
    <w:p>
      <w:pPr>
        <w:pStyle w:val="BlankClose"/>
        <w:rPr>
          <w:ins w:id="169" w:author="Master Repository Process" w:date="2021-08-01T03:01:00Z"/>
        </w:rPr>
      </w:pPr>
    </w:p>
    <w:p>
      <w:pPr>
        <w:pStyle w:val="nzIndenta"/>
        <w:rPr>
          <w:ins w:id="170" w:author="Master Repository Process" w:date="2021-08-01T03:01:00Z"/>
        </w:rPr>
      </w:pPr>
      <w:ins w:id="171" w:author="Master Repository Process" w:date="2021-08-01T03:01:00Z">
        <w:r>
          <w:tab/>
          <w:t>(b)</w:t>
        </w:r>
        <w:r>
          <w:tab/>
          <w:t>delete item 9.</w:t>
        </w:r>
      </w:ins>
    </w:p>
    <w:p>
      <w:pPr>
        <w:pStyle w:val="BlankClose"/>
        <w:rPr>
          <w:ins w:id="172" w:author="Master Repository Process" w:date="2021-08-01T03:01:00Z"/>
        </w:rPr>
      </w:pPr>
    </w:p>
    <w:p/>
    <w:p>
      <w:pPr>
        <w:sectPr>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r>
            <w:fldChar w:fldCharType="begin"/>
          </w:r>
          <w:r>
            <w:instrText xml:space="preserve"> styleref CharSchText </w:instrText>
          </w:r>
          <w:r>
            <w:rPr>
              <w:noProof/>
            </w:rPr>
            <w:fldChar w:fldCharType="end"/>
          </w:r>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22160608"/>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117A231D-1D51-491D-957B-F363E5CC6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2209</Words>
  <Characters>11709</Characters>
  <Application>Microsoft Office Word</Application>
  <DocSecurity>0</DocSecurity>
  <Lines>354</Lines>
  <Paragraphs>201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01-a0-01 - 01-b0-01</dc:title>
  <dc:subject/>
  <dc:creator/>
  <cp:keywords/>
  <dc:description/>
  <cp:lastModifiedBy>Master Repository Process</cp:lastModifiedBy>
  <cp:revision>2</cp:revision>
  <cp:lastPrinted>2013-08-16T05:01:00Z</cp:lastPrinted>
  <dcterms:created xsi:type="dcterms:W3CDTF">2021-07-31T19:01:00Z</dcterms:created>
  <dcterms:modified xsi:type="dcterms:W3CDTF">2021-07-31T19:02:00Z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20140101</vt:lpwstr>
  </property>
  <property fmtid="{D5CDD505-2E9C-101B-9397-08002B2CF9AE}" pid="4" name="OwlsUID">
    <vt:i4>36857</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2013-08-01T16:00:00Z</vt:filetime>
  </property>
  <property fmtid="{D5CDD505-2E9C-101B-9397-08002B2CF9AE}" pid="8" name="FromSuffix">
    <vt:lpwstr>01-a0-01</vt:lpwstr>
  </property>
  <property fmtid="{D5CDD505-2E9C-101B-9397-08002B2CF9AE}" pid="9" name="FromAsAtDate">
    <vt:lpwstr>02 Aug 2013</vt:lpwstr>
  </property>
  <property fmtid="{D5CDD505-2E9C-101B-9397-08002B2CF9AE}" pid="10" name="ToSuffix">
    <vt:lpwstr>01-b0-01</vt:lpwstr>
  </property>
  <property fmtid="{D5CDD505-2E9C-101B-9397-08002B2CF9AE}" pid="11" name="ToAsAtDate">
    <vt:lpwstr>01 Jan 2014</vt:lpwstr>
  </property>
</Properties>
</file>