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Chattel Securities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2006</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21 Apr 2006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09T01:03:00Z"/>
        </w:trPr>
        <w:tc>
          <w:tcPr>
            <w:tcW w:w="2434" w:type="dxa"/>
            <w:vMerge w:val="restart"/>
          </w:tcPr>
          <w:p>
            <w:pPr>
              <w:rPr>
                <w:ins w:id="1" w:author="svcMRProcess" w:date="2015-12-09T01:03:00Z"/>
              </w:rPr>
            </w:pPr>
          </w:p>
        </w:tc>
        <w:tc>
          <w:tcPr>
            <w:tcW w:w="2434" w:type="dxa"/>
            <w:vMerge w:val="restart"/>
          </w:tcPr>
          <w:p>
            <w:pPr>
              <w:jc w:val="center"/>
              <w:rPr>
                <w:ins w:id="2" w:author="svcMRProcess" w:date="2015-12-09T01:03:00Z"/>
              </w:rPr>
            </w:pPr>
            <w:ins w:id="3" w:author="svcMRProcess" w:date="2015-12-09T01:0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09T01:03:00Z"/>
              </w:rPr>
            </w:pPr>
          </w:p>
        </w:tc>
      </w:tr>
      <w:tr>
        <w:trPr>
          <w:cantSplit/>
          <w:ins w:id="5" w:author="svcMRProcess" w:date="2015-12-09T01:03:00Z"/>
        </w:trPr>
        <w:tc>
          <w:tcPr>
            <w:tcW w:w="2434" w:type="dxa"/>
            <w:vMerge/>
          </w:tcPr>
          <w:p>
            <w:pPr>
              <w:rPr>
                <w:ins w:id="6" w:author="svcMRProcess" w:date="2015-12-09T01:03:00Z"/>
              </w:rPr>
            </w:pPr>
          </w:p>
        </w:tc>
        <w:tc>
          <w:tcPr>
            <w:tcW w:w="2434" w:type="dxa"/>
            <w:vMerge/>
          </w:tcPr>
          <w:p>
            <w:pPr>
              <w:jc w:val="center"/>
              <w:rPr>
                <w:ins w:id="7" w:author="svcMRProcess" w:date="2015-12-09T01:03:00Z"/>
              </w:rPr>
            </w:pPr>
          </w:p>
        </w:tc>
        <w:tc>
          <w:tcPr>
            <w:tcW w:w="2434" w:type="dxa"/>
          </w:tcPr>
          <w:p>
            <w:pPr>
              <w:keepNext/>
              <w:rPr>
                <w:ins w:id="8" w:author="svcMRProcess" w:date="2015-12-09T01:03:00Z"/>
                <w:b/>
                <w:sz w:val="22"/>
              </w:rPr>
            </w:pPr>
            <w:ins w:id="9" w:author="svcMRProcess" w:date="2015-12-09T01:03:00Z">
              <w:r>
                <w:rPr>
                  <w:b/>
                  <w:sz w:val="22"/>
                </w:rPr>
                <w:t xml:space="preserve">Reprinted under the </w:t>
              </w:r>
              <w:r>
                <w:rPr>
                  <w:b/>
                  <w:i/>
                  <w:sz w:val="22"/>
                </w:rPr>
                <w:t>Reprints Act 1984</w:t>
              </w:r>
              <w:r>
                <w:rPr>
                  <w:b/>
                  <w:sz w:val="22"/>
                </w:rPr>
                <w:t xml:space="preserve"> as at 21</w:t>
              </w:r>
              <w:r>
                <w:rPr>
                  <w:b/>
                  <w:snapToGrid w:val="0"/>
                  <w:sz w:val="22"/>
                </w:rPr>
                <w:t xml:space="preserve"> April 2006</w:t>
              </w:r>
            </w:ins>
          </w:p>
        </w:tc>
      </w:tr>
    </w:tbl>
    <w:p>
      <w:pPr>
        <w:pStyle w:val="WA"/>
      </w:pPr>
      <w:r>
        <w:t>Western Australia</w:t>
      </w:r>
    </w:p>
    <w:p>
      <w:pPr>
        <w:pStyle w:val="NameofActReg"/>
        <w:spacing w:before="960" w:after="1440"/>
      </w:pPr>
      <w:r>
        <w:t xml:space="preserve">Chattel Securities Act 1987 </w:t>
      </w:r>
    </w:p>
    <w:p>
      <w:pPr>
        <w:pStyle w:val="LongTitle"/>
        <w:rPr>
          <w:snapToGrid w:val="0"/>
        </w:rPr>
      </w:pPr>
      <w:r>
        <w:rPr>
          <w:snapToGrid w:val="0"/>
        </w:rPr>
        <w:t>A</w:t>
      </w:r>
      <w:bookmarkStart w:id="10" w:name="_GoBack"/>
      <w:bookmarkEnd w:id="10"/>
      <w:r>
        <w:rPr>
          <w:snapToGrid w:val="0"/>
        </w:rPr>
        <w:t xml:space="preserve">n Act relating to chattel securities and to amend the </w:t>
      </w:r>
      <w:r>
        <w:rPr>
          <w:i/>
          <w:snapToGrid w:val="0"/>
        </w:rPr>
        <w:t>Consumer Affairs Act </w:t>
      </w:r>
      <w:del w:id="11" w:author="svcMRProcess" w:date="2015-12-09T01:03:00Z">
        <w:r>
          <w:rPr>
            <w:i/>
            <w:snapToGrid w:val="0"/>
          </w:rPr>
          <w:delText>1973</w:delText>
        </w:r>
      </w:del>
      <w:ins w:id="12" w:author="svcMRProcess" w:date="2015-12-09T01:03:00Z">
        <w:r>
          <w:rPr>
            <w:i/>
            <w:snapToGrid w:val="0"/>
          </w:rPr>
          <w:t>1971</w:t>
        </w:r>
        <w:r>
          <w:rPr>
            <w:iCs/>
            <w:snapToGrid w:val="0"/>
          </w:rPr>
          <w:t> </w:t>
        </w:r>
        <w:r>
          <w:rPr>
            <w:iCs/>
            <w:snapToGrid w:val="0"/>
            <w:vertAlign w:val="superscript"/>
          </w:rPr>
          <w:t>2</w:t>
        </w:r>
      </w:ins>
      <w:r>
        <w:rPr>
          <w:snapToGrid w:val="0"/>
        </w:rPr>
        <w:t xml:space="preserve">. </w:t>
      </w:r>
    </w:p>
    <w:p>
      <w:pPr>
        <w:pStyle w:val="Heading2"/>
      </w:pPr>
      <w:bookmarkStart w:id="13" w:name="_Toc92444753"/>
      <w:bookmarkStart w:id="14" w:name="_Toc130956216"/>
      <w:bookmarkStart w:id="15" w:name="_Toc131319006"/>
      <w:bookmarkStart w:id="16" w:name="_Toc131319315"/>
      <w:bookmarkStart w:id="17" w:name="_Toc131319350"/>
      <w:bookmarkStart w:id="18" w:name="_Toc131319385"/>
      <w:bookmarkStart w:id="19" w:name="_Toc131319420"/>
      <w:bookmarkStart w:id="20" w:name="_Toc131319455"/>
      <w:bookmarkStart w:id="21" w:name="_Toc131926487"/>
      <w:bookmarkStart w:id="22" w:name="_Toc131926565"/>
      <w:bookmarkStart w:id="23" w:name="_Toc131926636"/>
      <w:bookmarkStart w:id="24" w:name="_Toc131926671"/>
      <w:bookmarkStart w:id="25" w:name="_Toc131927033"/>
      <w:bookmarkStart w:id="26" w:name="_Toc132433599"/>
      <w:bookmarkStart w:id="27" w:name="_Toc132434838"/>
      <w:bookmarkStart w:id="28" w:name="_Toc133139927"/>
      <w:bookmarkStart w:id="29" w:name="_Toc135464355"/>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11488831"/>
      <w:bookmarkStart w:id="31" w:name="_Toc131926488"/>
      <w:bookmarkStart w:id="32" w:name="_Toc131926566"/>
      <w:bookmarkStart w:id="33" w:name="_Toc131926672"/>
      <w:bookmarkStart w:id="34" w:name="_Toc135464356"/>
      <w:bookmarkStart w:id="35" w:name="_Toc130956217"/>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pPr>
        <w:pStyle w:val="Heading5"/>
        <w:rPr>
          <w:snapToGrid w:val="0"/>
        </w:rPr>
      </w:pPr>
      <w:bookmarkStart w:id="36" w:name="_Toc11488832"/>
      <w:bookmarkStart w:id="37" w:name="_Toc131926489"/>
      <w:bookmarkStart w:id="38" w:name="_Toc131926567"/>
      <w:bookmarkStart w:id="39" w:name="_Toc131926673"/>
      <w:bookmarkStart w:id="40" w:name="_Toc135464357"/>
      <w:bookmarkStart w:id="41" w:name="_Toc130956218"/>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del w:id="42" w:author="svcMRProcess" w:date="2015-12-09T01:03:00Z">
        <w:r>
          <w:rPr>
            <w:snapToGrid w:val="0"/>
            <w:vertAlign w:val="superscript"/>
          </w:rPr>
          <w:delText xml:space="preserve"> </w:delText>
        </w:r>
      </w:del>
      <w:r>
        <w:rPr>
          <w:snapToGrid w:val="0"/>
          <w:vertAlign w:val="superscript"/>
        </w:rPr>
        <w:t> 1</w:t>
      </w:r>
      <w:r>
        <w:rPr>
          <w:snapToGrid w:val="0"/>
        </w:rPr>
        <w:t>.</w:t>
      </w:r>
    </w:p>
    <w:p>
      <w:pPr>
        <w:pStyle w:val="Heading5"/>
        <w:rPr>
          <w:snapToGrid w:val="0"/>
        </w:rPr>
      </w:pPr>
      <w:bookmarkStart w:id="43" w:name="_Toc11488833"/>
      <w:bookmarkStart w:id="44" w:name="_Toc131926490"/>
      <w:bookmarkStart w:id="45" w:name="_Toc131926568"/>
      <w:bookmarkStart w:id="46" w:name="_Toc131926674"/>
      <w:bookmarkStart w:id="47" w:name="_Toc135464358"/>
      <w:bookmarkStart w:id="48" w:name="_Toc130956219"/>
      <w:r>
        <w:rPr>
          <w:rStyle w:val="CharSectno"/>
        </w:rPr>
        <w:t>3</w:t>
      </w:r>
      <w:r>
        <w:rPr>
          <w:snapToGrid w:val="0"/>
        </w:rPr>
        <w:t>.</w:t>
      </w:r>
      <w:r>
        <w:rPr>
          <w:snapToGrid w:val="0"/>
        </w:rPr>
        <w:tab/>
        <w:t>Interpretation</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approved form</w:t>
      </w:r>
      <w:r>
        <w:rPr>
          <w:b/>
        </w:rPr>
        <w:t>”</w:t>
      </w:r>
      <w:r>
        <w:t xml:space="preserve"> means a form approved for that purpose by the Commissioner;</w:t>
      </w:r>
    </w:p>
    <w:p>
      <w:pPr>
        <w:pStyle w:val="Defstart"/>
      </w:pPr>
      <w:r>
        <w:rPr>
          <w:b/>
        </w:rPr>
        <w:tab/>
        <w:t>“</w:t>
      </w:r>
      <w:r>
        <w:rPr>
          <w:rStyle w:val="CharDefText"/>
        </w:rPr>
        <w:t>commercial vehicle</w:t>
      </w:r>
      <w:r>
        <w:rPr>
          <w:b/>
        </w:rPr>
        <w:t>”</w:t>
      </w:r>
      <w:r>
        <w:t xml:space="preserve"> has the same meaning as in the </w:t>
      </w:r>
      <w:r>
        <w:rPr>
          <w:i/>
        </w:rPr>
        <w:t>Credit Act 1984</w:t>
      </w:r>
      <w:r>
        <w:t>;</w:t>
      </w:r>
    </w:p>
    <w:p>
      <w:pPr>
        <w:pStyle w:val="Defstart"/>
      </w:pPr>
      <w:r>
        <w:rPr>
          <w:b/>
        </w:rPr>
        <w:tab/>
        <w:t>“</w:t>
      </w:r>
      <w:r>
        <w:rPr>
          <w:rStyle w:val="CharDefText"/>
        </w:rPr>
        <w:t>Commissioner</w:t>
      </w:r>
      <w:r>
        <w:rPr>
          <w:b/>
        </w:rPr>
        <w:t>”</w:t>
      </w:r>
      <w:r>
        <w:t xml:space="preserve"> means the person holding or acting in the office of Commissioner for Fair Trading under the </w:t>
      </w:r>
      <w:r>
        <w:rPr>
          <w:i/>
        </w:rPr>
        <w:t>Consumer Affairs Act 1971</w:t>
      </w:r>
      <w:r>
        <w:t>;</w:t>
      </w:r>
    </w:p>
    <w:p>
      <w:pPr>
        <w:pStyle w:val="Defstart"/>
      </w:pPr>
      <w:r>
        <w:rPr>
          <w:b/>
        </w:rPr>
        <w:tab/>
        <w:t>“</w:t>
      </w:r>
      <w:r>
        <w:rPr>
          <w:rStyle w:val="CharDefText"/>
        </w:rPr>
        <w:t>dealer</w:t>
      </w:r>
      <w:r>
        <w:rPr>
          <w:b/>
        </w:rPr>
        <w:t>”</w:t>
      </w:r>
      <w:r>
        <w:t xml:space="preserve"> with respect to any goods means a person who carries on a business in which the person deals in goods of that kind;</w:t>
      </w:r>
    </w:p>
    <w:p>
      <w:pPr>
        <w:pStyle w:val="Defstart"/>
      </w:pPr>
      <w:r>
        <w:rPr>
          <w:b/>
        </w:rPr>
        <w:tab/>
        <w:t>“</w:t>
      </w:r>
      <w:r>
        <w:rPr>
          <w:rStyle w:val="CharDefText"/>
        </w:rPr>
        <w:t>debtor</w:t>
      </w:r>
      <w:r>
        <w:rPr>
          <w:b/>
        </w:rPr>
        <w:t>”</w:t>
      </w:r>
      <w:r>
        <w:t xml:space="preserve"> in relation to a security interest means the person who created the security interest and includes the lessee in relation to a lease of goods and the hirer in relation to a hire</w:t>
      </w:r>
      <w:r>
        <w:noBreakHyphen/>
        <w:t>purchase agreement;</w:t>
      </w:r>
    </w:p>
    <w:p>
      <w:pPr>
        <w:pStyle w:val="Defstart"/>
      </w:pPr>
      <w:r>
        <w:rPr>
          <w:b/>
        </w:rPr>
        <w:tab/>
        <w:t>“</w:t>
      </w:r>
      <w:r>
        <w:rPr>
          <w:rStyle w:val="CharDefText"/>
        </w:rPr>
        <w:t>farm machinery</w:t>
      </w:r>
      <w:r>
        <w:rPr>
          <w:b/>
        </w:rPr>
        <w:t>”</w:t>
      </w:r>
      <w:r>
        <w:t xml:space="preserve"> has the same meaning as in the </w:t>
      </w:r>
      <w:r>
        <w:rPr>
          <w:i/>
        </w:rPr>
        <w:t>Credit Act 1984</w:t>
      </w:r>
      <w:r>
        <w:t>;</w:t>
      </w:r>
    </w:p>
    <w:p>
      <w:pPr>
        <w:pStyle w:val="Defstart"/>
      </w:pPr>
      <w:r>
        <w:rPr>
          <w:b/>
        </w:rPr>
        <w:tab/>
        <w:t>“</w:t>
      </w:r>
      <w:r>
        <w:rPr>
          <w:rStyle w:val="CharDefText"/>
        </w:rPr>
        <w:t>goods</w:t>
      </w:r>
      <w:r>
        <w:rPr>
          <w:b/>
        </w:rPr>
        <w:t>”</w:t>
      </w:r>
      <w:r>
        <w:t xml:space="preserve"> includes all chattels personal and fixtures other than —</w:t>
      </w:r>
    </w:p>
    <w:p>
      <w:pPr>
        <w:pStyle w:val="Defpara"/>
      </w:pPr>
      <w:r>
        <w:tab/>
        <w:t>(a)</w:t>
      </w:r>
      <w:r>
        <w:tab/>
        <w:t>things in action and money;</w:t>
      </w:r>
    </w:p>
    <w:p>
      <w:pPr>
        <w:pStyle w:val="Defpara"/>
      </w:pPr>
      <w:r>
        <w:tab/>
        <w:t>(b)</w:t>
      </w:r>
      <w:r>
        <w:tab/>
        <w:t>ships registered in an official register kept under a law in force in Western Australia relating to title to ships;</w:t>
      </w:r>
    </w:p>
    <w:p>
      <w:pPr>
        <w:pStyle w:val="Defpara"/>
      </w:pPr>
      <w:r>
        <w:tab/>
        <w:t>(c)</w:t>
      </w:r>
      <w:r>
        <w:tab/>
        <w:t>aircraft;</w:t>
      </w:r>
    </w:p>
    <w:p>
      <w:pPr>
        <w:pStyle w:val="Defpara"/>
      </w:pPr>
      <w:r>
        <w:tab/>
        <w:t>(d)</w:t>
      </w:r>
      <w:r>
        <w:tab/>
        <w:t>livestock, unshorn wool and growing crops;</w:t>
      </w:r>
    </w:p>
    <w:p>
      <w:pPr>
        <w:pStyle w:val="Defpara"/>
      </w:pPr>
      <w:r>
        <w:tab/>
        <w:t>(e)</w:t>
      </w:r>
      <w:r>
        <w:tab/>
        <w:t xml:space="preserve">to the extent of rights expressly conferred on a registered security under the </w:t>
      </w:r>
      <w:r>
        <w:rPr>
          <w:i/>
        </w:rPr>
        <w:t>Bills of Sale Act 1899</w:t>
      </w:r>
      <w:r>
        <w:t xml:space="preserve"> shorn wool and harvested crops; and</w:t>
      </w:r>
    </w:p>
    <w:p>
      <w:pPr>
        <w:pStyle w:val="Defpara"/>
      </w:pPr>
      <w:r>
        <w:tab/>
        <w:t>(f)</w:t>
      </w:r>
      <w:r>
        <w:tab/>
        <w:t>documents of title;</w:t>
      </w:r>
    </w:p>
    <w:p>
      <w:pPr>
        <w:pStyle w:val="Defstart"/>
      </w:pPr>
      <w:r>
        <w:rPr>
          <w:b/>
        </w:rPr>
        <w:tab/>
        <w:t>“</w:t>
      </w:r>
      <w:r>
        <w:rPr>
          <w:rStyle w:val="CharDefText"/>
        </w:rPr>
        <w:t>hire</w:t>
      </w:r>
      <w:r>
        <w:rPr>
          <w:rStyle w:val="CharDefText"/>
        </w:rPr>
        <w:noBreakHyphen/>
        <w:t>purchase agreement</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hirer</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inventory security interest</w:t>
      </w:r>
      <w:r>
        <w:rPr>
          <w:b/>
        </w:rPr>
        <w:t>”</w:t>
      </w:r>
      <w:r>
        <w:t xml:space="preserve"> means a security interest — </w:t>
      </w:r>
    </w:p>
    <w:p>
      <w:pPr>
        <w:pStyle w:val="Defpara"/>
      </w:pPr>
      <w:r>
        <w:tab/>
        <w:t>(a)</w:t>
      </w:r>
      <w:r>
        <w:tab/>
        <w:t>given by a dealer in or over goods of a kind in which the dealer deals in the course of the dealer’s business; or</w:t>
      </w:r>
    </w:p>
    <w:p>
      <w:pPr>
        <w:pStyle w:val="Defpara"/>
      </w:pPr>
      <w:r>
        <w:tab/>
        <w:t>(b)</w:t>
      </w:r>
      <w:r>
        <w:tab/>
        <w:t>reserved in or over goods in the possession or control of a dealer, being goods of a kind in which the dealer deals in the course of the dealer’s business;</w:t>
      </w:r>
    </w:p>
    <w:p>
      <w:pPr>
        <w:pStyle w:val="Defstart"/>
      </w:pPr>
      <w:r>
        <w:rPr>
          <w:b/>
        </w:rPr>
        <w:tab/>
        <w:t>“</w:t>
      </w:r>
      <w:r>
        <w:rPr>
          <w:rStyle w:val="CharDefText"/>
        </w:rPr>
        <w:t>lease</w:t>
      </w:r>
      <w:r>
        <w:rPr>
          <w:b/>
        </w:rPr>
        <w:t>”</w:t>
      </w:r>
      <w:r>
        <w:t xml:space="preserve"> means a contract for the hiring of goods or for the grant of a licence to use goods and a contract for the hiring or bailment of goods for display purposes but does not include — </w:t>
      </w:r>
    </w:p>
    <w:p>
      <w:pPr>
        <w:pStyle w:val="Defpara"/>
      </w:pPr>
      <w:r>
        <w:tab/>
        <w:t>(a)</w:t>
      </w:r>
      <w:r>
        <w:tab/>
        <w:t>a hire</w:t>
      </w:r>
      <w:r>
        <w:noBreakHyphen/>
        <w:t>purchase agreement; or</w:t>
      </w:r>
    </w:p>
    <w:p>
      <w:pPr>
        <w:pStyle w:val="Defpara"/>
      </w:pPr>
      <w:r>
        <w:tab/>
        <w:t>(b)</w:t>
      </w:r>
      <w:r>
        <w:tab/>
        <w:t xml:space="preserve">a contract for the hiring of or for the grant of a licence to use a vehicle within the meaning of the </w:t>
      </w:r>
      <w:r>
        <w:rPr>
          <w:i/>
        </w:rPr>
        <w:t>Road Traffic Act 1974</w:t>
      </w:r>
      <w:r>
        <w:t xml:space="preserve"> of which the lessor is registered or an applicant for registration as the owner under the </w:t>
      </w:r>
      <w:r>
        <w:rPr>
          <w:i/>
        </w:rPr>
        <w:t>Road Traffic Act 1974</w:t>
      </w:r>
      <w:r>
        <w:t xml:space="preserve"> or a corresponding Act of the Commonwealth or another state or territory of the Commonwealth; or</w:t>
      </w:r>
    </w:p>
    <w:p>
      <w:pPr>
        <w:pStyle w:val="Defpara"/>
      </w:pPr>
      <w:r>
        <w:tab/>
        <w:t>(c)</w:t>
      </w:r>
      <w:r>
        <w:tab/>
        <w:t xml:space="preserve">a contract for the hiring of or for the grant of a licence to use goods, not being a vehicle within the meaning of the </w:t>
      </w:r>
      <w:r>
        <w:rPr>
          <w:i/>
        </w:rPr>
        <w:t>Road Traffic Act 1974</w:t>
      </w:r>
      <w:r>
        <w:t>, under which the lessor does not effectively transfer from the lessor to the lessee substantially all the risks and benefits incident to ownership of the goods;</w:t>
      </w:r>
    </w:p>
    <w:p>
      <w:pPr>
        <w:pStyle w:val="Defstart"/>
      </w:pPr>
      <w:r>
        <w:rPr>
          <w:b/>
        </w:rPr>
        <w:tab/>
        <w:t>“</w:t>
      </w:r>
      <w:r>
        <w:rPr>
          <w:rStyle w:val="CharDefText"/>
        </w:rPr>
        <w:t>lessee</w:t>
      </w:r>
      <w:r>
        <w:rPr>
          <w:b/>
        </w:rPr>
        <w:t>”</w:t>
      </w:r>
      <w:r>
        <w:t xml:space="preserve"> in relation to a lease of goods, means the person to whom the goods are hired under the lease or to whom a licence to use the goods is granted under the lease;</w:t>
      </w:r>
    </w:p>
    <w:p>
      <w:pPr>
        <w:pStyle w:val="Defstart"/>
      </w:pPr>
      <w:r>
        <w:rPr>
          <w:b/>
        </w:rPr>
        <w:tab/>
        <w:t>“</w:t>
      </w:r>
      <w:r>
        <w:rPr>
          <w:rStyle w:val="CharDefText"/>
        </w:rPr>
        <w:t>lessor</w:t>
      </w:r>
      <w:r>
        <w:rPr>
          <w:b/>
        </w:rPr>
        <w:t>”</w:t>
      </w:r>
      <w:r>
        <w:t xml:space="preserve"> in relation to a lease of goods, means the person who hires the goods to another person under the lease or grants to another person under the lease a licence to use the goods;</w:t>
      </w:r>
    </w:p>
    <w:p>
      <w:pPr>
        <w:pStyle w:val="Defstart"/>
      </w:pPr>
      <w:r>
        <w:rPr>
          <w:b/>
        </w:rPr>
        <w:tab/>
        <w:t>“</w:t>
      </w:r>
      <w:r>
        <w:rPr>
          <w:rStyle w:val="CharDefText"/>
        </w:rPr>
        <w:t>owner</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purchase</w:t>
      </w:r>
      <w:r>
        <w:rPr>
          <w:b/>
        </w:rPr>
        <w:t>”</w:t>
      </w:r>
      <w:r>
        <w:t xml:space="preserve"> with respect to goods, means acquire an interest in the goods by way of purchase, exchange, lease or hire</w:t>
      </w:r>
      <w:r>
        <w:noBreakHyphen/>
        <w:t xml:space="preserve">purchase; </w:t>
      </w:r>
    </w:p>
    <w:p>
      <w:pPr>
        <w:pStyle w:val="Defstart"/>
      </w:pPr>
      <w:r>
        <w:rPr>
          <w:b/>
        </w:rPr>
        <w:tab/>
        <w:t>“</w:t>
      </w:r>
      <w:r>
        <w:rPr>
          <w:rStyle w:val="CharDefText"/>
        </w:rPr>
        <w:t>purchase price</w:t>
      </w:r>
      <w:r>
        <w:rPr>
          <w:b/>
        </w:rPr>
        <w:t>”</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pPr>
        <w:pStyle w:val="Defstart"/>
      </w:pPr>
      <w:r>
        <w:rPr>
          <w:b/>
        </w:rPr>
        <w:tab/>
        <w:t>“</w:t>
      </w:r>
      <w:r>
        <w:rPr>
          <w:rStyle w:val="CharDefText"/>
        </w:rPr>
        <w:t>purchaser</w:t>
      </w:r>
      <w:r>
        <w:rPr>
          <w:b/>
        </w:rPr>
        <w:t>”</w:t>
      </w:r>
      <w:r>
        <w:t xml:space="preserve"> means a person who purchases goods but excludes — </w:t>
      </w:r>
    </w:p>
    <w:p>
      <w:pPr>
        <w:pStyle w:val="Defpara"/>
      </w:pPr>
      <w:r>
        <w:tab/>
        <w:t>(a)</w:t>
      </w:r>
      <w:r>
        <w:tab/>
        <w:t>secured party not being a lessor, owner or other supplier of the goods under a lease, hire</w:t>
      </w:r>
      <w:r>
        <w:noBreakHyphen/>
        <w:t xml:space="preserve"> purchase agreement, or other contract for the supply of goods; or</w:t>
      </w:r>
    </w:p>
    <w:p>
      <w:pPr>
        <w:pStyle w:val="Defpara"/>
      </w:pPr>
      <w:r>
        <w:tab/>
        <w:t>(b)</w:t>
      </w:r>
      <w:r>
        <w:tab/>
        <w:t>in relation to unregistrable goods, a dealer;</w:t>
      </w:r>
    </w:p>
    <w:p>
      <w:pPr>
        <w:pStyle w:val="Defstart"/>
      </w:pPr>
      <w:r>
        <w:rPr>
          <w:b/>
        </w:rPr>
        <w:tab/>
        <w:t>“</w:t>
      </w:r>
      <w:r>
        <w:rPr>
          <w:rStyle w:val="CharDefText"/>
        </w:rPr>
        <w:t>register</w:t>
      </w:r>
      <w:r>
        <w:rPr>
          <w:b/>
        </w:rPr>
        <w:t>”</w:t>
      </w:r>
      <w:r>
        <w:t xml:space="preserve"> means of register kept under Part III;</w:t>
      </w:r>
    </w:p>
    <w:p>
      <w:pPr>
        <w:pStyle w:val="Defstart"/>
      </w:pPr>
      <w:r>
        <w:rPr>
          <w:b/>
        </w:rPr>
        <w:tab/>
        <w:t>“</w:t>
      </w:r>
      <w:r>
        <w:rPr>
          <w:rStyle w:val="CharDefText"/>
        </w:rPr>
        <w:t>registrable goods</w:t>
      </w:r>
      <w:r>
        <w:rPr>
          <w:b/>
        </w:rPr>
        <w:t>”</w:t>
      </w:r>
      <w:r>
        <w:t xml:space="preserve"> means goods to which Part III applies;</w:t>
      </w:r>
    </w:p>
    <w:p>
      <w:pPr>
        <w:pStyle w:val="Defstart"/>
      </w:pPr>
      <w:r>
        <w:rPr>
          <w:b/>
        </w:rPr>
        <w:tab/>
        <w:t>“</w:t>
      </w:r>
      <w:r>
        <w:rPr>
          <w:rStyle w:val="CharDefText"/>
        </w:rPr>
        <w:t>registered</w:t>
      </w:r>
      <w:r>
        <w:rPr>
          <w:b/>
        </w:rPr>
        <w:t>”</w:t>
      </w:r>
      <w:r>
        <w:t xml:space="preserve"> means registered under Part III;</w:t>
      </w:r>
    </w:p>
    <w:p>
      <w:pPr>
        <w:pStyle w:val="Defstart"/>
      </w:pPr>
      <w:r>
        <w:rPr>
          <w:b/>
        </w:rPr>
        <w:tab/>
        <w:t>“</w:t>
      </w:r>
      <w:r>
        <w:rPr>
          <w:rStyle w:val="CharDefText"/>
        </w:rPr>
        <w:t>secured party</w:t>
      </w:r>
      <w:r>
        <w:rPr>
          <w:b/>
        </w:rPr>
        <w:t>”</w:t>
      </w:r>
      <w:r>
        <w:t xml:space="preserve"> means the holder of a security interest and includes the lessor in relation to a lease of goods and the owner in relation to a hire</w:t>
      </w:r>
      <w:r>
        <w:noBreakHyphen/>
        <w:t>purchase agreement;</w:t>
      </w:r>
    </w:p>
    <w:p>
      <w:pPr>
        <w:pStyle w:val="Defstart"/>
      </w:pPr>
      <w:r>
        <w:rPr>
          <w:b/>
        </w:rPr>
        <w:tab/>
        <w:t>“</w:t>
      </w:r>
      <w:r>
        <w:rPr>
          <w:rStyle w:val="CharDefText"/>
        </w:rPr>
        <w:t>security interest</w:t>
      </w:r>
      <w:r>
        <w:rPr>
          <w:b/>
        </w:rPr>
        <w: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pPr>
        <w:pStyle w:val="Defstart"/>
      </w:pPr>
      <w:r>
        <w:rPr>
          <w:b/>
        </w:rPr>
        <w:tab/>
        <w:t>“</w:t>
      </w:r>
      <w:r>
        <w:rPr>
          <w:rStyle w:val="CharDefText"/>
        </w:rPr>
        <w:t>supply</w:t>
      </w:r>
      <w:r>
        <w:rPr>
          <w:b/>
        </w:rPr>
        <w:t>”</w:t>
      </w:r>
      <w:r>
        <w:t xml:space="preserve"> in relation to goods, means dispose of an interest in the goods by way of sale, exchange, lease or hire</w:t>
      </w:r>
      <w:r>
        <w:noBreakHyphen/>
        <w:t>purchase;</w:t>
      </w:r>
    </w:p>
    <w:p>
      <w:pPr>
        <w:pStyle w:val="Defstart"/>
      </w:pPr>
      <w:r>
        <w:rPr>
          <w:b/>
        </w:rPr>
        <w:tab/>
        <w:t>“</w:t>
      </w:r>
      <w:r>
        <w:rPr>
          <w:rStyle w:val="CharDefText"/>
        </w:rPr>
        <w:t>unregistrable goods</w:t>
      </w:r>
      <w:r>
        <w:rPr>
          <w:b/>
        </w:rPr>
        <w:t>”</w:t>
      </w:r>
      <w:r>
        <w:t xml:space="preserve"> means goods to which Part III does not apply;</w:t>
      </w:r>
    </w:p>
    <w:p>
      <w:pPr>
        <w:pStyle w:val="Defstart"/>
      </w:pPr>
      <w:r>
        <w:rPr>
          <w:b/>
        </w:rPr>
        <w:tab/>
        <w:t>“</w:t>
      </w:r>
      <w:r>
        <w:rPr>
          <w:rStyle w:val="CharDefText"/>
        </w:rPr>
        <w:t>unregistered security interest</w:t>
      </w:r>
      <w:r>
        <w:rPr>
          <w:b/>
        </w:rPr>
        <w:t>”</w:t>
      </w:r>
      <w:r>
        <w:t xml:space="preserve"> means a security interest which is not registered under Part III.</w:t>
      </w:r>
    </w:p>
    <w:p>
      <w:pPr>
        <w:pStyle w:val="Subsection"/>
        <w:rPr>
          <w:snapToGrid w:val="0"/>
        </w:rPr>
      </w:pPr>
      <w:r>
        <w:rPr>
          <w:snapToGrid w:val="0"/>
        </w:rPr>
        <w:tab/>
        <w:t>(2)</w:t>
      </w:r>
      <w:r>
        <w:rPr>
          <w:snapToGrid w:val="0"/>
        </w:rPr>
        <w:tab/>
        <w:t>This Act applies to a person to whom the rights and obligations of — </w:t>
      </w:r>
    </w:p>
    <w:p>
      <w:pPr>
        <w:pStyle w:val="Indenta"/>
        <w:rPr>
          <w:snapToGrid w:val="0"/>
        </w:rPr>
      </w:pPr>
      <w:r>
        <w:rPr>
          <w:snapToGrid w:val="0"/>
        </w:rPr>
        <w:tab/>
        <w:t>(a)</w:t>
      </w:r>
      <w:r>
        <w:rPr>
          <w:snapToGrid w:val="0"/>
        </w:rPr>
        <w:tab/>
        <w:t>a secured party; or</w:t>
      </w:r>
    </w:p>
    <w:p>
      <w:pPr>
        <w:pStyle w:val="Indenta"/>
        <w:rPr>
          <w:snapToGrid w:val="0"/>
        </w:rPr>
      </w:pPr>
      <w:r>
        <w:rPr>
          <w:snapToGrid w:val="0"/>
        </w:rPr>
        <w:tab/>
        <w:t>(b)</w:t>
      </w:r>
      <w:r>
        <w:rPr>
          <w:snapToGrid w:val="0"/>
        </w:rPr>
        <w:tab/>
        <w:t>a debtor,</w:t>
      </w:r>
    </w:p>
    <w:p>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pPr>
        <w:pStyle w:val="Subsection"/>
        <w:rPr>
          <w:snapToGrid w:val="0"/>
        </w:rPr>
      </w:pPr>
      <w:r>
        <w:rPr>
          <w:snapToGrid w:val="0"/>
        </w:rPr>
        <w:tab/>
        <w:t>(5)</w:t>
      </w:r>
      <w:r>
        <w:rPr>
          <w:snapToGrid w:val="0"/>
        </w:rPr>
        <w:tab/>
        <w:t>For the purposes of this Act, a person has notice of a security interest in goods — </w:t>
      </w:r>
    </w:p>
    <w:p>
      <w:pPr>
        <w:pStyle w:val="Indenta"/>
        <w:rPr>
          <w:snapToGrid w:val="0"/>
        </w:rPr>
      </w:pPr>
      <w:r>
        <w:rPr>
          <w:snapToGrid w:val="0"/>
        </w:rPr>
        <w:tab/>
        <w:t>(a)</w:t>
      </w:r>
      <w:r>
        <w:rPr>
          <w:snapToGrid w:val="0"/>
        </w:rPr>
        <w:tab/>
        <w:t>if the person has actual notice of the security interest; or</w:t>
      </w:r>
    </w:p>
    <w:p>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pPr>
        <w:pStyle w:val="Footnotesection"/>
      </w:pPr>
      <w:r>
        <w:tab/>
        <w:t>[Section</w:t>
      </w:r>
      <w:del w:id="49" w:author="svcMRProcess" w:date="2015-12-09T01:03:00Z">
        <w:r>
          <w:delText xml:space="preserve"> </w:delText>
        </w:r>
      </w:del>
      <w:ins w:id="50" w:author="svcMRProcess" w:date="2015-12-09T01:03:00Z">
        <w:r>
          <w:t> </w:t>
        </w:r>
      </w:ins>
      <w:r>
        <w:t>3 amended by No. 74 of 2003 s. 34; No. 55 of 2004 s. 104.]</w:t>
      </w:r>
    </w:p>
    <w:p>
      <w:pPr>
        <w:pStyle w:val="Heading2"/>
      </w:pPr>
      <w:bookmarkStart w:id="51" w:name="_Toc92444757"/>
      <w:bookmarkStart w:id="52" w:name="_Toc130956220"/>
      <w:bookmarkStart w:id="53" w:name="_Toc131319010"/>
      <w:bookmarkStart w:id="54" w:name="_Toc131319319"/>
      <w:bookmarkStart w:id="55" w:name="_Toc131319354"/>
      <w:bookmarkStart w:id="56" w:name="_Toc131319389"/>
      <w:bookmarkStart w:id="57" w:name="_Toc131319424"/>
      <w:bookmarkStart w:id="58" w:name="_Toc131319459"/>
      <w:bookmarkStart w:id="59" w:name="_Toc131926491"/>
      <w:bookmarkStart w:id="60" w:name="_Toc131926569"/>
      <w:bookmarkStart w:id="61" w:name="_Toc131926640"/>
      <w:bookmarkStart w:id="62" w:name="_Toc131926675"/>
      <w:bookmarkStart w:id="63" w:name="_Toc131927037"/>
      <w:bookmarkStart w:id="64" w:name="_Toc132433603"/>
      <w:bookmarkStart w:id="65" w:name="_Toc132434842"/>
      <w:bookmarkStart w:id="66" w:name="_Toc133139931"/>
      <w:bookmarkStart w:id="67" w:name="_Toc135464359"/>
      <w:r>
        <w:rPr>
          <w:rStyle w:val="CharPartNo"/>
        </w:rPr>
        <w:t>Part II</w:t>
      </w:r>
      <w:r>
        <w:rPr>
          <w:rStyle w:val="CharDivNo"/>
        </w:rPr>
        <w:t> </w:t>
      </w:r>
      <w:r>
        <w:t>—</w:t>
      </w:r>
      <w:r>
        <w:rPr>
          <w:rStyle w:val="CharDivText"/>
        </w:rPr>
        <w:t> </w:t>
      </w:r>
      <w:r>
        <w:rPr>
          <w:rStyle w:val="CharPartText"/>
        </w:rPr>
        <w:t>Security interests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11488834"/>
      <w:bookmarkStart w:id="69" w:name="_Toc131926492"/>
      <w:bookmarkStart w:id="70" w:name="_Toc131926570"/>
      <w:bookmarkStart w:id="71" w:name="_Toc131926676"/>
      <w:bookmarkStart w:id="72" w:name="_Toc135464360"/>
      <w:bookmarkStart w:id="73" w:name="_Toc130956221"/>
      <w:r>
        <w:rPr>
          <w:rStyle w:val="CharSectno"/>
        </w:rPr>
        <w:t>4</w:t>
      </w:r>
      <w:r>
        <w:rPr>
          <w:snapToGrid w:val="0"/>
        </w:rPr>
        <w:t>.</w:t>
      </w:r>
      <w:r>
        <w:rPr>
          <w:snapToGrid w:val="0"/>
        </w:rPr>
        <w:tab/>
        <w:t>Application of Part</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provisions of this Part (other than section 5) apply (notwithstanding anything to the contrary in any other Act or law) to and in respect of a security interest (whether created within or outside Western Australia) if the goods the subject of the security interest — </w:t>
      </w:r>
    </w:p>
    <w:p>
      <w:pPr>
        <w:pStyle w:val="Indenta"/>
        <w:rPr>
          <w:snapToGrid w:val="0"/>
        </w:rPr>
      </w:pPr>
      <w:r>
        <w:rPr>
          <w:snapToGrid w:val="0"/>
        </w:rPr>
        <w:tab/>
        <w:t>(a)</w:t>
      </w:r>
      <w:r>
        <w:rPr>
          <w:snapToGrid w:val="0"/>
        </w:rPr>
        <w:tab/>
        <w:t>are at the date of attachment of the security interest situated in Western Australia; or</w:t>
      </w:r>
    </w:p>
    <w:p>
      <w:pPr>
        <w:pStyle w:val="Indenta"/>
        <w:rPr>
          <w:snapToGrid w:val="0"/>
        </w:rPr>
      </w:pPr>
      <w:r>
        <w:rPr>
          <w:snapToGrid w:val="0"/>
        </w:rPr>
        <w:tab/>
        <w:t>(b)</w:t>
      </w:r>
      <w:r>
        <w:rPr>
          <w:snapToGrid w:val="0"/>
        </w:rPr>
        <w:tab/>
        <w:t>are for the time being situated in Western Australia.</w:t>
      </w:r>
    </w:p>
    <w:p>
      <w:pPr>
        <w:pStyle w:val="Subsection"/>
        <w:rPr>
          <w:snapToGrid w:val="0"/>
        </w:rPr>
      </w:pPr>
      <w:r>
        <w:rPr>
          <w:snapToGrid w:val="0"/>
        </w:rPr>
        <w:tab/>
        <w:t>(2)</w:t>
      </w:r>
      <w:r>
        <w:rPr>
          <w:snapToGrid w:val="0"/>
        </w:rPr>
        <w:tab/>
        <w:t>Section 5 applies (notwithstanding anything to the contrary in any other Act or law) to and in respect of a security interest (whether created within or outside Western Australia) if the goods the subject of the security interest are at the date of attachment of the security interest situated in Western Australia.</w:t>
      </w:r>
    </w:p>
    <w:p>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pPr>
        <w:pStyle w:val="Heading5"/>
        <w:rPr>
          <w:snapToGrid w:val="0"/>
        </w:rPr>
      </w:pPr>
      <w:bookmarkStart w:id="74" w:name="_Toc11488835"/>
      <w:bookmarkStart w:id="75" w:name="_Toc131926493"/>
      <w:bookmarkStart w:id="76" w:name="_Toc131926571"/>
      <w:bookmarkStart w:id="77" w:name="_Toc131926677"/>
      <w:bookmarkStart w:id="78" w:name="_Toc135464361"/>
      <w:bookmarkStart w:id="79" w:name="_Toc130956222"/>
      <w:r>
        <w:rPr>
          <w:rStyle w:val="CharSectno"/>
        </w:rPr>
        <w:t>5</w:t>
      </w:r>
      <w:r>
        <w:rPr>
          <w:snapToGrid w:val="0"/>
        </w:rPr>
        <w:t>.</w:t>
      </w:r>
      <w:r>
        <w:rPr>
          <w:snapToGrid w:val="0"/>
        </w:rPr>
        <w:tab/>
        <w:t>Agreement that security interest is legal interest</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pPr>
        <w:pStyle w:val="Heading5"/>
        <w:rPr>
          <w:snapToGrid w:val="0"/>
        </w:rPr>
      </w:pPr>
      <w:bookmarkStart w:id="80" w:name="_Toc11488836"/>
      <w:bookmarkStart w:id="81" w:name="_Toc131926494"/>
      <w:bookmarkStart w:id="82" w:name="_Toc131926572"/>
      <w:bookmarkStart w:id="83" w:name="_Toc131926678"/>
      <w:bookmarkStart w:id="84" w:name="_Toc135464362"/>
      <w:bookmarkStart w:id="85" w:name="_Toc130956223"/>
      <w:r>
        <w:rPr>
          <w:rStyle w:val="CharSectno"/>
        </w:rPr>
        <w:t>6</w:t>
      </w:r>
      <w:r>
        <w:rPr>
          <w:snapToGrid w:val="0"/>
        </w:rPr>
        <w:t>.</w:t>
      </w:r>
      <w:r>
        <w:rPr>
          <w:snapToGrid w:val="0"/>
        </w:rPr>
        <w:tab/>
        <w:t>Fixtures</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pPr>
        <w:pStyle w:val="Heading5"/>
        <w:rPr>
          <w:snapToGrid w:val="0"/>
        </w:rPr>
      </w:pPr>
      <w:bookmarkStart w:id="86" w:name="_Toc11488837"/>
      <w:bookmarkStart w:id="87" w:name="_Toc131926495"/>
      <w:bookmarkStart w:id="88" w:name="_Toc131926573"/>
      <w:bookmarkStart w:id="89" w:name="_Toc131926679"/>
      <w:bookmarkStart w:id="90" w:name="_Toc135464363"/>
      <w:bookmarkStart w:id="91" w:name="_Toc130956224"/>
      <w:r>
        <w:rPr>
          <w:rStyle w:val="CharSectno"/>
        </w:rPr>
        <w:t>7</w:t>
      </w:r>
      <w:r>
        <w:rPr>
          <w:snapToGrid w:val="0"/>
        </w:rPr>
        <w:t>.</w:t>
      </w:r>
      <w:r>
        <w:rPr>
          <w:snapToGrid w:val="0"/>
        </w:rPr>
        <w:tab/>
        <w:t>Extinguishing of security interest</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Subject to section 8, if a secured party has — </w:t>
      </w:r>
    </w:p>
    <w:p>
      <w:pPr>
        <w:pStyle w:val="Indenta"/>
        <w:rPr>
          <w:snapToGrid w:val="0"/>
        </w:rPr>
      </w:pPr>
      <w:r>
        <w:rPr>
          <w:snapToGrid w:val="0"/>
        </w:rPr>
        <w:tab/>
        <w:t>(a)</w:t>
      </w:r>
      <w:r>
        <w:rPr>
          <w:snapToGrid w:val="0"/>
        </w:rPr>
        <w:tab/>
        <w:t>an unregistered security interest (whether or not over registrable goods); or</w:t>
      </w:r>
    </w:p>
    <w:p>
      <w:pPr>
        <w:pStyle w:val="Indenta"/>
        <w:rPr>
          <w:snapToGrid w:val="0"/>
        </w:rPr>
      </w:pPr>
      <w:r>
        <w:rPr>
          <w:snapToGrid w:val="0"/>
        </w:rPr>
        <w:tab/>
        <w:t>(b)</w:t>
      </w:r>
      <w:r>
        <w:rPr>
          <w:snapToGrid w:val="0"/>
        </w:rPr>
        <w:tab/>
        <w:t>a registered inventory security interest,</w:t>
      </w:r>
    </w:p>
    <w:p>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pPr>
        <w:pStyle w:val="Indenta"/>
        <w:rPr>
          <w:snapToGrid w:val="0"/>
        </w:rPr>
      </w:pPr>
      <w:r>
        <w:rPr>
          <w:snapToGrid w:val="0"/>
        </w:rPr>
        <w:tab/>
        <w:t>(c)</w:t>
      </w:r>
      <w:r>
        <w:rPr>
          <w:snapToGrid w:val="0"/>
        </w:rPr>
        <w:tab/>
        <w:t>the debtor; or</w:t>
      </w:r>
    </w:p>
    <w:p>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pPr>
        <w:pStyle w:val="Subsection"/>
        <w:rPr>
          <w:snapToGrid w:val="0"/>
        </w:rPr>
      </w:pPr>
      <w:r>
        <w:rPr>
          <w:snapToGrid w:val="0"/>
        </w:rPr>
        <w:tab/>
      </w:r>
      <w:r>
        <w:rPr>
          <w:snapToGrid w:val="0"/>
        </w:rPr>
        <w:tab/>
        <w:t>the security interest of the secured party is extinguished.</w:t>
      </w:r>
    </w:p>
    <w:p>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pPr>
        <w:pStyle w:val="Indenta"/>
      </w:pPr>
      <w:r>
        <w:tab/>
        <w:t>(a)</w:t>
      </w:r>
      <w:r>
        <w:tab/>
        <w:t>a motor vehicle dealer licensed; or</w:t>
      </w:r>
    </w:p>
    <w:p>
      <w:pPr>
        <w:pStyle w:val="Indenta"/>
      </w:pPr>
      <w:r>
        <w:tab/>
        <w:t>(b)</w:t>
      </w:r>
      <w:r>
        <w:tab/>
        <w:t>a car market operator registered,</w:t>
      </w:r>
    </w:p>
    <w:p>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pPr>
        <w:pStyle w:val="Subsection"/>
        <w:rPr>
          <w:snapToGrid w:val="0"/>
        </w:rPr>
      </w:pPr>
      <w:r>
        <w:rPr>
          <w:snapToGrid w:val="0"/>
        </w:rPr>
        <w:tab/>
        <w:t>(5)</w:t>
      </w:r>
      <w:r>
        <w:rPr>
          <w:snapToGrid w:val="0"/>
        </w:rPr>
        <w:tab/>
        <w:t>The provisions of subsection (1) do not apply to or in respect of — </w:t>
      </w:r>
    </w:p>
    <w:p>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pPr>
        <w:pStyle w:val="Indenta"/>
        <w:rPr>
          <w:snapToGrid w:val="0"/>
        </w:rPr>
      </w:pPr>
      <w:r>
        <w:rPr>
          <w:snapToGrid w:val="0"/>
        </w:rPr>
        <w:tab/>
        <w:t>(b)</w:t>
      </w:r>
      <w:r>
        <w:rPr>
          <w:snapToGrid w:val="0"/>
        </w:rPr>
        <w:tab/>
        <w:t xml:space="preserve">a purchase or purported purchase of a motor vehicle within the meaning of the </w:t>
      </w:r>
      <w:r>
        <w:rPr>
          <w:i/>
          <w:snapToGrid w:val="0"/>
        </w:rPr>
        <w:t>Road Traffic Act 1974</w:t>
      </w:r>
      <w:r>
        <w:rPr>
          <w:snapToGrid w:val="0"/>
        </w:rPr>
        <w:t xml:space="preserve"> or a trailer, caravan or semi</w:t>
      </w:r>
      <w:r>
        <w:rPr>
          <w:snapToGrid w:val="0"/>
        </w:rPr>
        <w:noBreakHyphen/>
        <w:t>trailer described in the First Schedule to that Act, being a motor vehicle, trailer, caravan or semi</w:t>
      </w:r>
      <w:r>
        <w:rPr>
          <w:snapToGrid w:val="0"/>
        </w:rPr>
        <w:noBreakHyphen/>
        <w:t xml:space="preserve">trailer which is not licensed under the </w:t>
      </w:r>
      <w:r>
        <w:rPr>
          <w:i/>
          <w:snapToGrid w:val="0"/>
        </w:rPr>
        <w:t>Road Traffic Act 1974</w:t>
      </w:r>
      <w:r>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pPr>
        <w:pStyle w:val="Subsection"/>
        <w:rPr>
          <w:snapToGrid w:val="0"/>
        </w:rPr>
      </w:pPr>
      <w:r>
        <w:rPr>
          <w:snapToGrid w:val="0"/>
        </w:rPr>
        <w:tab/>
        <w:t>(6)</w:t>
      </w:r>
      <w:r>
        <w:rPr>
          <w:snapToGrid w:val="0"/>
        </w:rPr>
        <w:tab/>
        <w:t xml:space="preserve">Section 25(2) of the </w:t>
      </w:r>
      <w:r>
        <w:rPr>
          <w:i/>
          <w:snapToGrid w:val="0"/>
        </w:rPr>
        <w:t>Sale of Goods Act 1895</w:t>
      </w:r>
      <w:r>
        <w:rPr>
          <w:snapToGrid w:val="0"/>
        </w:rPr>
        <w:t xml:space="preserve"> has no effect in relation to the delivery or transfer of goods or documents of title to goods if — </w:t>
      </w:r>
    </w:p>
    <w:p>
      <w:pPr>
        <w:pStyle w:val="Indenta"/>
        <w:rPr>
          <w:snapToGrid w:val="0"/>
        </w:rPr>
      </w:pPr>
      <w:r>
        <w:rPr>
          <w:snapToGrid w:val="0"/>
        </w:rPr>
        <w:tab/>
        <w:t>(a)</w:t>
      </w:r>
      <w:r>
        <w:rPr>
          <w:snapToGrid w:val="0"/>
        </w:rPr>
        <w:tab/>
        <w:t>the goods are registrable goods;</w:t>
      </w:r>
    </w:p>
    <w:p>
      <w:pPr>
        <w:pStyle w:val="Indenta"/>
        <w:rPr>
          <w:snapToGrid w:val="0"/>
        </w:rPr>
      </w:pPr>
      <w:r>
        <w:rPr>
          <w:snapToGrid w:val="0"/>
        </w:rPr>
        <w:tab/>
        <w:t>(b)</w:t>
      </w:r>
      <w:r>
        <w:rPr>
          <w:snapToGrid w:val="0"/>
        </w:rPr>
        <w:tab/>
      </w:r>
      <w:r>
        <w:rPr>
          <w:snapToGrid w:val="0"/>
          <w:spacing w:val="-4"/>
        </w:rPr>
        <w:t>the purchase price of the goods does not exceed $20 000;</w:t>
      </w:r>
    </w:p>
    <w:p>
      <w:pPr>
        <w:pStyle w:val="Indenta"/>
        <w:rPr>
          <w:snapToGrid w:val="0"/>
        </w:rPr>
      </w:pPr>
      <w:r>
        <w:rPr>
          <w:snapToGrid w:val="0"/>
        </w:rPr>
        <w:tab/>
        <w:t>(c)</w:t>
      </w:r>
      <w:r>
        <w:rPr>
          <w:snapToGrid w:val="0"/>
        </w:rPr>
        <w:tab/>
      </w:r>
      <w:r>
        <w:rPr>
          <w:snapToGrid w:val="0"/>
          <w:spacing w:val="-4"/>
        </w:rPr>
        <w:t>the goods are a commercial vehicle or farm machinery; or</w:t>
      </w:r>
    </w:p>
    <w:p>
      <w:pPr>
        <w:pStyle w:val="Indenta"/>
        <w:rPr>
          <w:snapToGrid w:val="0"/>
        </w:rPr>
      </w:pPr>
      <w:r>
        <w:rPr>
          <w:snapToGrid w:val="0"/>
        </w:rPr>
        <w:tab/>
        <w:t>(d)</w:t>
      </w:r>
      <w:r>
        <w:rPr>
          <w:snapToGrid w:val="0"/>
        </w:rPr>
        <w:tab/>
        <w:t xml:space="preserve">the goods are a motor vehicle within the meaning of the </w:t>
      </w:r>
      <w:r>
        <w:rPr>
          <w:i/>
          <w:snapToGrid w:val="0"/>
        </w:rPr>
        <w:t>Road Traffic Act 1974</w:t>
      </w:r>
      <w:r>
        <w:rPr>
          <w:snapToGrid w:val="0"/>
        </w:rPr>
        <w:t xml:space="preserve"> or a trailer, caravan or semi</w:t>
      </w:r>
      <w:r>
        <w:rPr>
          <w:snapToGrid w:val="0"/>
        </w:rPr>
        <w:noBreakHyphen/>
        <w:t>trailer described in the First Schedule to that Act, being a motor vehicle, trailer, caravan or semi</w:t>
      </w:r>
      <w:r>
        <w:rPr>
          <w:snapToGrid w:val="0"/>
        </w:rPr>
        <w:noBreakHyphen/>
        <w:t xml:space="preserve">trailer which is not licensed under the </w:t>
      </w:r>
      <w:r>
        <w:rPr>
          <w:i/>
          <w:snapToGrid w:val="0"/>
        </w:rPr>
        <w:t>Road Traffic Act 1974</w:t>
      </w:r>
      <w:r>
        <w:rPr>
          <w:snapToGrid w:val="0"/>
        </w:rPr>
        <w:t xml:space="preserve"> but is registered or licensed under the law of another State or of a Territory and there is in force in that State or Territory a law declared under section 3(8) to be a corresponding law for the purposes of this Act.</w:t>
      </w:r>
    </w:p>
    <w:p>
      <w:pPr>
        <w:pStyle w:val="Subsection"/>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pPr>
        <w:pStyle w:val="Subsection"/>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pPr>
        <w:pStyle w:val="Subsection"/>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pPr>
        <w:pStyle w:val="Footnotesection"/>
      </w:pPr>
      <w:r>
        <w:tab/>
        <w:t xml:space="preserve">[Section 7 amended by No. 4 of 2002 s. 70; </w:t>
      </w:r>
      <w:del w:id="92" w:author="svcMRProcess" w:date="2015-12-09T01:03:00Z">
        <w:r>
          <w:delText>(</w:delText>
        </w:r>
      </w:del>
      <w:r>
        <w:t>Correction to reprint 24 Mar 2006 p. 1102</w:t>
      </w:r>
      <w:del w:id="93" w:author="svcMRProcess" w:date="2015-12-09T01:03:00Z">
        <w:r>
          <w:delText>).]</w:delText>
        </w:r>
      </w:del>
      <w:ins w:id="94" w:author="svcMRProcess" w:date="2015-12-09T01:03:00Z">
        <w:r>
          <w:t>.]</w:t>
        </w:r>
      </w:ins>
    </w:p>
    <w:p>
      <w:pPr>
        <w:pStyle w:val="Heading5"/>
        <w:rPr>
          <w:snapToGrid w:val="0"/>
        </w:rPr>
      </w:pPr>
      <w:bookmarkStart w:id="95" w:name="_Toc11488838"/>
      <w:bookmarkStart w:id="96" w:name="_Toc131926496"/>
      <w:bookmarkStart w:id="97" w:name="_Toc131926574"/>
      <w:bookmarkStart w:id="98" w:name="_Toc131926680"/>
      <w:bookmarkStart w:id="99" w:name="_Toc135464364"/>
      <w:bookmarkStart w:id="100" w:name="_Toc130956225"/>
      <w:r>
        <w:rPr>
          <w:rStyle w:val="CharSectno"/>
        </w:rPr>
        <w:t>8</w:t>
      </w:r>
      <w:r>
        <w:rPr>
          <w:snapToGrid w:val="0"/>
        </w:rPr>
        <w:t>.</w:t>
      </w:r>
      <w:r>
        <w:rPr>
          <w:snapToGrid w:val="0"/>
        </w:rPr>
        <w:tab/>
        <w:t>Purchase for value in good faith</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pPr>
        <w:pStyle w:val="Indenta"/>
        <w:rPr>
          <w:snapToGrid w:val="0"/>
        </w:rPr>
      </w:pPr>
      <w:r>
        <w:rPr>
          <w:snapToGrid w:val="0"/>
        </w:rPr>
        <w:tab/>
        <w:t>(a)</w:t>
      </w:r>
      <w:r>
        <w:rPr>
          <w:snapToGrid w:val="0"/>
        </w:rPr>
        <w:tab/>
        <w:t>the purchaser is a member of the same household as is the supplier or purported supplier of the goods;</w:t>
      </w:r>
    </w:p>
    <w:p>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pPr>
        <w:pStyle w:val="Footnotesection"/>
      </w:pPr>
      <w:r>
        <w:tab/>
        <w:t>[Section</w:t>
      </w:r>
      <w:del w:id="101" w:author="svcMRProcess" w:date="2015-12-09T01:03:00Z">
        <w:r>
          <w:delText xml:space="preserve"> </w:delText>
        </w:r>
      </w:del>
      <w:ins w:id="102" w:author="svcMRProcess" w:date="2015-12-09T01:03:00Z">
        <w:r>
          <w:t> </w:t>
        </w:r>
      </w:ins>
      <w:r>
        <w:t>8 amended by No. 20 of 2003 s. 12.]</w:t>
      </w:r>
    </w:p>
    <w:p>
      <w:pPr>
        <w:pStyle w:val="Heading5"/>
        <w:rPr>
          <w:snapToGrid w:val="0"/>
        </w:rPr>
      </w:pPr>
      <w:bookmarkStart w:id="103" w:name="_Toc11488839"/>
      <w:bookmarkStart w:id="104" w:name="_Toc131926497"/>
      <w:bookmarkStart w:id="105" w:name="_Toc131926575"/>
      <w:bookmarkStart w:id="106" w:name="_Toc131926681"/>
      <w:bookmarkStart w:id="107" w:name="_Toc135464365"/>
      <w:bookmarkStart w:id="108" w:name="_Toc130956226"/>
      <w:r>
        <w:rPr>
          <w:rStyle w:val="CharSectno"/>
        </w:rPr>
        <w:t>9</w:t>
      </w:r>
      <w:r>
        <w:rPr>
          <w:snapToGrid w:val="0"/>
        </w:rPr>
        <w:t>.</w:t>
      </w:r>
      <w:r>
        <w:rPr>
          <w:snapToGrid w:val="0"/>
        </w:rPr>
        <w:tab/>
        <w:t>Extinguishing of subsequent security interests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pPr>
        <w:pStyle w:val="Subsection"/>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pPr>
        <w:pStyle w:val="Heading5"/>
        <w:rPr>
          <w:snapToGrid w:val="0"/>
        </w:rPr>
      </w:pPr>
      <w:bookmarkStart w:id="109" w:name="_Toc11488840"/>
      <w:bookmarkStart w:id="110" w:name="_Toc131926498"/>
      <w:bookmarkStart w:id="111" w:name="_Toc131926576"/>
      <w:bookmarkStart w:id="112" w:name="_Toc131926682"/>
      <w:bookmarkStart w:id="113" w:name="_Toc135464366"/>
      <w:bookmarkStart w:id="114" w:name="_Toc130956227"/>
      <w:r>
        <w:rPr>
          <w:rStyle w:val="CharSectno"/>
        </w:rPr>
        <w:t>10</w:t>
      </w:r>
      <w:r>
        <w:rPr>
          <w:snapToGrid w:val="0"/>
        </w:rPr>
        <w:t>.</w:t>
      </w:r>
      <w:r>
        <w:rPr>
          <w:snapToGrid w:val="0"/>
        </w:rPr>
        <w:tab/>
        <w:t>Priority of security interests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pPr>
        <w:pStyle w:val="Footnotesection"/>
      </w:pPr>
      <w:bookmarkStart w:id="115" w:name="_Toc11488841"/>
      <w:r>
        <w:tab/>
        <w:t>[Section</w:t>
      </w:r>
      <w:del w:id="116" w:author="svcMRProcess" w:date="2015-12-09T01:03:00Z">
        <w:r>
          <w:delText xml:space="preserve"> </w:delText>
        </w:r>
      </w:del>
      <w:ins w:id="117" w:author="svcMRProcess" w:date="2015-12-09T01:03:00Z">
        <w:r>
          <w:t> </w:t>
        </w:r>
      </w:ins>
      <w:r>
        <w:t>10 amended by No. 20 of 2003 s. 13.]</w:t>
      </w:r>
    </w:p>
    <w:p>
      <w:pPr>
        <w:pStyle w:val="Heading5"/>
        <w:rPr>
          <w:snapToGrid w:val="0"/>
        </w:rPr>
      </w:pPr>
      <w:bookmarkStart w:id="118" w:name="_Toc131926499"/>
      <w:bookmarkStart w:id="119" w:name="_Toc131926577"/>
      <w:bookmarkStart w:id="120" w:name="_Toc131926683"/>
      <w:bookmarkStart w:id="121" w:name="_Toc135464367"/>
      <w:bookmarkStart w:id="122" w:name="_Toc130956228"/>
      <w:r>
        <w:rPr>
          <w:rStyle w:val="CharSectno"/>
        </w:rPr>
        <w:t>11</w:t>
      </w:r>
      <w:r>
        <w:rPr>
          <w:snapToGrid w:val="0"/>
        </w:rPr>
        <w:t>.</w:t>
      </w:r>
      <w:r>
        <w:rPr>
          <w:snapToGrid w:val="0"/>
        </w:rPr>
        <w:tab/>
        <w:t>Extinguishing etc. of security interest under corresponding law</w:t>
      </w:r>
      <w:bookmarkEnd w:id="115"/>
      <w:bookmarkEnd w:id="118"/>
      <w:bookmarkEnd w:id="119"/>
      <w:bookmarkEnd w:id="120"/>
      <w:bookmarkEnd w:id="121"/>
      <w:bookmarkEnd w:id="122"/>
      <w:r>
        <w:rPr>
          <w:snapToGrid w:val="0"/>
        </w:rPr>
        <w:t xml:space="preserve"> </w:t>
      </w:r>
    </w:p>
    <w:p>
      <w:pPr>
        <w:pStyle w:val="Subsection"/>
        <w:spacing w:before="120"/>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pPr>
        <w:pStyle w:val="Subsection"/>
        <w:spacing w:before="120"/>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pPr>
        <w:pStyle w:val="Heading5"/>
        <w:rPr>
          <w:snapToGrid w:val="0"/>
        </w:rPr>
      </w:pPr>
      <w:bookmarkStart w:id="123" w:name="_Toc11488842"/>
      <w:bookmarkStart w:id="124" w:name="_Toc131926500"/>
      <w:bookmarkStart w:id="125" w:name="_Toc131926578"/>
      <w:bookmarkStart w:id="126" w:name="_Toc131926684"/>
      <w:bookmarkStart w:id="127" w:name="_Toc135464368"/>
      <w:bookmarkStart w:id="128" w:name="_Toc130956229"/>
      <w:r>
        <w:rPr>
          <w:rStyle w:val="CharSectno"/>
        </w:rPr>
        <w:t>12</w:t>
      </w:r>
      <w:r>
        <w:rPr>
          <w:snapToGrid w:val="0"/>
        </w:rPr>
        <w:t>.</w:t>
      </w:r>
      <w:r>
        <w:rPr>
          <w:snapToGrid w:val="0"/>
        </w:rPr>
        <w:tab/>
        <w:t>Regulations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pPr>
        <w:pStyle w:val="Heading2"/>
      </w:pPr>
      <w:bookmarkStart w:id="129" w:name="_Toc92444767"/>
      <w:bookmarkStart w:id="130" w:name="_Toc130956230"/>
      <w:bookmarkStart w:id="131" w:name="_Toc131319020"/>
      <w:bookmarkStart w:id="132" w:name="_Toc131319329"/>
      <w:bookmarkStart w:id="133" w:name="_Toc131319364"/>
      <w:bookmarkStart w:id="134" w:name="_Toc131319399"/>
      <w:bookmarkStart w:id="135" w:name="_Toc131319434"/>
      <w:bookmarkStart w:id="136" w:name="_Toc131319469"/>
      <w:bookmarkStart w:id="137" w:name="_Toc131926501"/>
      <w:bookmarkStart w:id="138" w:name="_Toc131926579"/>
      <w:bookmarkStart w:id="139" w:name="_Toc131926650"/>
      <w:bookmarkStart w:id="140" w:name="_Toc131926685"/>
      <w:bookmarkStart w:id="141" w:name="_Toc131927047"/>
      <w:bookmarkStart w:id="142" w:name="_Toc132433613"/>
      <w:bookmarkStart w:id="143" w:name="_Toc132434852"/>
      <w:bookmarkStart w:id="144" w:name="_Toc133139941"/>
      <w:bookmarkStart w:id="145" w:name="_Toc135464369"/>
      <w:r>
        <w:rPr>
          <w:rStyle w:val="CharPartNo"/>
        </w:rPr>
        <w:t>Part III</w:t>
      </w:r>
      <w:r>
        <w:rPr>
          <w:rStyle w:val="CharDivNo"/>
        </w:rPr>
        <w:t> </w:t>
      </w:r>
      <w:r>
        <w:t>—</w:t>
      </w:r>
      <w:r>
        <w:rPr>
          <w:rStyle w:val="CharDivText"/>
        </w:rPr>
        <w:t> </w:t>
      </w:r>
      <w:r>
        <w:rPr>
          <w:rStyle w:val="CharPartText"/>
        </w:rPr>
        <w:t>Registrable goods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11488843"/>
      <w:bookmarkStart w:id="147" w:name="_Toc131926502"/>
      <w:bookmarkStart w:id="148" w:name="_Toc131926580"/>
      <w:bookmarkStart w:id="149" w:name="_Toc131926686"/>
      <w:bookmarkStart w:id="150" w:name="_Toc135464370"/>
      <w:bookmarkStart w:id="151" w:name="_Toc130956231"/>
      <w:r>
        <w:rPr>
          <w:rStyle w:val="CharSectno"/>
        </w:rPr>
        <w:t>13</w:t>
      </w:r>
      <w:r>
        <w:rPr>
          <w:snapToGrid w:val="0"/>
        </w:rPr>
        <w:t>.</w:t>
      </w:r>
      <w:r>
        <w:rPr>
          <w:snapToGrid w:val="0"/>
        </w:rPr>
        <w:tab/>
        <w:t>Application of Part</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goods to which this Part applies are — </w:t>
      </w:r>
    </w:p>
    <w:p>
      <w:pPr>
        <w:pStyle w:val="Indenta"/>
        <w:rPr>
          <w:snapToGrid w:val="0"/>
        </w:rPr>
      </w:pPr>
      <w:r>
        <w:rPr>
          <w:snapToGrid w:val="0"/>
        </w:rPr>
        <w:tab/>
        <w:t>(a)</w:t>
      </w:r>
      <w:r>
        <w:rPr>
          <w:snapToGrid w:val="0"/>
        </w:rPr>
        <w:tab/>
        <w:t xml:space="preserve">motor vehicles within the meaning of the </w:t>
      </w:r>
      <w:r>
        <w:rPr>
          <w:i/>
          <w:snapToGrid w:val="0"/>
        </w:rPr>
        <w:t>Road Traffic Act 1974</w:t>
      </w:r>
      <w:r>
        <w:rPr>
          <w:snapToGrid w:val="0"/>
        </w:rPr>
        <w:t>, being motor vehicles that, unless the regulations otherwise provide, are, or have been, licensed under that Act;</w:t>
      </w:r>
    </w:p>
    <w:p>
      <w:pPr>
        <w:pStyle w:val="Indenta"/>
        <w:rPr>
          <w:snapToGrid w:val="0"/>
        </w:rPr>
      </w:pPr>
      <w:r>
        <w:rPr>
          <w:snapToGrid w:val="0"/>
        </w:rPr>
        <w:tab/>
        <w:t>(b)</w:t>
      </w:r>
      <w:r>
        <w:rPr>
          <w:snapToGrid w:val="0"/>
        </w:rPr>
        <w:tab/>
        <w:t>trailers, caravans and semi</w:t>
      </w:r>
      <w:r>
        <w:rPr>
          <w:snapToGrid w:val="0"/>
        </w:rPr>
        <w:noBreakHyphen/>
        <w:t xml:space="preserve">trailers described in the First Schedule to the </w:t>
      </w:r>
      <w:r>
        <w:rPr>
          <w:i/>
          <w:snapToGrid w:val="0"/>
        </w:rPr>
        <w:t>Road Traffic Act 1974</w:t>
      </w:r>
      <w:r>
        <w:rPr>
          <w:snapToGrid w:val="0"/>
        </w:rPr>
        <w:t>, being trailers, caravans and semi</w:t>
      </w:r>
      <w:r>
        <w:rPr>
          <w:snapToGrid w:val="0"/>
        </w:rPr>
        <w:noBreakHyphen/>
        <w:t>trailers that, unless the regulations otherwise provide, are, or have been, licensed under that Act;</w:t>
      </w:r>
    </w:p>
    <w:p>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pPr>
        <w:pStyle w:val="Indenta"/>
        <w:rPr>
          <w:snapToGrid w:val="0"/>
        </w:rPr>
      </w:pPr>
      <w:r>
        <w:rPr>
          <w:snapToGrid w:val="0"/>
        </w:rPr>
        <w:tab/>
        <w:t>(d)</w:t>
      </w:r>
      <w:r>
        <w:rPr>
          <w:snapToGrid w:val="0"/>
        </w:rPr>
        <w:tab/>
        <w:t>prescribed goods.</w:t>
      </w:r>
    </w:p>
    <w:p>
      <w:pPr>
        <w:pStyle w:val="Heading5"/>
        <w:rPr>
          <w:snapToGrid w:val="0"/>
        </w:rPr>
      </w:pPr>
      <w:bookmarkStart w:id="152" w:name="_Toc11488844"/>
      <w:bookmarkStart w:id="153" w:name="_Toc131926503"/>
      <w:bookmarkStart w:id="154" w:name="_Toc131926581"/>
      <w:bookmarkStart w:id="155" w:name="_Toc131926687"/>
      <w:bookmarkStart w:id="156" w:name="_Toc135464371"/>
      <w:bookmarkStart w:id="157" w:name="_Toc130956232"/>
      <w:r>
        <w:rPr>
          <w:rStyle w:val="CharSectno"/>
        </w:rPr>
        <w:t>14</w:t>
      </w:r>
      <w:r>
        <w:rPr>
          <w:snapToGrid w:val="0"/>
        </w:rPr>
        <w:t>.</w:t>
      </w:r>
      <w:r>
        <w:rPr>
          <w:snapToGrid w:val="0"/>
        </w:rPr>
        <w:tab/>
        <w:t>Register</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pPr>
        <w:pStyle w:val="Heading5"/>
        <w:rPr>
          <w:snapToGrid w:val="0"/>
        </w:rPr>
      </w:pPr>
      <w:bookmarkStart w:id="158" w:name="_Toc11488845"/>
      <w:bookmarkStart w:id="159" w:name="_Toc131926504"/>
      <w:bookmarkStart w:id="160" w:name="_Toc131926582"/>
      <w:bookmarkStart w:id="161" w:name="_Toc131926688"/>
      <w:bookmarkStart w:id="162" w:name="_Toc135464372"/>
      <w:bookmarkStart w:id="163" w:name="_Toc130956233"/>
      <w:r>
        <w:rPr>
          <w:rStyle w:val="CharSectno"/>
        </w:rPr>
        <w:t>15</w:t>
      </w:r>
      <w:r>
        <w:rPr>
          <w:snapToGrid w:val="0"/>
        </w:rPr>
        <w:t>.</w:t>
      </w:r>
      <w:r>
        <w:rPr>
          <w:snapToGrid w:val="0"/>
        </w:rPr>
        <w:tab/>
        <w:t>Registration of security interest</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 person may make application to the Commissioner for registration of a security interest in registrable goods.</w:t>
      </w:r>
    </w:p>
    <w:p>
      <w:pPr>
        <w:pStyle w:val="Subsection"/>
        <w:rPr>
          <w:snapToGrid w:val="0"/>
        </w:rPr>
      </w:pPr>
      <w:r>
        <w:rPr>
          <w:snapToGrid w:val="0"/>
        </w:rPr>
        <w:tab/>
        <w:t>(2)</w:t>
      </w:r>
      <w:r>
        <w:rPr>
          <w:snapToGrid w:val="0"/>
        </w:rPr>
        <w:tab/>
        <w:t>An application under subsection (1) shall be in or to the effect of the approved form.</w:t>
      </w:r>
    </w:p>
    <w:p>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pPr>
        <w:pStyle w:val="Heading5"/>
        <w:rPr>
          <w:snapToGrid w:val="0"/>
        </w:rPr>
      </w:pPr>
      <w:bookmarkStart w:id="164" w:name="_Toc11488846"/>
      <w:bookmarkStart w:id="165" w:name="_Toc131926505"/>
      <w:bookmarkStart w:id="166" w:name="_Toc131926583"/>
      <w:bookmarkStart w:id="167" w:name="_Toc131926689"/>
      <w:bookmarkStart w:id="168" w:name="_Toc135464373"/>
      <w:bookmarkStart w:id="169" w:name="_Toc130956234"/>
      <w:r>
        <w:rPr>
          <w:rStyle w:val="CharSectno"/>
        </w:rPr>
        <w:t>16</w:t>
      </w:r>
      <w:r>
        <w:rPr>
          <w:snapToGrid w:val="0"/>
        </w:rPr>
        <w:t>.</w:t>
      </w:r>
      <w:r>
        <w:rPr>
          <w:snapToGrid w:val="0"/>
        </w:rPr>
        <w:tab/>
        <w:t>Offence</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pPr>
        <w:pStyle w:val="Heading5"/>
        <w:rPr>
          <w:snapToGrid w:val="0"/>
        </w:rPr>
      </w:pPr>
      <w:bookmarkStart w:id="170" w:name="_Toc11488847"/>
      <w:bookmarkStart w:id="171" w:name="_Toc131926506"/>
      <w:bookmarkStart w:id="172" w:name="_Toc131926584"/>
      <w:bookmarkStart w:id="173" w:name="_Toc131926690"/>
      <w:bookmarkStart w:id="174" w:name="_Toc135464374"/>
      <w:bookmarkStart w:id="175" w:name="_Toc130956235"/>
      <w:r>
        <w:rPr>
          <w:rStyle w:val="CharSectno"/>
        </w:rPr>
        <w:t>17</w:t>
      </w:r>
      <w:r>
        <w:rPr>
          <w:snapToGrid w:val="0"/>
        </w:rPr>
        <w:t>.</w:t>
      </w:r>
      <w:r>
        <w:rPr>
          <w:snapToGrid w:val="0"/>
        </w:rPr>
        <w:tab/>
        <w:t>Cancellation of registration</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pPr>
        <w:pStyle w:val="Heading5"/>
        <w:rPr>
          <w:snapToGrid w:val="0"/>
        </w:rPr>
      </w:pPr>
      <w:bookmarkStart w:id="176" w:name="_Toc11488848"/>
      <w:bookmarkStart w:id="177" w:name="_Toc131926507"/>
      <w:bookmarkStart w:id="178" w:name="_Toc131926585"/>
      <w:bookmarkStart w:id="179" w:name="_Toc131926691"/>
      <w:bookmarkStart w:id="180" w:name="_Toc135464375"/>
      <w:bookmarkStart w:id="181" w:name="_Toc130956236"/>
      <w:r>
        <w:rPr>
          <w:rStyle w:val="CharSectno"/>
        </w:rPr>
        <w:t>18</w:t>
      </w:r>
      <w:r>
        <w:rPr>
          <w:snapToGrid w:val="0"/>
        </w:rPr>
        <w:t>.</w:t>
      </w:r>
      <w:r>
        <w:rPr>
          <w:snapToGrid w:val="0"/>
        </w:rPr>
        <w:tab/>
        <w:t>Discharge of registered security interest</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pPr>
        <w:pStyle w:val="Penstart"/>
        <w:rPr>
          <w:snapToGrid w:val="0"/>
        </w:rPr>
      </w:pPr>
      <w:r>
        <w:rPr>
          <w:snapToGrid w:val="0"/>
        </w:rPr>
        <w:tab/>
        <w:t>Penalty: $500.</w:t>
      </w:r>
    </w:p>
    <w:p>
      <w:pPr>
        <w:pStyle w:val="Heading5"/>
        <w:rPr>
          <w:snapToGrid w:val="0"/>
        </w:rPr>
      </w:pPr>
      <w:bookmarkStart w:id="182" w:name="_Toc11488849"/>
      <w:bookmarkStart w:id="183" w:name="_Toc131926508"/>
      <w:bookmarkStart w:id="184" w:name="_Toc131926586"/>
      <w:bookmarkStart w:id="185" w:name="_Toc131926692"/>
      <w:bookmarkStart w:id="186" w:name="_Toc135464376"/>
      <w:bookmarkStart w:id="187" w:name="_Toc130956237"/>
      <w:r>
        <w:rPr>
          <w:rStyle w:val="CharSectno"/>
        </w:rPr>
        <w:t>19</w:t>
      </w:r>
      <w:r>
        <w:rPr>
          <w:snapToGrid w:val="0"/>
        </w:rPr>
        <w:t>.</w:t>
      </w:r>
      <w:r>
        <w:rPr>
          <w:snapToGrid w:val="0"/>
        </w:rPr>
        <w:tab/>
        <w:t>Commissioner to cancel registration</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pPr>
        <w:pStyle w:val="Heading5"/>
        <w:rPr>
          <w:snapToGrid w:val="0"/>
        </w:rPr>
      </w:pPr>
      <w:bookmarkStart w:id="188" w:name="_Toc11488850"/>
      <w:bookmarkStart w:id="189" w:name="_Toc131926509"/>
      <w:bookmarkStart w:id="190" w:name="_Toc131926587"/>
      <w:bookmarkStart w:id="191" w:name="_Toc131926693"/>
      <w:bookmarkStart w:id="192" w:name="_Toc135464377"/>
      <w:bookmarkStart w:id="193" w:name="_Toc130956238"/>
      <w:r>
        <w:rPr>
          <w:rStyle w:val="CharSectno"/>
        </w:rPr>
        <w:t>20</w:t>
      </w:r>
      <w:r>
        <w:rPr>
          <w:snapToGrid w:val="0"/>
        </w:rPr>
        <w:t>.</w:t>
      </w:r>
      <w:r>
        <w:rPr>
          <w:snapToGrid w:val="0"/>
        </w:rPr>
        <w:tab/>
        <w:t>Change in particulars</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pPr>
        <w:pStyle w:val="Footnotesection"/>
      </w:pPr>
      <w:r>
        <w:tab/>
        <w:t xml:space="preserve">[Section 20 amended by No. 39 of 1996 s. 4.] </w:t>
      </w:r>
    </w:p>
    <w:p>
      <w:pPr>
        <w:pStyle w:val="Heading5"/>
        <w:rPr>
          <w:snapToGrid w:val="0"/>
        </w:rPr>
      </w:pPr>
      <w:bookmarkStart w:id="194" w:name="_Toc11488851"/>
      <w:bookmarkStart w:id="195" w:name="_Toc131926510"/>
      <w:bookmarkStart w:id="196" w:name="_Toc131926588"/>
      <w:bookmarkStart w:id="197" w:name="_Toc131926694"/>
      <w:bookmarkStart w:id="198" w:name="_Toc135464378"/>
      <w:bookmarkStart w:id="199" w:name="_Toc130956239"/>
      <w:r>
        <w:rPr>
          <w:rStyle w:val="CharSectno"/>
        </w:rPr>
        <w:t>21</w:t>
      </w:r>
      <w:r>
        <w:rPr>
          <w:snapToGrid w:val="0"/>
        </w:rPr>
        <w:t>.</w:t>
      </w:r>
      <w:r>
        <w:rPr>
          <w:snapToGrid w:val="0"/>
        </w:rPr>
        <w:tab/>
        <w:t>Variation of particulars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pPr>
        <w:pStyle w:val="Heading5"/>
        <w:rPr>
          <w:snapToGrid w:val="0"/>
        </w:rPr>
      </w:pPr>
      <w:bookmarkStart w:id="200" w:name="_Toc11488852"/>
      <w:bookmarkStart w:id="201" w:name="_Toc131926511"/>
      <w:bookmarkStart w:id="202" w:name="_Toc131926589"/>
      <w:bookmarkStart w:id="203" w:name="_Toc131926695"/>
      <w:bookmarkStart w:id="204" w:name="_Toc135464379"/>
      <w:bookmarkStart w:id="205" w:name="_Toc130956240"/>
      <w:r>
        <w:rPr>
          <w:rStyle w:val="CharSectno"/>
        </w:rPr>
        <w:t>22</w:t>
      </w:r>
      <w:r>
        <w:rPr>
          <w:snapToGrid w:val="0"/>
        </w:rPr>
        <w:t>.</w:t>
      </w:r>
      <w:r>
        <w:rPr>
          <w:snapToGrid w:val="0"/>
        </w:rPr>
        <w:tab/>
        <w:t>Commissioner may cancel registration</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pPr>
        <w:pStyle w:val="Indenta"/>
        <w:rPr>
          <w:snapToGrid w:val="0"/>
        </w:rPr>
      </w:pPr>
      <w:r>
        <w:rPr>
          <w:snapToGrid w:val="0"/>
        </w:rPr>
        <w:tab/>
        <w:t>(a)</w:t>
      </w:r>
      <w:r>
        <w:rPr>
          <w:snapToGrid w:val="0"/>
        </w:rPr>
        <w:tab/>
        <w:t>the person was not, when the application for registration was made, the holder of such a security interest; or</w:t>
      </w:r>
    </w:p>
    <w:p>
      <w:pPr>
        <w:pStyle w:val="Indenta"/>
        <w:rPr>
          <w:snapToGrid w:val="0"/>
        </w:rPr>
      </w:pPr>
      <w:r>
        <w:rPr>
          <w:snapToGrid w:val="0"/>
        </w:rPr>
        <w:tab/>
        <w:t>(b)</w:t>
      </w:r>
      <w:r>
        <w:rPr>
          <w:snapToGrid w:val="0"/>
        </w:rPr>
        <w:tab/>
        <w:t>the security interest has been discharged or extinguished and the person has failed to comply with section 18,</w:t>
      </w:r>
    </w:p>
    <w:p>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pPr>
        <w:pStyle w:val="Heading5"/>
        <w:rPr>
          <w:snapToGrid w:val="0"/>
        </w:rPr>
      </w:pPr>
      <w:bookmarkStart w:id="206" w:name="_Toc11488853"/>
      <w:bookmarkStart w:id="207" w:name="_Toc131926512"/>
      <w:bookmarkStart w:id="208" w:name="_Toc131926590"/>
      <w:bookmarkStart w:id="209" w:name="_Toc131926696"/>
      <w:bookmarkStart w:id="210" w:name="_Toc135464380"/>
      <w:bookmarkStart w:id="211" w:name="_Toc130956241"/>
      <w:r>
        <w:rPr>
          <w:rStyle w:val="CharSectno"/>
        </w:rPr>
        <w:t>23</w:t>
      </w:r>
      <w:r>
        <w:rPr>
          <w:snapToGrid w:val="0"/>
        </w:rPr>
        <w:t>.</w:t>
      </w:r>
      <w:r>
        <w:rPr>
          <w:snapToGrid w:val="0"/>
        </w:rPr>
        <w:tab/>
        <w:t>Details of entries</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A person (the </w:t>
      </w:r>
      <w:r>
        <w:rPr>
          <w:b/>
          <w:snapToGrid w:val="0"/>
        </w:rPr>
        <w:t>“</w:t>
      </w:r>
      <w:r>
        <w:rPr>
          <w:rStyle w:val="CharDefText"/>
        </w:rPr>
        <w:t>applicant</w:t>
      </w:r>
      <w:r>
        <w:rPr>
          <w:b/>
          <w:snapToGrid w:val="0"/>
        </w:rPr>
        <w:t>”</w:t>
      </w:r>
      <w:r>
        <w:rPr>
          <w:snapToGrid w:val="0"/>
        </w:rPr>
        <w:t>) may apply to the Commissioner, in or to the effect of the approved form or in the prescribed manner — </w:t>
      </w:r>
    </w:p>
    <w:p>
      <w:pPr>
        <w:pStyle w:val="Indenta"/>
        <w:rPr>
          <w:snapToGrid w:val="0"/>
        </w:rPr>
      </w:pPr>
      <w:r>
        <w:rPr>
          <w:snapToGrid w:val="0"/>
        </w:rPr>
        <w:tab/>
        <w:t>(a)</w:t>
      </w:r>
      <w:r>
        <w:rPr>
          <w:snapToGrid w:val="0"/>
        </w:rPr>
        <w:tab/>
        <w:t>for a certificate containing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a statement that there are no entries in the register in respect of those goods;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subject to the approval of the Commissioner, for confirmation of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 xml:space="preserve">a statement that there are no entries in the register in respect of those goods, </w:t>
      </w:r>
    </w:p>
    <w:p>
      <w:pPr>
        <w:pStyle w:val="Indenta"/>
        <w:rPr>
          <w:snapToGrid w:val="0"/>
        </w:rPr>
      </w:pPr>
      <w:r>
        <w:rPr>
          <w:snapToGrid w:val="0"/>
        </w:rPr>
        <w:tab/>
      </w:r>
      <w:r>
        <w:rPr>
          <w:snapToGrid w:val="0"/>
        </w:rPr>
        <w:tab/>
        <w:t>by reference to an account sent to the applicant.</w:t>
      </w:r>
    </w:p>
    <w:p>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entries</w:t>
      </w:r>
      <w:r>
        <w:rPr>
          <w:b/>
        </w:rPr>
        <w:t>”</w:t>
      </w:r>
      <w:r>
        <w:t xml:space="preserve"> does not include particulars in the register that have been cancelled under section 19.</w:t>
      </w:r>
    </w:p>
    <w:p>
      <w:pPr>
        <w:pStyle w:val="Footnotesection"/>
      </w:pPr>
      <w:r>
        <w:tab/>
        <w:t xml:space="preserve">[Section 23 inserted by No. 39 of 1996 s. 5.] </w:t>
      </w:r>
    </w:p>
    <w:p>
      <w:pPr>
        <w:pStyle w:val="Heading5"/>
        <w:rPr>
          <w:snapToGrid w:val="0"/>
        </w:rPr>
      </w:pPr>
      <w:bookmarkStart w:id="212" w:name="_Toc11488854"/>
      <w:bookmarkStart w:id="213" w:name="_Toc131926513"/>
      <w:bookmarkStart w:id="214" w:name="_Toc131926591"/>
      <w:bookmarkStart w:id="215" w:name="_Toc131926697"/>
      <w:bookmarkStart w:id="216" w:name="_Toc135464381"/>
      <w:bookmarkStart w:id="217" w:name="_Toc130956242"/>
      <w:r>
        <w:rPr>
          <w:rStyle w:val="CharSectno"/>
        </w:rPr>
        <w:t>24</w:t>
      </w:r>
      <w:r>
        <w:rPr>
          <w:snapToGrid w:val="0"/>
        </w:rPr>
        <w:t>.</w:t>
      </w:r>
      <w:r>
        <w:rPr>
          <w:snapToGrid w:val="0"/>
        </w:rPr>
        <w:tab/>
        <w:t>Compensation for extinguishment of security interest</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pPr>
        <w:pStyle w:val="Indenta"/>
        <w:rPr>
          <w:snapToGrid w:val="0"/>
        </w:rPr>
      </w:pPr>
      <w:r>
        <w:rPr>
          <w:snapToGrid w:val="0"/>
        </w:rPr>
        <w:tab/>
        <w:t>(a)</w:t>
      </w:r>
      <w:r>
        <w:rPr>
          <w:snapToGrid w:val="0"/>
        </w:rPr>
        <w:tab/>
        <w:t>for the registration of which application had been made under section 15; and</w:t>
      </w:r>
    </w:p>
    <w:p>
      <w:pPr>
        <w:pStyle w:val="Indenta"/>
        <w:rPr>
          <w:snapToGrid w:val="0"/>
        </w:rPr>
      </w:pPr>
      <w:r>
        <w:rPr>
          <w:snapToGrid w:val="0"/>
        </w:rPr>
        <w:tab/>
        <w:t>(b)</w:t>
      </w:r>
      <w:r>
        <w:rPr>
          <w:snapToGrid w:val="0"/>
        </w:rPr>
        <w:tab/>
        <w:t>which at the time the loss or damage was suffered — </w:t>
      </w:r>
    </w:p>
    <w:p>
      <w:pPr>
        <w:pStyle w:val="Indenti"/>
        <w:rPr>
          <w:snapToGrid w:val="0"/>
        </w:rPr>
      </w:pPr>
      <w:r>
        <w:rPr>
          <w:snapToGrid w:val="0"/>
        </w:rPr>
        <w:tab/>
        <w:t>(i)</w:t>
      </w:r>
      <w:r>
        <w:rPr>
          <w:snapToGrid w:val="0"/>
        </w:rPr>
        <w:tab/>
        <w:t>had not been entered in the register; or</w:t>
      </w:r>
    </w:p>
    <w:p>
      <w:pPr>
        <w:pStyle w:val="Indenti"/>
        <w:rPr>
          <w:snapToGrid w:val="0"/>
        </w:rPr>
      </w:pPr>
      <w:r>
        <w:rPr>
          <w:snapToGrid w:val="0"/>
        </w:rPr>
        <w:tab/>
        <w:t>(ii)</w:t>
      </w:r>
      <w:r>
        <w:rPr>
          <w:snapToGrid w:val="0"/>
        </w:rPr>
        <w:tab/>
        <w:t>was entered in the register but not correctly entered; or</w:t>
      </w:r>
    </w:p>
    <w:p>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pPr>
        <w:pStyle w:val="Subsection"/>
        <w:rPr>
          <w:snapToGrid w:val="0"/>
        </w:rPr>
      </w:pPr>
      <w:r>
        <w:rPr>
          <w:snapToGrid w:val="0"/>
        </w:rPr>
        <w:tab/>
      </w:r>
      <w:r>
        <w:rPr>
          <w:snapToGrid w:val="0"/>
        </w:rPr>
        <w:tab/>
        <w:t>is entitled to make application to the Commissioner for an order for the payment of compensation to the applicant.</w:t>
      </w:r>
    </w:p>
    <w:p>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pPr>
        <w:pStyle w:val="Indenta"/>
        <w:rPr>
          <w:snapToGrid w:val="0"/>
        </w:rPr>
      </w:pPr>
      <w:r>
        <w:rPr>
          <w:snapToGrid w:val="0"/>
        </w:rPr>
        <w:tab/>
        <w:t>(a)</w:t>
      </w:r>
      <w:r>
        <w:rPr>
          <w:snapToGrid w:val="0"/>
        </w:rPr>
        <w:tab/>
        <w:t>because of circumstances beyond the applicant’s control; or</w:t>
      </w:r>
    </w:p>
    <w:p>
      <w:pPr>
        <w:pStyle w:val="Indenta"/>
        <w:rPr>
          <w:snapToGrid w:val="0"/>
        </w:rPr>
      </w:pPr>
      <w:r>
        <w:rPr>
          <w:snapToGrid w:val="0"/>
        </w:rPr>
        <w:tab/>
        <w:t>(b)</w:t>
      </w:r>
      <w:r>
        <w:rPr>
          <w:snapToGrid w:val="0"/>
        </w:rPr>
        <w:tab/>
        <w:t>for reasons that ought to be reasonably to be excused.</w:t>
      </w:r>
    </w:p>
    <w:p>
      <w:pPr>
        <w:pStyle w:val="Subsection"/>
        <w:rPr>
          <w:snapToGrid w:val="0"/>
        </w:rPr>
      </w:pPr>
      <w:r>
        <w:rPr>
          <w:snapToGrid w:val="0"/>
        </w:rPr>
        <w:tab/>
        <w:t>(4)</w:t>
      </w:r>
      <w:r>
        <w:rPr>
          <w:snapToGrid w:val="0"/>
        </w:rPr>
        <w:tab/>
        <w:t>Compensation paid in respect of a claim under this section shall not exceed — </w:t>
      </w:r>
    </w:p>
    <w:p>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pPr>
        <w:pStyle w:val="Indenta"/>
        <w:rPr>
          <w:snapToGrid w:val="0"/>
        </w:rPr>
      </w:pPr>
      <w:r>
        <w:rPr>
          <w:snapToGrid w:val="0"/>
        </w:rPr>
        <w:tab/>
        <w:t>(b)</w:t>
      </w:r>
      <w:r>
        <w:rPr>
          <w:snapToGrid w:val="0"/>
        </w:rPr>
        <w:tab/>
        <w:t>the value of the registrable goods in respect of which the application is made,</w:t>
      </w:r>
    </w:p>
    <w:p>
      <w:pPr>
        <w:pStyle w:val="Subsection"/>
        <w:rPr>
          <w:snapToGrid w:val="0"/>
        </w:rPr>
      </w:pPr>
      <w:r>
        <w:rPr>
          <w:snapToGrid w:val="0"/>
        </w:rPr>
        <w:tab/>
      </w:r>
      <w:r>
        <w:rPr>
          <w:snapToGrid w:val="0"/>
        </w:rPr>
        <w:tab/>
        <w:t>at the time the loss or damage is suffered, whichever is the lesser.</w:t>
      </w:r>
    </w:p>
    <w:p>
      <w:pPr>
        <w:pStyle w:val="Heading5"/>
        <w:rPr>
          <w:snapToGrid w:val="0"/>
        </w:rPr>
      </w:pPr>
      <w:bookmarkStart w:id="218" w:name="_Toc11488855"/>
      <w:bookmarkStart w:id="219" w:name="_Toc131926514"/>
      <w:bookmarkStart w:id="220" w:name="_Toc131926592"/>
      <w:bookmarkStart w:id="221" w:name="_Toc131926698"/>
      <w:bookmarkStart w:id="222" w:name="_Toc135464382"/>
      <w:bookmarkStart w:id="223" w:name="_Toc130956243"/>
      <w:r>
        <w:rPr>
          <w:rStyle w:val="CharSectno"/>
        </w:rPr>
        <w:t>25</w:t>
      </w:r>
      <w:r>
        <w:rPr>
          <w:snapToGrid w:val="0"/>
        </w:rPr>
        <w:t>.</w:t>
      </w:r>
      <w:r>
        <w:rPr>
          <w:snapToGrid w:val="0"/>
        </w:rPr>
        <w:tab/>
        <w:t>Compensation where entry not shown on certificate</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pPr>
        <w:pStyle w:val="Indenta"/>
        <w:rPr>
          <w:snapToGrid w:val="0"/>
        </w:rPr>
      </w:pPr>
      <w:r>
        <w:rPr>
          <w:snapToGrid w:val="0"/>
        </w:rPr>
        <w:tab/>
        <w:t>(a)</w:t>
      </w:r>
      <w:r>
        <w:rPr>
          <w:snapToGrid w:val="0"/>
        </w:rPr>
        <w:tab/>
      </w:r>
      <w:r>
        <w:rPr>
          <w:snapToGrid w:val="0"/>
          <w:spacing w:val="-4"/>
        </w:rPr>
        <w:t>before the purchase was made, an application was made —</w:t>
      </w:r>
    </w:p>
    <w:p>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pPr>
        <w:pStyle w:val="Indenti"/>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pPr>
        <w:pStyle w:val="Indenta"/>
        <w:rPr>
          <w:snapToGrid w:val="0"/>
        </w:rPr>
      </w:pPr>
      <w:r>
        <w:rPr>
          <w:snapToGrid w:val="0"/>
        </w:rPr>
        <w:tab/>
        <w:t>(a)</w:t>
      </w:r>
      <w:r>
        <w:rPr>
          <w:snapToGrid w:val="0"/>
        </w:rPr>
        <w:tab/>
        <w:t>had actual notice of the security interest entered in the register; or</w:t>
      </w:r>
    </w:p>
    <w:p>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pPr>
        <w:pStyle w:val="Footnotesection"/>
      </w:pPr>
      <w:r>
        <w:tab/>
        <w:t xml:space="preserve">[Section 25 amended by No. 39 of 1996 s. 6.] </w:t>
      </w:r>
    </w:p>
    <w:p>
      <w:pPr>
        <w:pStyle w:val="Heading5"/>
        <w:rPr>
          <w:snapToGrid w:val="0"/>
        </w:rPr>
      </w:pPr>
      <w:bookmarkStart w:id="224" w:name="_Toc11488856"/>
      <w:bookmarkStart w:id="225" w:name="_Toc131926515"/>
      <w:bookmarkStart w:id="226" w:name="_Toc131926593"/>
      <w:bookmarkStart w:id="227" w:name="_Toc131926699"/>
      <w:bookmarkStart w:id="228" w:name="_Toc135464383"/>
      <w:bookmarkStart w:id="229" w:name="_Toc130956244"/>
      <w:r>
        <w:rPr>
          <w:rStyle w:val="CharSectno"/>
        </w:rPr>
        <w:t>26</w:t>
      </w:r>
      <w:r>
        <w:rPr>
          <w:snapToGrid w:val="0"/>
        </w:rPr>
        <w:t>.</w:t>
      </w:r>
      <w:r>
        <w:rPr>
          <w:snapToGrid w:val="0"/>
        </w:rPr>
        <w:tab/>
      </w:r>
      <w:bookmarkEnd w:id="224"/>
      <w:bookmarkEnd w:id="225"/>
      <w:bookmarkEnd w:id="226"/>
      <w:bookmarkEnd w:id="227"/>
      <w:del w:id="230" w:author="svcMRProcess" w:date="2015-12-09T01:03:00Z">
        <w:r>
          <w:rPr>
            <w:snapToGrid w:val="0"/>
          </w:rPr>
          <w:delText>Appeal to Commercial</w:delText>
        </w:r>
      </w:del>
      <w:ins w:id="231" w:author="svcMRProcess" w:date="2015-12-09T01:03:00Z">
        <w:r>
          <w:rPr>
            <w:snapToGrid w:val="0"/>
          </w:rPr>
          <w:t>Review by State Administrative</w:t>
        </w:r>
      </w:ins>
      <w:r>
        <w:rPr>
          <w:snapToGrid w:val="0"/>
        </w:rPr>
        <w:t xml:space="preserve"> Tribunal</w:t>
      </w:r>
      <w:bookmarkEnd w:id="228"/>
      <w:bookmarkEnd w:id="229"/>
      <w:r>
        <w:rPr>
          <w:snapToGrid w:val="0"/>
        </w:rPr>
        <w:t xml:space="preserve"> </w:t>
      </w:r>
    </w:p>
    <w:p>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pPr>
        <w:pStyle w:val="Ednotesubsection"/>
      </w:pPr>
      <w:bookmarkStart w:id="232" w:name="_Toc11488857"/>
      <w:r>
        <w:tab/>
        <w:t>[(2)</w:t>
      </w:r>
      <w:r>
        <w:tab/>
        <w:t>repealed]</w:t>
      </w:r>
    </w:p>
    <w:p>
      <w:pPr>
        <w:pStyle w:val="Footnotesection"/>
      </w:pPr>
      <w:r>
        <w:tab/>
        <w:t>[Section 26 amended by No. 55 of 2004 s. 105.]</w:t>
      </w:r>
    </w:p>
    <w:p>
      <w:pPr>
        <w:pStyle w:val="Ednotesection"/>
      </w:pPr>
      <w:bookmarkStart w:id="233" w:name="_Toc11488859"/>
      <w:bookmarkEnd w:id="232"/>
      <w:r>
        <w:t>[</w:t>
      </w:r>
      <w:r>
        <w:rPr>
          <w:b/>
        </w:rPr>
        <w:t>27, 28.</w:t>
      </w:r>
      <w:r>
        <w:tab/>
        <w:t>Repealed by No. 55 of 2004 s. 106.]</w:t>
      </w:r>
    </w:p>
    <w:p>
      <w:pPr>
        <w:pStyle w:val="Heading5"/>
        <w:rPr>
          <w:snapToGrid w:val="0"/>
        </w:rPr>
      </w:pPr>
      <w:bookmarkStart w:id="234" w:name="_Toc131926516"/>
      <w:bookmarkStart w:id="235" w:name="_Toc131926594"/>
      <w:bookmarkStart w:id="236" w:name="_Toc131926700"/>
      <w:bookmarkStart w:id="237" w:name="_Toc135464384"/>
      <w:bookmarkStart w:id="238" w:name="_Toc130956245"/>
      <w:r>
        <w:rPr>
          <w:rStyle w:val="CharSectno"/>
        </w:rPr>
        <w:t>29</w:t>
      </w:r>
      <w:r>
        <w:rPr>
          <w:snapToGrid w:val="0"/>
        </w:rPr>
        <w:t>.</w:t>
      </w:r>
      <w:r>
        <w:rPr>
          <w:snapToGrid w:val="0"/>
        </w:rPr>
        <w:tab/>
        <w:t>Appropriation</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Fund which is to the extent necessary appropriated accordingly.</w:t>
      </w:r>
    </w:p>
    <w:p>
      <w:pPr>
        <w:pStyle w:val="Footnotesection"/>
        <w:rPr>
          <w:spacing w:val="-4"/>
        </w:rPr>
      </w:pPr>
      <w:r>
        <w:tab/>
      </w:r>
      <w:r>
        <w:rPr>
          <w:spacing w:val="-4"/>
        </w:rPr>
        <w:t>[Section 29 amended by No. 6 of 1993 s. 11; No. 49 of 1996 s. 64; No. 55 of 2004 s. 107.]</w:t>
      </w:r>
    </w:p>
    <w:p>
      <w:pPr>
        <w:pStyle w:val="Heading5"/>
        <w:rPr>
          <w:snapToGrid w:val="0"/>
        </w:rPr>
      </w:pPr>
      <w:bookmarkStart w:id="239" w:name="_Toc11488860"/>
      <w:bookmarkStart w:id="240" w:name="_Toc131926517"/>
      <w:bookmarkStart w:id="241" w:name="_Toc131926595"/>
      <w:bookmarkStart w:id="242" w:name="_Toc131926701"/>
      <w:bookmarkStart w:id="243" w:name="_Toc135464385"/>
      <w:bookmarkStart w:id="244" w:name="_Toc130956246"/>
      <w:r>
        <w:rPr>
          <w:rStyle w:val="CharSectno"/>
        </w:rPr>
        <w:t>30</w:t>
      </w:r>
      <w:r>
        <w:rPr>
          <w:snapToGrid w:val="0"/>
        </w:rPr>
        <w:t>.</w:t>
      </w:r>
      <w:r>
        <w:rPr>
          <w:snapToGrid w:val="0"/>
        </w:rPr>
        <w:tab/>
        <w:t>Offence</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pPr>
        <w:pStyle w:val="Subsection"/>
        <w:rPr>
          <w:snapToGrid w:val="0"/>
        </w:rPr>
      </w:pPr>
      <w:r>
        <w:rPr>
          <w:snapToGrid w:val="0"/>
        </w:rPr>
        <w:tab/>
        <w:t>(3)</w:t>
      </w:r>
      <w:r>
        <w:rPr>
          <w:snapToGrid w:val="0"/>
        </w:rPr>
        <w:tab/>
        <w:t>A dealer shall not supply any goods in the course of a business without first procuring the discharge of — </w:t>
      </w:r>
    </w:p>
    <w:p>
      <w:pPr>
        <w:pStyle w:val="Indenta"/>
        <w:rPr>
          <w:snapToGrid w:val="0"/>
        </w:rPr>
      </w:pPr>
      <w:r>
        <w:rPr>
          <w:snapToGrid w:val="0"/>
        </w:rPr>
        <w:tab/>
        <w:t>(a)</w:t>
      </w:r>
      <w:r>
        <w:rPr>
          <w:snapToGrid w:val="0"/>
        </w:rPr>
        <w:tab/>
        <w:t>any security interest of which the dealer has notice;</w:t>
      </w:r>
    </w:p>
    <w:p>
      <w:pPr>
        <w:pStyle w:val="Indenta"/>
        <w:rPr>
          <w:snapToGrid w:val="0"/>
        </w:rPr>
      </w:pPr>
      <w:r>
        <w:rPr>
          <w:snapToGrid w:val="0"/>
        </w:rPr>
        <w:tab/>
        <w:t>(b)</w:t>
      </w:r>
      <w:r>
        <w:rPr>
          <w:snapToGrid w:val="0"/>
        </w:rPr>
        <w:tab/>
        <w:t>any registered security interest whether or not the dealer has notice of the interest; and</w:t>
      </w:r>
    </w:p>
    <w:p>
      <w:pPr>
        <w:pStyle w:val="Indenta"/>
        <w:rPr>
          <w:snapToGrid w:val="0"/>
        </w:rPr>
      </w:pPr>
      <w:r>
        <w:rPr>
          <w:snapToGrid w:val="0"/>
        </w:rPr>
        <w:tab/>
        <w:t>(c)</w:t>
      </w:r>
      <w:r>
        <w:rPr>
          <w:snapToGrid w:val="0"/>
        </w:rPr>
        <w:tab/>
        <w:t xml:space="preserve">if the vehicle is not licensed under the </w:t>
      </w:r>
      <w:r>
        <w:rPr>
          <w:i/>
          <w:snapToGrid w:val="0"/>
        </w:rPr>
        <w:t>Road Traffic Act 1974</w:t>
      </w:r>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pPr>
        <w:pStyle w:val="Penstart"/>
        <w:rPr>
          <w:snapToGrid w:val="0"/>
        </w:rPr>
      </w:pPr>
      <w:r>
        <w:rPr>
          <w:snapToGrid w:val="0"/>
        </w:rPr>
        <w:tab/>
        <w:t>Penalty: $2 500.</w:t>
      </w:r>
    </w:p>
    <w:p>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pPr>
        <w:pStyle w:val="Heading5"/>
        <w:rPr>
          <w:snapToGrid w:val="0"/>
        </w:rPr>
      </w:pPr>
      <w:bookmarkStart w:id="245" w:name="_Toc11488861"/>
      <w:bookmarkStart w:id="246" w:name="_Toc131926518"/>
      <w:bookmarkStart w:id="247" w:name="_Toc131926596"/>
      <w:bookmarkStart w:id="248" w:name="_Toc131926702"/>
      <w:bookmarkStart w:id="249" w:name="_Toc135464386"/>
      <w:bookmarkStart w:id="250" w:name="_Toc130956247"/>
      <w:r>
        <w:rPr>
          <w:rStyle w:val="CharSectno"/>
        </w:rPr>
        <w:t>31</w:t>
      </w:r>
      <w:r>
        <w:rPr>
          <w:snapToGrid w:val="0"/>
        </w:rPr>
        <w:t>.</w:t>
      </w:r>
      <w:r>
        <w:rPr>
          <w:snapToGrid w:val="0"/>
        </w:rPr>
        <w:tab/>
        <w:t>Regulations</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pPr>
        <w:pStyle w:val="Ednotesection"/>
      </w:pPr>
      <w:r>
        <w:t>[</w:t>
      </w:r>
      <w:r>
        <w:rPr>
          <w:b/>
        </w:rPr>
        <w:t>32.</w:t>
      </w:r>
      <w:r>
        <w:rPr>
          <w:b/>
        </w:rPr>
        <w:tab/>
      </w:r>
      <w:r>
        <w:t>Omitted under the Reprints Act</w:t>
      </w:r>
      <w:del w:id="251" w:author="svcMRProcess" w:date="2015-12-09T01:03:00Z">
        <w:r>
          <w:delText xml:space="preserve"> </w:delText>
        </w:r>
      </w:del>
      <w:ins w:id="252" w:author="svcMRProcess" w:date="2015-12-09T01:03:00Z">
        <w:r>
          <w:t> </w:t>
        </w:r>
      </w:ins>
      <w:r>
        <w:t>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53" w:name="_Toc92444785"/>
      <w:bookmarkStart w:id="254" w:name="_Toc130956248"/>
      <w:bookmarkStart w:id="255" w:name="_Toc131319038"/>
      <w:bookmarkStart w:id="256" w:name="_Toc131319347"/>
      <w:bookmarkStart w:id="257" w:name="_Toc131319382"/>
      <w:bookmarkStart w:id="258" w:name="_Toc131319417"/>
      <w:bookmarkStart w:id="259" w:name="_Toc131319452"/>
      <w:bookmarkStart w:id="260" w:name="_Toc131319487"/>
      <w:bookmarkStart w:id="261" w:name="_Toc131926519"/>
      <w:bookmarkStart w:id="262" w:name="_Toc131926597"/>
      <w:bookmarkStart w:id="263" w:name="_Toc131926668"/>
      <w:bookmarkStart w:id="264" w:name="_Toc131926703"/>
      <w:bookmarkStart w:id="265" w:name="_Toc131927065"/>
      <w:bookmarkStart w:id="266" w:name="_Toc132433631"/>
      <w:bookmarkStart w:id="267" w:name="_Toc132434870"/>
      <w:bookmarkStart w:id="268" w:name="_Toc133139959"/>
      <w:bookmarkStart w:id="269" w:name="_Toc135464387"/>
      <w:r>
        <w:t>Notes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nSubsection"/>
        <w:rPr>
          <w:snapToGrid w:val="0"/>
        </w:rPr>
      </w:pPr>
      <w:r>
        <w:rPr>
          <w:snapToGrid w:val="0"/>
          <w:vertAlign w:val="superscript"/>
        </w:rPr>
        <w:t>1</w:t>
      </w:r>
      <w:r>
        <w:rPr>
          <w:snapToGrid w:val="0"/>
        </w:rPr>
        <w:tab/>
        <w:t xml:space="preserve">This </w:t>
      </w:r>
      <w:ins w:id="270" w:author="svcMRProcess" w:date="2015-12-09T01:03:00Z">
        <w:r>
          <w:rPr>
            <w:snapToGrid w:val="0"/>
          </w:rPr>
          <w:t xml:space="preserve">reprint </w:t>
        </w:r>
      </w:ins>
      <w:r>
        <w:rPr>
          <w:snapToGrid w:val="0"/>
        </w:rPr>
        <w:t xml:space="preserve">is a compilation </w:t>
      </w:r>
      <w:ins w:id="271" w:author="svcMRProcess" w:date="2015-12-09T01:03:00Z">
        <w:r>
          <w:rPr>
            <w:snapToGrid w:val="0"/>
          </w:rPr>
          <w:t xml:space="preserve">as at 21 April 2006 </w:t>
        </w:r>
      </w:ins>
      <w:r>
        <w:rPr>
          <w:snapToGrid w:val="0"/>
        </w:rPr>
        <w:t xml:space="preserve">of the </w:t>
      </w:r>
      <w:r>
        <w:rPr>
          <w:i/>
          <w:noProof/>
          <w:snapToGrid w:val="0"/>
        </w:rPr>
        <w:t>Chattel Securities Act</w:t>
      </w:r>
      <w:del w:id="272" w:author="svcMRProcess" w:date="2015-12-09T01:03:00Z">
        <w:r>
          <w:rPr>
            <w:i/>
            <w:noProof/>
            <w:snapToGrid w:val="0"/>
          </w:rPr>
          <w:delText> </w:delText>
        </w:r>
      </w:del>
      <w:ins w:id="273" w:author="svcMRProcess" w:date="2015-12-09T01:03:00Z">
        <w:r>
          <w:rPr>
            <w:i/>
            <w:noProof/>
            <w:snapToGrid w:val="0"/>
          </w:rPr>
          <w:t xml:space="preserve"> </w:t>
        </w:r>
      </w:ins>
      <w:r>
        <w:rPr>
          <w:i/>
          <w:noProof/>
          <w:snapToGrid w:val="0"/>
        </w:rPr>
        <w:t>1987</w:t>
      </w:r>
      <w:r>
        <w:rPr>
          <w:snapToGrid w:val="0"/>
        </w:rPr>
        <w:t xml:space="preserve"> and includes the amendments made by the other written laws referred to in the following table</w:t>
      </w:r>
      <w:del w:id="274" w:author="svcMRProcess" w:date="2015-12-09T01:03:00Z">
        <w:r>
          <w:rPr>
            <w:snapToGrid w:val="0"/>
          </w:rPr>
          <w:delText xml:space="preserve">.  For amendments that had not come into operation on the date on which this compilation was prepared see endnote </w:delText>
        </w:r>
      </w:del>
      <w:ins w:id="275" w:author="svcMRProcess" w:date="2015-12-09T01:03:00Z">
        <w:r>
          <w:rPr>
            <w:snapToGrid w:val="0"/>
            <w:vertAlign w:val="superscript"/>
          </w:rPr>
          <w:t> </w:t>
        </w:r>
      </w:ins>
      <w:r>
        <w:rPr>
          <w:snapToGrid w:val="0"/>
          <w:vertAlign w:val="superscript"/>
        </w:rPr>
        <w:t>1a</w:t>
      </w:r>
      <w:r>
        <w:rPr>
          <w:snapToGrid w:val="0"/>
        </w:rPr>
        <w:t>.</w:t>
      </w:r>
      <w:ins w:id="276" w:author="svcMRProcess" w:date="2015-12-09T01:03:00Z">
        <w:r>
          <w:rPr>
            <w:snapToGrid w:val="0"/>
          </w:rPr>
          <w:t xml:space="preserve">  The table also contains information about any reprint.</w:t>
        </w:r>
      </w:ins>
    </w:p>
    <w:p>
      <w:pPr>
        <w:pStyle w:val="nHeading3"/>
        <w:rPr>
          <w:snapToGrid w:val="0"/>
        </w:rPr>
      </w:pPr>
      <w:bookmarkStart w:id="277" w:name="_Toc131926520"/>
      <w:bookmarkStart w:id="278" w:name="_Toc131926598"/>
      <w:bookmarkStart w:id="279" w:name="_Toc131926704"/>
      <w:bookmarkStart w:id="280" w:name="_Toc135464388"/>
      <w:bookmarkStart w:id="281" w:name="_Toc130956249"/>
      <w:r>
        <w:rPr>
          <w:snapToGrid w:val="0"/>
        </w:rPr>
        <w:t>Compilation table</w:t>
      </w:r>
      <w:bookmarkEnd w:id="277"/>
      <w:bookmarkEnd w:id="278"/>
      <w:bookmarkEnd w:id="279"/>
      <w:bookmarkEnd w:id="280"/>
      <w:bookmarkEnd w:id="2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Chattel Securities Act 1987</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del w:id="282" w:author="svcMRProcess" w:date="2015-12-09T01:03:00Z">
              <w:r>
                <w:delText xml:space="preserve">Pt. I, </w:delText>
              </w:r>
            </w:del>
            <w:r>
              <w:rPr>
                <w:sz w:val="19"/>
              </w:rPr>
              <w:t>s.</w:t>
            </w:r>
            <w:ins w:id="283" w:author="svcMRProcess" w:date="2015-12-09T01:03:00Z">
              <w:r>
                <w:rPr>
                  <w:sz w:val="19"/>
                </w:rPr>
                <w:t> 3,</w:t>
              </w:r>
            </w:ins>
            <w:r>
              <w:rPr>
                <w:sz w:val="19"/>
              </w:rPr>
              <w:t xml:space="preserve"> 12</w:t>
            </w:r>
            <w:del w:id="284" w:author="svcMRProcess" w:date="2015-12-09T01:03:00Z">
              <w:r>
                <w:delText>-</w:delText>
              </w:r>
            </w:del>
            <w:ins w:id="285" w:author="svcMRProcess" w:date="2015-12-09T01:03:00Z">
              <w:r>
                <w:rPr>
                  <w:sz w:val="19"/>
                </w:rPr>
                <w:noBreakHyphen/>
              </w:r>
            </w:ins>
            <w:r>
              <w:rPr>
                <w:sz w:val="19"/>
              </w:rPr>
              <w:t>14, 15(1), (2) and (4), 16</w:t>
            </w:r>
            <w:del w:id="286" w:author="svcMRProcess" w:date="2015-12-09T01:03:00Z">
              <w:r>
                <w:delText>-</w:delText>
              </w:r>
            </w:del>
            <w:ins w:id="287" w:author="svcMRProcess" w:date="2015-12-09T01:03:00Z">
              <w:r>
                <w:rPr>
                  <w:sz w:val="19"/>
                </w:rPr>
                <w:noBreakHyphen/>
              </w:r>
            </w:ins>
            <w:r>
              <w:rPr>
                <w:sz w:val="19"/>
              </w:rPr>
              <w:t>23, 31</w:t>
            </w:r>
            <w:del w:id="288" w:author="svcMRProcess" w:date="2015-12-09T01:03:00Z">
              <w:r>
                <w:delText>-</w:delText>
              </w:r>
            </w:del>
            <w:ins w:id="289" w:author="svcMRProcess" w:date="2015-12-09T01:03:00Z">
              <w:r>
                <w:rPr>
                  <w:sz w:val="19"/>
                </w:rPr>
                <w:noBreakHyphen/>
              </w:r>
            </w:ins>
            <w:r>
              <w:rPr>
                <w:sz w:val="19"/>
              </w:rPr>
              <w:t xml:space="preserve">32: 29 Aug 1988 (see s. 2 and </w:t>
            </w:r>
            <w:r>
              <w:rPr>
                <w:i/>
                <w:sz w:val="19"/>
              </w:rPr>
              <w:t>Gazette</w:t>
            </w:r>
            <w:r>
              <w:rPr>
                <w:sz w:val="19"/>
              </w:rPr>
              <w:t xml:space="preserve"> 5 Aug 1988 p. 2583);</w:t>
            </w:r>
            <w:r>
              <w:rPr>
                <w:sz w:val="19"/>
              </w:rPr>
              <w:br/>
            </w:r>
            <w:del w:id="290" w:author="svcMRProcess" w:date="2015-12-09T01:03:00Z">
              <w:r>
                <w:delText>balance</w:delText>
              </w:r>
            </w:del>
            <w:ins w:id="291" w:author="svcMRProcess" w:date="2015-12-09T01:03:00Z">
              <w:r>
                <w:rPr>
                  <w:sz w:val="19"/>
                </w:rPr>
                <w:t>s. </w:t>
              </w:r>
              <w:r>
                <w:rPr>
                  <w:color w:val="000000"/>
                </w:rPr>
                <w:t>4-11, 15(3) and 24-30</w:t>
              </w:r>
            </w:ins>
            <w:r>
              <w:rPr>
                <w:sz w:val="19"/>
              </w:rPr>
              <w:t xml:space="preserve">: 14 Nov 1988 (see s. 2 and </w:t>
            </w:r>
            <w:r>
              <w:rPr>
                <w:i/>
                <w:sz w:val="19"/>
              </w:rPr>
              <w:t>Gazette</w:t>
            </w:r>
            <w:r>
              <w:rPr>
                <w:sz w:val="19"/>
              </w:rPr>
              <w:t xml:space="preserve"> 5 Aug 1988 p. 2583)</w:t>
            </w:r>
          </w:p>
        </w:tc>
      </w:tr>
      <w:tr>
        <w:tc>
          <w:tcPr>
            <w:tcW w:w="2268" w:type="dxa"/>
          </w:tcPr>
          <w:p>
            <w:pPr>
              <w:pStyle w:val="nTable"/>
              <w:spacing w:after="40"/>
              <w:rPr>
                <w:i/>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w:t>
            </w:r>
            <w:del w:id="292" w:author="svcMRProcess" w:date="2015-12-09T01:03:00Z">
              <w:r>
                <w:rPr>
                  <w:sz w:val="19"/>
                </w:rPr>
                <w:delText xml:space="preserve"> </w:delText>
              </w:r>
            </w:del>
            <w:ins w:id="293" w:author="svcMRProcess" w:date="2015-12-09T01:03:00Z">
              <w:r>
                <w:rPr>
                  <w:sz w:val="19"/>
                </w:rPr>
                <w:t> </w:t>
              </w:r>
            </w:ins>
            <w:r>
              <w:rPr>
                <w:sz w:val="19"/>
              </w:rPr>
              <w:t>2(1))</w:t>
            </w:r>
          </w:p>
        </w:tc>
      </w:tr>
      <w:tr>
        <w:tc>
          <w:tcPr>
            <w:tcW w:w="2268" w:type="dxa"/>
          </w:tcPr>
          <w:p>
            <w:pPr>
              <w:pStyle w:val="nTable"/>
              <w:spacing w:after="40"/>
              <w:rPr>
                <w:i/>
                <w:sz w:val="19"/>
              </w:rPr>
            </w:pPr>
            <w:r>
              <w:rPr>
                <w:i/>
                <w:sz w:val="19"/>
              </w:rPr>
              <w:t>Chattel Securities Amendment Act 1996</w:t>
            </w:r>
          </w:p>
        </w:tc>
        <w:tc>
          <w:tcPr>
            <w:tcW w:w="1134" w:type="dxa"/>
          </w:tcPr>
          <w:p>
            <w:pPr>
              <w:pStyle w:val="nTable"/>
              <w:spacing w:after="40"/>
              <w:rPr>
                <w:sz w:val="19"/>
              </w:rPr>
            </w:pPr>
            <w:r>
              <w:rPr>
                <w:sz w:val="19"/>
              </w:rPr>
              <w:t>39 of 1996</w:t>
            </w:r>
          </w:p>
        </w:tc>
        <w:tc>
          <w:tcPr>
            <w:tcW w:w="1134" w:type="dxa"/>
          </w:tcPr>
          <w:p>
            <w:pPr>
              <w:pStyle w:val="nTable"/>
              <w:spacing w:after="40"/>
              <w:rPr>
                <w:sz w:val="19"/>
              </w:rPr>
            </w:pPr>
            <w:r>
              <w:rPr>
                <w:sz w:val="19"/>
              </w:rPr>
              <w:t>27</w:t>
            </w:r>
            <w:del w:id="294" w:author="svcMRProcess" w:date="2015-12-09T01:03:00Z">
              <w:r>
                <w:rPr>
                  <w:sz w:val="19"/>
                </w:rPr>
                <w:delText xml:space="preserve"> </w:delText>
              </w:r>
            </w:del>
            <w:ins w:id="295" w:author="svcMRProcess" w:date="2015-12-09T01:03:00Z">
              <w:r>
                <w:rPr>
                  <w:sz w:val="19"/>
                </w:rPr>
                <w:t> </w:t>
              </w:r>
            </w:ins>
            <w:r>
              <w:rPr>
                <w:sz w:val="19"/>
              </w:rPr>
              <w:t>Sep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29 Oct 1996 p. 5715)</w:t>
            </w:r>
          </w:p>
        </w:tc>
      </w:tr>
      <w:tr>
        <w:tc>
          <w:tcPr>
            <w:tcW w:w="2268" w:type="dxa"/>
          </w:tcPr>
          <w:p>
            <w:pPr>
              <w:pStyle w:val="nTable"/>
              <w:spacing w:after="40"/>
              <w:rPr>
                <w:i/>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i/>
                <w:sz w:val="19"/>
              </w:rPr>
            </w:pPr>
            <w:r>
              <w:rPr>
                <w:i/>
                <w:sz w:val="19"/>
              </w:rPr>
              <w:t xml:space="preserve">Motor Vehicle Dealers Amendment Act 2002 </w:t>
            </w:r>
            <w:r>
              <w:rPr>
                <w:sz w:val="19"/>
              </w:rPr>
              <w:t>s. 70</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1</w:t>
            </w:r>
            <w:del w:id="296" w:author="svcMRProcess" w:date="2015-12-09T01:03:00Z">
              <w:r>
                <w:rPr>
                  <w:sz w:val="19"/>
                </w:rPr>
                <w:delText xml:space="preserve"> </w:delText>
              </w:r>
            </w:del>
            <w:ins w:id="297" w:author="svcMRProcess" w:date="2015-12-09T01:03:00Z">
              <w:r>
                <w:rPr>
                  <w:sz w:val="19"/>
                </w:rPr>
                <w:t> </w:t>
              </w:r>
            </w:ins>
            <w:r>
              <w:rPr>
                <w:sz w:val="19"/>
              </w:rPr>
              <w:t xml:space="preserve">Sep 2002 (see s. 2 and </w:t>
            </w:r>
            <w:r>
              <w:rPr>
                <w:i/>
                <w:sz w:val="19"/>
              </w:rPr>
              <w:t xml:space="preserve">Gazette </w:t>
            </w:r>
            <w:r>
              <w:rPr>
                <w:sz w:val="19"/>
              </w:rPr>
              <w:t>13 Aug 2002 p. 4151)</w:t>
            </w:r>
          </w:p>
        </w:tc>
      </w:tr>
      <w:tr>
        <w:trPr>
          <w:cantSplit/>
        </w:trPr>
        <w:tc>
          <w:tcPr>
            <w:tcW w:w="7087" w:type="dxa"/>
            <w:gridSpan w:val="4"/>
          </w:tcPr>
          <w:p>
            <w:pPr>
              <w:pStyle w:val="nTable"/>
              <w:spacing w:after="40"/>
              <w:rPr>
                <w:sz w:val="19"/>
              </w:rPr>
            </w:pPr>
            <w:r>
              <w:rPr>
                <w:b/>
                <w:sz w:val="19"/>
              </w:rPr>
              <w:t xml:space="preserve">Reprint of the </w:t>
            </w:r>
            <w:r>
              <w:rPr>
                <w:b/>
                <w:i/>
                <w:sz w:val="19"/>
              </w:rPr>
              <w:t>Chattel Securities Act 1987</w:t>
            </w:r>
            <w:r>
              <w:rPr>
                <w:b/>
                <w:sz w:val="19"/>
              </w:rPr>
              <w:t xml:space="preserve"> as at 13 Dec 2002</w:t>
            </w:r>
            <w:r>
              <w:rPr>
                <w:sz w:val="19"/>
              </w:rPr>
              <w:t xml:space="preserve"> (includes amendments listed above) (</w:t>
            </w:r>
            <w:del w:id="298" w:author="svcMRProcess" w:date="2015-12-09T01:03:00Z">
              <w:r>
                <w:delText>Correction</w:delText>
              </w:r>
            </w:del>
            <w:ins w:id="299" w:author="svcMRProcess" w:date="2015-12-09T01:03:00Z">
              <w:r>
                <w:rPr>
                  <w:sz w:val="19"/>
                </w:rPr>
                <w:t>correction</w:t>
              </w:r>
            </w:ins>
            <w:r>
              <w:rPr>
                <w:sz w:val="19"/>
              </w:rPr>
              <w:t xml:space="preserve"> in </w:t>
            </w:r>
            <w:r>
              <w:rPr>
                <w:i/>
                <w:sz w:val="19"/>
              </w:rPr>
              <w:t>Gazette</w:t>
            </w:r>
            <w:r>
              <w:rPr>
                <w:sz w:val="19"/>
              </w:rPr>
              <w:t xml:space="preserve"> 24 Mar 2006 p. 1102)</w:t>
            </w:r>
          </w:p>
        </w:tc>
      </w:tr>
      <w:tr>
        <w:tc>
          <w:tcPr>
            <w:tcW w:w="2268" w:type="dxa"/>
          </w:tcPr>
          <w:p>
            <w:pPr>
              <w:pStyle w:val="nTable"/>
              <w:spacing w:after="40"/>
              <w:rPr>
                <w:i/>
                <w:sz w:val="19"/>
              </w:rPr>
            </w:pPr>
            <w:r>
              <w:rPr>
                <w:i/>
                <w:sz w:val="19"/>
              </w:rPr>
              <w:t>Corporations (Consequential Amendments) Act (No. 2)</w:t>
            </w:r>
            <w:del w:id="300" w:author="svcMRProcess" w:date="2015-12-09T01:03:00Z">
              <w:r>
                <w:rPr>
                  <w:i/>
                  <w:sz w:val="19"/>
                </w:rPr>
                <w:delText xml:space="preserve"> </w:delText>
              </w:r>
            </w:del>
            <w:ins w:id="301" w:author="svcMRProcess" w:date="2015-12-09T01:03:00Z">
              <w:r>
                <w:rPr>
                  <w:i/>
                  <w:sz w:val="19"/>
                </w:rPr>
                <w:t> </w:t>
              </w:r>
            </w:ins>
            <w:r>
              <w:rPr>
                <w:i/>
                <w:sz w:val="19"/>
              </w:rPr>
              <w:t>2003</w:t>
            </w:r>
            <w:r>
              <w:rPr>
                <w:sz w:val="19"/>
              </w:rPr>
              <w:t xml:space="preserve"> Pt. 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Statutes (Repeals and Minor Amendments) Act 2003</w:t>
            </w:r>
            <w:r>
              <w:rPr>
                <w:sz w:val="19"/>
              </w:rPr>
              <w:t xml:space="preserve"> s. 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w:t>
            </w:r>
            <w:del w:id="302" w:author="svcMRProcess" w:date="2015-12-09T01:03:00Z">
              <w:r>
                <w:rPr>
                  <w:sz w:val="19"/>
                </w:rPr>
                <w:delText xml:space="preserve"> </w:delText>
              </w:r>
            </w:del>
            <w:ins w:id="303" w:author="svcMRProcess" w:date="2015-12-09T01:03:00Z">
              <w:r>
                <w:rPr>
                  <w:sz w:val="19"/>
                </w:rPr>
                <w:t> </w:t>
              </w:r>
            </w:ins>
            <w:r>
              <w:rPr>
                <w:sz w:val="19"/>
              </w:rPr>
              <w:t>Dec</w:t>
            </w:r>
            <w:del w:id="304" w:author="svcMRProcess" w:date="2015-12-09T01:03:00Z">
              <w:r>
                <w:rPr>
                  <w:sz w:val="19"/>
                </w:rPr>
                <w:delText xml:space="preserve"> </w:delText>
              </w:r>
            </w:del>
            <w:ins w:id="305" w:author="svcMRProcess" w:date="2015-12-09T01:03:00Z">
              <w:r>
                <w:rPr>
                  <w:sz w:val="19"/>
                </w:rPr>
                <w:t> </w:t>
              </w:r>
            </w:ins>
            <w:r>
              <w:rPr>
                <w:sz w:val="19"/>
              </w:rPr>
              <w:t>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18</w:t>
            </w:r>
            <w:r>
              <w:rPr>
                <w:sz w:val="19"/>
                <w:vertAlign w:val="superscript"/>
              </w:rPr>
              <w:t> </w:t>
            </w:r>
            <w:del w:id="306" w:author="svcMRProcess" w:date="2015-12-09T01:03:00Z">
              <w:r>
                <w:rPr>
                  <w:sz w:val="19"/>
                  <w:vertAlign w:val="superscript"/>
                </w:rPr>
                <w:delText>4</w:delText>
              </w:r>
            </w:del>
            <w:ins w:id="307" w:author="svcMRProcess" w:date="2015-12-09T01:03:00Z">
              <w:r>
                <w:rPr>
                  <w:sz w:val="19"/>
                  <w:vertAlign w:val="superscript"/>
                </w:rPr>
                <w:t>3</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w:t>
            </w:r>
            <w:del w:id="308" w:author="svcMRProcess" w:date="2015-12-09T01:03:00Z">
              <w:r>
                <w:rPr>
                  <w:sz w:val="19"/>
                </w:rPr>
                <w:delText xml:space="preserve"> </w:delText>
              </w:r>
            </w:del>
            <w:ins w:id="309" w:author="svcMRProcess" w:date="2015-12-09T01:03:00Z">
              <w:r>
                <w:rPr>
                  <w:sz w:val="19"/>
                </w:rPr>
                <w:t> </w:t>
              </w:r>
            </w:ins>
            <w:r>
              <w:rPr>
                <w:sz w:val="19"/>
              </w:rPr>
              <w:t>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ins w:id="310" w:author="svcMRProcess" w:date="2015-12-09T01:03:00Z"/>
        </w:trPr>
        <w:tc>
          <w:tcPr>
            <w:tcW w:w="7087" w:type="dxa"/>
            <w:gridSpan w:val="4"/>
            <w:tcBorders>
              <w:bottom w:val="single" w:sz="8" w:space="0" w:color="auto"/>
            </w:tcBorders>
          </w:tcPr>
          <w:p>
            <w:pPr>
              <w:pStyle w:val="nTable"/>
              <w:spacing w:after="40"/>
              <w:rPr>
                <w:ins w:id="311" w:author="svcMRProcess" w:date="2015-12-09T01:03:00Z"/>
                <w:spacing w:val="-2"/>
                <w:sz w:val="19"/>
              </w:rPr>
            </w:pPr>
            <w:ins w:id="312" w:author="svcMRProcess" w:date="2015-12-09T01:03:00Z">
              <w:r>
                <w:rPr>
                  <w:b/>
                  <w:sz w:val="19"/>
                </w:rPr>
                <w:t xml:space="preserve">Reprint 2:  The </w:t>
              </w:r>
              <w:r>
                <w:rPr>
                  <w:b/>
                  <w:i/>
                  <w:sz w:val="19"/>
                </w:rPr>
                <w:t>Chattel Securities Act 1987</w:t>
              </w:r>
              <w:r>
                <w:rPr>
                  <w:b/>
                  <w:sz w:val="19"/>
                </w:rPr>
                <w:t xml:space="preserve"> as at 21 Apr 2006</w:t>
              </w:r>
              <w:r>
                <w:rPr>
                  <w:sz w:val="19"/>
                </w:rPr>
                <w:t xml:space="preserve"> (includes amendments listed above)</w:t>
              </w:r>
            </w:ins>
          </w:p>
        </w:tc>
      </w:tr>
    </w:tbl>
    <w:p>
      <w:pPr>
        <w:pStyle w:val="nSubsection"/>
        <w:rPr>
          <w:del w:id="313" w:author="svcMRProcess" w:date="2015-12-09T01:03:00Z"/>
          <w:vertAlign w:val="superscript"/>
        </w:rPr>
      </w:pPr>
    </w:p>
    <w:p>
      <w:pPr>
        <w:pStyle w:val="nSubsection"/>
        <w:spacing w:before="360"/>
        <w:ind w:left="482" w:hanging="482"/>
      </w:pPr>
      <w:r>
        <w:rPr>
          <w:vertAlign w:val="superscript"/>
        </w:rPr>
        <w:t>1a</w:t>
      </w:r>
      <w:r>
        <w:tab/>
        <w:t>On the date as at which thi</w:t>
      </w:r>
      <w:bookmarkStart w:id="314" w:name="_Hlt507390729"/>
      <w:bookmarkEnd w:id="314"/>
      <w:r>
        <w:t xml:space="preserve">s </w:t>
      </w:r>
      <w:del w:id="315" w:author="svcMRProcess" w:date="2015-12-09T01:03:00Z">
        <w:r>
          <w:rPr>
            <w:snapToGrid w:val="0"/>
          </w:rPr>
          <w:delText>compilation</w:delText>
        </w:r>
      </w:del>
      <w:ins w:id="316" w:author="svcMRProcess" w:date="2015-12-09T01:03:00Z">
        <w:r>
          <w:t>reprint</w:t>
        </w:r>
      </w:ins>
      <w:r>
        <w:t xml:space="preserve"> was prepared, provisions referred to in the following table had not come into operation and were therefore not included in </w:t>
      </w:r>
      <w:del w:id="317" w:author="svcMRProcess" w:date="2015-12-09T01:03:00Z">
        <w:r>
          <w:rPr>
            <w:snapToGrid w:val="0"/>
          </w:rPr>
          <w:delText>this compilation.</w:delText>
        </w:r>
      </w:del>
      <w:ins w:id="318" w:author="svcMRProcess" w:date="2015-12-09T01:03:00Z">
        <w:r>
          <w:t>compiling the reprint.</w:t>
        </w:r>
      </w:ins>
      <w:r>
        <w:t xml:space="preserve">  For the text of the provisions see the endnote referred to in the table.</w:t>
      </w:r>
    </w:p>
    <w:p>
      <w:pPr>
        <w:pStyle w:val="nHeading3"/>
      </w:pPr>
      <w:bookmarkStart w:id="319" w:name="_Toc511102521"/>
      <w:bookmarkStart w:id="320" w:name="_Toc20294003"/>
      <w:bookmarkStart w:id="321" w:name="_Toc131926521"/>
      <w:bookmarkStart w:id="322" w:name="_Toc131926599"/>
      <w:bookmarkStart w:id="323" w:name="_Toc131926705"/>
      <w:bookmarkStart w:id="324" w:name="_Toc135464389"/>
      <w:bookmarkStart w:id="325" w:name="_Toc130956250"/>
      <w:r>
        <w:t>Provisions that have not come into operation</w:t>
      </w:r>
      <w:bookmarkEnd w:id="319"/>
      <w:bookmarkEnd w:id="320"/>
      <w:bookmarkEnd w:id="321"/>
      <w:bookmarkEnd w:id="322"/>
      <w:bookmarkEnd w:id="323"/>
      <w:bookmarkEnd w:id="324"/>
      <w:bookmarkEnd w:id="32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z w:val="19"/>
              </w:rPr>
              <w:t xml:space="preserve">Road Traffic Amendment (Vehicle Licensing) Act 2001 </w:t>
            </w:r>
            <w:r>
              <w:rPr>
                <w:sz w:val="19"/>
              </w:rPr>
              <w:t xml:space="preserve">Pt. 3 Div. 1 </w:t>
            </w:r>
            <w:del w:id="326" w:author="svcMRProcess" w:date="2015-12-09T01:03:00Z">
              <w:r>
                <w:rPr>
                  <w:sz w:val="19"/>
                  <w:vertAlign w:val="superscript"/>
                </w:rPr>
                <w:delText>3</w:delText>
              </w:r>
            </w:del>
            <w:ins w:id="327" w:author="svcMRProcess" w:date="2015-12-09T01:03:00Z">
              <w:r>
                <w:rPr>
                  <w:sz w:val="19"/>
                  <w:vertAlign w:val="superscript"/>
                </w:rPr>
                <w:t>4</w:t>
              </w:r>
            </w:ins>
          </w:p>
        </w:tc>
        <w:tc>
          <w:tcPr>
            <w:tcW w:w="1134" w:type="dxa"/>
            <w:tcBorders>
              <w:top w:val="single" w:sz="8" w:space="0" w:color="auto"/>
              <w:bottom w:val="single" w:sz="8" w:space="0" w:color="auto"/>
            </w:tcBorders>
          </w:tcPr>
          <w:p>
            <w:pPr>
              <w:pStyle w:val="nTable"/>
              <w:keepNext/>
              <w:spacing w:before="120"/>
              <w:rPr>
                <w:sz w:val="19"/>
              </w:rPr>
            </w:pPr>
            <w:r>
              <w:rPr>
                <w:sz w:val="19"/>
              </w:rPr>
              <w:t>28 of 2001</w:t>
            </w:r>
          </w:p>
        </w:tc>
        <w:tc>
          <w:tcPr>
            <w:tcW w:w="1134" w:type="dxa"/>
            <w:tcBorders>
              <w:top w:val="single" w:sz="8" w:space="0" w:color="auto"/>
              <w:bottom w:val="single" w:sz="8" w:space="0" w:color="auto"/>
            </w:tcBorders>
          </w:tcPr>
          <w:p>
            <w:pPr>
              <w:pStyle w:val="nTable"/>
              <w:keepNext/>
              <w:spacing w:before="120"/>
              <w:rPr>
                <w:sz w:val="19"/>
              </w:rPr>
            </w:pPr>
            <w:r>
              <w:rPr>
                <w:sz w:val="19"/>
              </w:rPr>
              <w:t>21</w:t>
            </w:r>
            <w:del w:id="328" w:author="svcMRProcess" w:date="2015-12-09T01:03:00Z">
              <w:r>
                <w:rPr>
                  <w:sz w:val="19"/>
                </w:rPr>
                <w:delText xml:space="preserve"> </w:delText>
              </w:r>
            </w:del>
            <w:ins w:id="329" w:author="svcMRProcess" w:date="2015-12-09T01:03:00Z">
              <w:r>
                <w:rPr>
                  <w:sz w:val="19"/>
                </w:rPr>
                <w:t> </w:t>
              </w:r>
            </w:ins>
            <w:r>
              <w:rPr>
                <w:sz w:val="19"/>
              </w:rPr>
              <w:t>Dec</w:t>
            </w:r>
            <w:del w:id="330" w:author="svcMRProcess" w:date="2015-12-09T01:03:00Z">
              <w:r>
                <w:rPr>
                  <w:sz w:val="19"/>
                </w:rPr>
                <w:delText xml:space="preserve"> </w:delText>
              </w:r>
            </w:del>
            <w:ins w:id="331" w:author="svcMRProcess" w:date="2015-12-09T01:03:00Z">
              <w:r>
                <w:rPr>
                  <w:sz w:val="19"/>
                </w:rPr>
                <w:t> </w:t>
              </w:r>
            </w:ins>
            <w:r>
              <w:rPr>
                <w:sz w:val="19"/>
              </w:rPr>
              <w:t>2001</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w:t>
            </w:r>
          </w:p>
        </w:tc>
      </w:tr>
    </w:tbl>
    <w:p>
      <w:pPr>
        <w:pStyle w:val="nSubsection"/>
        <w:rPr>
          <w:del w:id="332" w:author="svcMRProcess" w:date="2015-12-09T01:03:00Z"/>
        </w:rPr>
      </w:pPr>
      <w:del w:id="333" w:author="svcMRProcess" w:date="2015-12-09T01:03:00Z">
        <w:r>
          <w:rPr>
            <w:vertAlign w:val="superscript"/>
          </w:rPr>
          <w:delText>2</w:delText>
        </w:r>
        <w:r>
          <w:tab/>
          <w:delText>Footnote no longer applicable.</w:delText>
        </w:r>
      </w:del>
    </w:p>
    <w:p>
      <w:pPr>
        <w:pStyle w:val="nSubsection"/>
        <w:spacing w:before="160"/>
        <w:rPr>
          <w:ins w:id="334" w:author="svcMRProcess" w:date="2015-12-09T01:03:00Z"/>
        </w:rPr>
      </w:pPr>
      <w:del w:id="335" w:author="svcMRProcess" w:date="2015-12-09T01:03:00Z">
        <w:r>
          <w:rPr>
            <w:vertAlign w:val="superscript"/>
          </w:rPr>
          <w:delText>3</w:delText>
        </w:r>
      </w:del>
      <w:ins w:id="336" w:author="svcMRProcess" w:date="2015-12-09T01:03:00Z">
        <w:r>
          <w:rPr>
            <w:vertAlign w:val="superscript"/>
          </w:rPr>
          <w:t>2</w:t>
        </w:r>
        <w:r>
          <w:rPr>
            <w:vertAlign w:val="superscript"/>
          </w:rPr>
          <w:tab/>
        </w:r>
        <w:r>
          <w:t xml:space="preserve">The provision in this Act amending the </w:t>
        </w:r>
        <w:r>
          <w:rPr>
            <w:i/>
            <w:iCs/>
          </w:rPr>
          <w:t>Consumer Affairs Act 1971</w:t>
        </w:r>
        <w:r>
          <w:t xml:space="preserve"> has been omitted under s. 7(4)(e) of the </w:t>
        </w:r>
        <w:r>
          <w:rPr>
            <w:i/>
            <w:iCs/>
          </w:rPr>
          <w:t>Reprints Act 1984</w:t>
        </w:r>
        <w:r>
          <w:t>.</w:t>
        </w:r>
      </w:ins>
    </w:p>
    <w:p>
      <w:pPr>
        <w:pStyle w:val="nSubsection"/>
        <w:rPr>
          <w:ins w:id="337" w:author="svcMRProcess" w:date="2015-12-09T01:03:00Z"/>
        </w:rPr>
      </w:pPr>
      <w:ins w:id="338" w:author="svcMRProcess" w:date="2015-12-09T01:03:00Z">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ins>
    </w:p>
    <w:p>
      <w:pPr>
        <w:pStyle w:val="nSubsection"/>
        <w:rPr>
          <w:snapToGrid w:val="0"/>
        </w:rPr>
      </w:pPr>
      <w:ins w:id="339" w:author="svcMRProcess" w:date="2015-12-09T01:03:00Z">
        <w:r>
          <w:rPr>
            <w:vertAlign w:val="superscript"/>
          </w:rPr>
          <w:t>4</w:t>
        </w:r>
      </w:ins>
      <w:r>
        <w:tab/>
        <w:t xml:space="preserve">On the date as at which this </w:t>
      </w:r>
      <w:del w:id="340" w:author="svcMRProcess" w:date="2015-12-09T01:03:00Z">
        <w:r>
          <w:delText>compilation</w:delText>
        </w:r>
      </w:del>
      <w:ins w:id="341" w:author="svcMRProcess" w:date="2015-12-09T01:03:00Z">
        <w:r>
          <w:t>reprint</w:t>
        </w:r>
      </w:ins>
      <w:r>
        <w:t xml:space="preserve"> was prepared, the</w:t>
      </w:r>
      <w:r>
        <w:rPr>
          <w:sz w:val="18"/>
        </w:rPr>
        <w:t xml:space="preserve"> </w:t>
      </w:r>
      <w:r>
        <w:rPr>
          <w:rFonts w:ascii="Times" w:hAnsi="Times"/>
          <w:i/>
        </w:rPr>
        <w:t xml:space="preserve">Road Traffic Amendment (Vehicle Licensing) Act 2001 </w:t>
      </w:r>
      <w:r>
        <w:rPr>
          <w:rFonts w:ascii="Times" w:hAnsi="Times"/>
        </w:rPr>
        <w:t>Pt. 3 Div. 1</w:t>
      </w:r>
      <w:r>
        <w:t xml:space="preserve"> had</w:t>
      </w:r>
      <w:r>
        <w:rPr>
          <w:snapToGrid w:val="0"/>
        </w:rPr>
        <w:t xml:space="preserve"> not come into operation.  It reads as follows:</w:t>
      </w:r>
    </w:p>
    <w:p>
      <w:pPr>
        <w:pStyle w:val="MiscOpen"/>
        <w:rPr>
          <w:rStyle w:val="CharSectno"/>
        </w:rPr>
      </w:pPr>
      <w:r>
        <w:rPr>
          <w:rStyle w:val="CharSectno"/>
        </w:rPr>
        <w:t>“</w:t>
      </w:r>
    </w:p>
    <w:p>
      <w:pPr>
        <w:pStyle w:val="nzHeading5"/>
        <w:jc w:val="center"/>
      </w:pPr>
      <w:r>
        <w:rPr>
          <w:rStyle w:val="CharDivNo"/>
        </w:rPr>
        <w:t>Division</w:t>
      </w:r>
      <w:del w:id="342" w:author="svcMRProcess" w:date="2015-12-09T01:03:00Z">
        <w:r>
          <w:rPr>
            <w:rStyle w:val="CharDivNo"/>
          </w:rPr>
          <w:delText xml:space="preserve"> </w:delText>
        </w:r>
      </w:del>
      <w:ins w:id="343" w:author="svcMRProcess" w:date="2015-12-09T01:03:00Z">
        <w:r>
          <w:rPr>
            <w:rStyle w:val="CharDivNo"/>
          </w:rPr>
          <w:t> </w:t>
        </w:r>
      </w:ins>
      <w:r>
        <w:rPr>
          <w:rStyle w:val="CharDivNo"/>
        </w:rPr>
        <w:t>1</w:t>
      </w:r>
      <w:r>
        <w:t xml:space="preserve"> — </w:t>
      </w:r>
      <w:r>
        <w:rPr>
          <w:rStyle w:val="CharDivText"/>
          <w:i/>
        </w:rPr>
        <w:t>Chattel Securities Act 1987</w:t>
      </w:r>
      <w:r>
        <w:rPr>
          <w:rStyle w:val="CharDivText"/>
        </w:rPr>
        <w:t xml:space="preserve"> amended</w:t>
      </w:r>
    </w:p>
    <w:p>
      <w:pPr>
        <w:pStyle w:val="nzHeading5"/>
      </w:pPr>
      <w:r>
        <w:rPr>
          <w:rStyle w:val="CharSectno"/>
        </w:rPr>
        <w:t>25</w:t>
      </w:r>
      <w:r>
        <w:t>.</w:t>
      </w:r>
      <w:r>
        <w:tab/>
        <w:t>The Act amended</w:t>
      </w:r>
    </w:p>
    <w:p>
      <w:pPr>
        <w:pStyle w:val="nzSubsection"/>
      </w:pPr>
      <w:r>
        <w:tab/>
      </w:r>
      <w:r>
        <w:tab/>
        <w:t xml:space="preserve">The amendments in this Division are to the </w:t>
      </w:r>
      <w:r>
        <w:rPr>
          <w:i/>
        </w:rPr>
        <w:t>Chattel Securities Act 1987</w:t>
      </w:r>
      <w:r>
        <w:t>.</w:t>
      </w:r>
    </w:p>
    <w:p>
      <w:pPr>
        <w:pStyle w:val="nzHeading5"/>
      </w:pPr>
      <w:r>
        <w:rPr>
          <w:rStyle w:val="CharSectno"/>
        </w:rPr>
        <w:t>26</w:t>
      </w:r>
      <w:r>
        <w:t>.</w:t>
      </w:r>
      <w:r>
        <w:tab/>
        <w:t>Section 3 amended</w:t>
      </w:r>
    </w:p>
    <w:p>
      <w:pPr>
        <w:pStyle w:val="nzSubsection"/>
      </w:pPr>
      <w:r>
        <w:tab/>
      </w:r>
      <w:r>
        <w:tab/>
        <w:t>Section 3(1) is amended by inserting after the definition of “supply” the following definition —</w:t>
      </w:r>
    </w:p>
    <w:p>
      <w:pPr>
        <w:pStyle w:val="nzDefstart"/>
        <w:ind w:right="1134"/>
      </w:pPr>
      <w:r>
        <w:t xml:space="preserve">“    </w:t>
      </w:r>
    </w:p>
    <w:p>
      <w:pPr>
        <w:pStyle w:val="nzDefstart"/>
        <w:ind w:right="1134"/>
      </w:pPr>
      <w:r>
        <w:tab/>
      </w:r>
      <w:r>
        <w:rPr>
          <w:b/>
        </w:rPr>
        <w:t>“</w:t>
      </w:r>
      <w:r>
        <w:rPr>
          <w:b/>
          <w:bCs/>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 </w:t>
      </w:r>
    </w:p>
    <w:p>
      <w:pPr>
        <w:pStyle w:val="MiscClose"/>
        <w:ind w:right="567"/>
      </w:pPr>
      <w:r>
        <w:t>”.</w:t>
      </w:r>
    </w:p>
    <w:p>
      <w:pPr>
        <w:pStyle w:val="nzHeading5"/>
        <w:ind w:right="425"/>
      </w:pPr>
      <w:r>
        <w:rPr>
          <w:rStyle w:val="CharSectno"/>
        </w:rPr>
        <w:t>27</w:t>
      </w:r>
      <w:r>
        <w:t>.</w:t>
      </w:r>
      <w:r>
        <w:tab/>
        <w:t>Section 7 amended</w:t>
      </w:r>
    </w:p>
    <w:p>
      <w:pPr>
        <w:pStyle w:val="nzSubsection"/>
        <w:ind w:right="425"/>
      </w:pPr>
      <w:r>
        <w:tab/>
        <w:t>(1)</w:t>
      </w:r>
      <w:r>
        <w:tab/>
        <w:t>Section 7(5)(b) is amended by deleting “, caravan or semi</w:t>
      </w:r>
      <w:r>
        <w:noBreakHyphen/>
        <w:t>trailer described in the First Schedule to that Act, being a motor vehicle, trailer, caravan or semi</w:t>
      </w:r>
      <w:r>
        <w:noBreakHyphen/>
        <w:t>trailer”.</w:t>
      </w:r>
    </w:p>
    <w:p>
      <w:pPr>
        <w:pStyle w:val="nzSubsection"/>
        <w:ind w:right="425"/>
      </w:pPr>
      <w:r>
        <w:tab/>
        <w:t>(2)</w:t>
      </w:r>
      <w:r>
        <w:tab/>
        <w:t>Section 7(6)(d) is amended by deleting “, caravan or semi</w:t>
      </w:r>
      <w:r>
        <w:noBreakHyphen/>
        <w:t>trailer described in the First Schedule to that Act, being a motor vehicle, trailer, caravan or semi</w:t>
      </w:r>
      <w:r>
        <w:noBreakHyphen/>
        <w:t>trailer”.</w:t>
      </w:r>
    </w:p>
    <w:p>
      <w:pPr>
        <w:pStyle w:val="nzHeading5"/>
        <w:ind w:right="425"/>
      </w:pPr>
      <w:r>
        <w:rPr>
          <w:rStyle w:val="CharSectno"/>
        </w:rPr>
        <w:t>28</w:t>
      </w:r>
      <w:r>
        <w:t>.</w:t>
      </w:r>
      <w:r>
        <w:tab/>
        <w:t>Section 13 amended</w:t>
      </w:r>
    </w:p>
    <w:p>
      <w:pPr>
        <w:pStyle w:val="nzSubsection"/>
        <w:ind w:right="425"/>
      </w:pPr>
      <w:r>
        <w:tab/>
      </w:r>
      <w:r>
        <w:tab/>
        <w:t>Section 13(b) is amended by deleting “, caravans and semi</w:t>
      </w:r>
      <w:r>
        <w:noBreakHyphen/>
        <w:t xml:space="preserve">trailers described in the First Schedule to the </w:t>
      </w:r>
      <w:r>
        <w:rPr>
          <w:i/>
        </w:rPr>
        <w:t>Road Traffic Act 1974</w:t>
      </w:r>
      <w:r>
        <w:t>, being trailers, caravans and semi</w:t>
      </w:r>
      <w:r>
        <w:noBreakHyphen/>
        <w:t>trailers”.</w:t>
      </w:r>
    </w:p>
    <w:p>
      <w:pPr>
        <w:pStyle w:val="MiscClose"/>
      </w:pPr>
      <w:r>
        <w:t>”.</w:t>
      </w:r>
    </w:p>
    <w:p>
      <w:pPr>
        <w:pStyle w:val="nSubsection"/>
        <w:rPr>
          <w:del w:id="344" w:author="svcMRProcess" w:date="2015-12-09T01:03:00Z"/>
        </w:rPr>
      </w:pPr>
      <w:del w:id="345" w:author="svcMRProcess" w:date="2015-12-09T01:03:00Z">
        <w:r>
          <w:rPr>
            <w:vertAlign w:val="superscript"/>
          </w:rPr>
          <w:delText>4</w:delText>
        </w:r>
        <w:r>
          <w:tab/>
          <w:delText xml:space="preserve">The </w:delText>
        </w:r>
        <w:r>
          <w:rPr>
            <w:i/>
          </w:rPr>
          <w:delText>State Administrative Tribunal (Conferral of Jurisdiction) Amendment and Repeal Act 2004</w:delText>
        </w:r>
        <w:r>
          <w:delText xml:space="preserve"> Pt. 5, the </w:delText>
        </w:r>
        <w:r>
          <w:rPr>
            <w:i/>
          </w:rPr>
          <w:delText>State Administration Tribunal Act 2004</w:delText>
        </w:r>
        <w:r>
          <w:delText xml:space="preserve"> s. 167 and 169, and the </w:delText>
        </w:r>
        <w:r>
          <w:rPr>
            <w:i/>
          </w:rPr>
          <w:delText>State Administrative Tribunal Regulations 2004</w:delText>
        </w:r>
        <w:r>
          <w:delText xml:space="preserve"> r. 28 and 42 deal with certain transitional issues some of which may be relevant for this Act.</w:delText>
        </w:r>
      </w:del>
    </w:p>
    <w:p>
      <w:pPr>
        <w:rPr>
          <w:del w:id="346" w:author="svcMRProcess" w:date="2015-12-09T01:03:00Z"/>
          <w:snapToGrid w:val="0"/>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Chattel Securities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6604</Words>
  <Characters>31307</Characters>
  <Application>Microsoft Office Word</Application>
  <DocSecurity>0</DocSecurity>
  <Lines>823</Lines>
  <Paragraphs>382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37529</CharactersWithSpaces>
  <SharedDoc>false</SharedDoc>
  <HLinks>
    <vt:vector size="12" baseType="variant">
      <vt:variant>
        <vt:i4>3014716</vt:i4>
      </vt:variant>
      <vt:variant>
        <vt:i4>3616</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01-d0-03 - 02-a0-02</dc:title>
  <dc:subject/>
  <dc:creator/>
  <cp:keywords/>
  <dc:description/>
  <cp:lastModifiedBy>svcMRProcess</cp:lastModifiedBy>
  <cp:revision>2</cp:revision>
  <cp:lastPrinted>2006-04-19T04:01:00Z</cp:lastPrinted>
  <dcterms:created xsi:type="dcterms:W3CDTF">2015-12-08T17:03:00Z</dcterms:created>
  <dcterms:modified xsi:type="dcterms:W3CDTF">2015-12-08T17:03:00Z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20060421</vt:lpwstr>
  </property>
  <property fmtid="{D5CDD505-2E9C-101B-9397-08002B2CF9AE}" pid="4" name="DocumentType">
    <vt:lpwstr>Act</vt:lpwstr>
  </property>
  <property fmtid="{D5CDD505-2E9C-101B-9397-08002B2CF9AE}" pid="5" name="OwlsUID">
    <vt:i4>119</vt:i4>
  </property>
  <property fmtid="{D5CDD505-2E9C-101B-9397-08002B2CF9AE}" pid="6" name="ReprintNo">
    <vt:lpwstr>2</vt:lpwstr>
  </property>
  <property fmtid="{D5CDD505-2E9C-101B-9397-08002B2CF9AE}" pid="7" name="FromSuffix">
    <vt:lpwstr>01-d0-03</vt:lpwstr>
  </property>
  <property fmtid="{D5CDD505-2E9C-101B-9397-08002B2CF9AE}" pid="8" name="FromAsAtDate">
    <vt:lpwstr>24 Mar 2006</vt:lpwstr>
  </property>
  <property fmtid="{D5CDD505-2E9C-101B-9397-08002B2CF9AE}" pid="9" name="ToSuffix">
    <vt:lpwstr>02-a0-02</vt:lpwstr>
  </property>
  <property fmtid="{D5CDD505-2E9C-101B-9397-08002B2CF9AE}" pid="10" name="ToAsAtDate">
    <vt:lpwstr>21 Apr 2006</vt:lpwstr>
  </property>
</Properties>
</file>