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2013</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14 Feb 2014</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1:48:00Z"/>
        </w:trPr>
        <w:tc>
          <w:tcPr>
            <w:tcW w:w="2434" w:type="dxa"/>
            <w:vMerge w:val="restart"/>
          </w:tcPr>
          <w:p>
            <w:pPr>
              <w:rPr>
                <w:ins w:id="1" w:author="Master Repository Process" w:date="2021-08-01T11:48:00Z"/>
              </w:rPr>
            </w:pPr>
          </w:p>
        </w:tc>
        <w:tc>
          <w:tcPr>
            <w:tcW w:w="2434" w:type="dxa"/>
            <w:vMerge w:val="restart"/>
          </w:tcPr>
          <w:p>
            <w:pPr>
              <w:jc w:val="center"/>
              <w:rPr>
                <w:ins w:id="2" w:author="Master Repository Process" w:date="2021-08-01T11:48:00Z"/>
              </w:rPr>
            </w:pPr>
            <w:ins w:id="3" w:author="Master Repository Process" w:date="2021-08-01T11:48: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1:48:00Z"/>
              </w:rPr>
            </w:pPr>
            <w:ins w:id="5" w:author="Master Repository Process" w:date="2021-08-01T11:48: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1:48:00Z"/>
        </w:trPr>
        <w:tc>
          <w:tcPr>
            <w:tcW w:w="2434" w:type="dxa"/>
            <w:vMerge/>
          </w:tcPr>
          <w:p>
            <w:pPr>
              <w:rPr>
                <w:ins w:id="7" w:author="Master Repository Process" w:date="2021-08-01T11:48:00Z"/>
              </w:rPr>
            </w:pPr>
          </w:p>
        </w:tc>
        <w:tc>
          <w:tcPr>
            <w:tcW w:w="2434" w:type="dxa"/>
            <w:vMerge/>
          </w:tcPr>
          <w:p>
            <w:pPr>
              <w:jc w:val="center"/>
              <w:rPr>
                <w:ins w:id="8" w:author="Master Repository Process" w:date="2021-08-01T11:48:00Z"/>
              </w:rPr>
            </w:pPr>
          </w:p>
        </w:tc>
        <w:tc>
          <w:tcPr>
            <w:tcW w:w="2434" w:type="dxa"/>
          </w:tcPr>
          <w:p>
            <w:pPr>
              <w:keepNext/>
              <w:rPr>
                <w:ins w:id="9" w:author="Master Repository Process" w:date="2021-08-01T11:48:00Z"/>
                <w:b/>
                <w:sz w:val="22"/>
              </w:rPr>
            </w:pPr>
            <w:ins w:id="10" w:author="Master Repository Process" w:date="2021-08-01T11:48:00Z">
              <w:r>
                <w:rPr>
                  <w:b/>
                  <w:sz w:val="22"/>
                </w:rPr>
                <w:t>at 14</w:t>
              </w:r>
              <w:r>
                <w:rPr>
                  <w:b/>
                  <w:snapToGrid w:val="0"/>
                  <w:sz w:val="22"/>
                </w:rPr>
                <w:t xml:space="preserve"> February 2014</w:t>
              </w:r>
            </w:ins>
          </w:p>
        </w:tc>
      </w:tr>
    </w:tbl>
    <w:p>
      <w:pPr>
        <w:pStyle w:val="WA"/>
        <w:spacing w:before="120"/>
      </w:pPr>
      <w:r>
        <w:t>Western Australia</w:t>
      </w:r>
    </w:p>
    <w:p>
      <w:pPr>
        <w:pStyle w:val="PrincipalActReg"/>
      </w:pPr>
      <w:r>
        <w:t>Evidence Act 1906</w:t>
      </w:r>
    </w:p>
    <w:p>
      <w:pPr>
        <w:pStyle w:val="NameofActReg"/>
      </w:pPr>
      <w:r>
        <w:t>Evidence (Video and Audio Links Fees and Expenses) Regulations 1999</w:t>
      </w:r>
    </w:p>
    <w:p>
      <w:pPr>
        <w:pStyle w:val="Heading5"/>
      </w:pPr>
      <w:bookmarkStart w:id="11" w:name="_Toc381365750"/>
      <w:bookmarkStart w:id="12" w:name="_Toc378240850"/>
      <w:r>
        <w:rPr>
          <w:rStyle w:val="CharSectno"/>
        </w:rPr>
        <w:t>1</w:t>
      </w:r>
      <w:bookmarkStart w:id="13" w:name="_GoBack"/>
      <w:bookmarkEnd w:id="13"/>
      <w:r>
        <w:t>.</w:t>
      </w:r>
      <w:r>
        <w:tab/>
        <w:t>Citation</w:t>
      </w:r>
      <w:bookmarkEnd w:id="11"/>
      <w:bookmarkEnd w:id="12"/>
    </w:p>
    <w:p>
      <w:pPr>
        <w:pStyle w:val="Subsection"/>
        <w:rPr>
          <w:i/>
        </w:rPr>
      </w:pPr>
      <w:r>
        <w:tab/>
      </w:r>
      <w:r>
        <w:tab/>
        <w:t xml:space="preserve">These regulations may be cited as the </w:t>
      </w:r>
      <w:r>
        <w:rPr>
          <w:i/>
        </w:rPr>
        <w:t>Evidence (Video and Audio Links Fees and Expenses) Regulations 1999</w:t>
      </w:r>
      <w:r>
        <w:rPr>
          <w:iCs/>
          <w:vertAlign w:val="superscript"/>
        </w:rPr>
        <w:t> 1</w:t>
      </w:r>
      <w:r>
        <w:rPr>
          <w:i/>
        </w:rPr>
        <w:t>.</w:t>
      </w:r>
    </w:p>
    <w:p>
      <w:pPr>
        <w:pStyle w:val="Heading5"/>
      </w:pPr>
      <w:bookmarkStart w:id="14" w:name="_Toc381365751"/>
      <w:bookmarkStart w:id="15" w:name="_Toc378240851"/>
      <w:r>
        <w:rPr>
          <w:rStyle w:val="CharSectno"/>
        </w:rPr>
        <w:t>2</w:t>
      </w:r>
      <w:r>
        <w:t>.</w:t>
      </w:r>
      <w:r>
        <w:tab/>
        <w:t>Booking fee</w:t>
      </w:r>
      <w:bookmarkEnd w:id="14"/>
      <w:bookmarkEnd w:id="15"/>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in Gazette 9 Mar 2012 p. 931</w:t>
      </w:r>
      <w:r>
        <w:noBreakHyphen/>
        <w:t>2.]</w:t>
      </w:r>
    </w:p>
    <w:p>
      <w:pPr>
        <w:pStyle w:val="Heading5"/>
      </w:pPr>
      <w:bookmarkStart w:id="16" w:name="_Toc381365752"/>
      <w:bookmarkStart w:id="17" w:name="_Toc378240852"/>
      <w:r>
        <w:rPr>
          <w:rStyle w:val="CharSectno"/>
        </w:rPr>
        <w:lastRenderedPageBreak/>
        <w:t>3</w:t>
      </w:r>
      <w:r>
        <w:t>.</w:t>
      </w:r>
      <w:r>
        <w:tab/>
        <w:t>Hourly fee</w:t>
      </w:r>
      <w:bookmarkEnd w:id="16"/>
      <w:bookmarkEnd w:id="17"/>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pPr>
      <w:r>
        <w:tab/>
        <w:t>(b)</w:t>
      </w:r>
      <w:r>
        <w:tab/>
        <w:t>to receive a submission on behalf of the party.</w:t>
      </w:r>
    </w:p>
    <w:p>
      <w:pPr>
        <w:pStyle w:val="Footnotesection"/>
      </w:pPr>
      <w:r>
        <w:tab/>
        <w:t>[Regulation 3 amended in Gazette 9 Mar 2012 p. 932.]</w:t>
      </w:r>
    </w:p>
    <w:p>
      <w:pPr>
        <w:pStyle w:val="Heading5"/>
      </w:pPr>
      <w:bookmarkStart w:id="18" w:name="_Toc381365753"/>
      <w:bookmarkStart w:id="19" w:name="_Toc378240853"/>
      <w:r>
        <w:rPr>
          <w:rStyle w:val="CharSectno"/>
        </w:rPr>
        <w:t>4</w:t>
      </w:r>
      <w:r>
        <w:t>.</w:t>
      </w:r>
      <w:r>
        <w:tab/>
        <w:t>Telecommunications charges</w:t>
      </w:r>
      <w:bookmarkEnd w:id="18"/>
      <w:bookmarkEnd w:id="19"/>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20" w:name="_Toc381365754"/>
      <w:bookmarkStart w:id="21" w:name="_Toc378240854"/>
      <w:r>
        <w:rPr>
          <w:rStyle w:val="CharSectno"/>
        </w:rPr>
        <w:t>5</w:t>
      </w:r>
      <w:r>
        <w:t>.</w:t>
      </w:r>
      <w:r>
        <w:tab/>
        <w:t>Fees and expenses to be recoverable as debts due to the Crown</w:t>
      </w:r>
      <w:bookmarkEnd w:id="20"/>
      <w:bookmarkEnd w:id="21"/>
    </w:p>
    <w:p>
      <w:pPr>
        <w:pStyle w:val="Subsection"/>
      </w:pPr>
      <w:r>
        <w:tab/>
      </w:r>
      <w:r>
        <w:tab/>
        <w:t>A fee or expense payable under these regulations is a debt due to the Crown and is recoverable in a court of competent jurisdiction.</w:t>
      </w:r>
    </w:p>
    <w:p>
      <w:pPr>
        <w:pStyle w:val="Heading5"/>
      </w:pPr>
      <w:bookmarkStart w:id="22" w:name="_Toc381365755"/>
      <w:bookmarkStart w:id="23" w:name="_Toc378240855"/>
      <w:r>
        <w:rPr>
          <w:rStyle w:val="CharSectno"/>
        </w:rPr>
        <w:t>6</w:t>
      </w:r>
      <w:r>
        <w:t>.</w:t>
      </w:r>
      <w:r>
        <w:tab/>
        <w:t>Court may waive fees and expenses in a particular case</w:t>
      </w:r>
      <w:bookmarkEnd w:id="22"/>
      <w:bookmarkEnd w:id="23"/>
    </w:p>
    <w:p>
      <w:pPr>
        <w:pStyle w:val="Subsection"/>
      </w:pPr>
      <w:r>
        <w:tab/>
      </w:r>
      <w:r>
        <w:tab/>
        <w:t>A court may, in a particular case, waive a fee or expense payable under these regulations.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4" w:name="_Toc381365305"/>
      <w:bookmarkStart w:id="25" w:name="_Toc381365343"/>
      <w:bookmarkStart w:id="26" w:name="_Toc381365756"/>
      <w:bookmarkStart w:id="27" w:name="_Toc378240856"/>
      <w:r>
        <w:rPr>
          <w:rStyle w:val="CharSchNo"/>
        </w:rPr>
        <w:lastRenderedPageBreak/>
        <w:t>Schedule 1</w:t>
      </w:r>
      <w:r>
        <w:t> — </w:t>
      </w:r>
      <w:r>
        <w:rPr>
          <w:rStyle w:val="CharSchText"/>
        </w:rPr>
        <w:t>Fees</w:t>
      </w:r>
      <w:bookmarkEnd w:id="24"/>
      <w:bookmarkEnd w:id="25"/>
      <w:bookmarkEnd w:id="26"/>
      <w:bookmarkEnd w:id="27"/>
    </w:p>
    <w:p>
      <w:pPr>
        <w:pStyle w:val="yShoulderClause"/>
      </w:pPr>
      <w:r>
        <w:t>[r. 2 and 3]</w:t>
      </w:r>
    </w:p>
    <w:p>
      <w:pPr>
        <w:pStyle w:val="yFootnoteheading"/>
      </w:pPr>
      <w:r>
        <w:tab/>
        <w:t>[Heading inserted in Gazette 15 Nov 2013 p. 5256.]</w:t>
      </w:r>
    </w:p>
    <w:p>
      <w:pPr>
        <w:pStyle w:val="yHeading5"/>
      </w:pPr>
      <w:bookmarkStart w:id="28" w:name="_Toc381365757"/>
      <w:bookmarkStart w:id="29" w:name="_Toc378240857"/>
      <w:r>
        <w:rPr>
          <w:rStyle w:val="CharSClsNo"/>
        </w:rPr>
        <w:t>1</w:t>
      </w:r>
      <w:r>
        <w:t>.</w:t>
      </w:r>
      <w:r>
        <w:tab/>
        <w:t>Booking fee</w:t>
      </w:r>
      <w:bookmarkEnd w:id="28"/>
      <w:bookmarkEnd w:id="29"/>
    </w:p>
    <w:tbl>
      <w:tblPr>
        <w:tblW w:w="0" w:type="auto"/>
        <w:tblInd w:w="959" w:type="dxa"/>
        <w:tblLayout w:type="fixed"/>
        <w:tblLook w:val="0000" w:firstRow="0" w:lastRow="0" w:firstColumn="0" w:lastColumn="0" w:noHBand="0" w:noVBand="0"/>
      </w:tblPr>
      <w:tblGrid>
        <w:gridCol w:w="4819"/>
        <w:gridCol w:w="993"/>
      </w:tblGrid>
      <w:tr>
        <w:tc>
          <w:tcPr>
            <w:tcW w:w="4819" w:type="dxa"/>
          </w:tcPr>
          <w:p>
            <w:pPr>
              <w:pStyle w:val="yTableNAm"/>
              <w:tabs>
                <w:tab w:val="clear" w:pos="567"/>
                <w:tab w:val="left" w:pos="601"/>
                <w:tab w:val="right" w:leader="dot" w:pos="4570"/>
              </w:tabs>
            </w:pPr>
            <w:r>
              <w:t>(1)</w:t>
            </w:r>
            <w:r>
              <w:tab/>
              <w:t xml:space="preserve">Intrastate link </w:t>
            </w:r>
            <w:r>
              <w:tab/>
            </w:r>
          </w:p>
        </w:tc>
        <w:tc>
          <w:tcPr>
            <w:tcW w:w="993" w:type="dxa"/>
          </w:tcPr>
          <w:p>
            <w:pPr>
              <w:pStyle w:val="yTableNAm"/>
              <w:tabs>
                <w:tab w:val="left" w:pos="924"/>
              </w:tabs>
            </w:pPr>
            <w:r>
              <w:rPr>
                <w:szCs w:val="22"/>
              </w:rPr>
              <w:t>$84.50</w:t>
            </w:r>
          </w:p>
        </w:tc>
      </w:tr>
      <w:tr>
        <w:tc>
          <w:tcPr>
            <w:tcW w:w="4819" w:type="dxa"/>
          </w:tcPr>
          <w:p>
            <w:pPr>
              <w:pStyle w:val="yTableNAm"/>
              <w:tabs>
                <w:tab w:val="clear" w:pos="567"/>
                <w:tab w:val="left" w:pos="601"/>
                <w:tab w:val="right" w:leader="dot" w:pos="4570"/>
              </w:tabs>
            </w:pPr>
            <w:r>
              <w:t>(2)</w:t>
            </w:r>
            <w:r>
              <w:tab/>
              <w:t>Interstate or overseas link</w:t>
            </w:r>
            <w:r>
              <w:tab/>
            </w:r>
          </w:p>
        </w:tc>
        <w:tc>
          <w:tcPr>
            <w:tcW w:w="993" w:type="dxa"/>
          </w:tcPr>
          <w:p>
            <w:pPr>
              <w:pStyle w:val="yTableNAm"/>
              <w:tabs>
                <w:tab w:val="left" w:pos="924"/>
              </w:tabs>
            </w:pPr>
            <w:r>
              <w:rPr>
                <w:szCs w:val="22"/>
              </w:rPr>
              <w:t>$125.50</w:t>
            </w:r>
          </w:p>
        </w:tc>
      </w:tr>
    </w:tbl>
    <w:p>
      <w:pPr>
        <w:pStyle w:val="yFootnotesection"/>
      </w:pPr>
      <w:r>
        <w:tab/>
        <w:t>[</w:t>
      </w:r>
      <w:del w:id="30" w:author="Master Repository Process" w:date="2021-08-01T11:48:00Z">
        <w:r>
          <w:delText>Clause</w:delText>
        </w:r>
      </w:del>
      <w:ins w:id="31" w:author="Master Repository Process" w:date="2021-08-01T11:48:00Z">
        <w:r>
          <w:t>Item</w:t>
        </w:r>
      </w:ins>
      <w:r>
        <w:t xml:space="preserve"> 1 inserted in Gazette </w:t>
      </w:r>
      <w:r>
        <w:rPr>
          <w:szCs w:val="22"/>
        </w:rPr>
        <w:t>15 Nov 2013 p</w:t>
      </w:r>
      <w:r>
        <w:t>. 5256.]</w:t>
      </w:r>
    </w:p>
    <w:p>
      <w:pPr>
        <w:rPr>
          <w:del w:id="32" w:author="Master Repository Process" w:date="2021-08-01T11:48:00Z"/>
        </w:rPr>
      </w:pPr>
    </w:p>
    <w:p>
      <w:pPr>
        <w:pStyle w:val="yHeading5"/>
        <w:tabs>
          <w:tab w:val="left" w:pos="924"/>
        </w:tabs>
      </w:pPr>
      <w:bookmarkStart w:id="33" w:name="_Toc381365758"/>
      <w:bookmarkStart w:id="34" w:name="_Toc378240858"/>
      <w:r>
        <w:rPr>
          <w:rStyle w:val="CharSClsNo"/>
        </w:rPr>
        <w:t>2</w:t>
      </w:r>
      <w:r>
        <w:t>.</w:t>
      </w:r>
      <w:r>
        <w:rPr>
          <w:b w:val="0"/>
        </w:rPr>
        <w:tab/>
      </w:r>
      <w:r>
        <w:t>Hourly fee</w:t>
      </w:r>
      <w:bookmarkEnd w:id="33"/>
      <w:bookmarkEnd w:id="34"/>
    </w:p>
    <w:tbl>
      <w:tblPr>
        <w:tblW w:w="0" w:type="auto"/>
        <w:tblInd w:w="959" w:type="dxa"/>
        <w:tblLayout w:type="fixed"/>
        <w:tblLook w:val="0000" w:firstRow="0" w:lastRow="0" w:firstColumn="0" w:lastColumn="0" w:noHBand="0" w:noVBand="0"/>
      </w:tblPr>
      <w:tblGrid>
        <w:gridCol w:w="4819"/>
        <w:gridCol w:w="993"/>
      </w:tblGrid>
      <w:tr>
        <w:tc>
          <w:tcPr>
            <w:tcW w:w="4819" w:type="dxa"/>
          </w:tcPr>
          <w:p>
            <w:pPr>
              <w:pStyle w:val="yTableNAm"/>
              <w:tabs>
                <w:tab w:val="clear" w:pos="567"/>
                <w:tab w:val="left" w:pos="581"/>
                <w:tab w:val="right" w:leader="dot" w:pos="4570"/>
              </w:tabs>
            </w:pPr>
            <w:r>
              <w:t xml:space="preserve">Per hour or part of an hour </w:t>
            </w:r>
            <w:r>
              <w:tab/>
            </w:r>
          </w:p>
        </w:tc>
        <w:tc>
          <w:tcPr>
            <w:tcW w:w="993" w:type="dxa"/>
          </w:tcPr>
          <w:p>
            <w:pPr>
              <w:pStyle w:val="yTableNAm"/>
              <w:tabs>
                <w:tab w:val="left" w:pos="924"/>
              </w:tabs>
            </w:pPr>
            <w:r>
              <w:t>$66.50</w:t>
            </w:r>
          </w:p>
        </w:tc>
      </w:tr>
    </w:tbl>
    <w:p>
      <w:pPr>
        <w:pStyle w:val="yFootnotesection"/>
      </w:pPr>
      <w:r>
        <w:tab/>
        <w:t>[</w:t>
      </w:r>
      <w:del w:id="35" w:author="Master Repository Process" w:date="2021-08-01T11:48:00Z">
        <w:r>
          <w:delText>Clause</w:delText>
        </w:r>
      </w:del>
      <w:ins w:id="36" w:author="Master Repository Process" w:date="2021-08-01T11:48:00Z">
        <w:r>
          <w:t>Item</w:t>
        </w:r>
      </w:ins>
      <w:r>
        <w:t xml:space="preserve"> 2 inserted in Gazette </w:t>
      </w:r>
      <w:r>
        <w:rPr>
          <w:szCs w:val="22"/>
        </w:rPr>
        <w:t>15 Nov 2013 p</w:t>
      </w:r>
      <w:r>
        <w:t>. 5256.]</w:t>
      </w:r>
    </w:p>
    <w:p>
      <w:pPr>
        <w:pStyle w:val="CentredBaseLine"/>
        <w:jc w:val="center"/>
      </w:pPr>
      <w:ins w:id="37" w:author="Master Repository Process" w:date="2021-08-01T11:48: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8" w:name="_Toc381365308"/>
      <w:bookmarkStart w:id="39" w:name="_Toc381365346"/>
      <w:bookmarkStart w:id="40" w:name="_Toc381365759"/>
      <w:bookmarkStart w:id="41" w:name="_Toc378240859"/>
      <w:r>
        <w:t>Notes</w:t>
      </w:r>
      <w:bookmarkEnd w:id="38"/>
      <w:bookmarkEnd w:id="39"/>
      <w:bookmarkEnd w:id="40"/>
      <w:bookmarkEnd w:id="41"/>
    </w:p>
    <w:p>
      <w:pPr>
        <w:pStyle w:val="nSubsection"/>
        <w:rPr>
          <w:snapToGrid w:val="0"/>
        </w:rPr>
      </w:pPr>
      <w:r>
        <w:rPr>
          <w:snapToGrid w:val="0"/>
          <w:vertAlign w:val="superscript"/>
        </w:rPr>
        <w:t>1</w:t>
      </w:r>
      <w:r>
        <w:rPr>
          <w:snapToGrid w:val="0"/>
        </w:rPr>
        <w:tab/>
        <w:t xml:space="preserve">This </w:t>
      </w:r>
      <w:ins w:id="42" w:author="Master Repository Process" w:date="2021-08-01T11:48:00Z">
        <w:r>
          <w:rPr>
            <w:snapToGrid w:val="0"/>
          </w:rPr>
          <w:t xml:space="preserve">reprint </w:t>
        </w:r>
      </w:ins>
      <w:r>
        <w:rPr>
          <w:snapToGrid w:val="0"/>
        </w:rPr>
        <w:t>is a compilation</w:t>
      </w:r>
      <w:ins w:id="43" w:author="Master Repository Process" w:date="2021-08-01T11:48:00Z">
        <w:r>
          <w:rPr>
            <w:snapToGrid w:val="0"/>
          </w:rPr>
          <w:t xml:space="preserve"> as at 14 February 2014</w:t>
        </w:r>
      </w:ins>
      <w:r>
        <w:rPr>
          <w:snapToGrid w:val="0"/>
        </w:rPr>
        <w:t xml:space="preserve">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44" w:name="_Toc381365760"/>
      <w:bookmarkStart w:id="45" w:name="_Toc378240860"/>
      <w:r>
        <w:t>Compilation table</w:t>
      </w:r>
      <w:bookmarkEnd w:id="44"/>
      <w:bookmarkEnd w:id="4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Citation</w:t>
            </w:r>
          </w:p>
        </w:tc>
        <w:tc>
          <w:tcPr>
            <w:tcW w:w="1276"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Gazettal</w:t>
            </w:r>
          </w:p>
        </w:tc>
        <w:tc>
          <w:tcPr>
            <w:tcW w:w="2694"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Commencement</w:t>
            </w:r>
          </w:p>
        </w:tc>
      </w:tr>
      <w:tr>
        <w:tc>
          <w:tcPr>
            <w:tcW w:w="3118" w:type="dxa"/>
            <w:tcBorders>
              <w:top w:val="single" w:sz="8" w:space="0" w:color="auto"/>
            </w:tcBorders>
          </w:tcPr>
          <w:p>
            <w:pPr>
              <w:pStyle w:val="nTable"/>
              <w:spacing w:after="40"/>
              <w:rPr>
                <w:sz w:val="19"/>
                <w:szCs w:val="19"/>
              </w:rPr>
            </w:pPr>
            <w:r>
              <w:rPr>
                <w:i/>
                <w:sz w:val="19"/>
                <w:szCs w:val="19"/>
              </w:rPr>
              <w:t>Evidence (Video and Audio Links Fees and Expenses) Regulations 1999</w:t>
            </w:r>
          </w:p>
        </w:tc>
        <w:tc>
          <w:tcPr>
            <w:tcW w:w="1276" w:type="dxa"/>
            <w:tcBorders>
              <w:top w:val="single" w:sz="8" w:space="0" w:color="auto"/>
            </w:tcBorders>
          </w:tcPr>
          <w:p>
            <w:pPr>
              <w:pStyle w:val="nTable"/>
              <w:rPr>
                <w:sz w:val="19"/>
                <w:szCs w:val="19"/>
              </w:rPr>
            </w:pPr>
            <w:r>
              <w:rPr>
                <w:sz w:val="19"/>
                <w:szCs w:val="19"/>
              </w:rPr>
              <w:t>7 Dec 1999 p. 5995</w:t>
            </w:r>
            <w:r>
              <w:rPr>
                <w:sz w:val="19"/>
                <w:szCs w:val="19"/>
              </w:rPr>
              <w:noBreakHyphen/>
              <w:t>6</w:t>
            </w:r>
          </w:p>
        </w:tc>
        <w:tc>
          <w:tcPr>
            <w:tcW w:w="2694" w:type="dxa"/>
            <w:tcBorders>
              <w:top w:val="single" w:sz="8" w:space="0" w:color="auto"/>
            </w:tcBorders>
          </w:tcPr>
          <w:p>
            <w:pPr>
              <w:pStyle w:val="nTable"/>
              <w:rPr>
                <w:sz w:val="19"/>
                <w:szCs w:val="19"/>
              </w:rPr>
            </w:pPr>
            <w:r>
              <w:rPr>
                <w:sz w:val="19"/>
                <w:szCs w:val="19"/>
              </w:rPr>
              <w:t>7 Dec 1999</w:t>
            </w:r>
          </w:p>
        </w:tc>
      </w:tr>
      <w:tr>
        <w:tc>
          <w:tcPr>
            <w:tcW w:w="3118" w:type="dxa"/>
          </w:tcPr>
          <w:p>
            <w:pPr>
              <w:pStyle w:val="nTable"/>
              <w:spacing w:after="40"/>
              <w:rPr>
                <w:i/>
                <w:sz w:val="19"/>
                <w:szCs w:val="19"/>
              </w:rPr>
            </w:pPr>
            <w:r>
              <w:rPr>
                <w:i/>
                <w:sz w:val="19"/>
                <w:szCs w:val="19"/>
              </w:rPr>
              <w:t>Evidence (Video and Audio Links Fees and Expenses) Amendment Regulations 2003</w:t>
            </w:r>
          </w:p>
        </w:tc>
        <w:tc>
          <w:tcPr>
            <w:tcW w:w="1276" w:type="dxa"/>
          </w:tcPr>
          <w:p>
            <w:pPr>
              <w:pStyle w:val="nTable"/>
              <w:rPr>
                <w:sz w:val="19"/>
                <w:szCs w:val="19"/>
              </w:rPr>
            </w:pPr>
            <w:r>
              <w:rPr>
                <w:sz w:val="19"/>
                <w:szCs w:val="19"/>
              </w:rPr>
              <w:t>30 Dec 2003 p. 5718</w:t>
            </w:r>
          </w:p>
        </w:tc>
        <w:tc>
          <w:tcPr>
            <w:tcW w:w="2694" w:type="dxa"/>
          </w:tcPr>
          <w:p>
            <w:pPr>
              <w:pStyle w:val="nTable"/>
              <w:rPr>
                <w:sz w:val="19"/>
                <w:szCs w:val="19"/>
              </w:rPr>
            </w:pPr>
            <w:r>
              <w:rPr>
                <w:sz w:val="19"/>
                <w:szCs w:val="19"/>
              </w:rPr>
              <w:t>1 Jan 2004 (see r. 2)</w:t>
            </w:r>
          </w:p>
        </w:tc>
      </w:tr>
      <w:tr>
        <w:trPr>
          <w:cantSplit/>
        </w:trPr>
        <w:tc>
          <w:tcPr>
            <w:tcW w:w="7088" w:type="dxa"/>
            <w:gridSpan w:val="3"/>
          </w:tcPr>
          <w:p>
            <w:pPr>
              <w:pStyle w:val="nTable"/>
              <w:spacing w:after="40"/>
              <w:rPr>
                <w:sz w:val="19"/>
                <w:szCs w:val="19"/>
              </w:rPr>
            </w:pPr>
            <w:r>
              <w:rPr>
                <w:b/>
                <w:bCs/>
                <w:sz w:val="19"/>
                <w:szCs w:val="19"/>
              </w:rPr>
              <w:t xml:space="preserve">Reprint 1: The </w:t>
            </w:r>
            <w:r>
              <w:rPr>
                <w:b/>
                <w:bCs/>
                <w:i/>
                <w:sz w:val="19"/>
                <w:szCs w:val="19"/>
              </w:rPr>
              <w:t>Evidence (Video and Audio Links Fees and Expenses) Regulations 1999</w:t>
            </w:r>
            <w:r>
              <w:rPr>
                <w:b/>
                <w:bCs/>
                <w:sz w:val="19"/>
                <w:szCs w:val="19"/>
              </w:rPr>
              <w:t xml:space="preserve"> as at 6 Aug 2004</w:t>
            </w:r>
            <w:r>
              <w:rPr>
                <w:sz w:val="19"/>
                <w:szCs w:val="19"/>
              </w:rPr>
              <w:t xml:space="preserve"> (includes amendments listed above)</w:t>
            </w:r>
          </w:p>
        </w:tc>
      </w:tr>
      <w:tr>
        <w:trPr>
          <w:cantSplit/>
        </w:trPr>
        <w:tc>
          <w:tcPr>
            <w:tcW w:w="3118" w:type="dxa"/>
          </w:tcPr>
          <w:p>
            <w:pPr>
              <w:pStyle w:val="nTable"/>
              <w:spacing w:after="40"/>
              <w:rPr>
                <w:i/>
                <w:iCs/>
                <w:sz w:val="19"/>
                <w:szCs w:val="19"/>
              </w:rPr>
            </w:pPr>
            <w:r>
              <w:rPr>
                <w:i/>
                <w:iCs/>
                <w:sz w:val="19"/>
                <w:szCs w:val="19"/>
              </w:rPr>
              <w:t>Evidence (Video and Audio Links Fees and Expenses) Amendment Regulations 2005</w:t>
            </w:r>
          </w:p>
        </w:tc>
        <w:tc>
          <w:tcPr>
            <w:tcW w:w="1276" w:type="dxa"/>
          </w:tcPr>
          <w:p>
            <w:pPr>
              <w:pStyle w:val="nTable"/>
              <w:rPr>
                <w:sz w:val="19"/>
                <w:szCs w:val="19"/>
              </w:rPr>
            </w:pPr>
            <w:r>
              <w:rPr>
                <w:sz w:val="19"/>
                <w:szCs w:val="19"/>
              </w:rPr>
              <w:t>23 Jun 2005 p. 2689</w:t>
            </w:r>
          </w:p>
        </w:tc>
        <w:tc>
          <w:tcPr>
            <w:tcW w:w="2694" w:type="dxa"/>
          </w:tcPr>
          <w:p>
            <w:pPr>
              <w:pStyle w:val="nTable"/>
              <w:rPr>
                <w:sz w:val="19"/>
                <w:szCs w:val="19"/>
              </w:rPr>
            </w:pPr>
            <w:r>
              <w:rPr>
                <w:sz w:val="19"/>
                <w:szCs w:val="19"/>
              </w:rPr>
              <w:t>1 Jul 2005 (see r. 2)</w:t>
            </w:r>
          </w:p>
        </w:tc>
      </w:tr>
      <w:tr>
        <w:trPr>
          <w:cantSplit/>
        </w:trPr>
        <w:tc>
          <w:tcPr>
            <w:tcW w:w="3118" w:type="dxa"/>
          </w:tcPr>
          <w:p>
            <w:pPr>
              <w:pStyle w:val="nTable"/>
              <w:spacing w:after="40"/>
              <w:rPr>
                <w:i/>
                <w:iCs/>
                <w:sz w:val="19"/>
                <w:szCs w:val="19"/>
              </w:rPr>
            </w:pPr>
            <w:r>
              <w:rPr>
                <w:i/>
                <w:iCs/>
                <w:sz w:val="19"/>
                <w:szCs w:val="19"/>
              </w:rPr>
              <w:t>Evidence (Video and Audio Links Fees and Expenses) Amendment Regulations 2006</w:t>
            </w:r>
          </w:p>
        </w:tc>
        <w:tc>
          <w:tcPr>
            <w:tcW w:w="1276" w:type="dxa"/>
          </w:tcPr>
          <w:p>
            <w:pPr>
              <w:pStyle w:val="nTable"/>
              <w:rPr>
                <w:sz w:val="19"/>
                <w:szCs w:val="19"/>
              </w:rPr>
            </w:pPr>
            <w:r>
              <w:rPr>
                <w:sz w:val="19"/>
                <w:szCs w:val="19"/>
              </w:rPr>
              <w:t>23 Jun 2006 p. 2190</w:t>
            </w:r>
          </w:p>
        </w:tc>
        <w:tc>
          <w:tcPr>
            <w:tcW w:w="2694" w:type="dxa"/>
          </w:tcPr>
          <w:p>
            <w:pPr>
              <w:pStyle w:val="nTable"/>
              <w:rPr>
                <w:sz w:val="19"/>
                <w:szCs w:val="19"/>
              </w:rPr>
            </w:pPr>
            <w:r>
              <w:rPr>
                <w:sz w:val="19"/>
                <w:szCs w:val="19"/>
              </w:rPr>
              <w:t>1 Jul 2006 (see r. 2)</w:t>
            </w:r>
          </w:p>
        </w:tc>
      </w:tr>
      <w:tr>
        <w:trPr>
          <w:cantSplit/>
        </w:trPr>
        <w:tc>
          <w:tcPr>
            <w:tcW w:w="3118" w:type="dxa"/>
          </w:tcPr>
          <w:p>
            <w:pPr>
              <w:pStyle w:val="nTable"/>
              <w:spacing w:after="40"/>
              <w:rPr>
                <w:i/>
                <w:iCs/>
                <w:sz w:val="19"/>
                <w:szCs w:val="19"/>
              </w:rPr>
            </w:pPr>
            <w:r>
              <w:rPr>
                <w:i/>
                <w:iCs/>
                <w:sz w:val="19"/>
                <w:szCs w:val="19"/>
              </w:rPr>
              <w:t>Evidence (Video and Audio Links Fees and Expenses) Amendment Regulations 2007</w:t>
            </w:r>
          </w:p>
        </w:tc>
        <w:tc>
          <w:tcPr>
            <w:tcW w:w="1276" w:type="dxa"/>
          </w:tcPr>
          <w:p>
            <w:pPr>
              <w:pStyle w:val="nTable"/>
              <w:rPr>
                <w:sz w:val="19"/>
                <w:szCs w:val="19"/>
              </w:rPr>
            </w:pPr>
            <w:r>
              <w:rPr>
                <w:sz w:val="19"/>
                <w:szCs w:val="19"/>
              </w:rPr>
              <w:t>26 Jun 2007 p. 3030-1</w:t>
            </w:r>
          </w:p>
        </w:tc>
        <w:tc>
          <w:tcPr>
            <w:tcW w:w="2694" w:type="dxa"/>
          </w:tcPr>
          <w:p>
            <w:pPr>
              <w:pStyle w:val="nTable"/>
              <w:rPr>
                <w:sz w:val="19"/>
                <w:szCs w:val="19"/>
              </w:rPr>
            </w:pPr>
            <w:r>
              <w:rPr>
                <w:sz w:val="19"/>
                <w:szCs w:val="19"/>
              </w:rPr>
              <w:t>r. 1 and 2: 26 Jun 2007 (see r. 2(a));</w:t>
            </w:r>
            <w:r>
              <w:rPr>
                <w:sz w:val="19"/>
                <w:szCs w:val="19"/>
              </w:rPr>
              <w:br/>
              <w:t>Regulations other than r. 1 and 2: 1 Jul 2007 (see r. 2(b))</w:t>
            </w:r>
          </w:p>
        </w:tc>
      </w:tr>
      <w:tr>
        <w:trPr>
          <w:cantSplit/>
        </w:trPr>
        <w:tc>
          <w:tcPr>
            <w:tcW w:w="3118" w:type="dxa"/>
          </w:tcPr>
          <w:p>
            <w:pPr>
              <w:pStyle w:val="nTable"/>
              <w:spacing w:after="40"/>
              <w:rPr>
                <w:i/>
                <w:iCs/>
                <w:sz w:val="19"/>
                <w:szCs w:val="19"/>
              </w:rPr>
            </w:pPr>
            <w:r>
              <w:rPr>
                <w:i/>
                <w:iCs/>
                <w:sz w:val="19"/>
                <w:szCs w:val="19"/>
              </w:rPr>
              <w:t>Evidence (Video and Audio Links Fees and Expenses) Amendment Regulations 2008</w:t>
            </w:r>
          </w:p>
        </w:tc>
        <w:tc>
          <w:tcPr>
            <w:tcW w:w="1276" w:type="dxa"/>
          </w:tcPr>
          <w:p>
            <w:pPr>
              <w:pStyle w:val="nTable"/>
              <w:rPr>
                <w:sz w:val="19"/>
                <w:szCs w:val="19"/>
              </w:rPr>
            </w:pPr>
            <w:r>
              <w:rPr>
                <w:sz w:val="19"/>
                <w:szCs w:val="19"/>
              </w:rPr>
              <w:t>27 Jun 2008 p. 3072-3</w:t>
            </w:r>
          </w:p>
        </w:tc>
        <w:tc>
          <w:tcPr>
            <w:tcW w:w="2694" w:type="dxa"/>
          </w:tcPr>
          <w:p>
            <w:pPr>
              <w:pStyle w:val="nTable"/>
              <w:rPr>
                <w:sz w:val="19"/>
                <w:szCs w:val="19"/>
              </w:rPr>
            </w:pPr>
            <w:r>
              <w:rPr>
                <w:sz w:val="19"/>
                <w:szCs w:val="19"/>
              </w:rPr>
              <w:t>r. 1 and 2: 27 Jun 2008 (see r. 2(a));</w:t>
            </w:r>
            <w:r>
              <w:rPr>
                <w:sz w:val="19"/>
                <w:szCs w:val="19"/>
              </w:rPr>
              <w:br/>
              <w:t>Regulations other than r. 1 and 2: 1 Jul 2008 (see r. 2(b))</w:t>
            </w:r>
          </w:p>
        </w:tc>
      </w:tr>
      <w:tr>
        <w:trPr>
          <w:cantSplit/>
        </w:trPr>
        <w:tc>
          <w:tcPr>
            <w:tcW w:w="7088" w:type="dxa"/>
            <w:gridSpan w:val="3"/>
          </w:tcPr>
          <w:p>
            <w:pPr>
              <w:pStyle w:val="nTable"/>
              <w:spacing w:after="40"/>
              <w:rPr>
                <w:snapToGrid w:val="0"/>
                <w:sz w:val="19"/>
                <w:szCs w:val="19"/>
              </w:rPr>
            </w:pPr>
            <w:r>
              <w:rPr>
                <w:b/>
                <w:bCs/>
                <w:sz w:val="19"/>
                <w:szCs w:val="19"/>
              </w:rPr>
              <w:t xml:space="preserve">Reprint 2: The </w:t>
            </w:r>
            <w:r>
              <w:rPr>
                <w:b/>
                <w:bCs/>
                <w:i/>
                <w:sz w:val="19"/>
                <w:szCs w:val="19"/>
              </w:rPr>
              <w:t>Evidence (Video and Audio Links Fees and Expenses) Regulations 1999</w:t>
            </w:r>
            <w:r>
              <w:rPr>
                <w:b/>
                <w:bCs/>
                <w:sz w:val="19"/>
                <w:szCs w:val="19"/>
              </w:rPr>
              <w:t xml:space="preserve"> as at 7 Nov 2008</w:t>
            </w:r>
            <w:r>
              <w:rPr>
                <w:sz w:val="19"/>
                <w:szCs w:val="19"/>
              </w:rPr>
              <w:t xml:space="preserve"> (includes amendments listed above)</w:t>
            </w:r>
          </w:p>
        </w:tc>
      </w:tr>
      <w:tr>
        <w:trPr>
          <w:cantSplit/>
        </w:trPr>
        <w:tc>
          <w:tcPr>
            <w:tcW w:w="3118" w:type="dxa"/>
          </w:tcPr>
          <w:p>
            <w:pPr>
              <w:pStyle w:val="nTable"/>
              <w:spacing w:after="40"/>
              <w:rPr>
                <w:i/>
                <w:iCs/>
                <w:sz w:val="19"/>
                <w:szCs w:val="19"/>
              </w:rPr>
            </w:pPr>
            <w:r>
              <w:rPr>
                <w:i/>
                <w:iCs/>
                <w:sz w:val="19"/>
                <w:szCs w:val="19"/>
              </w:rPr>
              <w:t>Evidence (Video and Audio Links Fees and Expenses) Amendment Regulations 2009</w:t>
            </w:r>
          </w:p>
        </w:tc>
        <w:tc>
          <w:tcPr>
            <w:tcW w:w="1276" w:type="dxa"/>
          </w:tcPr>
          <w:p>
            <w:pPr>
              <w:pStyle w:val="nTable"/>
              <w:spacing w:after="40"/>
              <w:rPr>
                <w:sz w:val="19"/>
                <w:szCs w:val="19"/>
              </w:rPr>
            </w:pPr>
            <w:r>
              <w:rPr>
                <w:sz w:val="19"/>
                <w:szCs w:val="19"/>
              </w:rPr>
              <w:t>4 Sep 2009 p. 3494</w:t>
            </w:r>
          </w:p>
        </w:tc>
        <w:tc>
          <w:tcPr>
            <w:tcW w:w="2694" w:type="dxa"/>
          </w:tcPr>
          <w:p>
            <w:pPr>
              <w:pStyle w:val="nTable"/>
              <w:spacing w:after="40"/>
              <w:rPr>
                <w:sz w:val="19"/>
                <w:szCs w:val="19"/>
              </w:rPr>
            </w:pPr>
            <w:r>
              <w:rPr>
                <w:snapToGrid w:val="0"/>
                <w:sz w:val="19"/>
                <w:szCs w:val="19"/>
              </w:rPr>
              <w:t>r. 1 and 2: 4 Sep 2009 (see r. 2(a));</w:t>
            </w:r>
            <w:r>
              <w:rPr>
                <w:snapToGrid w:val="0"/>
                <w:sz w:val="19"/>
                <w:szCs w:val="19"/>
              </w:rPr>
              <w:br/>
              <w:t>Regulations other than r. 1 and 2: 5 Sep 2009 (see r. 2(b))</w:t>
            </w:r>
          </w:p>
        </w:tc>
      </w:tr>
      <w:tr>
        <w:trPr>
          <w:cantSplit/>
        </w:trPr>
        <w:tc>
          <w:tcPr>
            <w:tcW w:w="3118" w:type="dxa"/>
          </w:tcPr>
          <w:p>
            <w:pPr>
              <w:pStyle w:val="nTable"/>
              <w:spacing w:after="40"/>
              <w:rPr>
                <w:i/>
                <w:iCs/>
                <w:sz w:val="19"/>
                <w:szCs w:val="19"/>
              </w:rPr>
            </w:pPr>
            <w:r>
              <w:rPr>
                <w:i/>
                <w:iCs/>
                <w:sz w:val="19"/>
                <w:szCs w:val="19"/>
              </w:rPr>
              <w:t>Evidence (Video and Audio Links Fees and Expenses) Amendment Regulations 2011</w:t>
            </w:r>
          </w:p>
        </w:tc>
        <w:tc>
          <w:tcPr>
            <w:tcW w:w="1276" w:type="dxa"/>
          </w:tcPr>
          <w:p>
            <w:pPr>
              <w:pStyle w:val="nTable"/>
              <w:spacing w:after="40"/>
              <w:rPr>
                <w:sz w:val="19"/>
                <w:szCs w:val="19"/>
              </w:rPr>
            </w:pPr>
            <w:r>
              <w:rPr>
                <w:sz w:val="19"/>
                <w:szCs w:val="19"/>
              </w:rPr>
              <w:t>8 Mar 2011 p. 798</w:t>
            </w:r>
            <w:r>
              <w:rPr>
                <w:sz w:val="19"/>
                <w:szCs w:val="19"/>
              </w:rPr>
              <w:noBreakHyphen/>
              <w:t>9</w:t>
            </w:r>
          </w:p>
        </w:tc>
        <w:tc>
          <w:tcPr>
            <w:tcW w:w="2694" w:type="dxa"/>
          </w:tcPr>
          <w:p>
            <w:pPr>
              <w:pStyle w:val="nTable"/>
              <w:spacing w:after="40"/>
              <w:rPr>
                <w:snapToGrid w:val="0"/>
                <w:sz w:val="19"/>
                <w:szCs w:val="19"/>
              </w:rPr>
            </w:pPr>
            <w:r>
              <w:rPr>
                <w:snapToGrid w:val="0"/>
                <w:sz w:val="19"/>
                <w:szCs w:val="19"/>
              </w:rPr>
              <w:t>r. 1 and 2: 8 Mar 2011 (see r. 2(a));</w:t>
            </w:r>
            <w:r>
              <w:rPr>
                <w:snapToGrid w:val="0"/>
                <w:sz w:val="19"/>
                <w:szCs w:val="19"/>
              </w:rPr>
              <w:br/>
              <w:t>Regulations other than r. 1 and 2: 9 Mar 2011 (see r. 2(b))</w:t>
            </w:r>
          </w:p>
        </w:tc>
      </w:tr>
      <w:tr>
        <w:trPr>
          <w:cantSplit/>
        </w:trPr>
        <w:tc>
          <w:tcPr>
            <w:tcW w:w="3118" w:type="dxa"/>
          </w:tcPr>
          <w:p>
            <w:pPr>
              <w:pStyle w:val="nTable"/>
              <w:spacing w:after="40"/>
              <w:rPr>
                <w:i/>
                <w:iCs/>
                <w:sz w:val="19"/>
                <w:szCs w:val="19"/>
              </w:rPr>
            </w:pPr>
            <w:r>
              <w:rPr>
                <w:i/>
                <w:iCs/>
                <w:sz w:val="19"/>
                <w:szCs w:val="19"/>
              </w:rPr>
              <w:t>Evidence (Video and Audio Links Fees and Expenses) Amendment Regulations</w:t>
            </w:r>
            <w:del w:id="46" w:author="Master Repository Process" w:date="2021-08-01T11:48:00Z">
              <w:r>
                <w:rPr>
                  <w:rFonts w:ascii="Times" w:hAnsi="Times"/>
                  <w:i/>
                  <w:iCs/>
                  <w:sz w:val="19"/>
                </w:rPr>
                <w:delText xml:space="preserve"> </w:delText>
              </w:r>
            </w:del>
            <w:ins w:id="47" w:author="Master Repository Process" w:date="2021-08-01T11:48:00Z">
              <w:r>
                <w:rPr>
                  <w:i/>
                  <w:iCs/>
                  <w:sz w:val="19"/>
                  <w:szCs w:val="19"/>
                </w:rPr>
                <w:t> </w:t>
              </w:r>
            </w:ins>
            <w:r>
              <w:rPr>
                <w:i/>
                <w:iCs/>
                <w:sz w:val="19"/>
                <w:szCs w:val="19"/>
              </w:rPr>
              <w:t>(No. 2) 2011</w:t>
            </w:r>
          </w:p>
        </w:tc>
        <w:tc>
          <w:tcPr>
            <w:tcW w:w="1276" w:type="dxa"/>
          </w:tcPr>
          <w:p>
            <w:pPr>
              <w:pStyle w:val="nTable"/>
              <w:spacing w:after="40"/>
              <w:rPr>
                <w:sz w:val="19"/>
                <w:szCs w:val="19"/>
              </w:rPr>
            </w:pPr>
            <w:r>
              <w:rPr>
                <w:sz w:val="19"/>
                <w:szCs w:val="19"/>
              </w:rPr>
              <w:t>20 Dec 2011 p. 5395</w:t>
            </w:r>
            <w:r>
              <w:rPr>
                <w:sz w:val="19"/>
                <w:szCs w:val="19"/>
              </w:rPr>
              <w:noBreakHyphen/>
              <w:t>6</w:t>
            </w:r>
          </w:p>
        </w:tc>
        <w:tc>
          <w:tcPr>
            <w:tcW w:w="2694" w:type="dxa"/>
          </w:tcPr>
          <w:p>
            <w:pPr>
              <w:pStyle w:val="nTable"/>
              <w:spacing w:after="40"/>
              <w:rPr>
                <w:snapToGrid w:val="0"/>
                <w:sz w:val="19"/>
                <w:szCs w:val="19"/>
              </w:rPr>
            </w:pPr>
            <w:r>
              <w:rPr>
                <w:snapToGrid w:val="0"/>
                <w:sz w:val="19"/>
                <w:szCs w:val="19"/>
              </w:rPr>
              <w:t>r. 1 and 2: 20 Dec 2011 (see r. 2(a));</w:t>
            </w:r>
            <w:r>
              <w:rPr>
                <w:snapToGrid w:val="0"/>
                <w:sz w:val="19"/>
                <w:szCs w:val="19"/>
              </w:rPr>
              <w:br/>
              <w:t>Regulations other than r. 1 and 2: 21 Dec 2011 (see r. 2(b))</w:t>
            </w:r>
          </w:p>
        </w:tc>
      </w:tr>
      <w:tr>
        <w:trPr>
          <w:cantSplit/>
        </w:trPr>
        <w:tc>
          <w:tcPr>
            <w:tcW w:w="3118" w:type="dxa"/>
          </w:tcPr>
          <w:p>
            <w:pPr>
              <w:pStyle w:val="nTable"/>
              <w:spacing w:after="40"/>
              <w:rPr>
                <w:i/>
                <w:iCs/>
                <w:sz w:val="19"/>
                <w:szCs w:val="19"/>
              </w:rPr>
            </w:pPr>
            <w:r>
              <w:rPr>
                <w:i/>
                <w:iCs/>
                <w:sz w:val="19"/>
                <w:szCs w:val="19"/>
              </w:rPr>
              <w:t>Evidence (Video and Audio Links Fees and Expenses) Amendment Regulations 2012</w:t>
            </w:r>
          </w:p>
        </w:tc>
        <w:tc>
          <w:tcPr>
            <w:tcW w:w="1276" w:type="dxa"/>
          </w:tcPr>
          <w:p>
            <w:pPr>
              <w:pStyle w:val="nTable"/>
              <w:spacing w:after="40"/>
              <w:rPr>
                <w:sz w:val="19"/>
                <w:szCs w:val="19"/>
              </w:rPr>
            </w:pPr>
            <w:r>
              <w:rPr>
                <w:sz w:val="19"/>
                <w:szCs w:val="19"/>
              </w:rPr>
              <w:t>9 Mar 2012 p. 931</w:t>
            </w:r>
            <w:r>
              <w:rPr>
                <w:sz w:val="19"/>
                <w:szCs w:val="19"/>
              </w:rPr>
              <w:noBreakHyphen/>
              <w:t>2</w:t>
            </w:r>
          </w:p>
        </w:tc>
        <w:tc>
          <w:tcPr>
            <w:tcW w:w="2694" w:type="dxa"/>
          </w:tcPr>
          <w:p>
            <w:pPr>
              <w:pStyle w:val="nTable"/>
              <w:spacing w:after="40"/>
              <w:rPr>
                <w:snapToGrid w:val="0"/>
                <w:sz w:val="19"/>
                <w:szCs w:val="19"/>
              </w:rPr>
            </w:pPr>
            <w:r>
              <w:rPr>
                <w:snapToGrid w:val="0"/>
                <w:sz w:val="19"/>
                <w:szCs w:val="19"/>
              </w:rPr>
              <w:t>r. 1 and 2: 9 Mar 2012 (see r. 2(a));</w:t>
            </w:r>
            <w:r>
              <w:rPr>
                <w:snapToGrid w:val="0"/>
                <w:sz w:val="19"/>
                <w:szCs w:val="19"/>
              </w:rPr>
              <w:br/>
              <w:t>Regulations other than r. 1 and 2: 10 Mar 2012 (see r. 2(b))</w:t>
            </w:r>
          </w:p>
        </w:tc>
      </w:tr>
      <w:tr>
        <w:trPr>
          <w:cantSplit/>
        </w:trPr>
        <w:tc>
          <w:tcPr>
            <w:tcW w:w="3118" w:type="dxa"/>
          </w:tcPr>
          <w:p>
            <w:pPr>
              <w:pStyle w:val="nTable"/>
              <w:spacing w:after="40"/>
              <w:rPr>
                <w:i/>
                <w:iCs/>
                <w:sz w:val="19"/>
                <w:szCs w:val="19"/>
              </w:rPr>
            </w:pPr>
            <w:r>
              <w:rPr>
                <w:i/>
                <w:iCs/>
                <w:sz w:val="19"/>
                <w:szCs w:val="19"/>
              </w:rPr>
              <w:t>Evidence (Video and Audio Links Fees and Expenses) Amendment Regulations (No. 2) 2012</w:t>
            </w:r>
          </w:p>
        </w:tc>
        <w:tc>
          <w:tcPr>
            <w:tcW w:w="1276" w:type="dxa"/>
          </w:tcPr>
          <w:p>
            <w:pPr>
              <w:pStyle w:val="nTable"/>
              <w:spacing w:after="40"/>
              <w:rPr>
                <w:sz w:val="19"/>
                <w:szCs w:val="19"/>
              </w:rPr>
            </w:pPr>
            <w:r>
              <w:rPr>
                <w:sz w:val="19"/>
                <w:szCs w:val="19"/>
              </w:rPr>
              <w:t>30 Nov 2012 p. 5800</w:t>
            </w:r>
          </w:p>
        </w:tc>
        <w:tc>
          <w:tcPr>
            <w:tcW w:w="2694" w:type="dxa"/>
          </w:tcPr>
          <w:p>
            <w:pPr>
              <w:pStyle w:val="nTable"/>
              <w:spacing w:after="40"/>
              <w:rPr>
                <w:snapToGrid w:val="0"/>
                <w:sz w:val="19"/>
                <w:szCs w:val="19"/>
              </w:rPr>
            </w:pPr>
            <w:r>
              <w:rPr>
                <w:snapToGrid w:val="0"/>
                <w:sz w:val="19"/>
                <w:szCs w:val="19"/>
              </w:rPr>
              <w:t>r. 1 and 2: 30 Nov 2012 (see r. 2(a));</w:t>
            </w:r>
            <w:r>
              <w:rPr>
                <w:snapToGrid w:val="0"/>
                <w:sz w:val="19"/>
                <w:szCs w:val="19"/>
              </w:rPr>
              <w:br/>
              <w:t>Regulations other than r. 1 and 2: 1 Dec 2012 (see r. 2(b))</w:t>
            </w:r>
          </w:p>
        </w:tc>
      </w:tr>
      <w:tr>
        <w:trPr>
          <w:cantSplit/>
        </w:trPr>
        <w:tc>
          <w:tcPr>
            <w:tcW w:w="3118" w:type="dxa"/>
            <w:shd w:val="clear" w:color="auto" w:fill="auto"/>
          </w:tcPr>
          <w:p>
            <w:pPr>
              <w:pStyle w:val="nTable"/>
              <w:spacing w:after="40"/>
              <w:rPr>
                <w:i/>
                <w:iCs/>
                <w:sz w:val="19"/>
                <w:szCs w:val="19"/>
              </w:rPr>
            </w:pPr>
            <w:r>
              <w:rPr>
                <w:i/>
                <w:iCs/>
                <w:sz w:val="19"/>
                <w:szCs w:val="19"/>
              </w:rPr>
              <w:t>Evidence (Video and Audio Links Fees and Expenses) Amendment Regulations 2013</w:t>
            </w:r>
          </w:p>
        </w:tc>
        <w:tc>
          <w:tcPr>
            <w:tcW w:w="1276" w:type="dxa"/>
            <w:shd w:val="clear" w:color="auto" w:fill="auto"/>
          </w:tcPr>
          <w:p>
            <w:pPr>
              <w:pStyle w:val="nTable"/>
              <w:spacing w:after="40"/>
              <w:rPr>
                <w:sz w:val="19"/>
                <w:szCs w:val="19"/>
              </w:rPr>
            </w:pPr>
            <w:r>
              <w:rPr>
                <w:sz w:val="19"/>
                <w:szCs w:val="19"/>
              </w:rPr>
              <w:t>15 Nov 2013 p. 5256</w:t>
            </w:r>
          </w:p>
        </w:tc>
        <w:tc>
          <w:tcPr>
            <w:tcW w:w="2694" w:type="dxa"/>
            <w:shd w:val="clear" w:color="auto" w:fill="auto"/>
          </w:tcPr>
          <w:p>
            <w:pPr>
              <w:pStyle w:val="nTable"/>
              <w:spacing w:after="40"/>
              <w:rPr>
                <w:snapToGrid w:val="0"/>
                <w:sz w:val="19"/>
                <w:szCs w:val="19"/>
              </w:rPr>
            </w:pPr>
            <w:r>
              <w:rPr>
                <w:bCs/>
                <w:snapToGrid w:val="0"/>
                <w:sz w:val="19"/>
                <w:szCs w:val="19"/>
              </w:rPr>
              <w:t>r. 1 and 2: 15 Nov 2013 (see r. 2(a));</w:t>
            </w:r>
            <w:r>
              <w:rPr>
                <w:bCs/>
                <w:snapToGrid w:val="0"/>
                <w:sz w:val="19"/>
                <w:szCs w:val="19"/>
              </w:rPr>
              <w:br/>
              <w:t>Regulations other than r. 1 and 2: 16 Nov 2013 (see r. 2(b))</w:t>
            </w:r>
          </w:p>
        </w:tc>
      </w:tr>
      <w:tr>
        <w:trPr>
          <w:cantSplit/>
          <w:ins w:id="48" w:author="Master Repository Process" w:date="2021-08-01T11:48:00Z"/>
        </w:trPr>
        <w:tc>
          <w:tcPr>
            <w:tcW w:w="7088" w:type="dxa"/>
            <w:gridSpan w:val="3"/>
            <w:tcBorders>
              <w:bottom w:val="single" w:sz="8" w:space="0" w:color="auto"/>
            </w:tcBorders>
            <w:shd w:val="clear" w:color="auto" w:fill="auto"/>
          </w:tcPr>
          <w:p>
            <w:pPr>
              <w:pStyle w:val="nTable"/>
              <w:spacing w:after="40"/>
              <w:rPr>
                <w:ins w:id="49" w:author="Master Repository Process" w:date="2021-08-01T11:48:00Z"/>
                <w:bCs/>
                <w:snapToGrid w:val="0"/>
                <w:sz w:val="19"/>
                <w:szCs w:val="19"/>
              </w:rPr>
            </w:pPr>
            <w:ins w:id="50" w:author="Master Repository Process" w:date="2021-08-01T11:48:00Z">
              <w:r>
                <w:rPr>
                  <w:b/>
                  <w:bCs/>
                  <w:sz w:val="19"/>
                  <w:szCs w:val="19"/>
                </w:rPr>
                <w:t xml:space="preserve">Reprint 3: The </w:t>
              </w:r>
              <w:r>
                <w:rPr>
                  <w:b/>
                  <w:bCs/>
                  <w:i/>
                  <w:sz w:val="19"/>
                  <w:szCs w:val="19"/>
                </w:rPr>
                <w:t>Evidence (Video and Audio Links Fees and Expenses) Regulations 1999</w:t>
              </w:r>
              <w:r>
                <w:rPr>
                  <w:b/>
                  <w:bCs/>
                  <w:sz w:val="19"/>
                  <w:szCs w:val="19"/>
                </w:rPr>
                <w:t xml:space="preserve"> as at 14 Feb 2014</w:t>
              </w:r>
              <w:r>
                <w:rPr>
                  <w:sz w:val="19"/>
                  <w:szCs w:val="19"/>
                </w:rPr>
                <w:t xml:space="preserve"> (includes amendments listed above)</w:t>
              </w:r>
            </w:ins>
          </w:p>
        </w:tc>
      </w:tr>
    </w:tbl>
    <w:p>
      <w:pPr>
        <w:rPr>
          <w:ins w:id="51" w:author="Master Repository Process" w:date="2021-08-01T11:48:00Z"/>
        </w:rPr>
      </w:pPr>
    </w:p>
    <w:p>
      <w:pPr>
        <w:rPr>
          <w:ins w:id="52" w:author="Master Repository Process" w:date="2021-08-01T11:48:00Z"/>
        </w:rPr>
      </w:pPr>
    </w:p>
    <w:p>
      <w:pPr>
        <w:rPr>
          <w:ins w:id="53" w:author="Master Repository Process" w:date="2021-08-01T11:48:00Z"/>
        </w:rPr>
      </w:pPr>
    </w:p>
    <w:p>
      <w:pPr>
        <w:rPr>
          <w:ins w:id="54" w:author="Master Repository Process" w:date="2021-08-01T11:48:00Z"/>
        </w:rPr>
      </w:pPr>
    </w:p>
    <w:p>
      <w:pPr>
        <w:rPr>
          <w:ins w:id="55" w:author="Master Repository Process" w:date="2021-08-01T11:48:00Z"/>
        </w:rPr>
      </w:pPr>
    </w:p>
    <w:p>
      <w:pPr>
        <w:rPr>
          <w:ins w:id="56" w:author="Master Repository Process" w:date="2021-08-01T11:48:00Z"/>
        </w:rPr>
      </w:pPr>
    </w:p>
    <w:p>
      <w:pPr>
        <w:rPr>
          <w:ins w:id="57" w:author="Master Repository Process" w:date="2021-08-01T11:48:00Z"/>
        </w:rPr>
      </w:pPr>
    </w:p>
    <w:p>
      <w:pPr>
        <w:rPr>
          <w:ins w:id="58" w:author="Master Repository Process" w:date="2021-08-01T11:48:00Z"/>
        </w:rPr>
      </w:pPr>
    </w:p>
    <w:p>
      <w:pPr>
        <w:rPr>
          <w:ins w:id="59" w:author="Master Repository Process" w:date="2021-08-01T11:48:00Z"/>
        </w:rPr>
      </w:pPr>
    </w:p>
    <w:p>
      <w:pPr>
        <w:rPr>
          <w:ins w:id="60" w:author="Master Repository Process" w:date="2021-08-01T11:48:00Z"/>
        </w:rPr>
      </w:pPr>
    </w:p>
    <w:p>
      <w:pPr>
        <w:rPr>
          <w:ins w:id="61" w:author="Master Repository Process" w:date="2021-08-01T11:48:00Z"/>
        </w:rPr>
      </w:pPr>
    </w:p>
    <w:p>
      <w:pPr>
        <w:spacing w:before="120"/>
        <w:rPr>
          <w:ins w:id="62" w:author="Master Repository Process" w:date="2021-08-01T11:48:00Z"/>
        </w:rPr>
      </w:pPr>
    </w:p>
    <w:p>
      <w:pPr>
        <w:rPr>
          <w:ins w:id="63" w:author="Master Repository Process" w:date="2021-08-01T11:48:00Z"/>
        </w:rPr>
      </w:pPr>
    </w:p>
    <w:p>
      <w:pPr>
        <w:rPr>
          <w:ins w:id="64" w:author="Master Repository Process" w:date="2021-08-01T11:48:00Z"/>
        </w:rPr>
      </w:pPr>
    </w:p>
    <w:p>
      <w:pPr>
        <w:rPr>
          <w:ins w:id="65" w:author="Master Repository Process" w:date="2021-08-01T11:48:00Z"/>
        </w:rPr>
      </w:pPr>
    </w:p>
    <w:p>
      <w:pPr>
        <w:rPr>
          <w:ins w:id="66" w:author="Master Repository Process" w:date="2021-08-01T11:48:00Z"/>
        </w:rPr>
      </w:pPr>
    </w:p>
    <w:p>
      <w:pPr>
        <w:rPr>
          <w:ins w:id="67" w:author="Master Repository Process" w:date="2021-08-01T11:48: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28"/>
      <w:type w:val="continuous"/>
      <w:pgSz w:w="11906" w:h="16838" w:code="9"/>
      <w:pgMar w:top="851" w:right="2404" w:bottom="851" w:left="2404" w:header="851"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it.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0CEE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BF00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F0188AA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28153002"/>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C4A8941-B344-4EB8-95AC-A49A6C917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1022</Words>
  <Characters>4429</Characters>
  <Application>Microsoft Office Word</Application>
  <DocSecurity>0</DocSecurity>
  <Lines>221</Lines>
  <Paragraphs>111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02-g0-01 - 03-a0-00</dc:title>
  <dc:subject/>
  <dc:creator/>
  <cp:keywords/>
  <dc:description/>
  <cp:lastModifiedBy>Master Repository Process</cp:lastModifiedBy>
  <cp:revision>2</cp:revision>
  <cp:lastPrinted>2014-02-25T07:53:00Z</cp:lastPrinted>
  <dcterms:created xsi:type="dcterms:W3CDTF">2021-08-01T03:48:00Z</dcterms:created>
  <dcterms:modified xsi:type="dcterms:W3CDTF">2021-08-01T03:49:00Z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20140214</vt:lpwstr>
  </property>
  <property fmtid="{D5CDD505-2E9C-101B-9397-08002B2CF9AE}" pid="4" name="DocumentType">
    <vt:lpwstr>Reg</vt:lpwstr>
  </property>
  <property fmtid="{D5CDD505-2E9C-101B-9397-08002B2CF9AE}" pid="5" name="OwlsUID">
    <vt:i4>1191</vt:i4>
  </property>
  <property fmtid="{D5CDD505-2E9C-101B-9397-08002B2CF9AE}" pid="6" name="ReprintNo">
    <vt:lpwstr>3</vt:lpwstr>
  </property>
  <property fmtid="{D5CDD505-2E9C-101B-9397-08002B2CF9AE}" pid="7" name="ReprintedAsAt">
    <vt:filetime>2014-02-13T16:00:00Z</vt:filetime>
  </property>
  <property fmtid="{D5CDD505-2E9C-101B-9397-08002B2CF9AE}" pid="8" name="FromSuffix">
    <vt:lpwstr>02-g0-01</vt:lpwstr>
  </property>
  <property fmtid="{D5CDD505-2E9C-101B-9397-08002B2CF9AE}" pid="9" name="FromAsAtDate">
    <vt:lpwstr>16 Nov 2013</vt:lpwstr>
  </property>
  <property fmtid="{D5CDD505-2E9C-101B-9397-08002B2CF9AE}" pid="10" name="ToSuffix">
    <vt:lpwstr>03-a0-00</vt:lpwstr>
  </property>
  <property fmtid="{D5CDD505-2E9C-101B-9397-08002B2CF9AE}" pid="11" name="ToAsAtDate">
    <vt:lpwstr>14 Feb 2014</vt:lpwstr>
  </property>
</Properties>
</file>