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2013</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07 Jun 2014</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0" w:name="_Toc389741923"/>
      <w:bookmarkStart w:id="1" w:name="_Toc33392938"/>
      <w:r>
        <w:rPr>
          <w:rStyle w:val="CharPartNo"/>
        </w:rPr>
        <w:t>C</w:t>
      </w:r>
      <w:bookmarkStart w:id="2" w:name="_GoBack"/>
      <w:bookmarkEnd w:id="2"/>
      <w:r>
        <w:rPr>
          <w:rStyle w:val="CharPartNo"/>
        </w:rPr>
        <w:t>hapter 1</w:t>
      </w:r>
      <w:r>
        <w:rPr>
          <w:rStyle w:val="CharDivNo"/>
        </w:rPr>
        <w:t> </w:t>
      </w:r>
      <w:r>
        <w:t>—</w:t>
      </w:r>
      <w:r>
        <w:rPr>
          <w:rStyle w:val="CharDivText"/>
        </w:rPr>
        <w:t> </w:t>
      </w:r>
      <w:r>
        <w:rPr>
          <w:rStyle w:val="CharPartText"/>
        </w:rPr>
        <w:t>Preliminary</w:t>
      </w:r>
      <w:bookmarkEnd w:id="0"/>
      <w:bookmarkEnd w:id="1"/>
    </w:p>
    <w:p>
      <w:pPr>
        <w:pStyle w:val="MiscellaneousBody"/>
        <w:rPr>
          <w:rFonts w:ascii="Arial" w:hAnsi="Arial" w:cs="Arial"/>
          <w:b/>
          <w:sz w:val="18"/>
          <w:szCs w:val="18"/>
        </w:rPr>
      </w:pPr>
      <w:bookmarkStart w:id="3" w:name="ch.1-nt.1"/>
      <w:bookmarkEnd w:id="3"/>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389741924"/>
      <w:bookmarkStart w:id="5" w:name="_Toc33392939"/>
      <w:r>
        <w:rPr>
          <w:rStyle w:val="CharSectno"/>
        </w:rPr>
        <w:t>1</w:t>
      </w:r>
      <w:r>
        <w:t>.</w:t>
      </w:r>
      <w:r>
        <w:tab/>
        <w:t>Citation</w:t>
      </w:r>
      <w:bookmarkEnd w:id="4"/>
      <w:bookmarkEnd w:id="5"/>
    </w:p>
    <w:p>
      <w:pPr>
        <w:pStyle w:val="Subsection"/>
      </w:pPr>
      <w:r>
        <w:tab/>
      </w:r>
      <w:r>
        <w:tab/>
      </w:r>
      <w:bookmarkStart w:id="6" w:name="Start_Cursor"/>
      <w:bookmarkEnd w:id="6"/>
      <w:r>
        <w:rPr>
          <w:spacing w:val="-2"/>
        </w:rPr>
        <w:t>These</w:t>
      </w:r>
      <w:r>
        <w:t xml:space="preserve"> Regulations are the </w:t>
      </w:r>
      <w:r>
        <w:rPr>
          <w:i/>
        </w:rPr>
        <w:t>Education and Care Services National Regulations 2012</w:t>
      </w:r>
      <w:r>
        <w:t>.</w:t>
      </w:r>
    </w:p>
    <w:p>
      <w:pPr>
        <w:pStyle w:val="Heading5"/>
      </w:pPr>
      <w:bookmarkStart w:id="7" w:name="_Toc389741925"/>
      <w:bookmarkStart w:id="8" w:name="_Toc33392940"/>
      <w:r>
        <w:rPr>
          <w:rStyle w:val="CharSectno"/>
        </w:rPr>
        <w:t>2</w:t>
      </w:r>
      <w:r>
        <w:t>.</w:t>
      </w:r>
      <w:r>
        <w:tab/>
        <w:t>Authorising provisions</w:t>
      </w:r>
      <w:bookmarkEnd w:id="7"/>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389741926"/>
      <w:bookmarkStart w:id="10" w:name="_Toc33392941"/>
      <w:r>
        <w:rPr>
          <w:rStyle w:val="CharSectno"/>
        </w:rPr>
        <w:t>3</w:t>
      </w:r>
      <w: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3 — on the day on which these </w:t>
      </w:r>
      <w:r>
        <w:rPr>
          <w:spacing w:val="-2"/>
        </w:rPr>
        <w:t xml:space="preserve">Regulations </w:t>
      </w:r>
      <w:r>
        <w:t xml:space="preserve">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1" w:name="_Toc389741927"/>
      <w:bookmarkStart w:id="12" w:name="_Toc33392942"/>
      <w:r>
        <w:rPr>
          <w:rStyle w:val="CharSectno"/>
        </w:rPr>
        <w:lastRenderedPageBreak/>
        <w:t>4</w:t>
      </w:r>
      <w:r>
        <w:t>.</w:t>
      </w:r>
      <w:r>
        <w:tab/>
        <w:t>Definitions</w:t>
      </w:r>
      <w:bookmarkEnd w:id="11"/>
      <w:bookmarkEnd w:id="12"/>
      <w:r>
        <w:t xml:space="preserve"> </w:t>
      </w:r>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ind w:left="1418" w:hanging="1418"/>
      </w:pPr>
      <w:r>
        <w:tab/>
        <w:t>Examples:</w:t>
      </w:r>
    </w:p>
    <w:p>
      <w:pPr>
        <w:pStyle w:val="NotesPerm"/>
        <w:tabs>
          <w:tab w:val="clear" w:pos="879"/>
          <w:tab w:val="left" w:pos="851"/>
        </w:tabs>
        <w:ind w:left="1418" w:hanging="1418"/>
      </w:pPr>
      <w:r>
        <w:tab/>
        <w:t>1</w:t>
      </w:r>
      <w:r>
        <w:tab/>
        <w:t>Flood.</w:t>
      </w:r>
    </w:p>
    <w:p>
      <w:pPr>
        <w:pStyle w:val="NotesPerm"/>
        <w:tabs>
          <w:tab w:val="clear" w:pos="879"/>
          <w:tab w:val="left" w:pos="851"/>
        </w:tabs>
        <w:ind w:left="1418" w:hanging="1418"/>
      </w:pPr>
      <w:r>
        <w:tab/>
        <w:t>2</w:t>
      </w:r>
      <w:r>
        <w:tab/>
        <w:t>Fire.</w:t>
      </w:r>
    </w:p>
    <w:p>
      <w:pPr>
        <w:pStyle w:val="NotesPerm"/>
        <w:tabs>
          <w:tab w:val="clear" w:pos="879"/>
          <w:tab w:val="left" w:pos="851"/>
        </w:tabs>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w:t>
      </w:r>
      <w:r>
        <w:rPr>
          <w:rStyle w:val="CharDefText"/>
        </w:rPr>
        <w:t xml:space="preserve"> </w:t>
      </w:r>
      <w:r>
        <w:t xml:space="preserve">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working directly with children</w:t>
      </w:r>
      <w:r>
        <w:t> — see regulation 13;</w:t>
      </w:r>
    </w:p>
    <w:p>
      <w:pPr>
        <w:pStyle w:val="Defstart"/>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pPr>
      <w:r>
        <w:tab/>
      </w:r>
      <w:r>
        <w:rPr>
          <w:rStyle w:val="CharDefText"/>
        </w:rPr>
        <w:t>working with vulnerable people check</w:t>
      </w:r>
      <w:r>
        <w:t xml:space="preserve"> means a check of a person under a working with vulnerable people law of a participating jurisdiction.</w:t>
      </w:r>
    </w:p>
    <w:p>
      <w:pPr>
        <w:pStyle w:val="Subsection"/>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pPr>
      <w:r>
        <w:tab/>
        <w:t>(2)</w:t>
      </w:r>
      <w:r>
        <w:tab/>
        <w:t>Unless the context otherwise requires, a reference in these Regulations to a Part by a number is a reference to the Part, designated by that number, of these Regulations.</w:t>
      </w:r>
    </w:p>
    <w:p>
      <w:pPr>
        <w:pStyle w:val="Subsection"/>
      </w:pPr>
      <w:r>
        <w:tab/>
        <w:t>(3)</w:t>
      </w:r>
      <w:r>
        <w:tab/>
        <w:t>Guides to Chapters do not form part of these Regulations.</w:t>
      </w:r>
    </w:p>
    <w:p>
      <w:pPr>
        <w:pStyle w:val="NotesPerm"/>
        <w:tabs>
          <w:tab w:val="clear" w:pos="879"/>
          <w:tab w:val="left" w:pos="851"/>
        </w:tabs>
        <w:ind w:left="1418" w:hanging="1418"/>
      </w:pPr>
      <w:r>
        <w:tab/>
        <w:t>Note:</w:t>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w:t>
      </w:r>
    </w:p>
    <w:p>
      <w:pPr>
        <w:pStyle w:val="Heading5"/>
      </w:pPr>
      <w:bookmarkStart w:id="13" w:name="_Toc389741928"/>
      <w:bookmarkStart w:id="14" w:name="_Toc33392943"/>
      <w:r>
        <w:rPr>
          <w:rStyle w:val="CharSectno"/>
        </w:rPr>
        <w:t>5</w:t>
      </w:r>
      <w:r>
        <w:t>.</w:t>
      </w:r>
      <w:r>
        <w:tab/>
        <w:t>Services that are not education and care services</w:t>
      </w:r>
      <w:bookmarkEnd w:id="13"/>
      <w:bookmarkEnd w:id="14"/>
      <w:r>
        <w:t xml:space="preserve"> </w:t>
      </w:r>
    </w:p>
    <w:p>
      <w:pPr>
        <w:pStyle w:val="Subsection"/>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pPr>
      <w:r>
        <w:tab/>
        <w:t>(a)</w:t>
      </w:r>
      <w:r>
        <w:tab/>
        <w:t xml:space="preserve">a service that is a designated service within the meaning of the </w:t>
      </w:r>
      <w:r>
        <w:rPr>
          <w:i/>
          <w:iCs/>
        </w:rPr>
        <w:t>Disability Services Act 1993</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pPr>
      <w:r>
        <w:tab/>
        <w:t>(c)</w:t>
      </w:r>
      <w:r>
        <w:tab/>
        <w:t xml:space="preserve">a disability service provided by a disability service provider within the meaning of the </w:t>
      </w:r>
      <w:r>
        <w:rPr>
          <w:i/>
          <w:iCs/>
        </w:rPr>
        <w:t>Disability Act 2006</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pPr>
      <w:r>
        <w:tab/>
        <w:t>(a)</w:t>
      </w:r>
      <w:r>
        <w:tab/>
        <w:t>a service providing education and care to children in premises where the majority of the children usually reside and the educator does not reside;</w:t>
      </w:r>
    </w:p>
    <w:p>
      <w:pPr>
        <w:pStyle w:val="Indenta"/>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pPr>
      <w:r>
        <w:tab/>
        <w:t>(c)</w:t>
      </w:r>
      <w:r>
        <w:tab/>
        <w:t xml:space="preserve">a service providing education and care to children primarily on an ad hoc or casual basis where — </w:t>
      </w:r>
    </w:p>
    <w:p>
      <w:pPr>
        <w:pStyle w:val="Indenti"/>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ind w:left="1418" w:hanging="1418"/>
      </w:pPr>
      <w:r>
        <w:tab/>
        <w:t>Examples:</w:t>
      </w:r>
    </w:p>
    <w:p>
      <w:pPr>
        <w:pStyle w:val="NotesPerm"/>
        <w:tabs>
          <w:tab w:val="clear" w:pos="879"/>
          <w:tab w:val="left" w:pos="851"/>
        </w:tabs>
        <w:ind w:left="1418" w:hanging="1418"/>
      </w:pPr>
      <w:r>
        <w:tab/>
        <w:t>1</w:t>
      </w:r>
      <w:r>
        <w:tab/>
        <w:t>A service that provides education and care to a child at a conference attended by the parent.</w:t>
      </w:r>
    </w:p>
    <w:p>
      <w:pPr>
        <w:pStyle w:val="NotesPerm"/>
        <w:tabs>
          <w:tab w:val="clear" w:pos="879"/>
          <w:tab w:val="left" w:pos="851"/>
        </w:tabs>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w:t>
      </w:r>
      <w:smartTag w:uri="urn:schemas-microsoft-com:office:smarttags" w:element="place">
        <w:smartTag w:uri="urn:schemas-microsoft-com:office:smarttags" w:element="State">
          <w:r>
            <w:t>Tasmania</w:t>
          </w:r>
        </w:smartTag>
      </w:smartTag>
      <w:r>
        <w:t>;</w:t>
      </w:r>
    </w:p>
    <w:p>
      <w:pPr>
        <w:pStyle w:val="Indenta"/>
      </w:pPr>
      <w:r>
        <w:tab/>
        <w:t>(q)</w:t>
      </w:r>
      <w:r>
        <w:tab/>
        <w:t xml:space="preserve">a licensed limited hours service or short term service under the </w:t>
      </w:r>
      <w:r>
        <w:rPr>
          <w:i/>
          <w:iCs/>
        </w:rPr>
        <w:t>Children’s Services Act 1996</w:t>
      </w:r>
      <w:r>
        <w:t xml:space="preserve"> of </w:t>
      </w:r>
      <w:smartTag w:uri="urn:schemas-microsoft-com:office:smarttags" w:element="place">
        <w:smartTag w:uri="urn:schemas-microsoft-com:office:smarttags" w:element="State">
          <w:r>
            <w:t>Victoria</w:t>
          </w:r>
        </w:smartTag>
      </w:smartTag>
      <w:r>
        <w:t>;</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pPr>
      <w:bookmarkStart w:id="15" w:name="_Toc389741929"/>
      <w:bookmarkStart w:id="16" w:name="_Toc33392944"/>
      <w:r>
        <w:rPr>
          <w:rStyle w:val="CharSectno"/>
        </w:rPr>
        <w:t>6</w:t>
      </w:r>
      <w:r>
        <w:t>.</w:t>
      </w:r>
      <w:r>
        <w:tab/>
        <w:t>Eligible association</w:t>
      </w:r>
      <w:bookmarkEnd w:id="15"/>
      <w:bookmarkEnd w:id="16"/>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7" w:name="_Toc389741930"/>
      <w:bookmarkStart w:id="18" w:name="_Toc33392945"/>
      <w:r>
        <w:rPr>
          <w:rStyle w:val="CharSectno"/>
        </w:rPr>
        <w:t>7</w:t>
      </w:r>
      <w:r>
        <w:t>.</w:t>
      </w:r>
      <w:r>
        <w:tab/>
        <w:t>Prescribed rating system</w:t>
      </w:r>
      <w:bookmarkEnd w:id="17"/>
      <w:bookmarkEnd w:id="18"/>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9" w:name="_Toc389741931"/>
      <w:bookmarkStart w:id="20" w:name="_Toc33392946"/>
      <w:r>
        <w:rPr>
          <w:rStyle w:val="CharSectno"/>
        </w:rPr>
        <w:t>8</w:t>
      </w:r>
      <w:r>
        <w:t>.</w:t>
      </w:r>
      <w:r>
        <w:tab/>
        <w:t>National Quality Standard</w:t>
      </w:r>
      <w:bookmarkEnd w:id="19"/>
      <w:bookmarkEnd w:id="20"/>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1" w:name="_Toc389741932"/>
      <w:bookmarkStart w:id="22" w:name="_Toc33392947"/>
      <w:r>
        <w:rPr>
          <w:rStyle w:val="CharSectno"/>
        </w:rPr>
        <w:t>9</w:t>
      </w:r>
      <w:r>
        <w:t>.</w:t>
      </w:r>
      <w:r>
        <w:tab/>
        <w:t>Prescribed entities</w:t>
      </w:r>
      <w:bookmarkEnd w:id="21"/>
      <w:bookmarkEnd w:id="22"/>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23" w:name="_Toc389741933"/>
      <w:bookmarkStart w:id="24" w:name="_Toc33392948"/>
      <w:r>
        <w:rPr>
          <w:rStyle w:val="CharSectno"/>
        </w:rPr>
        <w:t>10</w:t>
      </w:r>
      <w:r>
        <w:t>.</w:t>
      </w:r>
      <w:r>
        <w:tab/>
        <w:t xml:space="preserve">Meaning of </w:t>
      </w:r>
      <w:r>
        <w:rPr>
          <w:i/>
        </w:rPr>
        <w:t>actively working towards</w:t>
      </w:r>
      <w:r>
        <w:t xml:space="preserve"> a qualification</w:t>
      </w:r>
      <w:bookmarkEnd w:id="23"/>
      <w:bookmarkEnd w:id="2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25" w:name="_Toc389741934"/>
      <w:bookmarkStart w:id="26" w:name="_Toc33392949"/>
      <w:r>
        <w:rPr>
          <w:rStyle w:val="CharSectno"/>
        </w:rPr>
        <w:t>11</w:t>
      </w:r>
      <w:r>
        <w:t>.</w:t>
      </w:r>
      <w:r>
        <w:tab/>
        <w:t xml:space="preserve">Meaning of </w:t>
      </w:r>
      <w:r>
        <w:rPr>
          <w:i/>
        </w:rPr>
        <w:t>in attendance</w:t>
      </w:r>
      <w:r>
        <w:t xml:space="preserve"> at a centre</w:t>
      </w:r>
      <w:r>
        <w:noBreakHyphen/>
        <w:t>based service</w:t>
      </w:r>
      <w:bookmarkEnd w:id="25"/>
      <w:bookmarkEnd w:id="26"/>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27" w:name="_Toc389741935"/>
      <w:bookmarkStart w:id="28" w:name="_Toc33392950"/>
      <w:r>
        <w:rPr>
          <w:rStyle w:val="CharSectno"/>
        </w:rPr>
        <w:t>12</w:t>
      </w:r>
      <w:r>
        <w:t>.</w:t>
      </w:r>
      <w:r>
        <w:tab/>
        <w:t xml:space="preserve">Meaning of </w:t>
      </w:r>
      <w:r>
        <w:rPr>
          <w:i/>
        </w:rPr>
        <w:t>serious incident</w:t>
      </w:r>
      <w:bookmarkEnd w:id="27"/>
      <w:bookmarkEnd w:id="28"/>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29" w:name="_Toc389741936"/>
      <w:bookmarkStart w:id="30" w:name="_Toc33392951"/>
      <w:r>
        <w:rPr>
          <w:rStyle w:val="CharSectno"/>
        </w:rPr>
        <w:t>13</w:t>
      </w:r>
      <w:r>
        <w:t>.</w:t>
      </w:r>
      <w:r>
        <w:tab/>
        <w:t xml:space="preserve">Meaning of </w:t>
      </w:r>
      <w:r>
        <w:rPr>
          <w:i/>
        </w:rPr>
        <w:t>working directly with children</w:t>
      </w:r>
      <w:bookmarkEnd w:id="29"/>
      <w:bookmarkEnd w:id="30"/>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1" w:name="_Toc389741937"/>
      <w:bookmarkStart w:id="32" w:name="_Toc33392952"/>
      <w:r>
        <w:rPr>
          <w:rStyle w:val="CharPartNo"/>
        </w:rPr>
        <w:t>Chapter 2</w:t>
      </w:r>
      <w:r>
        <w:t> — </w:t>
      </w:r>
      <w:r>
        <w:rPr>
          <w:rStyle w:val="CharPartText"/>
        </w:rPr>
        <w:t>Approvals and certificates</w:t>
      </w:r>
      <w:bookmarkEnd w:id="31"/>
      <w:bookmarkEnd w:id="32"/>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ind w:left="284"/>
      </w:pPr>
      <w:r>
        <w:rPr>
          <w:i/>
        </w:rPr>
        <w:t>Division 1</w:t>
      </w:r>
      <w:r>
        <w:t xml:space="preserve"> deals with applications for service approvals, conditions on service approvals and annual fees for service approvals.</w:t>
      </w:r>
    </w:p>
    <w:p>
      <w:pPr>
        <w:pStyle w:val="MiscellaneousBody"/>
        <w:ind w:left="284"/>
      </w:pPr>
      <w:r>
        <w:rPr>
          <w:i/>
        </w:rPr>
        <w:t>Division 2</w:t>
      </w:r>
      <w:r>
        <w:t xml:space="preserve"> deals with amendment of service approvals and notices of change to nominated supervisors.</w:t>
      </w:r>
    </w:p>
    <w:p>
      <w:pPr>
        <w:pStyle w:val="MiscellaneousBody"/>
        <w:ind w:left="284"/>
      </w:pPr>
      <w:r>
        <w:rPr>
          <w:i/>
        </w:rPr>
        <w:t>Division 3</w:t>
      </w:r>
      <w:r>
        <w:t xml:space="preserve"> deals with the transfer of service approvals from one approved provider to another.</w:t>
      </w:r>
    </w:p>
    <w:p>
      <w:pPr>
        <w:pStyle w:val="MiscellaneousBody"/>
        <w:ind w:left="284"/>
      </w:pPr>
      <w:r>
        <w:rPr>
          <w:i/>
        </w:rPr>
        <w:t>Division 4</w:t>
      </w:r>
      <w:r>
        <w:t xml:space="preserve"> deals with the suspension of service approvals.</w:t>
      </w:r>
    </w:p>
    <w:p>
      <w:pPr>
        <w:pStyle w:val="MiscellaneousBody"/>
        <w:ind w:left="284"/>
      </w:pPr>
      <w:r>
        <w:rPr>
          <w:i/>
        </w:rPr>
        <w:t>Division 5</w:t>
      </w:r>
      <w:r>
        <w:t xml:space="preserve"> deals with the process for obtaining a service waiver.</w:t>
      </w:r>
    </w:p>
    <w:p>
      <w:pPr>
        <w:pStyle w:val="MiscellaneousBody"/>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ind w:left="284"/>
      </w:pPr>
      <w:r>
        <w:rPr>
          <w:i/>
        </w:rPr>
        <w:t>Division 1</w:t>
      </w:r>
      <w:r>
        <w:t xml:space="preserve"> deals with the process for obtaining a supervisor certificate.</w:t>
      </w:r>
    </w:p>
    <w:p>
      <w:pPr>
        <w:pStyle w:val="MiscellaneousBody"/>
        <w:ind w:left="284"/>
      </w:pPr>
      <w:r>
        <w:rPr>
          <w:i/>
        </w:rPr>
        <w:t>Division 2</w:t>
      </w:r>
      <w:r>
        <w:t xml:space="preserve"> deals with the amendment of supervisor certificates.</w:t>
      </w:r>
    </w:p>
    <w:p>
      <w:pPr>
        <w:pStyle w:val="MiscellaneousBody"/>
        <w:ind w:left="284"/>
      </w:pPr>
      <w:r>
        <w:rPr>
          <w:i/>
        </w:rPr>
        <w:t>Division 3</w:t>
      </w:r>
      <w:r>
        <w:t xml:space="preserve"> deals with the suspension of supervisor certificates.</w:t>
      </w:r>
    </w:p>
    <w:p>
      <w:pPr>
        <w:pStyle w:val="MiscellaneousBody"/>
        <w:ind w:left="284"/>
      </w:pPr>
      <w:r>
        <w:rPr>
          <w:i/>
        </w:rPr>
        <w:t>Division 4</w:t>
      </w:r>
      <w:r>
        <w:t xml:space="preserve"> deals with the process for placing a certified supervisor in day to day charge of an education and care service.</w:t>
      </w:r>
    </w:p>
    <w:p>
      <w:pPr>
        <w:pStyle w:val="Heading3"/>
      </w:pPr>
      <w:bookmarkStart w:id="33" w:name="_Toc389741938"/>
      <w:bookmarkStart w:id="34" w:name="_Toc33392953"/>
      <w:r>
        <w:rPr>
          <w:rStyle w:val="CharDivNo"/>
        </w:rPr>
        <w:t>Part 2.1</w:t>
      </w:r>
      <w:r>
        <w:t> — </w:t>
      </w:r>
      <w:r>
        <w:rPr>
          <w:rStyle w:val="CharDivText"/>
        </w:rPr>
        <w:t>Provider approvals</w:t>
      </w:r>
      <w:bookmarkEnd w:id="33"/>
      <w:bookmarkEnd w:id="34"/>
    </w:p>
    <w:p>
      <w:pPr>
        <w:pStyle w:val="Heading5"/>
      </w:pPr>
      <w:bookmarkStart w:id="35" w:name="_Toc389741939"/>
      <w:bookmarkStart w:id="36" w:name="_Toc33392954"/>
      <w:r>
        <w:rPr>
          <w:rStyle w:val="CharSectno"/>
        </w:rPr>
        <w:t>14</w:t>
      </w:r>
      <w:r>
        <w:t>.</w:t>
      </w:r>
      <w:r>
        <w:tab/>
        <w:t>Application for provider approval by individual</w:t>
      </w:r>
      <w:bookmarkEnd w:id="35"/>
      <w:bookmarkEnd w:id="36"/>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pPr>
      <w:r>
        <w:tab/>
        <w:t>[(iii)</w:t>
      </w:r>
      <w:r>
        <w:tab/>
        <w:t>deleted]</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w:t>
      </w:r>
    </w:p>
    <w:p>
      <w:pPr>
        <w:pStyle w:val="Heading5"/>
      </w:pPr>
      <w:bookmarkStart w:id="37" w:name="_Toc389741940"/>
      <w:bookmarkStart w:id="38" w:name="_Toc33392955"/>
      <w:r>
        <w:rPr>
          <w:rStyle w:val="CharSectno"/>
        </w:rPr>
        <w:t>15</w:t>
      </w:r>
      <w:r>
        <w:t>.</w:t>
      </w:r>
      <w:r>
        <w:tab/>
        <w:t>Application for provider approval by person other than an individual</w:t>
      </w:r>
      <w:bookmarkEnd w:id="37"/>
      <w:bookmarkEnd w:id="38"/>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39" w:name="_Toc389741941"/>
      <w:bookmarkStart w:id="40" w:name="_Toc33392956"/>
      <w:r>
        <w:rPr>
          <w:rStyle w:val="CharSectno"/>
        </w:rPr>
        <w:t>16</w:t>
      </w:r>
      <w:r>
        <w:t>.</w:t>
      </w:r>
      <w:r>
        <w:tab/>
        <w:t>Matters relating to criminal history</w:t>
      </w:r>
      <w:bookmarkEnd w:id="39"/>
      <w:bookmarkEnd w:id="40"/>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 and</w:t>
      </w:r>
    </w:p>
    <w:p>
      <w:pPr>
        <w:pStyle w:val="Indenta"/>
      </w:pPr>
      <w:r>
        <w:tab/>
        <w:t>(b)</w:t>
      </w:r>
      <w:r>
        <w:tab/>
        <w:t>except in the case of an application made to the Queensland Regulatory Authority, any matters included in a criminal history record check.</w:t>
      </w:r>
    </w:p>
    <w:p>
      <w:pPr>
        <w:pStyle w:val="Heading5"/>
      </w:pPr>
      <w:bookmarkStart w:id="41" w:name="_Toc389741942"/>
      <w:bookmarkStart w:id="42" w:name="_Toc33392957"/>
      <w:r>
        <w:rPr>
          <w:rStyle w:val="CharSectno"/>
        </w:rPr>
        <w:t>17</w:t>
      </w:r>
      <w:r>
        <w:t>.</w:t>
      </w:r>
      <w:r>
        <w:tab/>
        <w:t>Application for amendment of provider approval</w:t>
      </w:r>
      <w:bookmarkEnd w:id="41"/>
      <w:bookmarkEnd w:id="42"/>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3" w:name="_Toc389741943"/>
      <w:bookmarkStart w:id="44" w:name="_Toc33392958"/>
      <w:r>
        <w:rPr>
          <w:rStyle w:val="CharSectno"/>
        </w:rPr>
        <w:t>18</w:t>
      </w:r>
      <w:r>
        <w:t>.</w:t>
      </w:r>
      <w:r>
        <w:tab/>
        <w:t>Maximum period of suspension of provider approval</w:t>
      </w:r>
      <w:bookmarkEnd w:id="43"/>
      <w:bookmarkEnd w:id="44"/>
      <w:r>
        <w:t xml:space="preserve"> </w:t>
      </w:r>
    </w:p>
    <w:p>
      <w:pPr>
        <w:pStyle w:val="Subsection"/>
      </w:pPr>
      <w:r>
        <w:tab/>
      </w:r>
      <w:r>
        <w:tab/>
        <w:t>The prescribed maximum period of suspension of a provider approval under section 27(a) or 33(1)(a)(ii) of the Law is 12 months.</w:t>
      </w:r>
    </w:p>
    <w:p>
      <w:pPr>
        <w:pStyle w:val="Heading5"/>
      </w:pPr>
      <w:bookmarkStart w:id="45" w:name="_Toc389741944"/>
      <w:bookmarkStart w:id="46" w:name="_Toc33392959"/>
      <w:r>
        <w:rPr>
          <w:rStyle w:val="CharSectno"/>
        </w:rPr>
        <w:t>19</w:t>
      </w:r>
      <w:r>
        <w:t>.</w:t>
      </w:r>
      <w:r>
        <w:tab/>
        <w:t>Application for voluntary suspension of provider approval</w:t>
      </w:r>
      <w:bookmarkEnd w:id="45"/>
      <w:bookmarkEnd w:id="46"/>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47" w:name="_Toc389741945"/>
      <w:bookmarkStart w:id="48" w:name="_Toc33392960"/>
      <w:r>
        <w:rPr>
          <w:rStyle w:val="CharSectno"/>
        </w:rPr>
        <w:t>20</w:t>
      </w:r>
      <w:r>
        <w:t>.</w:t>
      </w:r>
      <w:r>
        <w:tab/>
        <w:t>Application by individual executor for provider approval</w:t>
      </w:r>
      <w:bookmarkEnd w:id="47"/>
      <w:bookmarkEnd w:id="48"/>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pPr>
      <w:r>
        <w:tab/>
        <w:t>[(iii)</w:t>
      </w:r>
      <w:r>
        <w:tab/>
        <w:t>deleted]</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w:t>
      </w:r>
    </w:p>
    <w:p>
      <w:pPr>
        <w:pStyle w:val="Heading5"/>
      </w:pPr>
      <w:bookmarkStart w:id="49" w:name="_Toc389741946"/>
      <w:bookmarkStart w:id="50" w:name="_Toc33392961"/>
      <w:r>
        <w:rPr>
          <w:rStyle w:val="CharSectno"/>
        </w:rPr>
        <w:t>21</w:t>
      </w:r>
      <w:r>
        <w:t>.</w:t>
      </w:r>
      <w:r>
        <w:tab/>
        <w:t>Application by executor other than an individual for provider approval</w:t>
      </w:r>
      <w:bookmarkEnd w:id="49"/>
      <w:bookmarkEnd w:id="50"/>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1" w:name="_Toc389741947"/>
      <w:bookmarkStart w:id="52" w:name="_Toc33392962"/>
      <w:r>
        <w:rPr>
          <w:rStyle w:val="CharSectno"/>
        </w:rPr>
        <w:t>22</w:t>
      </w:r>
      <w:r>
        <w:t>.</w:t>
      </w:r>
      <w:r>
        <w:tab/>
        <w:t>Application by individual for provider approval on incapacity of approved provider</w:t>
      </w:r>
      <w:bookmarkEnd w:id="51"/>
      <w:bookmarkEnd w:id="52"/>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Ednotesubpara"/>
      </w:pPr>
      <w:r>
        <w:tab/>
        <w:t>[(iii)</w:t>
      </w:r>
      <w:r>
        <w:tab/>
        <w:t>deleted]</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22 amended in Gazette 13 Dec 2013 p.</w:t>
      </w:r>
      <w:r>
        <w:rPr>
          <w:sz w:val="19"/>
        </w:rPr>
        <w:t> </w:t>
      </w:r>
      <w:r>
        <w:t>6155</w:t>
      </w:r>
      <w:r>
        <w:noBreakHyphen/>
        <w:t>6.]</w:t>
      </w:r>
    </w:p>
    <w:p>
      <w:pPr>
        <w:pStyle w:val="Heading5"/>
      </w:pPr>
      <w:bookmarkStart w:id="53" w:name="_Toc389741948"/>
      <w:bookmarkStart w:id="54" w:name="_Toc33392963"/>
      <w:r>
        <w:rPr>
          <w:rStyle w:val="CharSectno"/>
        </w:rPr>
        <w:t>23</w:t>
      </w:r>
      <w:r>
        <w:t>.</w:t>
      </w:r>
      <w:r>
        <w:tab/>
        <w:t>Application by person other than an individual for provider approval on incapacity of approved provider</w:t>
      </w:r>
      <w:bookmarkEnd w:id="53"/>
      <w:bookmarkEnd w:id="54"/>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the current approved provider’s full name and provider approval number;</w:t>
      </w:r>
    </w:p>
    <w:p>
      <w:pPr>
        <w:pStyle w:val="Indenta"/>
      </w:pPr>
      <w:r>
        <w:tab/>
        <w:t>(e)</w:t>
      </w:r>
      <w:r>
        <w:tab/>
        <w:t xml:space="preserve">the proposed duration of the provider approval; </w:t>
      </w:r>
    </w:p>
    <w:p>
      <w:pPr>
        <w:pStyle w:val="NotesPerm"/>
        <w:tabs>
          <w:tab w:val="clear" w:pos="879"/>
          <w:tab w:val="left" w:pos="851"/>
        </w:tabs>
        <w:ind w:left="1418" w:hanging="1418"/>
      </w:pPr>
      <w:r>
        <w:tab/>
        <w:t>Note:</w:t>
      </w:r>
      <w:r>
        <w:tab/>
        <w:t>This period cannot exceed 6 months.</w:t>
      </w:r>
    </w:p>
    <w:p>
      <w:pPr>
        <w:pStyle w:val="Indenta"/>
      </w:pPr>
      <w:r>
        <w:tab/>
        <w:t>(f)</w:t>
      </w:r>
      <w:r>
        <w:tab/>
        <w:t xml:space="preserve">documentary evidence of the legal status of the applicant and its constitution; </w:t>
      </w:r>
    </w:p>
    <w:p>
      <w:pPr>
        <w:pStyle w:val="NotesPerm"/>
        <w:tabs>
          <w:tab w:val="clear" w:pos="879"/>
          <w:tab w:val="left" w:pos="851"/>
        </w:tabs>
        <w:ind w:left="1701" w:hanging="1418"/>
      </w:pPr>
      <w:r>
        <w:tab/>
        <w:t>Example:</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22.</w:t>
      </w:r>
    </w:p>
    <w:p>
      <w:pPr>
        <w:pStyle w:val="Heading3"/>
      </w:pPr>
      <w:bookmarkStart w:id="55" w:name="_Toc389741949"/>
      <w:bookmarkStart w:id="56" w:name="_Toc33392964"/>
      <w:r>
        <w:rPr>
          <w:rStyle w:val="CharDivNo"/>
        </w:rPr>
        <w:t>Part 2.2</w:t>
      </w:r>
      <w:r>
        <w:t> — </w:t>
      </w:r>
      <w:r>
        <w:rPr>
          <w:rStyle w:val="CharDivText"/>
        </w:rPr>
        <w:t>Service approvals</w:t>
      </w:r>
      <w:bookmarkEnd w:id="55"/>
      <w:bookmarkEnd w:id="56"/>
    </w:p>
    <w:p>
      <w:pPr>
        <w:pStyle w:val="Heading4"/>
      </w:pPr>
      <w:bookmarkStart w:id="57" w:name="_Toc389741950"/>
      <w:bookmarkStart w:id="58" w:name="_Toc33392965"/>
      <w:r>
        <w:t>Division 1 — Applications for service approvals</w:t>
      </w:r>
      <w:bookmarkEnd w:id="57"/>
      <w:bookmarkEnd w:id="58"/>
    </w:p>
    <w:p>
      <w:pPr>
        <w:pStyle w:val="Heading5"/>
      </w:pPr>
      <w:bookmarkStart w:id="59" w:name="_Toc389741951"/>
      <w:bookmarkStart w:id="60" w:name="_Toc33392966"/>
      <w:r>
        <w:rPr>
          <w:rStyle w:val="CharSectno"/>
        </w:rPr>
        <w:t>24</w:t>
      </w:r>
      <w:r>
        <w:t>.</w:t>
      </w:r>
      <w:r>
        <w:tab/>
        <w:t>Application for service approval — centre</w:t>
      </w:r>
      <w:r>
        <w:noBreakHyphen/>
        <w:t>based service</w:t>
      </w:r>
      <w:bookmarkEnd w:id="59"/>
      <w:bookmarkEnd w:id="60"/>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61" w:name="_Toc389741952"/>
      <w:bookmarkStart w:id="62" w:name="_Toc33392967"/>
      <w:r>
        <w:rPr>
          <w:rStyle w:val="CharSectno"/>
        </w:rPr>
        <w:t>25</w:t>
      </w:r>
      <w:r>
        <w:t>.</w:t>
      </w:r>
      <w:r>
        <w:tab/>
        <w:t>Additional information about proposed education and care service premises</w:t>
      </w:r>
      <w:bookmarkEnd w:id="61"/>
      <w:bookmarkEnd w:id="62"/>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pPr>
      <w:r>
        <w:tab/>
        <w:t>(vi)</w:t>
      </w:r>
      <w:r>
        <w:tab/>
        <w:t>the landscape of, or landscaping plans for, outdoor spaces that will be used by the education and care service, specifying the natural environments that are or will be provided;</w:t>
      </w:r>
    </w:p>
    <w:p>
      <w:pPr>
        <w:pStyle w:val="Indenti"/>
      </w:pPr>
      <w:r>
        <w:tab/>
        <w:t>(vii)</w:t>
      </w:r>
      <w:r>
        <w:tab/>
        <w:t>a floor plan indicating unencumbered indoor and outdoor spaces suitable for children;</w:t>
      </w:r>
    </w:p>
    <w:p>
      <w:pPr>
        <w:pStyle w:val="Indenti"/>
      </w:pPr>
      <w:r>
        <w:tab/>
        <w:t>(viii)</w:t>
      </w:r>
      <w:r>
        <w:tab/>
        <w:t>the location of any associated children’s service;</w:t>
      </w:r>
    </w:p>
    <w:p>
      <w:pPr>
        <w:pStyle w:val="Indenti"/>
      </w:pPr>
      <w:r>
        <w:tab/>
        <w:t>(ix)</w:t>
      </w:r>
      <w:r>
        <w:tab/>
        <w:t>calculations, carried out by a building practitioner, of the areas referred to in regulations 107 and 108 relating to unencumbered indoor and outdoor space;</w:t>
      </w:r>
    </w:p>
    <w:p>
      <w:pPr>
        <w:pStyle w:val="Indenti"/>
      </w:pPr>
      <w:r>
        <w:tab/>
        <w:t>(x)</w:t>
      </w:r>
      <w:r>
        <w:tab/>
        <w:t>the elevation plans of the premises;</w:t>
      </w:r>
    </w:p>
    <w:p>
      <w:pPr>
        <w:pStyle w:val="Indenta"/>
      </w:pPr>
      <w:r>
        <w:tab/>
        <w:t>(c)</w:t>
      </w:r>
      <w:r>
        <w:tab/>
        <w:t xml:space="preserve">if a swimming pool or other water hazard is situated on the proposed education and care service premises, a copy of the service’s proposed water safety policy; </w:t>
      </w:r>
    </w:p>
    <w:p>
      <w:pPr>
        <w:pStyle w:val="Indenta"/>
      </w:pPr>
      <w:r>
        <w:tab/>
        <w:t>(d)</w:t>
      </w:r>
      <w:r>
        <w:tab/>
        <w:t xml:space="preserve">one of the following — </w:t>
      </w:r>
    </w:p>
    <w:p>
      <w:pPr>
        <w:pStyle w:val="Indenti"/>
      </w:pPr>
      <w:r>
        <w:tab/>
        <w:t>(i)</w:t>
      </w:r>
      <w:r>
        <w:tab/>
        <w:t>a soil assessment for the site of the proposed education and care service premises;</w:t>
      </w:r>
    </w:p>
    <w:p>
      <w:pPr>
        <w:pStyle w:val="Indenti"/>
      </w:pPr>
      <w:r>
        <w:tab/>
        <w:t>(ii)</w:t>
      </w:r>
      <w:r>
        <w:tab/>
        <w:t>if a soil assessment for the site of the proposed education and care service premises has previously been undertaken, a statement to that effect, specifying when the soil assessment was undertaken;</w:t>
      </w:r>
    </w:p>
    <w:p>
      <w:pPr>
        <w:pStyle w:val="Indenti"/>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pPr>
      <w:r>
        <w:tab/>
        <w:t>(e)</w:t>
      </w:r>
      <w:r>
        <w:tab/>
        <w:t>a copy of the planning permit for the proposed education and care service premises if a planning permit is required under the planning and development law of the participating jurisdiction;</w:t>
      </w:r>
    </w:p>
    <w:p>
      <w:pPr>
        <w:pStyle w:val="Indenta"/>
      </w:pPr>
      <w:r>
        <w:tab/>
        <w:t>(f)</w:t>
      </w:r>
      <w:r>
        <w:tab/>
        <w:t>a statement that the applicant has the right to occupy and use the premises and any document evidencing this;</w:t>
      </w:r>
    </w:p>
    <w:p>
      <w:pPr>
        <w:pStyle w:val="NotesPerm"/>
        <w:tabs>
          <w:tab w:val="clear" w:pos="879"/>
          <w:tab w:val="left" w:pos="851"/>
        </w:tabs>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63" w:name="_Toc389741953"/>
      <w:bookmarkStart w:id="64" w:name="_Toc33392968"/>
      <w:r>
        <w:rPr>
          <w:rStyle w:val="CharSectno"/>
        </w:rPr>
        <w:t>26</w:t>
      </w:r>
      <w:r>
        <w:t>.</w:t>
      </w:r>
      <w:r>
        <w:tab/>
        <w:t>Application for service approval — family day care service</w:t>
      </w:r>
      <w:bookmarkEnd w:id="63"/>
      <w:bookmarkEnd w:id="64"/>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 xml:space="preserve">Note: </w:t>
      </w:r>
      <w:r>
        <w:tab/>
        <w:t>The application must include the certified supervisor’s written consent to the nomination — see section 44(1)(d) of the Law.</w:t>
      </w:r>
    </w:p>
    <w:p>
      <w:pPr>
        <w:pStyle w:val="Heading5"/>
      </w:pPr>
      <w:bookmarkStart w:id="65" w:name="_Toc389741954"/>
      <w:bookmarkStart w:id="66" w:name="_Toc33392969"/>
      <w:r>
        <w:rPr>
          <w:rStyle w:val="CharSectno"/>
        </w:rPr>
        <w:t>27</w:t>
      </w:r>
      <w:r>
        <w:t>.</w:t>
      </w:r>
      <w:r>
        <w:tab/>
        <w:t>Additional matters to have regard to in determining application for service approval</w:t>
      </w:r>
      <w:bookmarkEnd w:id="65"/>
      <w:bookmarkEnd w:id="66"/>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ind w:left="1418" w:hanging="1418"/>
      </w:pPr>
      <w:r>
        <w:tab/>
        <w:t>Note:</w:t>
      </w:r>
      <w:r>
        <w:tab/>
        <w:t>See section 47(1)(g) of the Law.</w:t>
      </w:r>
    </w:p>
    <w:p>
      <w:pPr>
        <w:pStyle w:val="Heading5"/>
      </w:pPr>
      <w:bookmarkStart w:id="67" w:name="_Toc389741955"/>
      <w:bookmarkStart w:id="68" w:name="_Toc33392970"/>
      <w:r>
        <w:rPr>
          <w:rStyle w:val="CharSectno"/>
        </w:rPr>
        <w:t>28</w:t>
      </w:r>
      <w:r>
        <w:t>.</w:t>
      </w:r>
      <w:r>
        <w:tab/>
        <w:t>Additional grounds for refusal to grant service approval</w:t>
      </w:r>
      <w:bookmarkEnd w:id="67"/>
      <w:bookmarkEnd w:id="68"/>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pPr>
      <w:r>
        <w:tab/>
        <w:t>Examples:</w:t>
      </w:r>
    </w:p>
    <w:p>
      <w:pPr>
        <w:pStyle w:val="NotesPerm"/>
        <w:tabs>
          <w:tab w:val="clear" w:pos="879"/>
          <w:tab w:val="left" w:pos="851"/>
        </w:tabs>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ind w:left="1418" w:hanging="1418"/>
      </w:pPr>
      <w:r>
        <w:tab/>
        <w:t>Note:</w:t>
      </w:r>
      <w:r>
        <w:tab/>
        <w:t>See section 49(2) of the Law.</w:t>
      </w:r>
    </w:p>
    <w:p>
      <w:pPr>
        <w:pStyle w:val="Heading5"/>
      </w:pPr>
      <w:bookmarkStart w:id="69" w:name="_Toc389741956"/>
      <w:bookmarkStart w:id="70" w:name="_Toc33392971"/>
      <w:r>
        <w:rPr>
          <w:rStyle w:val="CharSectno"/>
        </w:rPr>
        <w:t>29</w:t>
      </w:r>
      <w:r>
        <w:t>.</w:t>
      </w:r>
      <w:r>
        <w:tab/>
        <w:t>Condition on service approval — insurance</w:t>
      </w:r>
      <w:bookmarkEnd w:id="69"/>
      <w:bookmarkEnd w:id="70"/>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51(4)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71" w:name="_Toc389741957"/>
      <w:bookmarkStart w:id="72" w:name="_Toc33392972"/>
      <w:r>
        <w:rPr>
          <w:rStyle w:val="CharSectno"/>
        </w:rPr>
        <w:t>30</w:t>
      </w:r>
      <w:r>
        <w:t>.</w:t>
      </w:r>
      <w:r>
        <w:tab/>
        <w:t>Condition on service approval — family day care educator insurance</w:t>
      </w:r>
      <w:bookmarkEnd w:id="71"/>
      <w:bookmarkEnd w:id="72"/>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73" w:name="_Toc389741958"/>
      <w:bookmarkStart w:id="74" w:name="_Toc33392973"/>
      <w:r>
        <w:rPr>
          <w:rStyle w:val="CharSectno"/>
        </w:rPr>
        <w:t>31</w:t>
      </w:r>
      <w:r>
        <w:t>.</w:t>
      </w:r>
      <w:r>
        <w:tab/>
        <w:t>Condition on service approval — quality improvement plan</w:t>
      </w:r>
      <w:bookmarkEnd w:id="73"/>
      <w:bookmarkEnd w:id="7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regulations 55 and 56, which set out requirements for quality improvement plans.</w:t>
      </w:r>
    </w:p>
    <w:p>
      <w:pPr>
        <w:pStyle w:val="Heading5"/>
      </w:pPr>
      <w:bookmarkStart w:id="75" w:name="_Toc389741959"/>
      <w:bookmarkStart w:id="76" w:name="_Toc33392974"/>
      <w:r>
        <w:rPr>
          <w:rStyle w:val="CharSectno"/>
        </w:rPr>
        <w:t>32</w:t>
      </w:r>
      <w:r>
        <w:t>.</w:t>
      </w:r>
      <w:r>
        <w:tab/>
        <w:t>Condition on service approval — entitlement to occupy premises</w:t>
      </w:r>
      <w:bookmarkEnd w:id="75"/>
      <w:bookmarkEnd w:id="76"/>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ind w:left="1418" w:hanging="1418"/>
      </w:pPr>
      <w:r>
        <w:tab/>
        <w:t>Note:</w:t>
      </w:r>
      <w:r>
        <w:tab/>
        <w:t>See section 51(5) of the Law.</w:t>
      </w:r>
    </w:p>
    <w:p>
      <w:pPr>
        <w:pStyle w:val="Heading5"/>
      </w:pPr>
      <w:bookmarkStart w:id="77" w:name="_Toc389741960"/>
      <w:bookmarkStart w:id="78" w:name="_Toc33392975"/>
      <w:r>
        <w:rPr>
          <w:rStyle w:val="CharSectno"/>
        </w:rPr>
        <w:t>33</w:t>
      </w:r>
      <w:r>
        <w:t>.</w:t>
      </w:r>
      <w:r>
        <w:tab/>
        <w:t>Annual fees</w:t>
      </w:r>
      <w:bookmarkEnd w:id="77"/>
      <w:bookmarkEnd w:id="78"/>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79" w:name="_Toc389741961"/>
      <w:bookmarkStart w:id="80" w:name="_Toc33392976"/>
      <w:r>
        <w:t>Division 2 — Amendment of service approval and notice of change to nominated supervisor</w:t>
      </w:r>
      <w:bookmarkEnd w:id="79"/>
      <w:bookmarkEnd w:id="80"/>
    </w:p>
    <w:p>
      <w:pPr>
        <w:pStyle w:val="Heading5"/>
      </w:pPr>
      <w:bookmarkStart w:id="81" w:name="_Toc389741962"/>
      <w:bookmarkStart w:id="82" w:name="_Toc33392977"/>
      <w:r>
        <w:rPr>
          <w:rStyle w:val="CharSectno"/>
        </w:rPr>
        <w:t>34</w:t>
      </w:r>
      <w:r>
        <w:t>.</w:t>
      </w:r>
      <w:r>
        <w:tab/>
        <w:t>Prescribed information for application to amend service approval</w:t>
      </w:r>
      <w:bookmarkEnd w:id="81"/>
      <w:bookmarkEnd w:id="82"/>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83" w:name="_Toc389741963"/>
      <w:bookmarkStart w:id="84" w:name="_Toc33392978"/>
      <w:r>
        <w:rPr>
          <w:rStyle w:val="CharSectno"/>
        </w:rPr>
        <w:t>35</w:t>
      </w:r>
      <w:r>
        <w:t>.</w:t>
      </w:r>
      <w:r>
        <w:tab/>
        <w:t>Notice of change to nominated supervisor</w:t>
      </w:r>
      <w:bookmarkEnd w:id="83"/>
      <w:bookmarkEnd w:id="84"/>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85" w:name="_Toc389741964"/>
      <w:bookmarkStart w:id="86" w:name="_Toc33392979"/>
      <w:r>
        <w:t>Division 3 — Transfer of service approval</w:t>
      </w:r>
      <w:bookmarkEnd w:id="85"/>
      <w:bookmarkEnd w:id="86"/>
    </w:p>
    <w:p>
      <w:pPr>
        <w:pStyle w:val="Heading5"/>
      </w:pPr>
      <w:bookmarkStart w:id="87" w:name="_Toc389741965"/>
      <w:bookmarkStart w:id="88" w:name="_Toc33392980"/>
      <w:r>
        <w:rPr>
          <w:rStyle w:val="CharSectno"/>
        </w:rPr>
        <w:t>36</w:t>
      </w:r>
      <w:r>
        <w:t>.</w:t>
      </w:r>
      <w:r>
        <w:tab/>
        <w:t>Notice of transfer of service approval — centre</w:t>
      </w:r>
      <w:r>
        <w:noBreakHyphen/>
        <w:t>based service</w:t>
      </w:r>
      <w:bookmarkEnd w:id="87"/>
      <w:bookmarkEnd w:id="88"/>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in relation to the information required to be provided under regulations 24 and 25.</w:t>
      </w:r>
    </w:p>
    <w:p>
      <w:pPr>
        <w:pStyle w:val="Heading5"/>
      </w:pPr>
      <w:bookmarkStart w:id="89" w:name="_Toc389741966"/>
      <w:bookmarkStart w:id="90" w:name="_Toc33392981"/>
      <w:r>
        <w:rPr>
          <w:rStyle w:val="CharSectno"/>
        </w:rPr>
        <w:t>37</w:t>
      </w:r>
      <w:r>
        <w:t>.</w:t>
      </w:r>
      <w:r>
        <w:tab/>
        <w:t>Notice of transfer of service approval — family day care service</w:t>
      </w:r>
      <w:bookmarkEnd w:id="89"/>
      <w:bookmarkEnd w:id="90"/>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pPr>
      <w:r>
        <w:tab/>
        <w:t>(a)</w:t>
      </w:r>
      <w:r>
        <w:tab/>
        <w:t>the name of the family day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to the information required to be provided under regulation 26.</w:t>
      </w:r>
    </w:p>
    <w:p>
      <w:pPr>
        <w:pStyle w:val="Heading5"/>
      </w:pPr>
      <w:bookmarkStart w:id="91" w:name="_Toc389741967"/>
      <w:bookmarkStart w:id="92" w:name="_Toc33392982"/>
      <w:r>
        <w:rPr>
          <w:rStyle w:val="CharSectno"/>
        </w:rPr>
        <w:t>38</w:t>
      </w:r>
      <w:r>
        <w:t>.</w:t>
      </w:r>
      <w:r>
        <w:tab/>
        <w:t>Notification of decision to intervene in transfer of service approval</w:t>
      </w:r>
      <w:bookmarkEnd w:id="91"/>
      <w:bookmarkEnd w:id="92"/>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of the transferring approved provider;</w:t>
      </w:r>
    </w:p>
    <w:p>
      <w:pPr>
        <w:pStyle w:val="Indenta"/>
      </w:pPr>
      <w:r>
        <w:tab/>
        <w:t>(d)</w:t>
      </w:r>
      <w:r>
        <w:tab/>
        <w:t>the name of the receiving approved provider;</w:t>
      </w:r>
    </w:p>
    <w:p>
      <w:pPr>
        <w:pStyle w:val="Indenta"/>
      </w:pPr>
      <w:r>
        <w:tab/>
        <w:t>(e)</w:t>
      </w:r>
      <w:r>
        <w:tab/>
        <w:t>the matters about which the Regulatory Authority is concerned.</w:t>
      </w:r>
    </w:p>
    <w:p>
      <w:pPr>
        <w:pStyle w:val="NotesPerm"/>
        <w:tabs>
          <w:tab w:val="clear" w:pos="879"/>
          <w:tab w:val="left" w:pos="851"/>
        </w:tabs>
        <w:ind w:left="1418" w:hanging="1418"/>
      </w:pPr>
      <w:r>
        <w:tab/>
        <w:t>Note:</w:t>
      </w:r>
      <w:r>
        <w:tab/>
        <w:t>This regulation differs from regulation 38 of the national regulations made by the Ministerial Council.</w:t>
      </w:r>
    </w:p>
    <w:p>
      <w:pPr>
        <w:pStyle w:val="Heading4"/>
      </w:pPr>
      <w:bookmarkStart w:id="93" w:name="_Toc389741968"/>
      <w:bookmarkStart w:id="94" w:name="_Toc33392983"/>
      <w:r>
        <w:t>Division 4 – Suspension of service approval</w:t>
      </w:r>
      <w:bookmarkEnd w:id="93"/>
      <w:bookmarkEnd w:id="94"/>
    </w:p>
    <w:p>
      <w:pPr>
        <w:pStyle w:val="Heading5"/>
      </w:pPr>
      <w:bookmarkStart w:id="95" w:name="_Toc389741969"/>
      <w:bookmarkStart w:id="96" w:name="_Toc33392984"/>
      <w:r>
        <w:rPr>
          <w:rStyle w:val="CharSectno"/>
        </w:rPr>
        <w:t>39</w:t>
      </w:r>
      <w:r>
        <w:t>.</w:t>
      </w:r>
      <w:r>
        <w:tab/>
        <w:t>Maximum period of suspension of service approval</w:t>
      </w:r>
      <w:bookmarkEnd w:id="95"/>
      <w:bookmarkEnd w:id="96"/>
      <w:r>
        <w:t xml:space="preserve"> </w:t>
      </w:r>
    </w:p>
    <w:p>
      <w:pPr>
        <w:pStyle w:val="Subsection"/>
      </w:pPr>
      <w:r>
        <w:tab/>
      </w:r>
      <w:r>
        <w:tab/>
        <w:t>The prescribed maximum period of suspension of a service approval under sections 72(a) and 79(1)(a)(ii) of the Law is 12 months.</w:t>
      </w:r>
    </w:p>
    <w:p>
      <w:pPr>
        <w:pStyle w:val="Heading5"/>
      </w:pPr>
      <w:bookmarkStart w:id="97" w:name="_Toc389741970"/>
      <w:bookmarkStart w:id="98" w:name="_Toc33392985"/>
      <w:r>
        <w:rPr>
          <w:rStyle w:val="CharSectno"/>
        </w:rPr>
        <w:t>40</w:t>
      </w:r>
      <w:r>
        <w:t>.</w:t>
      </w:r>
      <w:r>
        <w:tab/>
        <w:t>Application for voluntary suspension of service approval</w:t>
      </w:r>
      <w:bookmarkEnd w:id="97"/>
      <w:bookmarkEnd w:id="98"/>
      <w:r>
        <w:t xml:space="preserve"> </w:t>
      </w:r>
    </w:p>
    <w:p>
      <w:pPr>
        <w:pStyle w:val="Subsection"/>
      </w:pPr>
      <w:r>
        <w:tab/>
      </w:r>
      <w:r>
        <w:tab/>
        <w:t xml:space="preserve">An application under section 85 of the Law for the suspension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99" w:name="_Toc389741971"/>
      <w:bookmarkStart w:id="100" w:name="_Toc33392986"/>
      <w:r>
        <w:t>Division 5 — Service waiver</w:t>
      </w:r>
      <w:bookmarkEnd w:id="99"/>
      <w:bookmarkEnd w:id="100"/>
    </w:p>
    <w:p>
      <w:pPr>
        <w:pStyle w:val="Heading5"/>
      </w:pPr>
      <w:bookmarkStart w:id="101" w:name="_Toc389741972"/>
      <w:bookmarkStart w:id="102" w:name="_Toc33392987"/>
      <w:r>
        <w:rPr>
          <w:rStyle w:val="CharSectno"/>
        </w:rPr>
        <w:t>41</w:t>
      </w:r>
      <w:r>
        <w:t>.</w:t>
      </w:r>
      <w:r>
        <w:tab/>
        <w:t>Service waiver — prescribed elements</w:t>
      </w:r>
      <w:bookmarkEnd w:id="101"/>
      <w:bookmarkEnd w:id="102"/>
      <w:r>
        <w:t xml:space="preserve"> </w:t>
      </w:r>
    </w:p>
    <w:p>
      <w:pPr>
        <w:pStyle w:val="Subsection"/>
      </w:pPr>
      <w:r>
        <w:tab/>
      </w:r>
      <w:r>
        <w:tab/>
        <w:t xml:space="preserve">For the purposes of section 87(1)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03" w:name="_Toc389741973"/>
      <w:bookmarkStart w:id="104" w:name="_Toc33392988"/>
      <w:r>
        <w:rPr>
          <w:rStyle w:val="CharSectno"/>
        </w:rPr>
        <w:t>42</w:t>
      </w:r>
      <w:r>
        <w:t>.</w:t>
      </w:r>
      <w:r>
        <w:tab/>
        <w:t>Prescribed information — application for service waiver</w:t>
      </w:r>
      <w:bookmarkEnd w:id="103"/>
      <w:bookmarkEnd w:id="104"/>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ind w:left="1418" w:hanging="1418"/>
      </w:pPr>
      <w:r>
        <w:tab/>
        <w:t>Note:</w:t>
      </w:r>
      <w:r>
        <w:tab/>
        <w:t>See section 88 of the Law.</w:t>
      </w:r>
    </w:p>
    <w:p>
      <w:pPr>
        <w:pStyle w:val="Heading5"/>
      </w:pPr>
      <w:bookmarkStart w:id="105" w:name="_Toc389741974"/>
      <w:bookmarkStart w:id="106" w:name="_Toc33392989"/>
      <w:r>
        <w:rPr>
          <w:rStyle w:val="CharSectno"/>
        </w:rPr>
        <w:t>43</w:t>
      </w:r>
      <w:r>
        <w:t>.</w:t>
      </w:r>
      <w:r>
        <w:tab/>
        <w:t>Prescribed period — revocation of service waiver</w:t>
      </w:r>
      <w:bookmarkEnd w:id="105"/>
      <w:bookmarkEnd w:id="106"/>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107" w:name="_Toc389741975"/>
      <w:bookmarkStart w:id="108" w:name="_Toc33392990"/>
      <w:r>
        <w:t>Division 6 — Temporary waiver</w:t>
      </w:r>
      <w:bookmarkEnd w:id="107"/>
      <w:bookmarkEnd w:id="108"/>
    </w:p>
    <w:p>
      <w:pPr>
        <w:pStyle w:val="Heading5"/>
      </w:pPr>
      <w:bookmarkStart w:id="109" w:name="_Toc389741976"/>
      <w:bookmarkStart w:id="110" w:name="_Toc33392991"/>
      <w:r>
        <w:rPr>
          <w:rStyle w:val="CharSectno"/>
        </w:rPr>
        <w:t>44</w:t>
      </w:r>
      <w:r>
        <w:t>.</w:t>
      </w:r>
      <w:r>
        <w:tab/>
        <w:t>Temporary waiver — prescribed elements</w:t>
      </w:r>
      <w:bookmarkEnd w:id="109"/>
      <w:bookmarkEnd w:id="110"/>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11" w:name="_Toc389741977"/>
      <w:bookmarkStart w:id="112" w:name="_Toc33392992"/>
      <w:r>
        <w:rPr>
          <w:rStyle w:val="CharSectno"/>
        </w:rPr>
        <w:t>45</w:t>
      </w:r>
      <w:r>
        <w:t>.</w:t>
      </w:r>
      <w:r>
        <w:tab/>
        <w:t>Application for temporary waiver</w:t>
      </w:r>
      <w:bookmarkEnd w:id="111"/>
      <w:bookmarkEnd w:id="112"/>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ind w:left="1418" w:hanging="1418"/>
      </w:pPr>
      <w:r>
        <w:tab/>
        <w:t>Note:</w:t>
      </w:r>
      <w:r>
        <w:tab/>
        <w:t>See section 95 of the Law.</w:t>
      </w:r>
    </w:p>
    <w:p>
      <w:pPr>
        <w:pStyle w:val="Heading3"/>
      </w:pPr>
      <w:bookmarkStart w:id="113" w:name="_Toc389741978"/>
      <w:bookmarkStart w:id="114" w:name="_Toc33392993"/>
      <w:r>
        <w:rPr>
          <w:rStyle w:val="CharDivNo"/>
        </w:rPr>
        <w:t>Part 2.3</w:t>
      </w:r>
      <w:r>
        <w:t> — </w:t>
      </w:r>
      <w:r>
        <w:rPr>
          <w:rStyle w:val="CharDivText"/>
        </w:rPr>
        <w:t>Supervisor certificates</w:t>
      </w:r>
      <w:bookmarkEnd w:id="113"/>
      <w:bookmarkEnd w:id="114"/>
    </w:p>
    <w:p>
      <w:pPr>
        <w:pStyle w:val="Heading4"/>
      </w:pPr>
      <w:bookmarkStart w:id="115" w:name="_Toc389741979"/>
      <w:bookmarkStart w:id="116" w:name="_Toc33392994"/>
      <w:r>
        <w:t>Division 1 — Applications for supervisor certificates</w:t>
      </w:r>
      <w:bookmarkEnd w:id="115"/>
      <w:bookmarkEnd w:id="116"/>
    </w:p>
    <w:p>
      <w:pPr>
        <w:pStyle w:val="Heading5"/>
      </w:pPr>
      <w:bookmarkStart w:id="117" w:name="_Toc389741980"/>
      <w:bookmarkStart w:id="118" w:name="_Toc33392995"/>
      <w:r>
        <w:rPr>
          <w:rStyle w:val="CharSectno"/>
        </w:rPr>
        <w:t>46</w:t>
      </w:r>
      <w:r>
        <w:t>.</w:t>
      </w:r>
      <w:r>
        <w:tab/>
        <w:t>Application for supervisor certificate</w:t>
      </w:r>
      <w:bookmarkEnd w:id="117"/>
      <w:bookmarkEnd w:id="118"/>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w:t>
      </w:r>
    </w:p>
    <w:p>
      <w:pPr>
        <w:pStyle w:val="Subsection"/>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w:t>
      </w:r>
    </w:p>
    <w:p>
      <w:pPr>
        <w:pStyle w:val="Heading5"/>
      </w:pPr>
      <w:bookmarkStart w:id="119" w:name="_Toc389741981"/>
      <w:bookmarkStart w:id="120" w:name="_Toc33392996"/>
      <w:r>
        <w:rPr>
          <w:rStyle w:val="CharSectno"/>
        </w:rPr>
        <w:t>47</w:t>
      </w:r>
      <w:r>
        <w:t>.</w:t>
      </w:r>
      <w:r>
        <w:tab/>
        <w:t>Minimum requirements for qualifications, experience and management capability</w:t>
      </w:r>
      <w:bookmarkEnd w:id="119"/>
      <w:bookmarkEnd w:id="120"/>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 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21" w:name="_Toc389741982"/>
      <w:bookmarkStart w:id="122" w:name="_Toc33392997"/>
      <w:r>
        <w:rPr>
          <w:rStyle w:val="CharSectno"/>
        </w:rPr>
        <w:t>48</w:t>
      </w:r>
      <w:r>
        <w:t>.</w:t>
      </w:r>
      <w:r>
        <w:tab/>
        <w:t>Matters relating to criminal history</w:t>
      </w:r>
      <w:bookmarkEnd w:id="121"/>
      <w:bookmarkEnd w:id="122"/>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 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ascii="Times New Roman" w:hAnsi="Times New Roman"/>
          <w:sz w:val="24"/>
        </w:rPr>
        <w:tab/>
      </w:r>
      <w:r>
        <w:t>Note:</w:t>
      </w:r>
      <w:r>
        <w:tab/>
        <w:t>This regulation applies if the applicant does not provide a working with children check.</w:t>
      </w:r>
    </w:p>
    <w:p>
      <w:pPr>
        <w:pStyle w:val="Heading5"/>
      </w:pPr>
      <w:bookmarkStart w:id="123" w:name="_Toc389741983"/>
      <w:bookmarkStart w:id="124" w:name="_Toc33392998"/>
      <w:r>
        <w:rPr>
          <w:rStyle w:val="CharSectno"/>
        </w:rPr>
        <w:t>49</w:t>
      </w:r>
      <w:r>
        <w:t>.</w:t>
      </w:r>
      <w:r>
        <w:tab/>
        <w:t>Prescribed classes of persons for grant of supervisor certificate</w:t>
      </w:r>
      <w:bookmarkEnd w:id="123"/>
      <w:bookmarkEnd w:id="124"/>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pPr>
      <w:r>
        <w:tab/>
        <w:t>(a)</w:t>
      </w:r>
      <w:r>
        <w:tab/>
        <w:t>a principal of a school that provides an education and care service at the site of the school;</w:t>
      </w:r>
    </w:p>
    <w:p>
      <w:pPr>
        <w:pStyle w:val="Indenta"/>
      </w:pPr>
      <w:r>
        <w:tab/>
        <w:t>(b)</w:t>
      </w:r>
      <w:r>
        <w:tab/>
        <w:t>a person in charge of a campus of a school that provides an education and care service at that campus;</w:t>
      </w:r>
    </w:p>
    <w:p>
      <w:pPr>
        <w:pStyle w:val="Indenta"/>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pPr>
      <w:r>
        <w:tab/>
        <w:t>(e)</w:t>
      </w:r>
      <w:r>
        <w:tab/>
        <w:t>a director of a pre</w:t>
      </w:r>
      <w:r>
        <w:noBreakHyphen/>
        <w:t xml:space="preserve">school education program provided in a children’s services centre registered under the </w:t>
      </w:r>
      <w:r>
        <w:rPr>
          <w:i/>
        </w:rPr>
        <w:t>Children’s Services Act 1985</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Ednotepara"/>
      </w:pPr>
      <w:r>
        <w:tab/>
        <w:t>[(h)</w:t>
      </w:r>
      <w:r>
        <w:tab/>
        <w:t>deleted]</w:t>
      </w:r>
    </w:p>
    <w:p>
      <w:pPr>
        <w:pStyle w:val="Footnotesection"/>
      </w:pPr>
      <w:r>
        <w:tab/>
        <w:t>[Regulation 49 amended in Gazette 5 Mar 2013 p. 1107.]</w:t>
      </w:r>
    </w:p>
    <w:p>
      <w:pPr>
        <w:pStyle w:val="Heading5"/>
      </w:pPr>
      <w:bookmarkStart w:id="125" w:name="_Toc389741984"/>
      <w:bookmarkStart w:id="126" w:name="_Toc33392999"/>
      <w:r>
        <w:rPr>
          <w:rStyle w:val="CharSectno"/>
        </w:rPr>
        <w:t>50</w:t>
      </w:r>
      <w:r>
        <w:t>.</w:t>
      </w:r>
      <w:r>
        <w:tab/>
        <w:t>Issue of supervisor certificate — supervisor in prescribed class</w:t>
      </w:r>
      <w:bookmarkEnd w:id="125"/>
      <w:bookmarkEnd w:id="126"/>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127" w:name="_Toc389741985"/>
      <w:bookmarkStart w:id="128" w:name="_Toc33393000"/>
      <w:r>
        <w:t>Division 2 — Amendment of supervisor certificate</w:t>
      </w:r>
      <w:bookmarkEnd w:id="127"/>
      <w:bookmarkEnd w:id="128"/>
    </w:p>
    <w:p>
      <w:pPr>
        <w:pStyle w:val="Heading5"/>
      </w:pPr>
      <w:bookmarkStart w:id="129" w:name="_Toc389741986"/>
      <w:bookmarkStart w:id="130" w:name="_Toc33393001"/>
      <w:r>
        <w:rPr>
          <w:rStyle w:val="CharSectno"/>
        </w:rPr>
        <w:t>51</w:t>
      </w:r>
      <w:r>
        <w:t>.</w:t>
      </w:r>
      <w:r>
        <w:tab/>
        <w:t>Application for amendment of supervisor certificate</w:t>
      </w:r>
      <w:bookmarkEnd w:id="129"/>
      <w:bookmarkEnd w:id="130"/>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31" w:name="_Toc389741987"/>
      <w:bookmarkStart w:id="132" w:name="_Toc33393002"/>
      <w:r>
        <w:t>Division 3 — Suspension of supervisor certificate</w:t>
      </w:r>
      <w:bookmarkEnd w:id="131"/>
      <w:bookmarkEnd w:id="132"/>
    </w:p>
    <w:p>
      <w:pPr>
        <w:pStyle w:val="Heading5"/>
      </w:pPr>
      <w:bookmarkStart w:id="133" w:name="_Toc389741988"/>
      <w:bookmarkStart w:id="134" w:name="_Toc33393003"/>
      <w:r>
        <w:rPr>
          <w:rStyle w:val="CharSectno"/>
        </w:rPr>
        <w:t>52</w:t>
      </w:r>
      <w:r>
        <w:t>.</w:t>
      </w:r>
      <w:r>
        <w:tab/>
        <w:t>Maximum period of suspension of supervisor certificate</w:t>
      </w:r>
      <w:bookmarkEnd w:id="133"/>
      <w:bookmarkEnd w:id="134"/>
      <w:r>
        <w:t xml:space="preserve"> </w:t>
      </w:r>
    </w:p>
    <w:p>
      <w:pPr>
        <w:pStyle w:val="Subsection"/>
      </w:pPr>
      <w:r>
        <w:tab/>
      </w:r>
      <w:r>
        <w:tab/>
        <w:t>The prescribed maximum period of suspension of a supervisor certificate under section 125(a)(i) of the Law is 12 months.</w:t>
      </w:r>
    </w:p>
    <w:p>
      <w:pPr>
        <w:pStyle w:val="Heading5"/>
      </w:pPr>
      <w:bookmarkStart w:id="135" w:name="_Toc389741989"/>
      <w:bookmarkStart w:id="136" w:name="_Toc33393004"/>
      <w:r>
        <w:rPr>
          <w:rStyle w:val="CharSectno"/>
        </w:rPr>
        <w:t>53</w:t>
      </w:r>
      <w:r>
        <w:t>.</w:t>
      </w:r>
      <w:r>
        <w:tab/>
        <w:t>Prescribed information — voluntary suspension of supervisor certificate</w:t>
      </w:r>
      <w:bookmarkEnd w:id="135"/>
      <w:bookmarkEnd w:id="136"/>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37" w:name="_Toc389741990"/>
      <w:bookmarkStart w:id="138" w:name="_Toc33393005"/>
      <w:r>
        <w:t>Division 4 — Process for certified supervisor to be placed in day to day charge</w:t>
      </w:r>
      <w:bookmarkEnd w:id="137"/>
      <w:bookmarkEnd w:id="138"/>
    </w:p>
    <w:p>
      <w:pPr>
        <w:pStyle w:val="Heading5"/>
      </w:pPr>
      <w:bookmarkStart w:id="139" w:name="_Toc389741991"/>
      <w:bookmarkStart w:id="140" w:name="_Toc33393006"/>
      <w:r>
        <w:rPr>
          <w:rStyle w:val="CharSectno"/>
        </w:rPr>
        <w:t>54</w:t>
      </w:r>
      <w:r>
        <w:t>.</w:t>
      </w:r>
      <w:r>
        <w:tab/>
        <w:t>Process for certified supervisor to be placed in day to day charge of education and care service</w:t>
      </w:r>
      <w:bookmarkEnd w:id="139"/>
      <w:bookmarkEnd w:id="140"/>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141" w:name="_Toc389741992"/>
      <w:bookmarkStart w:id="142" w:name="_Toc33393007"/>
      <w:r>
        <w:rPr>
          <w:rStyle w:val="CharPartNo"/>
        </w:rPr>
        <w:t>Chapter 3</w:t>
      </w:r>
      <w:r>
        <w:t> — </w:t>
      </w:r>
      <w:r>
        <w:rPr>
          <w:rStyle w:val="CharPartText"/>
        </w:rPr>
        <w:t>Assessments and ratings</w:t>
      </w:r>
      <w:bookmarkEnd w:id="141"/>
      <w:bookmarkEnd w:id="14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ind w:left="284"/>
      </w:pPr>
      <w:r>
        <w:rPr>
          <w:i/>
        </w:rPr>
        <w:t>Division 1</w:t>
      </w:r>
      <w:r>
        <w:t xml:space="preserve"> sets out the process for applying for a review of a rating of an education and care service by the Regulatory Authority.</w:t>
      </w:r>
    </w:p>
    <w:p>
      <w:pPr>
        <w:pStyle w:val="MiscellaneousBody"/>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43" w:name="_Toc389741993"/>
      <w:bookmarkStart w:id="144" w:name="_Toc33393008"/>
      <w:r>
        <w:rPr>
          <w:rStyle w:val="CharDivNo"/>
        </w:rPr>
        <w:t>Part 3.1</w:t>
      </w:r>
      <w:r>
        <w:t> — </w:t>
      </w:r>
      <w:r>
        <w:rPr>
          <w:rStyle w:val="CharDivText"/>
        </w:rPr>
        <w:t>Quality improvement plans</w:t>
      </w:r>
      <w:bookmarkEnd w:id="143"/>
      <w:bookmarkEnd w:id="144"/>
    </w:p>
    <w:p>
      <w:pPr>
        <w:pStyle w:val="Heading5"/>
      </w:pPr>
      <w:bookmarkStart w:id="145" w:name="_Toc389741994"/>
      <w:bookmarkStart w:id="146" w:name="_Toc33393009"/>
      <w:r>
        <w:rPr>
          <w:rStyle w:val="CharSectno"/>
        </w:rPr>
        <w:t>55</w:t>
      </w:r>
      <w:r>
        <w:t>.</w:t>
      </w:r>
      <w:r>
        <w:tab/>
        <w:t>Quality improvement plans</w:t>
      </w:r>
      <w:bookmarkEnd w:id="145"/>
      <w:bookmarkEnd w:id="146"/>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pPr>
      <w:r>
        <w:tab/>
        <w:t>(b)</w:t>
      </w:r>
      <w:r>
        <w:tab/>
        <w:t>identifies any areas that the provider considers may require improvement; and</w:t>
      </w:r>
    </w:p>
    <w:p>
      <w:pPr>
        <w:pStyle w:val="Indenta"/>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47" w:name="_Toc389741995"/>
      <w:bookmarkStart w:id="148" w:name="_Toc33393010"/>
      <w:r>
        <w:rPr>
          <w:rStyle w:val="CharSectno"/>
        </w:rPr>
        <w:t>56</w:t>
      </w:r>
      <w:r>
        <w:t>.</w:t>
      </w:r>
      <w:r>
        <w:tab/>
        <w:t>Review and revision of quality improvement plans</w:t>
      </w:r>
      <w:bookmarkEnd w:id="147"/>
      <w:bookmarkEnd w:id="148"/>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pPr>
      <w:r>
        <w:tab/>
        <w:t>(a)</w:t>
      </w:r>
      <w:r>
        <w:tab/>
        <w:t>at least annually; and</w:t>
      </w:r>
    </w:p>
    <w:p>
      <w:pPr>
        <w:pStyle w:val="Indenta"/>
      </w:pPr>
      <w:r>
        <w:tab/>
        <w:t>(b)</w:t>
      </w:r>
      <w:r>
        <w:tab/>
        <w:t>at any time when directed by the Regulatory Authority.</w:t>
      </w:r>
    </w:p>
    <w:p>
      <w:pPr>
        <w:pStyle w:val="Subsection"/>
      </w:pPr>
      <w:r>
        <w:tab/>
        <w:t>(2)</w:t>
      </w:r>
      <w:r>
        <w:tab/>
        <w:t>The approved provider must submit the current quality improvement plan to the Regulatory Authority on request.</w:t>
      </w:r>
    </w:p>
    <w:p>
      <w:pPr>
        <w:pStyle w:val="NotesPerm"/>
        <w:tabs>
          <w:tab w:val="clear" w:pos="879"/>
          <w:tab w:val="left" w:pos="851"/>
        </w:tabs>
        <w:ind w:left="1418" w:hanging="1418"/>
      </w:pPr>
      <w:r>
        <w:tab/>
        <w:t>Note:</w:t>
      </w:r>
      <w:r>
        <w:tab/>
        <w:t>See regulation 31 for the conditions on the service approval requiring the current quality improvement plan to be kept available.</w:t>
      </w:r>
    </w:p>
    <w:p>
      <w:pPr>
        <w:pStyle w:val="Heading3"/>
      </w:pPr>
      <w:bookmarkStart w:id="149" w:name="_Toc389741996"/>
      <w:bookmarkStart w:id="150" w:name="_Toc33393011"/>
      <w:r>
        <w:rPr>
          <w:rStyle w:val="CharDivNo"/>
        </w:rPr>
        <w:t>Part 3.2</w:t>
      </w:r>
      <w:r>
        <w:t> — </w:t>
      </w:r>
      <w:r>
        <w:rPr>
          <w:rStyle w:val="CharDivText"/>
        </w:rPr>
        <w:t>Prescribed rating levels</w:t>
      </w:r>
      <w:bookmarkEnd w:id="149"/>
      <w:bookmarkEnd w:id="150"/>
    </w:p>
    <w:p>
      <w:pPr>
        <w:pStyle w:val="Heading5"/>
      </w:pPr>
      <w:bookmarkStart w:id="151" w:name="_Toc389741997"/>
      <w:bookmarkStart w:id="152" w:name="_Toc33393012"/>
      <w:r>
        <w:rPr>
          <w:rStyle w:val="CharSectno"/>
        </w:rPr>
        <w:t>57</w:t>
      </w:r>
      <w:r>
        <w:t>.</w:t>
      </w:r>
      <w:r>
        <w:tab/>
        <w:t>Rating levels</w:t>
      </w:r>
      <w:bookmarkEnd w:id="151"/>
      <w:bookmarkEnd w:id="152"/>
      <w:r>
        <w:t xml:space="preserve"> </w:t>
      </w:r>
    </w:p>
    <w:p>
      <w:pPr>
        <w:pStyle w:val="Subsection"/>
      </w:pPr>
      <w:r>
        <w:tab/>
      </w:r>
      <w:r>
        <w:tab/>
        <w:t xml:space="preserve">For the purposes of section 134(1) of the Law, the prescribed rating levels are — </w:t>
      </w:r>
    </w:p>
    <w:p>
      <w:pPr>
        <w:pStyle w:val="Indenta"/>
      </w:pPr>
      <w:r>
        <w:tab/>
        <w:t>(a)</w:t>
      </w:r>
      <w:r>
        <w:tab/>
        <w:t>Significant Improvement Required;</w:t>
      </w:r>
    </w:p>
    <w:p>
      <w:pPr>
        <w:pStyle w:val="Indenta"/>
      </w:pPr>
      <w:r>
        <w:tab/>
        <w:t>(b)</w:t>
      </w:r>
      <w:r>
        <w:tab/>
        <w:t>Working Towards National Quality Standard;</w:t>
      </w:r>
    </w:p>
    <w:p>
      <w:pPr>
        <w:pStyle w:val="Indenta"/>
      </w:pPr>
      <w:r>
        <w:tab/>
        <w:t>(c)</w:t>
      </w:r>
      <w:r>
        <w:tab/>
        <w:t>Meeting National Quality Standard;</w:t>
      </w:r>
    </w:p>
    <w:p>
      <w:pPr>
        <w:pStyle w:val="Indenta"/>
      </w:pPr>
      <w:r>
        <w:tab/>
        <w:t>(d)</w:t>
      </w:r>
      <w:r>
        <w:tab/>
        <w:t>Exceeding National Quality Standard (the second highest rating level);</w:t>
      </w:r>
    </w:p>
    <w:p>
      <w:pPr>
        <w:pStyle w:val="NotesPerm"/>
        <w:tabs>
          <w:tab w:val="clear" w:pos="879"/>
          <w:tab w:val="left" w:pos="851"/>
        </w:tabs>
        <w:ind w:left="1418" w:hanging="1418"/>
      </w:pPr>
      <w:r>
        <w:tab/>
        <w:t>Note:</w:t>
      </w:r>
      <w:r>
        <w:tab/>
        <w:t>The second highest rating level is referred to in section 152(5) of the Law.</w:t>
      </w:r>
    </w:p>
    <w:p>
      <w:pPr>
        <w:pStyle w:val="Indenta"/>
      </w:pPr>
      <w:r>
        <w:tab/>
        <w:t>(e)</w:t>
      </w:r>
      <w:r>
        <w:tab/>
        <w:t>Excellent rating (the highest rating level).</w:t>
      </w:r>
    </w:p>
    <w:p>
      <w:pPr>
        <w:pStyle w:val="NotesPerm"/>
        <w:tabs>
          <w:tab w:val="clear" w:pos="879"/>
          <w:tab w:val="left" w:pos="851"/>
        </w:tabs>
        <w:ind w:left="1418" w:hanging="1418"/>
      </w:pPr>
      <w:r>
        <w:tab/>
        <w:t>Note:</w:t>
      </w:r>
      <w:r>
        <w:tab/>
        <w:t>The criteria for an excellent rating are determined by the National Authority. See section 153 of the Law.</w:t>
      </w:r>
    </w:p>
    <w:p>
      <w:pPr>
        <w:pStyle w:val="Heading5"/>
      </w:pPr>
      <w:bookmarkStart w:id="153" w:name="_Toc389741998"/>
      <w:bookmarkStart w:id="154" w:name="_Toc33393013"/>
      <w:r>
        <w:rPr>
          <w:rStyle w:val="CharSectno"/>
        </w:rPr>
        <w:t>58</w:t>
      </w:r>
      <w:r>
        <w:t>.</w:t>
      </w:r>
      <w:r>
        <w:tab/>
        <w:t>Prescribed provisional rating</w:t>
      </w:r>
      <w:bookmarkEnd w:id="153"/>
      <w:bookmarkEnd w:id="154"/>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55" w:name="_Toc389741999"/>
      <w:bookmarkStart w:id="156" w:name="_Toc33393014"/>
      <w:r>
        <w:rPr>
          <w:rStyle w:val="CharSectno"/>
        </w:rPr>
        <w:t>59</w:t>
      </w:r>
      <w:r>
        <w:t>.</w:t>
      </w:r>
      <w:r>
        <w:tab/>
        <w:t>Significant Improvement Required</w:t>
      </w:r>
      <w:bookmarkEnd w:id="155"/>
      <w:bookmarkEnd w:id="15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157" w:name="_Toc389742000"/>
      <w:bookmarkStart w:id="158" w:name="_Toc33393015"/>
      <w:r>
        <w:rPr>
          <w:rStyle w:val="CharSectno"/>
        </w:rPr>
        <w:t>60</w:t>
      </w:r>
      <w:r>
        <w:t>.</w:t>
      </w:r>
      <w:r>
        <w:tab/>
        <w:t>Working Towards National Quality Standard</w:t>
      </w:r>
      <w:bookmarkEnd w:id="157"/>
      <w:bookmarkEnd w:id="158"/>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59" w:name="_Toc389742001"/>
      <w:bookmarkStart w:id="160" w:name="_Toc33393016"/>
      <w:r>
        <w:rPr>
          <w:rStyle w:val="CharSectno"/>
        </w:rPr>
        <w:t>61</w:t>
      </w:r>
      <w:r>
        <w:t>.</w:t>
      </w:r>
      <w:r>
        <w:tab/>
        <w:t>Meeting National Quality Standard</w:t>
      </w:r>
      <w:bookmarkEnd w:id="159"/>
      <w:bookmarkEnd w:id="16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61" w:name="_Toc389742002"/>
      <w:bookmarkStart w:id="162" w:name="_Toc33393017"/>
      <w:r>
        <w:rPr>
          <w:rStyle w:val="CharSectno"/>
        </w:rPr>
        <w:t>62</w:t>
      </w:r>
      <w:r>
        <w:t>.</w:t>
      </w:r>
      <w:r>
        <w:tab/>
        <w:t>Exceeding National Quality Standard</w:t>
      </w:r>
      <w:bookmarkEnd w:id="161"/>
      <w:bookmarkEnd w:id="162"/>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keepNext/>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 and</w:t>
      </w:r>
    </w:p>
    <w:p>
      <w:pPr>
        <w:pStyle w:val="Indenti"/>
      </w:pPr>
      <w:r>
        <w:tab/>
        <w:t>(ii)</w:t>
      </w:r>
      <w:r>
        <w:tab/>
        <w:t>a Meeting National Quality Standard rating for each other quality area stated in the National Quality Standard.</w:t>
      </w:r>
    </w:p>
    <w:p>
      <w:pPr>
        <w:pStyle w:val="Subsection"/>
        <w:rPr>
          <w:ins w:id="163" w:author="Master Repository Process" w:date="2021-08-01T09:50:00Z"/>
        </w:rPr>
      </w:pPr>
      <w:ins w:id="164" w:author="Master Repository Process" w:date="2021-08-01T09:50:00Z">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ins>
    </w:p>
    <w:p>
      <w:pPr>
        <w:pStyle w:val="NotesPerm"/>
        <w:keepNext/>
        <w:tabs>
          <w:tab w:val="clear" w:pos="879"/>
          <w:tab w:val="left" w:pos="851"/>
        </w:tabs>
        <w:ind w:left="1418" w:hanging="1418"/>
        <w:rPr>
          <w:ins w:id="165" w:author="Master Repository Process" w:date="2021-08-01T09:50:00Z"/>
        </w:rPr>
      </w:pPr>
      <w:ins w:id="166" w:author="Master Repository Process" w:date="2021-08-01T09:50:00Z">
        <w:r>
          <w:tab/>
          <w:t>Notes:</w:t>
        </w:r>
      </w:ins>
    </w:p>
    <w:p>
      <w:pPr>
        <w:pStyle w:val="NotesPerm"/>
        <w:tabs>
          <w:tab w:val="clear" w:pos="879"/>
          <w:tab w:val="left" w:pos="851"/>
        </w:tabs>
        <w:ind w:left="1418" w:hanging="1418"/>
        <w:rPr>
          <w:ins w:id="167" w:author="Master Repository Process" w:date="2021-08-01T09:50:00Z"/>
        </w:rPr>
      </w:pPr>
      <w:ins w:id="168" w:author="Master Repository Process" w:date="2021-08-01T09:50:00Z">
        <w:r>
          <w:tab/>
          <w:t>1.</w:t>
        </w:r>
        <w:r>
          <w:tab/>
          <w:t>This regulation differs from regulation 62 of the national regulations made by the Ministerial Council.</w:t>
        </w:r>
      </w:ins>
    </w:p>
    <w:p>
      <w:pPr>
        <w:pStyle w:val="NotesPerm"/>
        <w:tabs>
          <w:tab w:val="clear" w:pos="879"/>
          <w:tab w:val="left" w:pos="851"/>
          <w:tab w:val="left" w:pos="1418"/>
        </w:tabs>
        <w:ind w:left="1418" w:hanging="1418"/>
        <w:rPr>
          <w:ins w:id="169" w:author="Master Repository Process" w:date="2021-08-01T09:50:00Z"/>
        </w:rPr>
      </w:pPr>
      <w:ins w:id="170" w:author="Master Repository Process" w:date="2021-08-01T09:50:00Z">
        <w:r>
          <w:tab/>
          <w:t>2.</w:t>
        </w:r>
        <w:r>
          <w:tab/>
          <w:t>For WA specific provisions, see regulation 368A.</w:t>
        </w:r>
      </w:ins>
    </w:p>
    <w:p>
      <w:pPr>
        <w:pStyle w:val="Footnotesection"/>
        <w:rPr>
          <w:ins w:id="171" w:author="Master Repository Process" w:date="2021-08-01T09:50:00Z"/>
        </w:rPr>
      </w:pPr>
      <w:ins w:id="172" w:author="Master Repository Process" w:date="2021-08-01T09:50:00Z">
        <w:r>
          <w:tab/>
          <w:t>[Regulation 62 amended in Gazette 6 Jun 2014 p. 1787.]</w:t>
        </w:r>
      </w:ins>
    </w:p>
    <w:p>
      <w:pPr>
        <w:pStyle w:val="Heading3"/>
      </w:pPr>
      <w:bookmarkStart w:id="173" w:name="_Toc389742003"/>
      <w:bookmarkStart w:id="174" w:name="_Toc33393018"/>
      <w:r>
        <w:rPr>
          <w:rStyle w:val="CharDivNo"/>
        </w:rPr>
        <w:t>Part 3.3</w:t>
      </w:r>
      <w:r>
        <w:t> — </w:t>
      </w:r>
      <w:r>
        <w:rPr>
          <w:rStyle w:val="CharDivText"/>
        </w:rPr>
        <w:t>Assessment</w:t>
      </w:r>
      <w:bookmarkEnd w:id="173"/>
      <w:bookmarkEnd w:id="174"/>
    </w:p>
    <w:p>
      <w:pPr>
        <w:pStyle w:val="Heading4"/>
      </w:pPr>
      <w:bookmarkStart w:id="175" w:name="_Toc389742004"/>
      <w:bookmarkStart w:id="176" w:name="_Toc33393019"/>
      <w:r>
        <w:t>Division 1 — Assessment</w:t>
      </w:r>
      <w:bookmarkEnd w:id="175"/>
      <w:bookmarkEnd w:id="176"/>
    </w:p>
    <w:p>
      <w:pPr>
        <w:pStyle w:val="Heading5"/>
      </w:pPr>
      <w:bookmarkStart w:id="177" w:name="_Toc389742005"/>
      <w:bookmarkStart w:id="178" w:name="_Toc33393020"/>
      <w:r>
        <w:rPr>
          <w:rStyle w:val="CharSectno"/>
        </w:rPr>
        <w:t>63</w:t>
      </w:r>
      <w:r>
        <w:t>.</w:t>
      </w:r>
      <w:r>
        <w:tab/>
        <w:t>Assessing approved education and care services</w:t>
      </w:r>
      <w:bookmarkEnd w:id="177"/>
      <w:bookmarkEnd w:id="17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 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See Division 2 of this Part.</w:t>
      </w:r>
    </w:p>
    <w:p>
      <w:pPr>
        <w:pStyle w:val="NotesPerm"/>
        <w:tabs>
          <w:tab w:val="clear" w:pos="879"/>
          <w:tab w:val="left" w:pos="851"/>
        </w:tabs>
        <w:ind w:left="1418" w:hanging="1418"/>
      </w:pPr>
      <w:r>
        <w:tab/>
        <w:t>2.</w:t>
      </w:r>
      <w:r>
        <w:tab/>
        <w:t>This regulation differs from regulation 63 of the national regulations made by the Ministerial Council.</w:t>
      </w:r>
    </w:p>
    <w:p>
      <w:pPr>
        <w:pStyle w:val="Heading5"/>
      </w:pPr>
      <w:bookmarkStart w:id="179" w:name="_Toc389742006"/>
      <w:bookmarkStart w:id="180" w:name="_Toc33393021"/>
      <w:r>
        <w:rPr>
          <w:rStyle w:val="CharSectno"/>
        </w:rPr>
        <w:t>64</w:t>
      </w:r>
      <w:r>
        <w:t>.</w:t>
      </w:r>
      <w:r>
        <w:tab/>
        <w:t>Matters for determination of rating</w:t>
      </w:r>
      <w:bookmarkEnd w:id="179"/>
      <w:bookmarkEnd w:id="18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81" w:name="_Toc389742007"/>
      <w:bookmarkStart w:id="182" w:name="_Toc33393022"/>
      <w:r>
        <w:rPr>
          <w:rStyle w:val="CharSectno"/>
        </w:rPr>
        <w:t>65</w:t>
      </w:r>
      <w:r>
        <w:t>.</w:t>
      </w:r>
      <w:r>
        <w:tab/>
        <w:t>Assessment and rating of new education and care services</w:t>
      </w:r>
      <w:bookmarkEnd w:id="181"/>
      <w:bookmarkEnd w:id="182"/>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ind w:left="1418" w:hanging="1418"/>
      </w:pPr>
      <w:r>
        <w:tab/>
        <w:t>Note:</w:t>
      </w:r>
      <w:r>
        <w:tab/>
        <w:t>See section 133(2) of the Law.</w:t>
      </w:r>
    </w:p>
    <w:p>
      <w:pPr>
        <w:pStyle w:val="Heading4"/>
      </w:pPr>
      <w:bookmarkStart w:id="183" w:name="_Toc389742008"/>
      <w:bookmarkStart w:id="184" w:name="_Toc33393023"/>
      <w:r>
        <w:t>Division 2 — Reassessment</w:t>
      </w:r>
      <w:bookmarkEnd w:id="183"/>
      <w:bookmarkEnd w:id="184"/>
    </w:p>
    <w:p>
      <w:pPr>
        <w:pStyle w:val="Heading5"/>
      </w:pPr>
      <w:bookmarkStart w:id="185" w:name="_Toc389742009"/>
      <w:bookmarkStart w:id="186" w:name="_Toc33393024"/>
      <w:r>
        <w:rPr>
          <w:rStyle w:val="CharSectno"/>
        </w:rPr>
        <w:t>66</w:t>
      </w:r>
      <w:r>
        <w:t>.</w:t>
      </w:r>
      <w:r>
        <w:tab/>
        <w:t>Application for reassessment</w:t>
      </w:r>
      <w:bookmarkEnd w:id="185"/>
      <w:bookmarkEnd w:id="186"/>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the nature of the reassessment sought, including whether — </w:t>
      </w:r>
    </w:p>
    <w:p>
      <w:pPr>
        <w:pStyle w:val="Indenti"/>
      </w:pPr>
      <w:r>
        <w:tab/>
        <w:t>(i)</w:t>
      </w:r>
      <w:r>
        <w:tab/>
        <w:t>the application is for reassessment of the service; or</w:t>
      </w:r>
    </w:p>
    <w:p>
      <w:pPr>
        <w:pStyle w:val="Indenti"/>
      </w:pPr>
      <w:r>
        <w:tab/>
        <w:t>(ii)</w:t>
      </w:r>
      <w:r>
        <w:tab/>
        <w:t>the application is for reassessment of one or more aspects or elements of the service;</w:t>
      </w:r>
    </w:p>
    <w:p>
      <w:pPr>
        <w:pStyle w:val="Indenta"/>
      </w:pPr>
      <w:r>
        <w:tab/>
        <w:t>(e)</w:t>
      </w:r>
      <w:r>
        <w:tab/>
        <w:t>if the application is for reassessment of an aspect or element of the service, the particular aspects or elements and quality areas in the National Quality Standard for which reassessment is sought;</w:t>
      </w:r>
    </w:p>
    <w:p>
      <w:pPr>
        <w:pStyle w:val="Indenta"/>
      </w:pPr>
      <w:r>
        <w:tab/>
        <w:t>(f)</w:t>
      </w:r>
      <w:r>
        <w:tab/>
        <w:t>a statement setting out the reasons why reassessment is sought.</w:t>
      </w:r>
    </w:p>
    <w:p>
      <w:pPr>
        <w:pStyle w:val="Heading5"/>
      </w:pPr>
      <w:bookmarkStart w:id="187" w:name="_Toc389742010"/>
      <w:bookmarkStart w:id="188" w:name="_Toc33393025"/>
      <w:r>
        <w:rPr>
          <w:rStyle w:val="CharSectno"/>
        </w:rPr>
        <w:t>67</w:t>
      </w:r>
      <w:r>
        <w:t>.</w:t>
      </w:r>
      <w:r>
        <w:tab/>
        <w:t>Reassessment by Regulatory Authority</w:t>
      </w:r>
      <w:bookmarkEnd w:id="187"/>
      <w:bookmarkEnd w:id="188"/>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89" w:name="_Toc389742011"/>
      <w:bookmarkStart w:id="190" w:name="_Toc33393026"/>
      <w:r>
        <w:rPr>
          <w:rStyle w:val="CharDivNo"/>
        </w:rPr>
        <w:t>Part 3.4</w:t>
      </w:r>
      <w:r>
        <w:t> — </w:t>
      </w:r>
      <w:r>
        <w:rPr>
          <w:rStyle w:val="CharDivText"/>
        </w:rPr>
        <w:t>Review of ratings</w:t>
      </w:r>
      <w:bookmarkEnd w:id="189"/>
      <w:bookmarkEnd w:id="190"/>
    </w:p>
    <w:p>
      <w:pPr>
        <w:pStyle w:val="Heading4"/>
      </w:pPr>
      <w:bookmarkStart w:id="191" w:name="_Toc389742012"/>
      <w:bookmarkStart w:id="192" w:name="_Toc33393027"/>
      <w:r>
        <w:t>Division 1 — Review of ratings by Regulatory Authority</w:t>
      </w:r>
      <w:bookmarkEnd w:id="191"/>
      <w:bookmarkEnd w:id="192"/>
    </w:p>
    <w:p>
      <w:pPr>
        <w:pStyle w:val="Heading5"/>
      </w:pPr>
      <w:bookmarkStart w:id="193" w:name="_Toc389742013"/>
      <w:bookmarkStart w:id="194" w:name="_Toc33393028"/>
      <w:r>
        <w:rPr>
          <w:rStyle w:val="CharSectno"/>
        </w:rPr>
        <w:t>68</w:t>
      </w:r>
      <w:r>
        <w:t>.</w:t>
      </w:r>
      <w:r>
        <w:tab/>
        <w:t>Prescribed information for request for review of rating</w:t>
      </w:r>
      <w:bookmarkEnd w:id="193"/>
      <w:bookmarkEnd w:id="194"/>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195" w:name="_Toc389742014"/>
      <w:bookmarkStart w:id="196" w:name="_Toc33393029"/>
      <w:r>
        <w:t>Division 2 — Review of ratings by Ratings Review Panel</w:t>
      </w:r>
      <w:bookmarkEnd w:id="195"/>
      <w:bookmarkEnd w:id="196"/>
    </w:p>
    <w:p>
      <w:pPr>
        <w:pStyle w:val="Heading5"/>
      </w:pPr>
      <w:bookmarkStart w:id="197" w:name="_Toc389742015"/>
      <w:bookmarkStart w:id="198" w:name="_Toc33393030"/>
      <w:r>
        <w:rPr>
          <w:rStyle w:val="CharSectno"/>
        </w:rPr>
        <w:t>69</w:t>
      </w:r>
      <w:r>
        <w:t>.</w:t>
      </w:r>
      <w:r>
        <w:tab/>
        <w:t>Application for further review by Ratings Review Panel</w:t>
      </w:r>
      <w:bookmarkEnd w:id="197"/>
      <w:bookmarkEnd w:id="198"/>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ind w:left="1418" w:hanging="1418"/>
      </w:pPr>
      <w:r>
        <w:tab/>
        <w:t>Note:</w:t>
      </w:r>
      <w:r>
        <w:tab/>
        <w:t>See section 145(2)(b) of the Law.</w:t>
      </w:r>
    </w:p>
    <w:p>
      <w:pPr>
        <w:pStyle w:val="Heading5"/>
      </w:pPr>
      <w:bookmarkStart w:id="199" w:name="_Toc389742016"/>
      <w:bookmarkStart w:id="200" w:name="_Toc33393031"/>
      <w:r>
        <w:rPr>
          <w:rStyle w:val="CharSectno"/>
        </w:rPr>
        <w:t>70</w:t>
      </w:r>
      <w:r>
        <w:t>.</w:t>
      </w:r>
      <w:r>
        <w:tab/>
        <w:t>Prescribed areas of expertise or expert knowledge of Ratings Review Panel pool</w:t>
      </w:r>
      <w:bookmarkEnd w:id="199"/>
      <w:bookmarkEnd w:id="200"/>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ind w:left="1418" w:hanging="1418"/>
      </w:pPr>
      <w:r>
        <w:tab/>
        <w:t>Note:</w:t>
      </w:r>
      <w:r>
        <w:tab/>
        <w:t>These areas are in addition to the areas prescribed in section 147(3) of the Law.</w:t>
      </w:r>
    </w:p>
    <w:p>
      <w:pPr>
        <w:pStyle w:val="Heading3"/>
      </w:pPr>
      <w:bookmarkStart w:id="201" w:name="_Toc389742017"/>
      <w:bookmarkStart w:id="202" w:name="_Toc33393032"/>
      <w:r>
        <w:rPr>
          <w:rStyle w:val="CharDivNo"/>
        </w:rPr>
        <w:t>Part 3.5</w:t>
      </w:r>
      <w:r>
        <w:t> — </w:t>
      </w:r>
      <w:r>
        <w:rPr>
          <w:rStyle w:val="CharDivText"/>
        </w:rPr>
        <w:t>Highest rating</w:t>
      </w:r>
      <w:bookmarkEnd w:id="201"/>
      <w:bookmarkEnd w:id="202"/>
    </w:p>
    <w:p>
      <w:pPr>
        <w:pStyle w:val="Heading5"/>
      </w:pPr>
      <w:bookmarkStart w:id="203" w:name="_Toc389742018"/>
      <w:bookmarkStart w:id="204" w:name="_Toc33393033"/>
      <w:r>
        <w:rPr>
          <w:rStyle w:val="CharSectno"/>
        </w:rPr>
        <w:t>71</w:t>
      </w:r>
      <w:r>
        <w:t>.</w:t>
      </w:r>
      <w:r>
        <w:tab/>
        <w:t>Application or re</w:t>
      </w:r>
      <w:r>
        <w:noBreakHyphen/>
        <w:t>application for the highest rating</w:t>
      </w:r>
      <w:bookmarkEnd w:id="203"/>
      <w:bookmarkEnd w:id="204"/>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05" w:name="_Toc389742019"/>
      <w:bookmarkStart w:id="206" w:name="_Toc33393034"/>
      <w:r>
        <w:rPr>
          <w:rStyle w:val="CharDivNo"/>
        </w:rPr>
        <w:t>Part 3.6</w:t>
      </w:r>
      <w:r>
        <w:t> — </w:t>
      </w:r>
      <w:r>
        <w:rPr>
          <w:rStyle w:val="CharDivText"/>
        </w:rPr>
        <w:t>Offences</w:t>
      </w:r>
      <w:bookmarkEnd w:id="205"/>
      <w:bookmarkEnd w:id="206"/>
    </w:p>
    <w:p>
      <w:pPr>
        <w:pStyle w:val="Heading5"/>
      </w:pPr>
      <w:bookmarkStart w:id="207" w:name="_Toc389742020"/>
      <w:bookmarkStart w:id="208" w:name="_Toc33393035"/>
      <w:r>
        <w:rPr>
          <w:rStyle w:val="CharSectno"/>
        </w:rPr>
        <w:t>72</w:t>
      </w:r>
      <w:r>
        <w:t>.</w:t>
      </w:r>
      <w:r>
        <w:tab/>
        <w:t>Offences in relation to giving false or misleading statements about ratings</w:t>
      </w:r>
      <w:bookmarkEnd w:id="207"/>
      <w:bookmarkEnd w:id="208"/>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2"/>
      </w:pPr>
      <w:bookmarkStart w:id="209" w:name="_Toc389742021"/>
      <w:bookmarkStart w:id="210" w:name="_Toc33393036"/>
      <w:r>
        <w:rPr>
          <w:rStyle w:val="CharPartNo"/>
        </w:rPr>
        <w:t>Chapter 4</w:t>
      </w:r>
      <w:r>
        <w:rPr>
          <w:rStyle w:val="CharDivNo"/>
        </w:rPr>
        <w:t> </w:t>
      </w:r>
      <w:r>
        <w:t>—</w:t>
      </w:r>
      <w:r>
        <w:rPr>
          <w:rStyle w:val="CharDivText"/>
        </w:rPr>
        <w:t> </w:t>
      </w:r>
      <w:r>
        <w:rPr>
          <w:rStyle w:val="CharPartText"/>
        </w:rPr>
        <w:t>Operational requirements</w:t>
      </w:r>
      <w:bookmarkEnd w:id="209"/>
      <w:bookmarkEnd w:id="210"/>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11" w:name="_Toc389742022"/>
      <w:bookmarkStart w:id="212" w:name="_Toc33393037"/>
      <w:r>
        <w:rPr>
          <w:rStyle w:val="CharDivNo"/>
        </w:rPr>
        <w:t>Part 4.1</w:t>
      </w:r>
      <w:r>
        <w:t> — </w:t>
      </w:r>
      <w:r>
        <w:rPr>
          <w:rStyle w:val="CharDivText"/>
        </w:rPr>
        <w:t>Educational program and practice</w:t>
      </w:r>
      <w:bookmarkEnd w:id="211"/>
      <w:bookmarkEnd w:id="212"/>
    </w:p>
    <w:p>
      <w:pPr>
        <w:pStyle w:val="Heading5"/>
      </w:pPr>
      <w:bookmarkStart w:id="213" w:name="_Toc389742023"/>
      <w:bookmarkStart w:id="214" w:name="_Toc33393038"/>
      <w:r>
        <w:rPr>
          <w:rStyle w:val="CharSectno"/>
        </w:rPr>
        <w:t>73</w:t>
      </w:r>
      <w:r>
        <w:t>.</w:t>
      </w:r>
      <w:r>
        <w:tab/>
        <w:t>Educational program</w:t>
      </w:r>
      <w:bookmarkEnd w:id="213"/>
      <w:bookmarkEnd w:id="214"/>
      <w:r>
        <w:t xml:space="preserve"> </w:t>
      </w:r>
    </w:p>
    <w:p>
      <w:pPr>
        <w:pStyle w:val="Subsection"/>
      </w:pPr>
      <w:r>
        <w:tab/>
        <w:t>(1)</w:t>
      </w:r>
      <w:r>
        <w:tab/>
        <w:t xml:space="preserve">This Part applies in relation to the program (the </w:t>
      </w:r>
      <w:r>
        <w:rPr>
          <w:b/>
          <w:i/>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15" w:name="_Toc389742024"/>
      <w:bookmarkStart w:id="216" w:name="_Toc33393039"/>
      <w:r>
        <w:rPr>
          <w:rStyle w:val="CharSectno"/>
        </w:rPr>
        <w:t>74</w:t>
      </w:r>
      <w:r>
        <w:t>.</w:t>
      </w:r>
      <w:r>
        <w:tab/>
        <w:t>Documenting of child assessments or evaluations for delivery of educational program</w:t>
      </w:r>
      <w:bookmarkEnd w:id="215"/>
      <w:bookmarkEnd w:id="216"/>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 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 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17" w:name="_Toc389742025"/>
      <w:bookmarkStart w:id="218" w:name="_Toc33393040"/>
      <w:r>
        <w:rPr>
          <w:rStyle w:val="CharSectno"/>
        </w:rPr>
        <w:t>75</w:t>
      </w:r>
      <w:r>
        <w:t>.</w:t>
      </w:r>
      <w:r>
        <w:tab/>
        <w:t>Information about educational program to be kept available</w:t>
      </w:r>
      <w:bookmarkEnd w:id="217"/>
      <w:bookmarkEnd w:id="218"/>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19" w:name="_Toc389742026"/>
      <w:bookmarkStart w:id="220" w:name="_Toc33393041"/>
      <w:r>
        <w:rPr>
          <w:rStyle w:val="CharSectno"/>
        </w:rPr>
        <w:t>76</w:t>
      </w:r>
      <w:r>
        <w:t>.</w:t>
      </w:r>
      <w:r>
        <w:tab/>
        <w:t>Information about educational program to be given to parents</w:t>
      </w:r>
      <w:bookmarkEnd w:id="219"/>
      <w:bookmarkEnd w:id="220"/>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221" w:name="_Toc389742027"/>
      <w:bookmarkStart w:id="222" w:name="_Toc33393042"/>
      <w:r>
        <w:rPr>
          <w:rStyle w:val="CharDivNo"/>
        </w:rPr>
        <w:t>Part 4.2</w:t>
      </w:r>
      <w:r>
        <w:t> — </w:t>
      </w:r>
      <w:r>
        <w:rPr>
          <w:rStyle w:val="CharDivText"/>
        </w:rPr>
        <w:t>Children’s health and safety</w:t>
      </w:r>
      <w:bookmarkEnd w:id="221"/>
      <w:bookmarkEnd w:id="222"/>
    </w:p>
    <w:p>
      <w:pPr>
        <w:pStyle w:val="Heading4"/>
      </w:pPr>
      <w:bookmarkStart w:id="223" w:name="_Toc389742028"/>
      <w:bookmarkStart w:id="224" w:name="_Toc33393043"/>
      <w:r>
        <w:t>Division 1 — Health, safety and wellbeing of children</w:t>
      </w:r>
      <w:bookmarkEnd w:id="223"/>
      <w:bookmarkEnd w:id="224"/>
    </w:p>
    <w:p>
      <w:pPr>
        <w:pStyle w:val="Heading5"/>
      </w:pPr>
      <w:bookmarkStart w:id="225" w:name="_Toc389742029"/>
      <w:bookmarkStart w:id="226" w:name="_Toc33393044"/>
      <w:r>
        <w:rPr>
          <w:rStyle w:val="CharSectno"/>
        </w:rPr>
        <w:t>77</w:t>
      </w:r>
      <w:r>
        <w:t>.</w:t>
      </w:r>
      <w:r>
        <w:tab/>
        <w:t>Health, hygiene and safe food practices</w:t>
      </w:r>
      <w:bookmarkEnd w:id="225"/>
      <w:bookmarkEnd w:id="226"/>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27" w:name="_Toc389742030"/>
      <w:bookmarkStart w:id="228" w:name="_Toc33393045"/>
      <w:r>
        <w:rPr>
          <w:rStyle w:val="CharSectno"/>
        </w:rPr>
        <w:t>78</w:t>
      </w:r>
      <w:r>
        <w:t>.</w:t>
      </w:r>
      <w:r>
        <w:tab/>
        <w:t>Food and beverages</w:t>
      </w:r>
      <w:bookmarkEnd w:id="227"/>
      <w:bookmarkEnd w:id="228"/>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29" w:name="_Toc389742031"/>
      <w:bookmarkStart w:id="230" w:name="_Toc33393046"/>
      <w:r>
        <w:rPr>
          <w:rStyle w:val="CharSectno"/>
        </w:rPr>
        <w:t>79</w:t>
      </w:r>
      <w:r>
        <w:t>.</w:t>
      </w:r>
      <w:r>
        <w:tab/>
        <w:t>Service providing food and beverages</w:t>
      </w:r>
      <w:bookmarkEnd w:id="229"/>
      <w:bookmarkEnd w:id="23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31" w:name="_Toc389742032"/>
      <w:bookmarkStart w:id="232" w:name="_Toc33393047"/>
      <w:r>
        <w:rPr>
          <w:rStyle w:val="CharSectno"/>
        </w:rPr>
        <w:t>80</w:t>
      </w:r>
      <w:r>
        <w:t>.</w:t>
      </w:r>
      <w:r>
        <w:tab/>
        <w:t>Weekly menu</w:t>
      </w:r>
      <w:bookmarkEnd w:id="231"/>
      <w:bookmarkEnd w:id="232"/>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33" w:name="_Toc389742033"/>
      <w:bookmarkStart w:id="234" w:name="_Toc33393048"/>
      <w:r>
        <w:rPr>
          <w:rStyle w:val="CharSectno"/>
        </w:rPr>
        <w:t>81</w:t>
      </w:r>
      <w:r>
        <w:t>.</w:t>
      </w:r>
      <w:r>
        <w:tab/>
        <w:t>Sleep and rest</w:t>
      </w:r>
      <w:bookmarkEnd w:id="233"/>
      <w:bookmarkEnd w:id="23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35" w:name="_Toc389742034"/>
      <w:bookmarkStart w:id="236" w:name="_Toc33393049"/>
      <w:r>
        <w:rPr>
          <w:rStyle w:val="CharSectno"/>
        </w:rPr>
        <w:t>82</w:t>
      </w:r>
      <w:r>
        <w:t>.</w:t>
      </w:r>
      <w:r>
        <w:tab/>
        <w:t>Tobacco, drug and alcohol</w:t>
      </w:r>
      <w:r>
        <w:noBreakHyphen/>
        <w:t>free environment</w:t>
      </w:r>
      <w:bookmarkEnd w:id="235"/>
      <w:bookmarkEnd w:id="23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37" w:name="_Toc389742035"/>
      <w:bookmarkStart w:id="238" w:name="_Toc33393050"/>
      <w:r>
        <w:rPr>
          <w:rStyle w:val="CharSectno"/>
        </w:rPr>
        <w:t>83</w:t>
      </w:r>
      <w:r>
        <w:t>.</w:t>
      </w:r>
      <w:r>
        <w:tab/>
        <w:t>Staff members and family day care educators not to be affected by alcohol or drugs</w:t>
      </w:r>
      <w:bookmarkEnd w:id="237"/>
      <w:bookmarkEnd w:id="238"/>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39" w:name="_Toc389742036"/>
      <w:bookmarkStart w:id="240" w:name="_Toc33393051"/>
      <w:r>
        <w:rPr>
          <w:rStyle w:val="CharSectno"/>
        </w:rPr>
        <w:t>84</w:t>
      </w:r>
      <w:r>
        <w:t>.</w:t>
      </w:r>
      <w:r>
        <w:tab/>
        <w:t>Awareness of child protection law</w:t>
      </w:r>
      <w:bookmarkEnd w:id="239"/>
      <w:bookmarkEnd w:id="240"/>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41" w:name="_Toc389742037"/>
      <w:bookmarkStart w:id="242" w:name="_Toc33393052"/>
      <w:r>
        <w:t>Division 2 – Incidents, injury, trauma and illness</w:t>
      </w:r>
      <w:bookmarkEnd w:id="241"/>
      <w:bookmarkEnd w:id="242"/>
    </w:p>
    <w:p>
      <w:pPr>
        <w:pStyle w:val="Heading5"/>
      </w:pPr>
      <w:bookmarkStart w:id="243" w:name="_Toc389742038"/>
      <w:bookmarkStart w:id="244" w:name="_Toc33393053"/>
      <w:r>
        <w:rPr>
          <w:rStyle w:val="CharSectno"/>
        </w:rPr>
        <w:t>85</w:t>
      </w:r>
      <w:r>
        <w:t>.</w:t>
      </w:r>
      <w:r>
        <w:tab/>
        <w:t>Incident, injury, trauma and illness policies and procedures</w:t>
      </w:r>
      <w:bookmarkEnd w:id="243"/>
      <w:bookmarkEnd w:id="244"/>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45" w:name="_Toc389742039"/>
      <w:bookmarkStart w:id="246" w:name="_Toc33393054"/>
      <w:r>
        <w:rPr>
          <w:rStyle w:val="CharSectno"/>
        </w:rPr>
        <w:t>86</w:t>
      </w:r>
      <w:r>
        <w:t>.</w:t>
      </w:r>
      <w:r>
        <w:tab/>
        <w:t>Notification to parents of incident, injury, trauma and illness</w:t>
      </w:r>
      <w:bookmarkEnd w:id="245"/>
      <w:bookmarkEnd w:id="246"/>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247" w:name="_Toc389742040"/>
      <w:bookmarkStart w:id="248" w:name="_Toc33393055"/>
      <w:r>
        <w:rPr>
          <w:rStyle w:val="CharSectno"/>
        </w:rPr>
        <w:t>87</w:t>
      </w:r>
      <w:r>
        <w:t>.</w:t>
      </w:r>
      <w:r>
        <w:tab/>
        <w:t>Incident, injury, trauma and illness record</w:t>
      </w:r>
      <w:bookmarkEnd w:id="247"/>
      <w:bookmarkEnd w:id="248"/>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49" w:name="_Toc389742041"/>
      <w:bookmarkStart w:id="250" w:name="_Toc33393056"/>
      <w:r>
        <w:rPr>
          <w:rStyle w:val="CharSectno"/>
        </w:rPr>
        <w:t>88</w:t>
      </w:r>
      <w:r>
        <w:t>.</w:t>
      </w:r>
      <w:r>
        <w:tab/>
        <w:t>Infectious diseases</w:t>
      </w:r>
      <w:bookmarkEnd w:id="249"/>
      <w:bookmarkEnd w:id="250"/>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51" w:name="_Toc389742042"/>
      <w:bookmarkStart w:id="252" w:name="_Toc33393057"/>
      <w:r>
        <w:rPr>
          <w:rStyle w:val="CharSectno"/>
        </w:rPr>
        <w:t>89</w:t>
      </w:r>
      <w:r>
        <w:t>.</w:t>
      </w:r>
      <w:r>
        <w:tab/>
        <w:t>First aid kits</w:t>
      </w:r>
      <w:bookmarkEnd w:id="251"/>
      <w:bookmarkEnd w:id="252"/>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253" w:name="_Toc389742043"/>
      <w:bookmarkStart w:id="254" w:name="_Toc33393058"/>
      <w:r>
        <w:t>Division 3 — Medical conditions policy</w:t>
      </w:r>
      <w:bookmarkEnd w:id="253"/>
      <w:bookmarkEnd w:id="254"/>
    </w:p>
    <w:p>
      <w:pPr>
        <w:pStyle w:val="Heading5"/>
      </w:pPr>
      <w:bookmarkStart w:id="255" w:name="_Toc389742044"/>
      <w:bookmarkStart w:id="256" w:name="_Toc33393059"/>
      <w:r>
        <w:rPr>
          <w:rStyle w:val="CharSectno"/>
        </w:rPr>
        <w:t>90</w:t>
      </w:r>
      <w:r>
        <w:t>.</w:t>
      </w:r>
      <w:r>
        <w:tab/>
        <w:t>Medical conditions policy</w:t>
      </w:r>
      <w:bookmarkEnd w:id="255"/>
      <w:bookmarkEnd w:id="25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257" w:name="_Toc389742045"/>
      <w:bookmarkStart w:id="258" w:name="_Toc33393060"/>
      <w:r>
        <w:rPr>
          <w:rStyle w:val="CharSectno"/>
        </w:rPr>
        <w:t>91</w:t>
      </w:r>
      <w:r>
        <w:t>.</w:t>
      </w:r>
      <w:r>
        <w:tab/>
        <w:t>Medical conditions policy to be provided to parents</w:t>
      </w:r>
      <w:bookmarkEnd w:id="257"/>
      <w:bookmarkEnd w:id="258"/>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59" w:name="_Toc389742046"/>
      <w:bookmarkStart w:id="260" w:name="_Toc33393061"/>
      <w:r>
        <w:t>Division 4 — Administration of medication</w:t>
      </w:r>
      <w:bookmarkEnd w:id="259"/>
      <w:bookmarkEnd w:id="260"/>
    </w:p>
    <w:p>
      <w:pPr>
        <w:pStyle w:val="Heading5"/>
      </w:pPr>
      <w:bookmarkStart w:id="261" w:name="_Toc389742047"/>
      <w:bookmarkStart w:id="262" w:name="_Toc33393062"/>
      <w:r>
        <w:rPr>
          <w:rStyle w:val="CharSectno"/>
        </w:rPr>
        <w:t>92</w:t>
      </w:r>
      <w:r>
        <w:t>.</w:t>
      </w:r>
      <w:r>
        <w:tab/>
        <w:t>Medication record</w:t>
      </w:r>
      <w:bookmarkEnd w:id="261"/>
      <w:bookmarkEnd w:id="26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pPr>
      <w:r>
        <w:tab/>
        <w:t>(a)</w:t>
      </w:r>
      <w:r>
        <w:tab/>
        <w:t>the name of the child;</w:t>
      </w:r>
    </w:p>
    <w:p>
      <w:pPr>
        <w:pStyle w:val="Indenta"/>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pPr>
      <w:r>
        <w:tab/>
        <w:t>(c)</w:t>
      </w:r>
      <w:r>
        <w:tab/>
        <w:t>the name of the medication to be administered;</w:t>
      </w:r>
    </w:p>
    <w:p>
      <w:pPr>
        <w:pStyle w:val="Indenta"/>
      </w:pPr>
      <w:r>
        <w:tab/>
        <w:t>(d)</w:t>
      </w:r>
      <w:r>
        <w:tab/>
        <w:t>the time and date the medication was last administered;</w:t>
      </w:r>
    </w:p>
    <w:p>
      <w:pPr>
        <w:pStyle w:val="Indenta"/>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263" w:name="_Toc389742048"/>
      <w:bookmarkStart w:id="264" w:name="_Toc33393063"/>
      <w:r>
        <w:rPr>
          <w:rStyle w:val="CharSectno"/>
        </w:rPr>
        <w:t>93</w:t>
      </w:r>
      <w:r>
        <w:t>.</w:t>
      </w:r>
      <w:r>
        <w:tab/>
        <w:t>Administration of medication</w:t>
      </w:r>
      <w:bookmarkEnd w:id="263"/>
      <w:bookmarkEnd w:id="264"/>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(4)</w:t>
      </w:r>
      <w:r>
        <w:tab/>
        <w:t xml:space="preserve">A family day care educator must ensure that medication is not administered to a child being educated and cared for by the educator as part of a family day care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(5)</w:t>
      </w:r>
      <w:r>
        <w:tab/>
        <w:t xml:space="preserve">In this regulation the administration of medication to a child is authorised if an authorisation to administer the medication — </w:t>
      </w:r>
    </w:p>
    <w:p>
      <w:pPr>
        <w:pStyle w:val="Indenta"/>
      </w:pPr>
      <w:r>
        <w:tab/>
        <w:t>(a)</w:t>
      </w:r>
      <w:r>
        <w:tab/>
        <w:t>is recorded in the medication record for that child under regulation 92; or</w:t>
      </w:r>
    </w:p>
    <w:p>
      <w:pPr>
        <w:pStyle w:val="Indenta"/>
      </w:pPr>
      <w:r>
        <w:tab/>
        <w:t>(b)</w:t>
      </w:r>
      <w:r>
        <w:tab/>
        <w:t xml:space="preserve">in the case of an emergency, is given verbally by — </w:t>
      </w:r>
    </w:p>
    <w:p>
      <w:pPr>
        <w:pStyle w:val="Indenti"/>
      </w:pPr>
      <w:r>
        <w:tab/>
        <w:t>(i)</w:t>
      </w:r>
      <w:r>
        <w:tab/>
        <w:t>a parent or a person named in the child’s enrolment record as authorised to consent to administration of medication; or</w:t>
      </w:r>
    </w:p>
    <w:p>
      <w:pPr>
        <w:pStyle w:val="Indenti"/>
      </w:pPr>
      <w:r>
        <w:tab/>
        <w:t>(ii)</w:t>
      </w:r>
      <w:r>
        <w:tab/>
        <w:t>if a parent or person named in the enrolment record cannot reasonably be contacted in the circumstances, a registered medical practitioner or an emergency service.</w:t>
      </w:r>
    </w:p>
    <w:p>
      <w:pPr>
        <w:pStyle w:val="Heading5"/>
      </w:pPr>
      <w:bookmarkStart w:id="265" w:name="_Toc389742049"/>
      <w:bookmarkStart w:id="266" w:name="_Toc33393064"/>
      <w:r>
        <w:rPr>
          <w:rStyle w:val="CharSectno"/>
        </w:rPr>
        <w:t>94</w:t>
      </w:r>
      <w:r>
        <w:t>.</w:t>
      </w:r>
      <w:r>
        <w:tab/>
        <w:t>Exception to authorisation requirement — anaphylaxis or asthma emergency</w:t>
      </w:r>
      <w:bookmarkEnd w:id="265"/>
      <w:bookmarkEnd w:id="266"/>
      <w:r>
        <w:t xml:space="preserve"> </w:t>
      </w:r>
    </w:p>
    <w:p>
      <w:pPr>
        <w:pStyle w:val="Subsection"/>
      </w:pPr>
      <w:r>
        <w:tab/>
        <w:t>(1)</w:t>
      </w:r>
      <w:r>
        <w:tab/>
        <w:t>Despite regulation 93, medication may be administered to a child without an authorisation in case of an anaphylaxis or asthma emergency.</w:t>
      </w:r>
    </w:p>
    <w:p>
      <w:pPr>
        <w:pStyle w:val="Subsection"/>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w:t>
      </w:r>
    </w:p>
    <w:p>
      <w:pPr>
        <w:pStyle w:val="Indenta"/>
      </w:pPr>
      <w:r>
        <w:tab/>
        <w:t>(b)</w:t>
      </w:r>
      <w:r>
        <w:tab/>
        <w:t>emergency services.</w:t>
      </w:r>
    </w:p>
    <w:p>
      <w:pPr>
        <w:pStyle w:val="Heading5"/>
      </w:pPr>
      <w:bookmarkStart w:id="267" w:name="_Toc389742050"/>
      <w:bookmarkStart w:id="268" w:name="_Toc33393065"/>
      <w:r>
        <w:rPr>
          <w:rStyle w:val="CharSectno"/>
        </w:rPr>
        <w:t>95</w:t>
      </w:r>
      <w:r>
        <w:t>.</w:t>
      </w:r>
      <w:r>
        <w:tab/>
        <w:t>Procedure for administration of medication</w:t>
      </w:r>
      <w:bookmarkEnd w:id="267"/>
      <w:bookmarkEnd w:id="268"/>
      <w:r>
        <w:t xml:space="preserve"> </w:t>
      </w:r>
    </w:p>
    <w:p>
      <w:pPr>
        <w:pStyle w:val="Subsection"/>
      </w:pPr>
      <w:r>
        <w:tab/>
      </w:r>
      <w:r>
        <w:tab/>
        <w:t xml:space="preserve">Subject to regulation 96, if medication is administered to a child being educated and cared for by an education and care service — </w:t>
      </w:r>
    </w:p>
    <w:p>
      <w:pPr>
        <w:pStyle w:val="Indenta"/>
      </w:pPr>
      <w:r>
        <w:tab/>
        <w:t>(a)</w:t>
      </w:r>
      <w:r>
        <w:tab/>
        <w:t xml:space="preserve">the medication must be administered — </w:t>
      </w:r>
    </w:p>
    <w:p>
      <w:pPr>
        <w:pStyle w:val="Indenti"/>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pPr>
      <w:r>
        <w:tab/>
        <w:t>(ii)</w:t>
      </w:r>
      <w:r>
        <w:tab/>
        <w:t>from its original container, bearing the original label and instructions and before the expiry or use by date; and</w:t>
      </w:r>
    </w:p>
    <w:p>
      <w:pPr>
        <w:pStyle w:val="Indenta"/>
      </w:pPr>
      <w:r>
        <w:tab/>
        <w:t>(b)</w:t>
      </w:r>
      <w:r>
        <w:tab/>
        <w:t xml:space="preserve">the medication must be administered in accordance with any instructions — </w:t>
      </w:r>
    </w:p>
    <w:p>
      <w:pPr>
        <w:pStyle w:val="Indenti"/>
      </w:pPr>
      <w:r>
        <w:tab/>
        <w:t>(i)</w:t>
      </w:r>
      <w:r>
        <w:tab/>
        <w:t>attached to the medication; or</w:t>
      </w:r>
    </w:p>
    <w:p>
      <w:pPr>
        <w:pStyle w:val="Indenti"/>
      </w:pPr>
      <w:r>
        <w:tab/>
        <w:t>(ii)</w:t>
      </w:r>
      <w:r>
        <w:tab/>
        <w:t>any written or verbal instructions provided by a registered medical practitioner; and</w:t>
      </w:r>
    </w:p>
    <w:p>
      <w:pPr>
        <w:pStyle w:val="Indenta"/>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pPr>
      <w:r>
        <w:tab/>
        <w:t>(i)</w:t>
      </w:r>
      <w:r>
        <w:tab/>
        <w:t>the dosage of the medication to be administered;</w:t>
      </w:r>
    </w:p>
    <w:p>
      <w:pPr>
        <w:pStyle w:val="Indenti"/>
      </w:pPr>
      <w:r>
        <w:tab/>
        <w:t>(ii)</w:t>
      </w:r>
      <w:r>
        <w:tab/>
        <w:t>the identity of the child to whom the medication is to be administered.</w:t>
      </w:r>
    </w:p>
    <w:p>
      <w:pPr>
        <w:pStyle w:val="Heading5"/>
      </w:pPr>
      <w:bookmarkStart w:id="269" w:name="_Toc389742051"/>
      <w:bookmarkStart w:id="270" w:name="_Toc33393066"/>
      <w:r>
        <w:rPr>
          <w:rStyle w:val="CharSectno"/>
        </w:rPr>
        <w:t>96</w:t>
      </w:r>
      <w:r>
        <w:t>.</w:t>
      </w:r>
      <w:r>
        <w:tab/>
        <w:t>Self</w:t>
      </w:r>
      <w:r>
        <w:noBreakHyphen/>
        <w:t>administration of medication</w:t>
      </w:r>
      <w:bookmarkEnd w:id="269"/>
      <w:bookmarkEnd w:id="270"/>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71" w:name="_Toc389742052"/>
      <w:bookmarkStart w:id="272" w:name="_Toc33393067"/>
      <w:r>
        <w:t>Division 5 — Emergencies and communication</w:t>
      </w:r>
      <w:bookmarkEnd w:id="271"/>
      <w:bookmarkEnd w:id="272"/>
    </w:p>
    <w:p>
      <w:pPr>
        <w:pStyle w:val="Heading5"/>
      </w:pPr>
      <w:bookmarkStart w:id="273" w:name="_Toc389742053"/>
      <w:bookmarkStart w:id="274" w:name="_Toc33393068"/>
      <w:r>
        <w:rPr>
          <w:rStyle w:val="CharSectno"/>
        </w:rPr>
        <w:t>97</w:t>
      </w:r>
      <w:r>
        <w:t>.</w:t>
      </w:r>
      <w:r>
        <w:tab/>
        <w:t>Emergency and evacuation procedures</w:t>
      </w:r>
      <w:bookmarkEnd w:id="273"/>
      <w:bookmarkEnd w:id="274"/>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275" w:name="_Toc389742054"/>
      <w:bookmarkStart w:id="276" w:name="_Toc33393069"/>
      <w:r>
        <w:rPr>
          <w:rStyle w:val="CharSectno"/>
        </w:rPr>
        <w:t>98</w:t>
      </w:r>
      <w:r>
        <w:t>.</w:t>
      </w:r>
      <w:r>
        <w:tab/>
        <w:t>Telephone or other communication equipment</w:t>
      </w:r>
      <w:bookmarkEnd w:id="275"/>
      <w:bookmarkEnd w:id="276"/>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ind w:left="1418" w:hanging="1418"/>
      </w:pPr>
      <w:r>
        <w:tab/>
        <w:t>Note:</w:t>
      </w:r>
      <w:r>
        <w:tab/>
        <w:t>A compliance direction may be issued for failure to comply with this regulation.</w:t>
      </w:r>
    </w:p>
    <w:p>
      <w:pPr>
        <w:pStyle w:val="Heading4"/>
        <w:keepLines/>
      </w:pPr>
      <w:bookmarkStart w:id="277" w:name="_Toc389742055"/>
      <w:bookmarkStart w:id="278" w:name="_Toc33393070"/>
      <w:r>
        <w:t>Division 6 — Collection of children from premises and excursions</w:t>
      </w:r>
      <w:bookmarkEnd w:id="277"/>
      <w:bookmarkEnd w:id="278"/>
    </w:p>
    <w:p>
      <w:pPr>
        <w:pStyle w:val="Heading5"/>
      </w:pPr>
      <w:bookmarkStart w:id="279" w:name="_Toc389742056"/>
      <w:bookmarkStart w:id="280" w:name="_Toc33393071"/>
      <w:r>
        <w:rPr>
          <w:rStyle w:val="CharSectno"/>
        </w:rPr>
        <w:t>99</w:t>
      </w:r>
      <w:r>
        <w:t>.</w:t>
      </w:r>
      <w:r>
        <w:tab/>
        <w:t>Children leaving the education and care service premises</w:t>
      </w:r>
      <w:bookmarkEnd w:id="279"/>
      <w:bookmarkEnd w:id="280"/>
      <w:r>
        <w:t xml:space="preserve"> </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Regulation 99 of the national regulations made by the Ministerial Council does not apply as a law of WA.</w:t>
      </w:r>
    </w:p>
    <w:p>
      <w:pPr>
        <w:pStyle w:val="NotesPerm"/>
        <w:tabs>
          <w:tab w:val="clear" w:pos="879"/>
          <w:tab w:val="left" w:pos="851"/>
        </w:tabs>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281" w:name="_Toc389742057"/>
      <w:bookmarkStart w:id="282" w:name="_Toc33393072"/>
      <w:r>
        <w:rPr>
          <w:rStyle w:val="CharSectno"/>
        </w:rPr>
        <w:t>100</w:t>
      </w:r>
      <w:r>
        <w:t>.</w:t>
      </w:r>
      <w:r>
        <w:tab/>
        <w:t>Risk assessment must be conducted before excursion</w:t>
      </w:r>
      <w:bookmarkEnd w:id="281"/>
      <w:bookmarkEnd w:id="282"/>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283" w:name="_Toc389742058"/>
      <w:bookmarkStart w:id="284" w:name="_Toc33393073"/>
      <w:r>
        <w:rPr>
          <w:rStyle w:val="CharSectno"/>
        </w:rPr>
        <w:t>101</w:t>
      </w:r>
      <w:r>
        <w:t>.</w:t>
      </w:r>
      <w:r>
        <w:tab/>
        <w:t>Conduct of risk assessment for excursion</w:t>
      </w:r>
      <w:bookmarkEnd w:id="283"/>
      <w:bookmarkEnd w:id="284"/>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ind w:left="1701" w:hanging="1418"/>
      </w:pPr>
      <w:r>
        <w:tab/>
        <w:t>Example:</w:t>
      </w:r>
      <w:r>
        <w:tab/>
        <w:t>A mobile phone and a list of emergency contact numbers for children on the excursion.</w:t>
      </w:r>
    </w:p>
    <w:p>
      <w:pPr>
        <w:pStyle w:val="Heading5"/>
      </w:pPr>
      <w:bookmarkStart w:id="285" w:name="_Toc389742059"/>
      <w:bookmarkStart w:id="286" w:name="_Toc33393074"/>
      <w:r>
        <w:rPr>
          <w:rStyle w:val="CharSectno"/>
        </w:rPr>
        <w:t>102</w:t>
      </w:r>
      <w:r>
        <w:t>.</w:t>
      </w:r>
      <w:r>
        <w:tab/>
        <w:t>Authorisation for excursions</w:t>
      </w:r>
      <w:bookmarkEnd w:id="285"/>
      <w:bookmarkEnd w:id="286"/>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pPr>
      <w:r>
        <w:tab/>
        <w:t>(a)</w:t>
      </w:r>
      <w:r>
        <w:tab/>
        <w:t>the child’s name; and</w:t>
      </w:r>
    </w:p>
    <w:p>
      <w:pPr>
        <w:pStyle w:val="Indenta"/>
      </w:pPr>
      <w:r>
        <w:tab/>
        <w:t>(b)</w:t>
      </w:r>
      <w:r>
        <w:tab/>
        <w:t>the reason the child is to be taken outside the premises; and</w:t>
      </w:r>
    </w:p>
    <w:p>
      <w:pPr>
        <w:pStyle w:val="Indenta"/>
      </w:pPr>
      <w:r>
        <w:tab/>
        <w:t>(c)</w:t>
      </w:r>
      <w:r>
        <w:tab/>
        <w:t>the date the child is to be taken on the excursion (unless the authorisation is for a regular outing); and</w:t>
      </w:r>
    </w:p>
    <w:p>
      <w:pPr>
        <w:pStyle w:val="Indenta"/>
      </w:pPr>
      <w:r>
        <w:tab/>
        <w:t>(d)</w:t>
      </w:r>
      <w:r>
        <w:tab/>
        <w:t>a description of the proposed destination for the excursion; and</w:t>
      </w:r>
    </w:p>
    <w:p>
      <w:pPr>
        <w:pStyle w:val="Indenta"/>
      </w:pPr>
      <w:r>
        <w:tab/>
        <w:t>(e)</w:t>
      </w:r>
      <w:r>
        <w:tab/>
        <w:t>the method of transport to be used for the excursion; and</w:t>
      </w:r>
    </w:p>
    <w:p>
      <w:pPr>
        <w:pStyle w:val="Indenta"/>
      </w:pPr>
      <w:r>
        <w:tab/>
        <w:t>(f)</w:t>
      </w:r>
      <w:r>
        <w:tab/>
        <w:t>the proposed activities to be undertaken by the child during the excursion; and</w:t>
      </w:r>
    </w:p>
    <w:p>
      <w:pPr>
        <w:pStyle w:val="Indenta"/>
      </w:pPr>
      <w:r>
        <w:tab/>
        <w:t>(g)</w:t>
      </w:r>
      <w:r>
        <w:tab/>
        <w:t>the period the child will be away from the premises; and</w:t>
      </w:r>
    </w:p>
    <w:p>
      <w:pPr>
        <w:pStyle w:val="Indenta"/>
      </w:pPr>
      <w:r>
        <w:tab/>
        <w:t>(h)</w:t>
      </w:r>
      <w:r>
        <w:tab/>
        <w:t>the anticipated number of children likely to be attending the excursion; and</w:t>
      </w:r>
    </w:p>
    <w:p>
      <w:pPr>
        <w:pStyle w:val="Indenta"/>
      </w:pPr>
      <w:r>
        <w:tab/>
        <w:t>(i)</w:t>
      </w:r>
      <w:r>
        <w:tab/>
        <w:t>the anticipated ratio of educators attending the excursion to the anticipated number of children attending the excursion; and</w:t>
      </w:r>
    </w:p>
    <w:p>
      <w:pPr>
        <w:pStyle w:val="Indenta"/>
      </w:pPr>
      <w:r>
        <w:tab/>
        <w:t>(j)</w:t>
      </w:r>
      <w:r>
        <w:tab/>
        <w:t>the anticipated number of staff members and any other adults who will accompany and supervise the children on the excursion; and</w:t>
      </w:r>
    </w:p>
    <w:p>
      <w:pPr>
        <w:pStyle w:val="Indenta"/>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287" w:name="_Toc389742060"/>
      <w:bookmarkStart w:id="288" w:name="_Toc33393075"/>
      <w:r>
        <w:rPr>
          <w:rStyle w:val="CharDivNo"/>
        </w:rPr>
        <w:t>Part 4.3</w:t>
      </w:r>
      <w:r>
        <w:t> — </w:t>
      </w:r>
      <w:r>
        <w:rPr>
          <w:rStyle w:val="CharDivText"/>
        </w:rPr>
        <w:t>Physical environment</w:t>
      </w:r>
      <w:bookmarkEnd w:id="287"/>
      <w:bookmarkEnd w:id="288"/>
    </w:p>
    <w:p>
      <w:pPr>
        <w:pStyle w:val="Heading4"/>
      </w:pPr>
      <w:bookmarkStart w:id="289" w:name="_Toc389742061"/>
      <w:bookmarkStart w:id="290" w:name="_Toc33393076"/>
      <w:r>
        <w:t>Division 1 — Centre</w:t>
      </w:r>
      <w:r>
        <w:noBreakHyphen/>
        <w:t>based services and family day care services</w:t>
      </w:r>
      <w:bookmarkEnd w:id="289"/>
      <w:bookmarkEnd w:id="290"/>
    </w:p>
    <w:p>
      <w:pPr>
        <w:pStyle w:val="Heading5"/>
      </w:pPr>
      <w:bookmarkStart w:id="291" w:name="_Toc389742062"/>
      <w:bookmarkStart w:id="292" w:name="_Toc33393077"/>
      <w:r>
        <w:rPr>
          <w:rStyle w:val="CharSectno"/>
        </w:rPr>
        <w:t>103</w:t>
      </w:r>
      <w:r>
        <w:t>.</w:t>
      </w:r>
      <w:r>
        <w:tab/>
        <w:t>Premises, furniture and equipment to be safe, clean and in good repair</w:t>
      </w:r>
      <w:bookmarkEnd w:id="291"/>
      <w:bookmarkEnd w:id="292"/>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93" w:name="_Toc389742063"/>
      <w:bookmarkStart w:id="294" w:name="_Toc33393078"/>
      <w:r>
        <w:rPr>
          <w:rStyle w:val="CharSectno"/>
        </w:rPr>
        <w:t>104</w:t>
      </w:r>
      <w:r>
        <w:t>.</w:t>
      </w:r>
      <w:r>
        <w:tab/>
        <w:t>Fencing</w:t>
      </w:r>
      <w:bookmarkEnd w:id="293"/>
      <w:bookmarkEnd w:id="294"/>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95" w:name="_Toc389742064"/>
      <w:bookmarkStart w:id="296" w:name="_Toc33393079"/>
      <w:r>
        <w:rPr>
          <w:rStyle w:val="CharSectno"/>
        </w:rPr>
        <w:t>105</w:t>
      </w:r>
      <w:r>
        <w:t>.</w:t>
      </w:r>
      <w:r>
        <w:tab/>
        <w:t>Furniture, materials and equipment</w:t>
      </w:r>
      <w:bookmarkEnd w:id="295"/>
      <w:bookmarkEnd w:id="296"/>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97" w:name="_Toc389742065"/>
      <w:bookmarkStart w:id="298" w:name="_Toc33393080"/>
      <w:r>
        <w:rPr>
          <w:rStyle w:val="CharSectno"/>
        </w:rPr>
        <w:t>106</w:t>
      </w:r>
      <w:r>
        <w:t>.</w:t>
      </w:r>
      <w:r>
        <w:tab/>
        <w:t>Laundry and hygiene facilities</w:t>
      </w:r>
      <w:bookmarkEnd w:id="297"/>
      <w:bookmarkEnd w:id="298"/>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99" w:name="_Toc389742066"/>
      <w:bookmarkStart w:id="300" w:name="_Toc33393081"/>
      <w:r>
        <w:rPr>
          <w:rStyle w:val="CharSectno"/>
        </w:rPr>
        <w:t>107</w:t>
      </w:r>
      <w:r>
        <w:t>.</w:t>
      </w:r>
      <w:r>
        <w:tab/>
        <w:t>Space requirements — indoor space</w:t>
      </w:r>
      <w:bookmarkEnd w:id="299"/>
      <w:bookmarkEnd w:id="300"/>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pPr>
      <w:r>
        <w:tab/>
        <w:t>(iii)</w:t>
      </w:r>
      <w:r>
        <w:tab/>
        <w:t>any nappy changing area or area for preparing bottles;</w:t>
      </w:r>
    </w:p>
    <w:p>
      <w:pPr>
        <w:pStyle w:val="Indenti"/>
      </w:pPr>
      <w:r>
        <w:tab/>
        <w:t>(iv)</w:t>
      </w:r>
      <w:r>
        <w:tab/>
        <w:t>any area permanently set aside for the use or storage of cots;</w:t>
      </w:r>
    </w:p>
    <w:p>
      <w:pPr>
        <w:pStyle w:val="Indenti"/>
      </w:pPr>
      <w:r>
        <w:tab/>
        <w:t>(v)</w:t>
      </w:r>
      <w:r>
        <w:tab/>
        <w:t>any area permanently set aside for storage;</w:t>
      </w:r>
    </w:p>
    <w:p>
      <w:pPr>
        <w:pStyle w:val="Indenti"/>
      </w:pPr>
      <w:r>
        <w:tab/>
        <w:t>(vi)</w:t>
      </w:r>
      <w:r>
        <w:tab/>
        <w:t>any area or room for staff or administration;</w:t>
      </w:r>
    </w:p>
    <w:p>
      <w:pPr>
        <w:pStyle w:val="Indenti"/>
      </w:pPr>
      <w:r>
        <w:tab/>
        <w:t>(vii)</w:t>
      </w:r>
      <w:r>
        <w:tab/>
        <w:t>any other space that is not suitable for children;</w:t>
      </w:r>
    </w:p>
    <w:p>
      <w:pPr>
        <w:pStyle w:val="Indenta"/>
      </w:pPr>
      <w:r>
        <w:tab/>
        <w:t>(b)</w:t>
      </w:r>
      <w:r>
        <w:tab/>
        <w:t>the area of a kitchen is to be excluded, unless the kitchen is primarily to be used by children as part of an educational program provided by the service.</w:t>
      </w:r>
    </w:p>
    <w:p>
      <w:pPr>
        <w:pStyle w:val="Subsection"/>
      </w:pPr>
      <w:r>
        <w:tab/>
        <w:t>(4)</w:t>
      </w:r>
      <w:r>
        <w:tab/>
        <w:t>The area of a verandah may be included in calculating the area of indoor space only with the written approval of the Regulatory Authority.</w:t>
      </w:r>
    </w:p>
    <w:p>
      <w:pPr>
        <w:pStyle w:val="Subsection"/>
      </w:pPr>
      <w:r>
        <w:tab/>
        <w:t>(5)</w:t>
      </w:r>
      <w:r>
        <w:tab/>
        <w:t>A verandah that is included in calculating the area of outdoor space cannot be included in calculating the area of indoor space.</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301" w:name="_Toc389742067"/>
      <w:bookmarkStart w:id="302" w:name="_Toc33393082"/>
      <w:r>
        <w:rPr>
          <w:rStyle w:val="CharSectno"/>
        </w:rPr>
        <w:t>108</w:t>
      </w:r>
      <w:r>
        <w:t>.</w:t>
      </w:r>
      <w:r>
        <w:tab/>
        <w:t>Space requirements — outdoor space</w:t>
      </w:r>
      <w:bookmarkEnd w:id="301"/>
      <w:bookmarkEnd w:id="302"/>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303" w:name="_Toc389742068"/>
      <w:bookmarkStart w:id="304" w:name="_Toc33393083"/>
      <w:r>
        <w:rPr>
          <w:rStyle w:val="CharSectno"/>
        </w:rPr>
        <w:t>109</w:t>
      </w:r>
      <w:r>
        <w:t>.</w:t>
      </w:r>
      <w:r>
        <w:tab/>
        <w:t>Toilet and hygiene facilities</w:t>
      </w:r>
      <w:bookmarkEnd w:id="303"/>
      <w:bookmarkEnd w:id="304"/>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05" w:name="_Toc389742069"/>
      <w:bookmarkStart w:id="306" w:name="_Toc33393084"/>
      <w:r>
        <w:rPr>
          <w:rStyle w:val="CharSectno"/>
        </w:rPr>
        <w:t>110</w:t>
      </w:r>
      <w:r>
        <w:t>.</w:t>
      </w:r>
      <w:r>
        <w:tab/>
        <w:t>Ventilation and natural light</w:t>
      </w:r>
      <w:bookmarkEnd w:id="305"/>
      <w:bookmarkEnd w:id="306"/>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07" w:name="_Toc389742070"/>
      <w:bookmarkStart w:id="308" w:name="_Toc33393085"/>
      <w:r>
        <w:t>Division 2 — Additional requirements for centre</w:t>
      </w:r>
      <w:r>
        <w:noBreakHyphen/>
        <w:t>based services</w:t>
      </w:r>
      <w:bookmarkEnd w:id="307"/>
      <w:bookmarkEnd w:id="308"/>
    </w:p>
    <w:p>
      <w:pPr>
        <w:pStyle w:val="Heading5"/>
      </w:pPr>
      <w:bookmarkStart w:id="309" w:name="_Toc389742071"/>
      <w:bookmarkStart w:id="310" w:name="_Toc33393086"/>
      <w:r>
        <w:rPr>
          <w:rStyle w:val="CharSectno"/>
        </w:rPr>
        <w:t>111</w:t>
      </w:r>
      <w:r>
        <w:t>.</w:t>
      </w:r>
      <w:r>
        <w:tab/>
        <w:t>Administrative space</w:t>
      </w:r>
      <w:bookmarkEnd w:id="309"/>
      <w:bookmarkEnd w:id="310"/>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11" w:name="_Toc389742072"/>
      <w:bookmarkStart w:id="312" w:name="_Toc33393087"/>
      <w:r>
        <w:rPr>
          <w:rStyle w:val="CharSectno"/>
        </w:rPr>
        <w:t>112</w:t>
      </w:r>
      <w:r>
        <w:t>.</w:t>
      </w:r>
      <w:r>
        <w:tab/>
        <w:t>Nappy change facilities</w:t>
      </w:r>
      <w:bookmarkEnd w:id="311"/>
      <w:bookmarkEnd w:id="312"/>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313" w:name="_Toc389742073"/>
      <w:bookmarkStart w:id="314" w:name="_Toc33393088"/>
      <w:r>
        <w:rPr>
          <w:rStyle w:val="CharSectno"/>
        </w:rPr>
        <w:t>113</w:t>
      </w:r>
      <w:r>
        <w:t>.</w:t>
      </w:r>
      <w:r>
        <w:tab/>
        <w:t>Outdoor space — natural environment</w:t>
      </w:r>
      <w:bookmarkEnd w:id="313"/>
      <w:bookmarkEnd w:id="314"/>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15" w:name="_Toc389742074"/>
      <w:bookmarkStart w:id="316" w:name="_Toc33393089"/>
      <w:r>
        <w:rPr>
          <w:rStyle w:val="CharSectno"/>
        </w:rPr>
        <w:t>114</w:t>
      </w:r>
      <w:r>
        <w:t>.</w:t>
      </w:r>
      <w:r>
        <w:tab/>
        <w:t>Outdoor space — shade</w:t>
      </w:r>
      <w:bookmarkEnd w:id="315"/>
      <w:bookmarkEnd w:id="316"/>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17" w:name="_Toc389742075"/>
      <w:bookmarkStart w:id="318" w:name="_Toc33393090"/>
      <w:r>
        <w:rPr>
          <w:rStyle w:val="CharSectno"/>
        </w:rPr>
        <w:t>115</w:t>
      </w:r>
      <w:r>
        <w:t>.</w:t>
      </w:r>
      <w:r>
        <w:tab/>
        <w:t>Premises designed to facilitate supervision</w:t>
      </w:r>
      <w:bookmarkEnd w:id="317"/>
      <w:bookmarkEnd w:id="318"/>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19" w:name="_Toc389742076"/>
      <w:bookmarkStart w:id="320" w:name="_Toc33393091"/>
      <w:r>
        <w:t>Division 3 — Additional provisions for family day care services</w:t>
      </w:r>
      <w:bookmarkEnd w:id="319"/>
      <w:bookmarkEnd w:id="320"/>
    </w:p>
    <w:p>
      <w:pPr>
        <w:pStyle w:val="Heading5"/>
      </w:pPr>
      <w:bookmarkStart w:id="321" w:name="_Toc389742077"/>
      <w:bookmarkStart w:id="322" w:name="_Toc33393092"/>
      <w:r>
        <w:rPr>
          <w:rStyle w:val="CharSectno"/>
        </w:rPr>
        <w:t>116</w:t>
      </w:r>
      <w:r>
        <w:t>.</w:t>
      </w:r>
      <w:r>
        <w:tab/>
        <w:t>Assessments of family day care residences and approved family day care venues</w:t>
      </w:r>
      <w:bookmarkEnd w:id="321"/>
      <w:bookmarkEnd w:id="322"/>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3" w:name="_Toc389742078"/>
      <w:bookmarkStart w:id="324" w:name="_Toc33393093"/>
      <w:r>
        <w:rPr>
          <w:rStyle w:val="CharSectno"/>
        </w:rPr>
        <w:t>117</w:t>
      </w:r>
      <w:r>
        <w:t>.</w:t>
      </w:r>
      <w:r>
        <w:tab/>
        <w:t>Glass</w:t>
      </w:r>
      <w:bookmarkEnd w:id="323"/>
      <w:bookmarkEnd w:id="324"/>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325" w:name="_Toc389742079"/>
      <w:bookmarkStart w:id="326" w:name="_Toc33393094"/>
      <w:r>
        <w:rPr>
          <w:rStyle w:val="CharDivNo"/>
        </w:rPr>
        <w:t>Part 4.4</w:t>
      </w:r>
      <w:r>
        <w:t> — </w:t>
      </w:r>
      <w:r>
        <w:rPr>
          <w:rStyle w:val="CharDivText"/>
        </w:rPr>
        <w:t>Staffing arrangements</w:t>
      </w:r>
      <w:bookmarkEnd w:id="325"/>
      <w:bookmarkEnd w:id="326"/>
    </w:p>
    <w:p>
      <w:pPr>
        <w:pStyle w:val="Heading4"/>
      </w:pPr>
      <w:bookmarkStart w:id="327" w:name="_Toc389742080"/>
      <w:bookmarkStart w:id="328" w:name="_Toc33393095"/>
      <w:r>
        <w:t>Division 1 — Educational leader</w:t>
      </w:r>
      <w:bookmarkEnd w:id="327"/>
      <w:bookmarkEnd w:id="328"/>
    </w:p>
    <w:p>
      <w:pPr>
        <w:pStyle w:val="Heading5"/>
      </w:pPr>
      <w:bookmarkStart w:id="329" w:name="_Toc389742081"/>
      <w:bookmarkStart w:id="330" w:name="_Toc33393096"/>
      <w:r>
        <w:rPr>
          <w:rStyle w:val="CharSectno"/>
        </w:rPr>
        <w:t>118</w:t>
      </w:r>
      <w:r>
        <w:t>.</w:t>
      </w:r>
      <w:r>
        <w:tab/>
        <w:t>Educational leader</w:t>
      </w:r>
      <w:bookmarkEnd w:id="329"/>
      <w:bookmarkEnd w:id="330"/>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31" w:name="_Toc389742082"/>
      <w:bookmarkStart w:id="332" w:name="_Toc33393097"/>
      <w:r>
        <w:t>Division 2 — Age and supervision requirements</w:t>
      </w:r>
      <w:bookmarkEnd w:id="331"/>
      <w:bookmarkEnd w:id="332"/>
    </w:p>
    <w:p>
      <w:pPr>
        <w:pStyle w:val="Heading5"/>
      </w:pPr>
      <w:bookmarkStart w:id="333" w:name="_Toc389742083"/>
      <w:bookmarkStart w:id="334" w:name="_Toc33393098"/>
      <w:r>
        <w:rPr>
          <w:rStyle w:val="CharSectno"/>
        </w:rPr>
        <w:t>119</w:t>
      </w:r>
      <w:r>
        <w:t>.</w:t>
      </w:r>
      <w:r>
        <w:tab/>
        <w:t>Family day care educator and family day care educator assistant to be at least 18 years old</w:t>
      </w:r>
      <w:bookmarkEnd w:id="333"/>
      <w:bookmarkEnd w:id="33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35" w:name="_Toc389742084"/>
      <w:bookmarkStart w:id="336" w:name="_Toc33393099"/>
      <w:r>
        <w:rPr>
          <w:rStyle w:val="CharSectno"/>
        </w:rPr>
        <w:t>120</w:t>
      </w:r>
      <w:r>
        <w:t>.</w:t>
      </w:r>
      <w:r>
        <w:tab/>
        <w:t>Educators who are under 18 to be supervised</w:t>
      </w:r>
      <w:bookmarkEnd w:id="335"/>
      <w:bookmarkEnd w:id="336"/>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37" w:name="_Toc389742085"/>
      <w:bookmarkStart w:id="338" w:name="_Toc33393100"/>
      <w:r>
        <w:t>Division 3 — Minimum number of educators required</w:t>
      </w:r>
      <w:bookmarkEnd w:id="337"/>
      <w:bookmarkEnd w:id="338"/>
    </w:p>
    <w:p>
      <w:pPr>
        <w:pStyle w:val="Heading5"/>
      </w:pPr>
      <w:bookmarkStart w:id="339" w:name="_Toc389742086"/>
      <w:bookmarkStart w:id="340" w:name="_Toc33393101"/>
      <w:r>
        <w:rPr>
          <w:rStyle w:val="CharSectno"/>
        </w:rPr>
        <w:t>121</w:t>
      </w:r>
      <w:r>
        <w:t>.</w:t>
      </w:r>
      <w:r>
        <w:tab/>
        <w:t>Application of Division 3</w:t>
      </w:r>
      <w:bookmarkEnd w:id="339"/>
      <w:bookmarkEnd w:id="34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341" w:name="_Toc389742087"/>
      <w:bookmarkStart w:id="342" w:name="_Toc33393102"/>
      <w:r>
        <w:rPr>
          <w:rStyle w:val="CharSectno"/>
        </w:rPr>
        <w:t>122</w:t>
      </w:r>
      <w:r>
        <w:t>.</w:t>
      </w:r>
      <w:r>
        <w:tab/>
        <w:t>Educators must be working directly with children to be included in ratios</w:t>
      </w:r>
      <w:bookmarkEnd w:id="341"/>
      <w:bookmarkEnd w:id="342"/>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343" w:name="_Toc389742088"/>
      <w:bookmarkStart w:id="344" w:name="_Toc33393103"/>
      <w:r>
        <w:rPr>
          <w:rStyle w:val="CharSectno"/>
        </w:rPr>
        <w:t>123</w:t>
      </w:r>
      <w:r>
        <w:t>.</w:t>
      </w:r>
      <w:r>
        <w:tab/>
        <w:t>Educator to child ratios — centre</w:t>
      </w:r>
      <w:r>
        <w:noBreakHyphen/>
        <w:t>based services</w:t>
      </w:r>
      <w:bookmarkEnd w:id="343"/>
      <w:bookmarkEnd w:id="344"/>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pPr>
      <w:r>
        <w:tab/>
        <w:t>(a)</w:t>
      </w:r>
      <w:r>
        <w:tab/>
        <w:t xml:space="preserve">the approved provider or, if the approved provider is not an individual, the nominated supervisor, of the service — </w:t>
      </w:r>
    </w:p>
    <w:p>
      <w:pPr>
        <w:pStyle w:val="Indenti"/>
      </w:pPr>
      <w:r>
        <w:tab/>
        <w:t>(i)</w:t>
      </w:r>
      <w:r>
        <w:tab/>
        <w:t>is satisfied on reasonable grounds that it is developmentally appropriate for the child to be so treated; and</w:t>
      </w:r>
    </w:p>
    <w:p>
      <w:pPr>
        <w:pStyle w:val="Indenti"/>
      </w:pPr>
      <w:r>
        <w:tab/>
        <w:t>(ii)</w:t>
      </w:r>
      <w:r>
        <w:tab/>
        <w:t>makes and keeps a record of that decision;</w:t>
      </w:r>
    </w:p>
    <w:p>
      <w:pPr>
        <w:pStyle w:val="Indenta"/>
      </w:pPr>
      <w:r>
        <w:tab/>
      </w:r>
      <w:r>
        <w:tab/>
        <w:t>and</w:t>
      </w:r>
    </w:p>
    <w:p>
      <w:pPr>
        <w:pStyle w:val="Indenta"/>
      </w:pPr>
      <w:r>
        <w:tab/>
        <w:t>(b)</w:t>
      </w:r>
      <w:r>
        <w:tab/>
        <w:t>a parent of the child has agreed with that decision and has signed the record of the decision to indicate that agreement.</w:t>
      </w:r>
    </w:p>
    <w:p>
      <w:pPr>
        <w:pStyle w:val="NotesPerm"/>
        <w:keepNext/>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ind w:left="1418" w:hanging="1418"/>
      </w:pPr>
      <w:r>
        <w:tab/>
        <w:t xml:space="preserve">2 </w:t>
      </w:r>
      <w:r>
        <w:tab/>
        <w:t>For other WA specific provisions, see regulations 372, 374 and 374A.</w:t>
      </w:r>
    </w:p>
    <w:p>
      <w:pPr>
        <w:pStyle w:val="Footnotesection"/>
      </w:pPr>
      <w:r>
        <w:tab/>
        <w:t>[Regulation 123 amended in Gazette 5 Mar 2013 p. 1108; 13 Dec 2013 p.</w:t>
      </w:r>
      <w:r>
        <w:rPr>
          <w:sz w:val="19"/>
        </w:rPr>
        <w:t> </w:t>
      </w:r>
      <w:r>
        <w:t>6160</w:t>
      </w:r>
      <w:r>
        <w:noBreakHyphen/>
        <w:t>1.]</w:t>
      </w:r>
    </w:p>
    <w:p>
      <w:pPr>
        <w:pStyle w:val="Heading5"/>
      </w:pPr>
      <w:bookmarkStart w:id="345" w:name="_Toc389742089"/>
      <w:bookmarkStart w:id="346" w:name="_Toc33393104"/>
      <w:r>
        <w:rPr>
          <w:rStyle w:val="CharSectno"/>
        </w:rPr>
        <w:t>124</w:t>
      </w:r>
      <w:r>
        <w:t>.</w:t>
      </w:r>
      <w:r>
        <w:tab/>
        <w:t>Number of children who can be educated and cared for — family day care educator</w:t>
      </w:r>
      <w:bookmarkEnd w:id="345"/>
      <w:bookmarkEnd w:id="346"/>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347" w:name="_Toc389742090"/>
      <w:bookmarkStart w:id="348" w:name="_Toc33393105"/>
      <w:r>
        <w:t>Division 4 — Educational qualifications for educators</w:t>
      </w:r>
      <w:bookmarkEnd w:id="347"/>
      <w:bookmarkEnd w:id="348"/>
    </w:p>
    <w:p>
      <w:pPr>
        <w:pStyle w:val="Heading5"/>
      </w:pPr>
      <w:bookmarkStart w:id="349" w:name="_Toc389742091"/>
      <w:bookmarkStart w:id="350" w:name="_Toc33393106"/>
      <w:r>
        <w:rPr>
          <w:rStyle w:val="CharSectno"/>
        </w:rPr>
        <w:t>125</w:t>
      </w:r>
      <w:r>
        <w:t>.</w:t>
      </w:r>
      <w:r>
        <w:tab/>
        <w:t>Application of Division 4</w:t>
      </w:r>
      <w:bookmarkEnd w:id="349"/>
      <w:bookmarkEnd w:id="350"/>
      <w:r>
        <w:t xml:space="preserve"> </w:t>
      </w:r>
    </w:p>
    <w:p>
      <w:pPr>
        <w:pStyle w:val="Subsection"/>
      </w:pPr>
      <w:r>
        <w:tab/>
      </w:r>
      <w:r>
        <w:tab/>
        <w:t xml:space="preserve">This Division prescribes the educational qualifications required for — </w:t>
      </w:r>
    </w:p>
    <w:p>
      <w:pPr>
        <w:pStyle w:val="Indenta"/>
      </w:pPr>
      <w:r>
        <w:tab/>
        <w:t>(a)</w:t>
      </w:r>
      <w:r>
        <w:tab/>
        <w:t>educators educating and caring for children at education and care services for the purposes of section 169(2) and (4) of the Law; and</w:t>
      </w:r>
    </w:p>
    <w:p>
      <w:pPr>
        <w:pStyle w:val="Indenta"/>
      </w:pPr>
      <w:r>
        <w:tab/>
        <w:t>(b)</w:t>
      </w:r>
      <w:r>
        <w:tab/>
        <w:t>family day care co</w:t>
      </w:r>
      <w:r>
        <w:noBreakHyphen/>
        <w:t>ordinators for the purposes of section 163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351" w:name="_Toc389742092"/>
      <w:bookmarkStart w:id="352" w:name="_Toc33393107"/>
      <w:r>
        <w:rPr>
          <w:rStyle w:val="CharSectno"/>
        </w:rPr>
        <w:t>126</w:t>
      </w:r>
      <w:r>
        <w:t>.</w:t>
      </w:r>
      <w:r>
        <w:tab/>
        <w:t>Centre</w:t>
      </w:r>
      <w:r>
        <w:noBreakHyphen/>
        <w:t>based services — general educator qualifications</w:t>
      </w:r>
      <w:bookmarkEnd w:id="351"/>
      <w:bookmarkEnd w:id="352"/>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pPr>
      <w:r>
        <w:tab/>
        <w:t>(a)</w:t>
      </w:r>
      <w:r>
        <w:tab/>
        <w:t>at least 50 per cent of the educators who are required to meet the relevant educator to child ratios for the service must have, or be actively working towards, at least an approved diploma level education and care qualification; and</w:t>
      </w:r>
    </w:p>
    <w:p>
      <w:pPr>
        <w:pStyle w:val="Indenta"/>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353" w:name="_Toc389742093"/>
      <w:bookmarkStart w:id="354" w:name="_Toc33393108"/>
      <w:r>
        <w:rPr>
          <w:rStyle w:val="CharSectno"/>
        </w:rPr>
        <w:t>127</w:t>
      </w:r>
      <w:r>
        <w:t>.</w:t>
      </w:r>
      <w:r>
        <w:tab/>
        <w:t>Family day care educator qualifications</w:t>
      </w:r>
      <w:bookmarkEnd w:id="353"/>
      <w:bookmarkEnd w:id="354"/>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55" w:name="_Toc389742094"/>
      <w:bookmarkStart w:id="356" w:name="_Toc33393109"/>
      <w:r>
        <w:rPr>
          <w:rStyle w:val="CharSectno"/>
        </w:rPr>
        <w:t>128</w:t>
      </w:r>
      <w:r>
        <w:t>.</w:t>
      </w:r>
      <w:r>
        <w:tab/>
        <w:t>Family day care co</w:t>
      </w:r>
      <w:r>
        <w:noBreakHyphen/>
        <w:t>ordinator qualifications</w:t>
      </w:r>
      <w:bookmarkEnd w:id="355"/>
      <w:bookmarkEnd w:id="356"/>
      <w:r>
        <w:t xml:space="preserve"> </w:t>
      </w:r>
    </w:p>
    <w:p>
      <w:pPr>
        <w:pStyle w:val="Subsection"/>
      </w:pPr>
      <w:r>
        <w:tab/>
      </w:r>
      <w:r>
        <w:tab/>
        <w:t>A family day care co</w:t>
      </w:r>
      <w:r>
        <w:noBreakHyphen/>
        <w:t>ordinator must have an approved diploma level education and care qualification.</w:t>
      </w:r>
    </w:p>
    <w:p>
      <w:pPr>
        <w:pStyle w:val="Heading4"/>
      </w:pPr>
      <w:bookmarkStart w:id="357" w:name="_Toc389742095"/>
      <w:bookmarkStart w:id="358" w:name="_Toc33393110"/>
      <w:r>
        <w:t>Division 5 — Requirements for educators who are early childhood teachers</w:t>
      </w:r>
      <w:bookmarkEnd w:id="357"/>
      <w:bookmarkEnd w:id="358"/>
    </w:p>
    <w:p>
      <w:pPr>
        <w:pStyle w:val="Heading5"/>
      </w:pPr>
      <w:bookmarkStart w:id="359" w:name="_Toc389742096"/>
      <w:bookmarkStart w:id="360" w:name="_Toc33393111"/>
      <w:r>
        <w:rPr>
          <w:rStyle w:val="CharSectno"/>
        </w:rPr>
        <w:t>129</w:t>
      </w:r>
      <w:r>
        <w:t>.</w:t>
      </w:r>
      <w:r>
        <w:tab/>
        <w:t>Application of Division 5</w:t>
      </w:r>
      <w:bookmarkEnd w:id="359"/>
      <w:bookmarkEnd w:id="360"/>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361" w:name="_Toc389742097"/>
      <w:bookmarkStart w:id="362" w:name="_Toc33393112"/>
      <w:r>
        <w:rPr>
          <w:rStyle w:val="CharSectno"/>
        </w:rPr>
        <w:t>130</w:t>
      </w:r>
      <w:r>
        <w:t>.</w:t>
      </w:r>
      <w:r>
        <w:tab/>
        <w:t>Requirement for early childhood teacher — centre</w:t>
      </w:r>
      <w:r>
        <w:noBreakHyphen/>
        <w:t>based services — fewer than 25 approved places</w:t>
      </w:r>
      <w:bookmarkEnd w:id="361"/>
      <w:bookmarkEnd w:id="36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per cent of the time that the service provides education and care.</w:t>
      </w:r>
    </w:p>
    <w:p>
      <w:pPr>
        <w:pStyle w:val="Subsection"/>
      </w:pPr>
      <w:r>
        <w:tab/>
        <w:t>(2)</w:t>
      </w:r>
      <w:r>
        <w:tab/>
        <w:t>To comply with subregulation (1), the early childhood teacher may be working with the service by means of information communication technology.</w:t>
      </w:r>
    </w:p>
    <w:p>
      <w:pPr>
        <w:pStyle w:val="Subsection"/>
      </w:pPr>
      <w:r>
        <w:tab/>
        <w:t>(3)</w:t>
      </w:r>
      <w:r>
        <w:tab/>
        <w:t>For the purposes of this regulation the period that an early childhood teacher works with a centre</w:t>
      </w:r>
      <w:r>
        <w:noBreakHyphen/>
        <w:t>based service may be calculated on a quarterly basis.</w:t>
      </w:r>
    </w:p>
    <w:p>
      <w:pPr>
        <w:pStyle w:val="Heading5"/>
      </w:pPr>
      <w:bookmarkStart w:id="363" w:name="_Toc389742098"/>
      <w:bookmarkStart w:id="364" w:name="_Toc33393113"/>
      <w:r>
        <w:rPr>
          <w:rStyle w:val="CharSectno"/>
        </w:rPr>
        <w:t>131</w:t>
      </w:r>
      <w:r>
        <w:t>.</w:t>
      </w:r>
      <w:r>
        <w:tab/>
        <w:t>Requirement for early childhood teacher — centre</w:t>
      </w:r>
      <w:r>
        <w:noBreakHyphen/>
        <w:t>based services — 25 or more approved places but fewer than 25 children</w:t>
      </w:r>
      <w:bookmarkEnd w:id="363"/>
      <w:bookmarkEnd w:id="364"/>
      <w:r>
        <w:t xml:space="preserve"> </w:t>
      </w:r>
    </w:p>
    <w:p>
      <w:pPr>
        <w:pStyle w:val="Subsection"/>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pPr>
      <w:bookmarkStart w:id="365" w:name="_Toc389742099"/>
      <w:bookmarkStart w:id="366" w:name="_Toc33393114"/>
      <w:r>
        <w:rPr>
          <w:rStyle w:val="CharSectno"/>
        </w:rPr>
        <w:t>132</w:t>
      </w:r>
      <w:r>
        <w:t>.</w:t>
      </w:r>
      <w:r>
        <w:tab/>
        <w:t>Requirement for early childhood teacher — centre</w:t>
      </w:r>
      <w:r>
        <w:noBreakHyphen/>
        <w:t>based services — 25 to 59 children</w:t>
      </w:r>
      <w:bookmarkEnd w:id="365"/>
      <w:bookmarkEnd w:id="366"/>
      <w:r>
        <w:t xml:space="preserve"> </w:t>
      </w:r>
    </w:p>
    <w:p>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67" w:name="_Toc389742100"/>
      <w:bookmarkStart w:id="368" w:name="_Toc33393115"/>
      <w:r>
        <w:rPr>
          <w:rStyle w:val="CharSectno"/>
        </w:rPr>
        <w:t>133</w:t>
      </w:r>
      <w:r>
        <w:t>.</w:t>
      </w:r>
      <w:r>
        <w:tab/>
        <w:t>Requirement for early childhood teacher — centre</w:t>
      </w:r>
      <w:r>
        <w:noBreakHyphen/>
        <w:t>based services — 60 to 80 children</w:t>
      </w:r>
      <w:bookmarkEnd w:id="367"/>
      <w:bookmarkEnd w:id="368"/>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60 or more but not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early childhood teacher or a suitably qualified person for half of the full</w:t>
      </w:r>
      <w:r>
        <w:noBreakHyphen/>
        <w:t>time or full</w:t>
      </w:r>
      <w:r>
        <w:noBreakHyphen/>
        <w:t>time equivalent hours at the service.</w:t>
      </w:r>
    </w:p>
    <w:p>
      <w:pPr>
        <w:pStyle w:val="Heading5"/>
      </w:pPr>
      <w:bookmarkStart w:id="369" w:name="_Toc389742101"/>
      <w:bookmarkStart w:id="370" w:name="_Toc33393116"/>
      <w:r>
        <w:rPr>
          <w:rStyle w:val="CharSectno"/>
        </w:rPr>
        <w:t>134</w:t>
      </w:r>
      <w:r>
        <w:t>.</w:t>
      </w:r>
      <w:r>
        <w:tab/>
        <w:t>Requirement for early childhood teacher — centre</w:t>
      </w:r>
      <w:r>
        <w:noBreakHyphen/>
        <w:t>based services — more than 80 children</w:t>
      </w:r>
      <w:bookmarkEnd w:id="369"/>
      <w:bookmarkEnd w:id="370"/>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371" w:name="_Toc389742102"/>
      <w:bookmarkStart w:id="372" w:name="_Toc33393117"/>
      <w:r>
        <w:rPr>
          <w:rStyle w:val="CharSectno"/>
        </w:rPr>
        <w:t>135</w:t>
      </w:r>
      <w:r>
        <w:t>.</w:t>
      </w:r>
      <w:r>
        <w:tab/>
        <w:t>Early childhood teacher illness or absence</w:t>
      </w:r>
      <w:bookmarkEnd w:id="371"/>
      <w:bookmarkEnd w:id="372"/>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373" w:name="_Toc389742103"/>
      <w:bookmarkStart w:id="374" w:name="_Toc33393118"/>
      <w:r>
        <w:t>Division 6 — First aid qualifications</w:t>
      </w:r>
      <w:bookmarkEnd w:id="373"/>
      <w:bookmarkEnd w:id="374"/>
    </w:p>
    <w:p>
      <w:pPr>
        <w:pStyle w:val="Heading5"/>
      </w:pPr>
      <w:bookmarkStart w:id="375" w:name="_Toc389742104"/>
      <w:bookmarkStart w:id="376" w:name="_Toc33393119"/>
      <w:r>
        <w:rPr>
          <w:rStyle w:val="CharSectno"/>
        </w:rPr>
        <w:t>136</w:t>
      </w:r>
      <w:r>
        <w:t>.</w:t>
      </w:r>
      <w:r>
        <w:tab/>
        <w:t>First aid qualifications</w:t>
      </w:r>
      <w:bookmarkEnd w:id="375"/>
      <w:bookmarkEnd w:id="376"/>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pPr>
      <w:r>
        <w:tab/>
        <w:t>(b)</w:t>
      </w:r>
      <w:r>
        <w:tab/>
        <w:t>at least one educator who has undertaken current approved anaphylaxis management training;</w:t>
      </w:r>
    </w:p>
    <w:p>
      <w:pPr>
        <w:pStyle w:val="Indenta"/>
      </w:pPr>
      <w:r>
        <w:tab/>
        <w:t>(c)</w:t>
      </w:r>
      <w:r>
        <w:tab/>
        <w:t>at least one educator who has undertaken current approved emergency asthma management training.</w:t>
      </w:r>
    </w:p>
    <w:p>
      <w:pPr>
        <w:pStyle w:val="Penstart"/>
      </w:pPr>
      <w:r>
        <w:tab/>
        <w:t>Penalty: $2000.</w:t>
      </w:r>
    </w:p>
    <w:p>
      <w:pPr>
        <w:pStyle w:val="Subsection"/>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pPr>
      <w:r>
        <w:tab/>
        <w:t>(3)</w:t>
      </w:r>
      <w:r>
        <w:tab/>
        <w:t xml:space="preserve">The approved provider of a family day care service must ensure that each family day care educator and family day care educator assistant engaged by or registered with the service — </w:t>
      </w:r>
    </w:p>
    <w:p>
      <w:pPr>
        <w:pStyle w:val="Indenta"/>
      </w:pPr>
      <w:r>
        <w:tab/>
        <w:t>(a)</w:t>
      </w:r>
      <w:r>
        <w:tab/>
        <w:t>holds a current approved first aid qualification; and</w:t>
      </w:r>
    </w:p>
    <w:p>
      <w:pPr>
        <w:pStyle w:val="Indenta"/>
      </w:pPr>
      <w:r>
        <w:tab/>
        <w:t>(b)</w:t>
      </w:r>
      <w:r>
        <w:tab/>
        <w:t>has undertaken current approved anaphylaxis management training; and</w:t>
      </w:r>
    </w:p>
    <w:p>
      <w:pPr>
        <w:pStyle w:val="Indenta"/>
      </w:pPr>
      <w:r>
        <w:tab/>
        <w:t>(c)</w:t>
      </w:r>
      <w:r>
        <w:tab/>
        <w:t>has undertaken current approved emergency asthma management training.</w:t>
      </w:r>
    </w:p>
    <w:p>
      <w:pPr>
        <w:pStyle w:val="Penstart"/>
      </w:pPr>
      <w:r>
        <w:tab/>
        <w:t>Penalty: $2000.</w:t>
      </w:r>
    </w:p>
    <w:p>
      <w:pPr>
        <w:pStyle w:val="Subsection"/>
      </w:pPr>
      <w:r>
        <w:tab/>
        <w:t>(4)</w:t>
      </w:r>
      <w:r>
        <w:tab/>
        <w:t>The same person may hold one or more of the qualifications set out in subregulation (1).</w:t>
      </w:r>
    </w:p>
    <w:p>
      <w:pPr>
        <w:pStyle w:val="Subsection"/>
      </w:pPr>
      <w:r>
        <w:tab/>
        <w:t>(5)</w:t>
      </w:r>
      <w:r>
        <w:tab/>
        <w:t xml:space="preserve">In this regulation — </w:t>
      </w:r>
    </w:p>
    <w:p>
      <w:pPr>
        <w:pStyle w:val="Defstart"/>
      </w:pPr>
      <w:r>
        <w:tab/>
      </w:r>
      <w:r>
        <w:rPr>
          <w:rStyle w:val="CharDefText"/>
        </w:rPr>
        <w:t>approved anaphylaxis management training</w:t>
      </w:r>
      <w:r>
        <w:t xml:space="preserve"> means anaphylaxis management training approved by the National Authority in accordance with Division 7;</w:t>
      </w:r>
    </w:p>
    <w:p>
      <w:pPr>
        <w:pStyle w:val="Defstart"/>
      </w:pPr>
      <w:r>
        <w:tab/>
      </w:r>
      <w:r>
        <w:rPr>
          <w:rStyle w:val="CharDefText"/>
        </w:rPr>
        <w:t>approved emergency asthma management training</w:t>
      </w:r>
      <w:r>
        <w:t xml:space="preserve"> means emergency asthma management training approved by the National Authority in accordance with Division 7;</w:t>
      </w:r>
    </w:p>
    <w:p>
      <w:pPr>
        <w:pStyle w:val="Defstart"/>
      </w:pPr>
      <w:r>
        <w:tab/>
      </w:r>
      <w:r>
        <w:rPr>
          <w:rStyle w:val="CharDefText"/>
        </w:rPr>
        <w:t>approved first aid qualification</w:t>
      </w:r>
      <w:r>
        <w:t xml:space="preserve"> means a qualification that — </w:t>
      </w:r>
    </w:p>
    <w:p>
      <w:pPr>
        <w:pStyle w:val="Defpara"/>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 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377" w:name="_Toc389742105"/>
      <w:bookmarkStart w:id="378" w:name="_Toc33393120"/>
      <w:r>
        <w:t>Division 7 — Approval and determination of qualifications</w:t>
      </w:r>
      <w:bookmarkEnd w:id="377"/>
      <w:bookmarkEnd w:id="378"/>
    </w:p>
    <w:p>
      <w:pPr>
        <w:pStyle w:val="Heading5"/>
      </w:pPr>
      <w:bookmarkStart w:id="379" w:name="_Toc389742106"/>
      <w:bookmarkStart w:id="380" w:name="_Toc33393121"/>
      <w:r>
        <w:rPr>
          <w:rStyle w:val="CharSectno"/>
        </w:rPr>
        <w:t>137</w:t>
      </w:r>
      <w:r>
        <w:t>.</w:t>
      </w:r>
      <w:r>
        <w:tab/>
        <w:t>Approval of qualifications</w:t>
      </w:r>
      <w:bookmarkEnd w:id="379"/>
      <w:bookmarkEnd w:id="380"/>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 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certificate III level education and care qualifications; 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381" w:name="_Toc389742107"/>
      <w:bookmarkStart w:id="382" w:name="_Toc33393122"/>
      <w:r>
        <w:rPr>
          <w:rStyle w:val="CharSectno"/>
        </w:rPr>
        <w:t>138</w:t>
      </w:r>
      <w:r>
        <w:t>.</w:t>
      </w:r>
      <w:r>
        <w:tab/>
        <w:t>Application for qualification to be assessed for inclusion on the list of approved qualifications</w:t>
      </w:r>
      <w:bookmarkEnd w:id="381"/>
      <w:bookmarkEnd w:id="382"/>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383" w:name="_Toc389742108"/>
      <w:bookmarkStart w:id="384" w:name="_Toc33393123"/>
      <w:r>
        <w:rPr>
          <w:rStyle w:val="CharSectno"/>
        </w:rPr>
        <w:t>139</w:t>
      </w:r>
      <w:r>
        <w:t>.</w:t>
      </w:r>
      <w:r>
        <w:tab/>
        <w:t>Application for determination of equivalent qualification</w:t>
      </w:r>
      <w:bookmarkEnd w:id="383"/>
      <w:bookmarkEnd w:id="384"/>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385" w:name="_Toc389742109"/>
      <w:bookmarkStart w:id="386" w:name="_Toc33393124"/>
      <w:r>
        <w:rPr>
          <w:rStyle w:val="CharSectno"/>
        </w:rPr>
        <w:t>140</w:t>
      </w:r>
      <w:r>
        <w:t>.</w:t>
      </w:r>
      <w:r>
        <w:tab/>
        <w:t>Application for determination of an equivalent qualification</w:t>
      </w:r>
      <w:bookmarkEnd w:id="385"/>
      <w:bookmarkEnd w:id="386"/>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pPr>
      <w:r>
        <w:tab/>
        <w:t>(iv)</w:t>
      </w:r>
      <w:r>
        <w:tab/>
        <w:t>the years the applicant commenced and completed study for the qualification; and</w:t>
      </w:r>
    </w:p>
    <w:p>
      <w:pPr>
        <w:pStyle w:val="Indenti"/>
      </w:pPr>
      <w:r>
        <w:tab/>
        <w:t>(v)</w:t>
      </w:r>
      <w:r>
        <w:tab/>
        <w:t>whether the study for the qualification was completed on a full</w:t>
      </w:r>
      <w:r>
        <w:noBreakHyphen/>
        <w:t>time or part</w:t>
      </w:r>
      <w:r>
        <w:noBreakHyphen/>
        <w:t>time basis (or both); and</w:t>
      </w:r>
    </w:p>
    <w:p>
      <w:pPr>
        <w:pStyle w:val="Indenti"/>
      </w:pPr>
      <w:r>
        <w:tab/>
        <w:t>(vi)</w:t>
      </w:r>
      <w:r>
        <w:tab/>
        <w:t>the length of study required to complete the qualification on a full</w:t>
      </w:r>
      <w:r>
        <w:noBreakHyphen/>
        <w:t>time basis; and</w:t>
      </w:r>
    </w:p>
    <w:p>
      <w:pPr>
        <w:pStyle w:val="Indenti"/>
      </w:pPr>
      <w:r>
        <w:tab/>
        <w:t>(vii)</w:t>
      </w:r>
      <w:r>
        <w:tab/>
        <w:t>a summary of the major areas of study in the qualification, including the areas of study that relate to early childhood years and a description of how they are so related;</w:t>
      </w:r>
    </w:p>
    <w:p>
      <w:pPr>
        <w:pStyle w:val="Indenta"/>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pPr>
      <w:r>
        <w:tab/>
        <w:t>(i)</w:t>
      </w:r>
      <w:r>
        <w:tab/>
        <w:t>the name and location of the practicum centre;</w:t>
      </w:r>
    </w:p>
    <w:p>
      <w:pPr>
        <w:pStyle w:val="Indenti"/>
      </w:pPr>
      <w:r>
        <w:tab/>
        <w:t>(ii)</w:t>
      </w:r>
      <w:r>
        <w:tab/>
        <w:t>the duration of the placement;</w:t>
      </w:r>
    </w:p>
    <w:p>
      <w:pPr>
        <w:pStyle w:val="Indenti"/>
      </w:pPr>
      <w:r>
        <w:tab/>
        <w:t>(iii)</w:t>
      </w:r>
      <w:r>
        <w:tab/>
        <w:t>the setting of the placement, including (where practicable) the ages of children worked with during the placement;</w:t>
      </w:r>
    </w:p>
    <w:p>
      <w:pPr>
        <w:pStyle w:val="Indenti"/>
      </w:pPr>
      <w:r>
        <w:tab/>
        <w:t>(iv)</w:t>
      </w:r>
      <w:r>
        <w:tab/>
        <w:t>the ages of children at the placement;</w:t>
      </w:r>
    </w:p>
    <w:p>
      <w:pPr>
        <w:pStyle w:val="Indenti"/>
      </w:pPr>
      <w:r>
        <w:tab/>
        <w:t>(v)</w:t>
      </w:r>
      <w:r>
        <w:tab/>
        <w:t>the year the placement was completed;</w:t>
      </w:r>
    </w:p>
    <w:p>
      <w:pPr>
        <w:pStyle w:val="Indenti"/>
      </w:pPr>
      <w:r>
        <w:tab/>
        <w:t>(vi)</w:t>
      </w:r>
      <w:r>
        <w:tab/>
        <w:t>evidence of the successful completion of the placement;</w:t>
      </w:r>
    </w:p>
    <w:p>
      <w:pPr>
        <w:pStyle w:val="Indenta"/>
      </w:pPr>
      <w:r>
        <w:tab/>
        <w:t>(j)</w:t>
      </w:r>
      <w:r>
        <w:tab/>
        <w:t xml:space="preserve">a summary of the applicant’s education, other than the qualification that is to be determined, including — </w:t>
      </w:r>
    </w:p>
    <w:p>
      <w:pPr>
        <w:pStyle w:val="Indenti"/>
      </w:pPr>
      <w:r>
        <w:tab/>
        <w:t>(i)</w:t>
      </w:r>
      <w:r>
        <w:tab/>
        <w:t xml:space="preserve">the age, grade levels and years the applicant started and completed — </w:t>
      </w:r>
    </w:p>
    <w:p>
      <w:pPr>
        <w:pStyle w:val="IndentI0"/>
      </w:pPr>
      <w:r>
        <w:tab/>
        <w:t>(A)</w:t>
      </w:r>
      <w:r>
        <w:tab/>
        <w:t>secondary schooling; and</w:t>
      </w:r>
    </w:p>
    <w:p>
      <w:pPr>
        <w:pStyle w:val="IndentI0"/>
      </w:pPr>
      <w:r>
        <w:tab/>
        <w:t>(B)</w:t>
      </w:r>
      <w:r>
        <w:tab/>
        <w:t>any relevant tertiary education; and</w:t>
      </w:r>
    </w:p>
    <w:p>
      <w:pPr>
        <w:pStyle w:val="IndentI0"/>
      </w:pPr>
      <w:r>
        <w:tab/>
        <w:t>(C)</w:t>
      </w:r>
      <w:r>
        <w:tab/>
        <w:t>any relevant vocational schooling; and</w:t>
      </w:r>
    </w:p>
    <w:p>
      <w:pPr>
        <w:pStyle w:val="Indenti"/>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387" w:name="_Toc389742110"/>
      <w:bookmarkStart w:id="388" w:name="_Toc33393125"/>
      <w:r>
        <w:rPr>
          <w:rStyle w:val="CharSectno"/>
        </w:rPr>
        <w:t>141</w:t>
      </w:r>
      <w:r>
        <w:t>.</w:t>
      </w:r>
      <w:r>
        <w:tab/>
        <w:t>Additional information for application for determination of equivalent qualification</w:t>
      </w:r>
      <w:bookmarkEnd w:id="387"/>
      <w:bookmarkEnd w:id="388"/>
      <w:r>
        <w:t xml:space="preserve"> </w:t>
      </w:r>
    </w:p>
    <w:p>
      <w:pPr>
        <w:pStyle w:val="Subsection"/>
      </w:pPr>
      <w:r>
        <w:tab/>
        <w:t>(1)</w:t>
      </w:r>
      <w:r>
        <w:tab/>
        <w:t xml:space="preserve">The following documents must also be provided with an application for determination of an equivalent qualification — </w:t>
      </w:r>
    </w:p>
    <w:p>
      <w:pPr>
        <w:pStyle w:val="Indenta"/>
      </w:pPr>
      <w:r>
        <w:tab/>
        <w:t>(a)</w:t>
      </w:r>
      <w:r>
        <w:tab/>
        <w:t xml:space="preserve">a certified copy of the applicant’s qualifications, including — </w:t>
      </w:r>
    </w:p>
    <w:p>
      <w:pPr>
        <w:pStyle w:val="Indenti"/>
      </w:pPr>
      <w:r>
        <w:tab/>
        <w:t>(i)</w:t>
      </w:r>
      <w:r>
        <w:tab/>
        <w:t>the qualification to be determined; and</w:t>
      </w:r>
    </w:p>
    <w:p>
      <w:pPr>
        <w:pStyle w:val="Indenti"/>
      </w:pPr>
      <w:r>
        <w:tab/>
        <w:t>(ii)</w:t>
      </w:r>
      <w:r>
        <w:tab/>
        <w:t>any other qualifications that were a prerequisite for, or formed a credit towards completion of, the qualification that is to be determined;</w:t>
      </w:r>
    </w:p>
    <w:p>
      <w:pPr>
        <w:pStyle w:val="Indenta"/>
      </w:pPr>
      <w:r>
        <w:tab/>
        <w:t>(b)</w:t>
      </w:r>
      <w:r>
        <w:tab/>
        <w:t xml:space="preserve">a certified copy of the transcript of academic record of the applicant for — </w:t>
      </w:r>
    </w:p>
    <w:p>
      <w:pPr>
        <w:pStyle w:val="Indenti"/>
      </w:pPr>
      <w:r>
        <w:tab/>
        <w:t>(i)</w:t>
      </w:r>
      <w:r>
        <w:tab/>
        <w:t>the qualification that is to be determined; and</w:t>
      </w:r>
    </w:p>
    <w:p>
      <w:pPr>
        <w:pStyle w:val="Indenti"/>
      </w:pPr>
      <w:r>
        <w:tab/>
        <w:t>(ii)</w:t>
      </w:r>
      <w:r>
        <w:tab/>
        <w:t>the applicant’s primary and secondary schooling (where it is practicable to do so); and</w:t>
      </w:r>
    </w:p>
    <w:p>
      <w:pPr>
        <w:pStyle w:val="Indenti"/>
      </w:pPr>
      <w:r>
        <w:tab/>
        <w:t>(iii)</w:t>
      </w:r>
      <w:r>
        <w:tab/>
        <w:t>any other relevant tertiary education; and</w:t>
      </w:r>
    </w:p>
    <w:p>
      <w:pPr>
        <w:pStyle w:val="Indenti"/>
      </w:pPr>
      <w:r>
        <w:tab/>
        <w:t>(iv)</w:t>
      </w:r>
      <w:r>
        <w:tab/>
        <w:t>any other relevant vocational schooling; and</w:t>
      </w:r>
    </w:p>
    <w:p>
      <w:pPr>
        <w:pStyle w:val="Indenti"/>
      </w:pPr>
      <w:r>
        <w:tab/>
        <w:t>(v)</w:t>
      </w:r>
      <w:r>
        <w:tab/>
        <w:t>any other course that was a prerequisite for, or formed a credit towards completion of, the qualification that is to be determined;</w:t>
      </w:r>
    </w:p>
    <w:p>
      <w:pPr>
        <w:pStyle w:val="Ednotepara"/>
      </w:pPr>
      <w:r>
        <w:tab/>
        <w:t>[(c)</w:t>
      </w:r>
      <w:r>
        <w:tab/>
        <w:t>deleted]</w:t>
      </w:r>
    </w:p>
    <w:p>
      <w:pPr>
        <w:pStyle w:val="Indenta"/>
      </w:pPr>
      <w:r>
        <w:tab/>
        <w:t>(d)</w:t>
      </w:r>
      <w:r>
        <w:tab/>
        <w:t>proof of the applicant’s identity;</w:t>
      </w:r>
    </w:p>
    <w:p>
      <w:pPr>
        <w:pStyle w:val="Indenta"/>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pPr>
      <w:r>
        <w:tab/>
        <w:t>(a)</w:t>
      </w:r>
      <w:r>
        <w:tab/>
        <w:t>the Australian Education International National Office of Overseas Skills Recognition, located in the Department of Industry of the Commonwealth; or</w:t>
      </w:r>
    </w:p>
    <w:p>
      <w:pPr>
        <w:pStyle w:val="Indenta"/>
      </w:pPr>
      <w:r>
        <w:tab/>
        <w:t>(b)</w:t>
      </w:r>
      <w:r>
        <w:tab/>
        <w:t>Trades Recognition Australia, located in the Department of Industry of the Commonwealth; or</w:t>
      </w:r>
    </w:p>
    <w:p>
      <w:pPr>
        <w:pStyle w:val="Indenta"/>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ind w:left="1418" w:hanging="1418"/>
      </w:pPr>
      <w:r>
        <w:tab/>
        <w:t>Note:</w:t>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389" w:name="_Toc389742111"/>
      <w:bookmarkStart w:id="390" w:name="_Toc33393126"/>
      <w:r>
        <w:rPr>
          <w:rStyle w:val="CharSectno"/>
        </w:rPr>
        <w:t>142</w:t>
      </w:r>
      <w:r>
        <w:t>.</w:t>
      </w:r>
      <w:r>
        <w:tab/>
        <w:t>Translations of documents</w:t>
      </w:r>
      <w:bookmarkEnd w:id="389"/>
      <w:bookmarkEnd w:id="390"/>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91" w:name="_Toc389742112"/>
      <w:bookmarkStart w:id="392" w:name="_Toc33393127"/>
      <w:r>
        <w:rPr>
          <w:rStyle w:val="CharSectno"/>
        </w:rPr>
        <w:t>143</w:t>
      </w:r>
      <w:r>
        <w:t>.</w:t>
      </w:r>
      <w:r>
        <w:tab/>
        <w:t>Certification of documents</w:t>
      </w:r>
      <w:bookmarkEnd w:id="391"/>
      <w:bookmarkEnd w:id="392"/>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pPr>
      <w:r>
        <w:tab/>
        <w:t>(a)</w:t>
      </w:r>
      <w:r>
        <w:tab/>
        <w:t>the institution that originally issued the documents; or</w:t>
      </w:r>
    </w:p>
    <w:p>
      <w:pPr>
        <w:pStyle w:val="Indenta"/>
      </w:pPr>
      <w:r>
        <w:tab/>
        <w:t>(b)</w:t>
      </w:r>
      <w:r>
        <w:tab/>
        <w:t>a justice of the peace; or</w:t>
      </w:r>
    </w:p>
    <w:p>
      <w:pPr>
        <w:pStyle w:val="Indenta"/>
      </w:pPr>
      <w:r>
        <w:tab/>
        <w:t>(c)</w:t>
      </w:r>
      <w:r>
        <w:tab/>
        <w:t>a person authorised under the legislation of the participating jurisdiction to witness or take statutory declarations; or</w:t>
      </w:r>
    </w:p>
    <w:p>
      <w:pPr>
        <w:pStyle w:val="Indenta"/>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393" w:name="_Toc389742113"/>
      <w:bookmarkStart w:id="394" w:name="_Toc33393128"/>
      <w:r>
        <w:t>Division 8 — Family day care educator assistant</w:t>
      </w:r>
      <w:bookmarkEnd w:id="393"/>
      <w:bookmarkEnd w:id="394"/>
    </w:p>
    <w:p>
      <w:pPr>
        <w:pStyle w:val="Heading5"/>
      </w:pPr>
      <w:bookmarkStart w:id="395" w:name="_Toc389742114"/>
      <w:bookmarkStart w:id="396" w:name="_Toc33393129"/>
      <w:r>
        <w:rPr>
          <w:rStyle w:val="CharSectno"/>
        </w:rPr>
        <w:t>144</w:t>
      </w:r>
      <w:r>
        <w:t>.</w:t>
      </w:r>
      <w:r>
        <w:tab/>
        <w:t>Family day care educator assistant</w:t>
      </w:r>
      <w:bookmarkEnd w:id="395"/>
      <w:bookmarkEnd w:id="396"/>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 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 and</w:t>
      </w:r>
    </w:p>
    <w:p>
      <w:pPr>
        <w:pStyle w:val="Indenta"/>
      </w:pPr>
      <w:r>
        <w:tab/>
        <w:t>(d)</w:t>
      </w:r>
      <w:r>
        <w:tab/>
        <w:t>providing assistance to the educator while the educator is educating and caring for children as part of a family day care service.</w:t>
      </w:r>
    </w:p>
    <w:p>
      <w:pPr>
        <w:pStyle w:val="Subsection"/>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pPr>
      <w:bookmarkStart w:id="397" w:name="_Toc389742115"/>
      <w:bookmarkStart w:id="398" w:name="_Toc33393130"/>
      <w:r>
        <w:t>Division 9 — Staff and educator records — centre</w:t>
      </w:r>
      <w:r>
        <w:noBreakHyphen/>
        <w:t>based services</w:t>
      </w:r>
      <w:bookmarkEnd w:id="397"/>
      <w:bookmarkEnd w:id="398"/>
    </w:p>
    <w:p>
      <w:pPr>
        <w:pStyle w:val="Heading5"/>
      </w:pPr>
      <w:bookmarkStart w:id="399" w:name="_Toc389742116"/>
      <w:bookmarkStart w:id="400" w:name="_Toc33393131"/>
      <w:r>
        <w:rPr>
          <w:rStyle w:val="CharSectno"/>
        </w:rPr>
        <w:t>145</w:t>
      </w:r>
      <w:r>
        <w:t>.</w:t>
      </w:r>
      <w:r>
        <w:tab/>
        <w:t>Staff record</w:t>
      </w:r>
      <w:bookmarkEnd w:id="399"/>
      <w:bookmarkEnd w:id="400"/>
      <w:r>
        <w:t xml:space="preserve"> </w:t>
      </w:r>
    </w:p>
    <w:p>
      <w:pPr>
        <w:pStyle w:val="Subsection"/>
      </w:pPr>
      <w:r>
        <w:tab/>
        <w:t>(1)</w:t>
      </w:r>
      <w:r>
        <w:tab/>
        <w:t>The approved provider of a centre</w:t>
      </w:r>
      <w:r>
        <w:noBreakHyphen/>
        <w:t>based service must ensure that a staff record is kept for that service in accordance with this Division.</w:t>
      </w:r>
    </w:p>
    <w:p>
      <w:pPr>
        <w:pStyle w:val="Subsection"/>
      </w:pPr>
      <w:r>
        <w:tab/>
        <w:t>(2)</w:t>
      </w:r>
      <w:r>
        <w:tab/>
        <w:t xml:space="preserve">The staff record must include — </w:t>
      </w:r>
    </w:p>
    <w:p>
      <w:pPr>
        <w:pStyle w:val="Indenta"/>
      </w:pPr>
      <w:r>
        <w:tab/>
        <w:t>(a)</w:t>
      </w:r>
      <w:r>
        <w:tab/>
        <w:t>the information about nominated supervisors set out in regulation 146; and</w:t>
      </w:r>
    </w:p>
    <w:p>
      <w:pPr>
        <w:pStyle w:val="Indenta"/>
      </w:pPr>
      <w:r>
        <w:tab/>
        <w:t>(b)</w:t>
      </w:r>
      <w:r>
        <w:tab/>
        <w:t>the information about staff members set out in regulation 147; and</w:t>
      </w:r>
    </w:p>
    <w:p>
      <w:pPr>
        <w:pStyle w:val="Indenta"/>
      </w:pPr>
      <w:r>
        <w:tab/>
        <w:t>(c)</w:t>
      </w:r>
      <w:r>
        <w:tab/>
        <w:t>the information about the educational leader set out in regulation 148; and</w:t>
      </w:r>
    </w:p>
    <w:p>
      <w:pPr>
        <w:pStyle w:val="Indenta"/>
      </w:pPr>
      <w:r>
        <w:tab/>
        <w:t>(d)</w:t>
      </w:r>
      <w:r>
        <w:tab/>
        <w:t>the information about volunteers set out in regulation 149(1).</w:t>
      </w:r>
    </w:p>
    <w:p>
      <w:pPr>
        <w:pStyle w:val="NotesPerm"/>
        <w:tabs>
          <w:tab w:val="clear" w:pos="879"/>
          <w:tab w:val="left" w:pos="851"/>
        </w:tabs>
        <w:ind w:left="1418" w:hanging="1418"/>
      </w:pPr>
      <w:r>
        <w:tab/>
        <w:t>Note:</w:t>
      </w:r>
      <w:r>
        <w:tab/>
        <w:t>Other records are also required to be kept by the approved provider under this Division.</w:t>
      </w:r>
    </w:p>
    <w:p>
      <w:pPr>
        <w:pStyle w:val="Heading5"/>
      </w:pPr>
      <w:bookmarkStart w:id="401" w:name="_Toc389742117"/>
      <w:bookmarkStart w:id="402" w:name="_Toc33393132"/>
      <w:r>
        <w:rPr>
          <w:rStyle w:val="CharSectno"/>
        </w:rPr>
        <w:t>146</w:t>
      </w:r>
      <w:r>
        <w:t>.</w:t>
      </w:r>
      <w:r>
        <w:tab/>
        <w:t>Nominated supervisor</w:t>
      </w:r>
      <w:bookmarkEnd w:id="401"/>
      <w:bookmarkEnd w:id="402"/>
      <w:r>
        <w:t xml:space="preserve"> </w:t>
      </w:r>
    </w:p>
    <w:p>
      <w:pPr>
        <w:pStyle w:val="Subsection"/>
      </w:pPr>
      <w:r>
        <w:tab/>
      </w:r>
      <w:r>
        <w:tab/>
        <w:t xml:space="preserve">The staff record must include the following information in relation to the nominated supervisor — </w:t>
      </w:r>
    </w:p>
    <w:p>
      <w:pPr>
        <w:pStyle w:val="Indenta"/>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and the expiry date of that clearance.</w:t>
      </w:r>
    </w:p>
    <w:p>
      <w:pPr>
        <w:pStyle w:val="Footnotesection"/>
      </w:pPr>
      <w:r>
        <w:tab/>
        <w:t>[Regulation 146 amended in Gazette 13 Dec 2013 p.</w:t>
      </w:r>
      <w:r>
        <w:rPr>
          <w:sz w:val="19"/>
        </w:rPr>
        <w:t> </w:t>
      </w:r>
      <w:r>
        <w:t>6164.]</w:t>
      </w:r>
    </w:p>
    <w:p>
      <w:pPr>
        <w:pStyle w:val="Heading5"/>
      </w:pPr>
      <w:bookmarkStart w:id="403" w:name="_Toc389742118"/>
      <w:bookmarkStart w:id="404" w:name="_Toc33393133"/>
      <w:r>
        <w:rPr>
          <w:rStyle w:val="CharSectno"/>
        </w:rPr>
        <w:t>147</w:t>
      </w:r>
      <w:r>
        <w:t>.</w:t>
      </w:r>
      <w:r>
        <w:tab/>
        <w:t>Staff members</w:t>
      </w:r>
      <w:bookmarkEnd w:id="403"/>
      <w:bookmarkEnd w:id="404"/>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and the expiry date of that clearance.</w:t>
      </w:r>
    </w:p>
    <w:p>
      <w:pPr>
        <w:pStyle w:val="Footnotesection"/>
      </w:pPr>
      <w:r>
        <w:tab/>
        <w:t>[Regulation 147 amended in Gazette 13 Dec 2013 p.</w:t>
      </w:r>
      <w:r>
        <w:rPr>
          <w:sz w:val="19"/>
        </w:rPr>
        <w:t> </w:t>
      </w:r>
      <w:r>
        <w:t>6164</w:t>
      </w:r>
      <w:r>
        <w:noBreakHyphen/>
        <w:t>5.]</w:t>
      </w:r>
    </w:p>
    <w:p>
      <w:pPr>
        <w:pStyle w:val="Heading5"/>
      </w:pPr>
      <w:bookmarkStart w:id="405" w:name="_Toc389742119"/>
      <w:bookmarkStart w:id="406" w:name="_Toc33393134"/>
      <w:r>
        <w:rPr>
          <w:rStyle w:val="CharSectno"/>
        </w:rPr>
        <w:t>148</w:t>
      </w:r>
      <w:r>
        <w:t>.</w:t>
      </w:r>
      <w:r>
        <w:tab/>
        <w:t>Educational leader</w:t>
      </w:r>
      <w:bookmarkEnd w:id="405"/>
      <w:bookmarkEnd w:id="406"/>
      <w:r>
        <w:t xml:space="preserve"> </w:t>
      </w:r>
    </w:p>
    <w:p>
      <w:pPr>
        <w:pStyle w:val="Subsection"/>
      </w:pPr>
      <w:r>
        <w:tab/>
      </w:r>
      <w:r>
        <w:tab/>
        <w:t>The staff record must include the name of the person designated as the educational leader in accordance with regulation 118.</w:t>
      </w:r>
    </w:p>
    <w:p>
      <w:pPr>
        <w:pStyle w:val="Heading5"/>
      </w:pPr>
      <w:bookmarkStart w:id="407" w:name="_Toc389742120"/>
      <w:bookmarkStart w:id="408" w:name="_Toc33393135"/>
      <w:r>
        <w:rPr>
          <w:rStyle w:val="CharSectno"/>
        </w:rPr>
        <w:t>149</w:t>
      </w:r>
      <w:r>
        <w:t>.</w:t>
      </w:r>
      <w:r>
        <w:tab/>
        <w:t>Volunteers and students</w:t>
      </w:r>
      <w:bookmarkEnd w:id="407"/>
      <w:bookmarkEnd w:id="408"/>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409" w:name="_Toc389742121"/>
      <w:bookmarkStart w:id="410" w:name="_Toc33393136"/>
      <w:r>
        <w:rPr>
          <w:rStyle w:val="CharSectno"/>
        </w:rPr>
        <w:t>150</w:t>
      </w:r>
      <w:r>
        <w:t>.</w:t>
      </w:r>
      <w:r>
        <w:tab/>
        <w:t>Responsible person</w:t>
      </w:r>
      <w:bookmarkEnd w:id="409"/>
      <w:bookmarkEnd w:id="410"/>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411" w:name="_Toc389742122"/>
      <w:bookmarkStart w:id="412" w:name="_Toc33393137"/>
      <w:r>
        <w:rPr>
          <w:rStyle w:val="CharSectno"/>
        </w:rPr>
        <w:t>151</w:t>
      </w:r>
      <w:r>
        <w:t>.</w:t>
      </w:r>
      <w:r>
        <w:tab/>
        <w:t>Record of educators working directly with children</w:t>
      </w:r>
      <w:bookmarkEnd w:id="411"/>
      <w:bookmarkEnd w:id="412"/>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413" w:name="_Toc389742123"/>
      <w:bookmarkStart w:id="414" w:name="_Toc33393138"/>
      <w:r>
        <w:rPr>
          <w:rStyle w:val="CharSectno"/>
        </w:rPr>
        <w:t>152</w:t>
      </w:r>
      <w:r>
        <w:t>.</w:t>
      </w:r>
      <w:r>
        <w:tab/>
        <w:t>Record of access to early childhood teachers</w:t>
      </w:r>
      <w:bookmarkEnd w:id="413"/>
      <w:bookmarkEnd w:id="414"/>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415" w:name="_Toc389742124"/>
      <w:bookmarkStart w:id="416" w:name="_Toc33393139"/>
      <w:r>
        <w:t>Division 10 — Register of family day care educators and records of family day care service</w:t>
      </w:r>
      <w:bookmarkEnd w:id="415"/>
      <w:bookmarkEnd w:id="416"/>
    </w:p>
    <w:p>
      <w:pPr>
        <w:pStyle w:val="Heading5"/>
      </w:pPr>
      <w:bookmarkStart w:id="417" w:name="_Toc389742125"/>
      <w:bookmarkStart w:id="418" w:name="_Toc33393140"/>
      <w:r>
        <w:rPr>
          <w:rStyle w:val="CharSectno"/>
        </w:rPr>
        <w:t>153</w:t>
      </w:r>
      <w:r>
        <w:t>.</w:t>
      </w:r>
      <w:r>
        <w:tab/>
        <w:t>Register of family day care educators</w:t>
      </w:r>
      <w:bookmarkEnd w:id="417"/>
      <w:bookmarkEnd w:id="418"/>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419" w:name="_Toc389742126"/>
      <w:bookmarkStart w:id="420" w:name="_Toc33393141"/>
      <w:r>
        <w:rPr>
          <w:rStyle w:val="CharSectno"/>
        </w:rPr>
        <w:t>154</w:t>
      </w:r>
      <w:r>
        <w:t>.</w:t>
      </w:r>
      <w:r>
        <w:tab/>
        <w:t>Record of staff, family day care co</w:t>
      </w:r>
      <w:r>
        <w:noBreakHyphen/>
        <w:t>ordinators and family day care educator assistants</w:t>
      </w:r>
      <w:bookmarkEnd w:id="419"/>
      <w:bookmarkEnd w:id="420"/>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421" w:name="_Toc389742127"/>
      <w:bookmarkStart w:id="422" w:name="_Toc33393142"/>
      <w:r>
        <w:rPr>
          <w:rStyle w:val="CharDivNo"/>
        </w:rPr>
        <w:t>Part 4.5</w:t>
      </w:r>
      <w:r>
        <w:t> — </w:t>
      </w:r>
      <w:r>
        <w:rPr>
          <w:rStyle w:val="CharDivText"/>
        </w:rPr>
        <w:t>Relationships with children</w:t>
      </w:r>
      <w:bookmarkEnd w:id="421"/>
      <w:bookmarkEnd w:id="422"/>
    </w:p>
    <w:p>
      <w:pPr>
        <w:pStyle w:val="Heading5"/>
      </w:pPr>
      <w:bookmarkStart w:id="423" w:name="_Toc389742128"/>
      <w:bookmarkStart w:id="424" w:name="_Toc33393143"/>
      <w:r>
        <w:rPr>
          <w:rStyle w:val="CharSectno"/>
        </w:rPr>
        <w:t>155</w:t>
      </w:r>
      <w:r>
        <w:t>.</w:t>
      </w:r>
      <w:r>
        <w:tab/>
        <w:t>Interactions with children</w:t>
      </w:r>
      <w:bookmarkEnd w:id="423"/>
      <w:bookmarkEnd w:id="424"/>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25" w:name="_Toc389742129"/>
      <w:bookmarkStart w:id="426" w:name="_Toc33393144"/>
      <w:r>
        <w:rPr>
          <w:rStyle w:val="CharSectno"/>
        </w:rPr>
        <w:t>156</w:t>
      </w:r>
      <w:r>
        <w:t>.</w:t>
      </w:r>
      <w:r>
        <w:tab/>
        <w:t>Relationships in groups</w:t>
      </w:r>
      <w:bookmarkEnd w:id="425"/>
      <w:bookmarkEnd w:id="426"/>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427" w:name="_Toc389742130"/>
      <w:bookmarkStart w:id="428" w:name="_Toc33393145"/>
      <w:r>
        <w:rPr>
          <w:rStyle w:val="CharDivNo"/>
        </w:rPr>
        <w:t>Part 4.6</w:t>
      </w:r>
      <w:r>
        <w:t> — </w:t>
      </w:r>
      <w:r>
        <w:rPr>
          <w:rStyle w:val="CharDivText"/>
        </w:rPr>
        <w:t>Collaborative partnerships with families and communities</w:t>
      </w:r>
      <w:bookmarkEnd w:id="427"/>
      <w:bookmarkEnd w:id="428"/>
    </w:p>
    <w:p>
      <w:pPr>
        <w:pStyle w:val="Heading5"/>
      </w:pPr>
      <w:bookmarkStart w:id="429" w:name="_Toc389742131"/>
      <w:bookmarkStart w:id="430" w:name="_Toc33393146"/>
      <w:r>
        <w:rPr>
          <w:rStyle w:val="CharSectno"/>
        </w:rPr>
        <w:t>157</w:t>
      </w:r>
      <w:r>
        <w:t>.</w:t>
      </w:r>
      <w:r>
        <w:tab/>
        <w:t>Access for parents</w:t>
      </w:r>
      <w:bookmarkEnd w:id="429"/>
      <w:bookmarkEnd w:id="430"/>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pPr>
      <w:r>
        <w:tab/>
        <w:t>(4)</w:t>
      </w:r>
      <w:r>
        <w:tab/>
        <w:t xml:space="preserve">Despite subregulations (1) to (3), the approved provider, nominated supervisor or family day care educator is not required to allow a parent to enter the education and care service premises if — </w:t>
      </w:r>
    </w:p>
    <w:p>
      <w:pPr>
        <w:pStyle w:val="Indenta"/>
      </w:pPr>
      <w:r>
        <w:tab/>
        <w:t>(a)</w:t>
      </w:r>
      <w:r>
        <w:tab/>
        <w:t xml:space="preserve">permitting the parent’s entry would — </w:t>
      </w:r>
    </w:p>
    <w:p>
      <w:pPr>
        <w:pStyle w:val="Indenti"/>
      </w:pPr>
      <w:r>
        <w:tab/>
        <w:t>(i)</w:t>
      </w:r>
      <w:r>
        <w:tab/>
        <w:t>pose a risk to the safety of the children and staff of the education and care service; or</w:t>
      </w:r>
    </w:p>
    <w:p>
      <w:pPr>
        <w:pStyle w:val="Indenti"/>
      </w:pPr>
      <w:r>
        <w:tab/>
        <w:t>(ii)</w:t>
      </w:r>
      <w:r>
        <w:tab/>
        <w:t>conflict with any duty of the provider, supervisor or educator under the Law; or</w:t>
      </w:r>
    </w:p>
    <w:p>
      <w:pPr>
        <w:pStyle w:val="Indenta"/>
      </w:pPr>
      <w:r>
        <w:tab/>
        <w:t>(b)</w:t>
      </w:r>
      <w:r>
        <w:tab/>
        <w:t>the provider, supervisor or family day care educator is aware that the parent is prohibited by a court order from having contact with the child.</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431" w:name="_Toc389742132"/>
      <w:bookmarkStart w:id="432" w:name="_Toc33393147"/>
      <w:r>
        <w:rPr>
          <w:rStyle w:val="CharDivNo"/>
        </w:rPr>
        <w:t>Part 4.7</w:t>
      </w:r>
      <w:r>
        <w:t> — </w:t>
      </w:r>
      <w:r>
        <w:rPr>
          <w:rStyle w:val="CharDivText"/>
        </w:rPr>
        <w:t>Leadership and service management</w:t>
      </w:r>
      <w:bookmarkEnd w:id="431"/>
      <w:bookmarkEnd w:id="432"/>
    </w:p>
    <w:p>
      <w:pPr>
        <w:pStyle w:val="Heading4"/>
      </w:pPr>
      <w:bookmarkStart w:id="433" w:name="_Toc389742133"/>
      <w:bookmarkStart w:id="434" w:name="_Toc33393148"/>
      <w:r>
        <w:t>Division 1 — Management of services</w:t>
      </w:r>
      <w:bookmarkEnd w:id="433"/>
      <w:bookmarkEnd w:id="434"/>
    </w:p>
    <w:p>
      <w:pPr>
        <w:pStyle w:val="MiscellaneousHeading"/>
        <w:rPr>
          <w:b/>
        </w:rPr>
      </w:pPr>
      <w:r>
        <w:rPr>
          <w:b/>
        </w:rPr>
        <w:t>Subdivision 1 — Attendance and enrolment records</w:t>
      </w:r>
    </w:p>
    <w:p>
      <w:pPr>
        <w:pStyle w:val="Heading5"/>
      </w:pPr>
      <w:bookmarkStart w:id="435" w:name="_Toc389742134"/>
      <w:bookmarkStart w:id="436" w:name="_Toc33393149"/>
      <w:r>
        <w:rPr>
          <w:rStyle w:val="CharSectno"/>
        </w:rPr>
        <w:t>158</w:t>
      </w:r>
      <w:r>
        <w:t>.</w:t>
      </w:r>
      <w:r>
        <w:tab/>
        <w:t>Children’s attendance record to be kept by approved provider</w:t>
      </w:r>
      <w:bookmarkEnd w:id="435"/>
      <w:bookmarkEnd w:id="436"/>
      <w:r>
        <w:t xml:space="preserve"> </w:t>
      </w:r>
    </w:p>
    <w:p>
      <w:pPr>
        <w:pStyle w:val="Subsection"/>
      </w:pPr>
      <w:r>
        <w:tab/>
        <w:t>(1)</w:t>
      </w:r>
      <w:r>
        <w:tab/>
        <w:t xml:space="preserve">The approved provider of an education and care service must ensure that a record of attendance is kept for the service that — </w:t>
      </w:r>
    </w:p>
    <w:p>
      <w:pPr>
        <w:pStyle w:val="Indenta"/>
      </w:pPr>
      <w:r>
        <w:tab/>
        <w:t>(a)</w:t>
      </w:r>
      <w:r>
        <w:tab/>
        <w:t>records the full name of each child attending the service;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education and care service premises or collects the child from the education and care service premises;</w:t>
      </w:r>
    </w:p>
    <w:p>
      <w:pPr>
        <w:pStyle w:val="Indenti"/>
      </w:pPr>
      <w:r>
        <w:tab/>
        <w:t>(ii)</w:t>
      </w:r>
      <w:r>
        <w:tab/>
        <w:t>the nominated supervisor or an educator.</w:t>
      </w:r>
    </w:p>
    <w:p>
      <w:pPr>
        <w:pStyle w:val="Subsection"/>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pPr>
      <w:bookmarkStart w:id="437" w:name="_Toc389742135"/>
      <w:bookmarkStart w:id="438" w:name="_Toc33393150"/>
      <w:r>
        <w:rPr>
          <w:rStyle w:val="CharSectno"/>
        </w:rPr>
        <w:t>159</w:t>
      </w:r>
      <w:r>
        <w:t>.</w:t>
      </w:r>
      <w:r>
        <w:tab/>
        <w:t>Children’s attendance record to be kept by family day care educator</w:t>
      </w:r>
      <w:bookmarkEnd w:id="437"/>
      <w:bookmarkEnd w:id="438"/>
      <w:r>
        <w:t xml:space="preserve"> </w:t>
      </w:r>
    </w:p>
    <w:p>
      <w:pPr>
        <w:pStyle w:val="Subsection"/>
      </w:pPr>
      <w:r>
        <w:tab/>
      </w:r>
      <w:r>
        <w:tab/>
        <w:t xml:space="preserve">A family day care educator must keep a record of attendance that — </w:t>
      </w:r>
    </w:p>
    <w:p>
      <w:pPr>
        <w:pStyle w:val="Indenta"/>
      </w:pPr>
      <w:r>
        <w:tab/>
        <w:t>(a)</w:t>
      </w:r>
      <w:r>
        <w:tab/>
        <w:t>records the full name of each child being educated and cared for at the family day care residence or approved family day care venue;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family day care residence or venue or collects the child from the family day care residence or venue;</w:t>
      </w:r>
    </w:p>
    <w:p>
      <w:pPr>
        <w:pStyle w:val="Indenti"/>
      </w:pPr>
      <w:r>
        <w:tab/>
        <w:t>(ii)</w:t>
      </w:r>
      <w:r>
        <w:tab/>
        <w:t>if the signature of the person who delivers the child cannot reasonably be obtained — the family day care educator.</w:t>
      </w:r>
    </w:p>
    <w:p>
      <w:pPr>
        <w:pStyle w:val="Heading5"/>
      </w:pPr>
      <w:bookmarkStart w:id="439" w:name="_Toc389742136"/>
      <w:bookmarkStart w:id="440" w:name="_Toc33393151"/>
      <w:r>
        <w:rPr>
          <w:rStyle w:val="CharSectno"/>
        </w:rPr>
        <w:t>160</w:t>
      </w:r>
      <w:r>
        <w:t>.</w:t>
      </w:r>
      <w:r>
        <w:tab/>
        <w:t>Child enrolment records to be kept by approved provider and family day care educator</w:t>
      </w:r>
      <w:bookmarkEnd w:id="439"/>
      <w:bookmarkEnd w:id="440"/>
      <w:r>
        <w:t xml:space="preserve"> </w:t>
      </w:r>
    </w:p>
    <w:p>
      <w:pPr>
        <w:pStyle w:val="Subsection"/>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441" w:name="_Toc389742137"/>
      <w:bookmarkStart w:id="442" w:name="_Toc33393152"/>
      <w:r>
        <w:rPr>
          <w:rStyle w:val="CharSectno"/>
        </w:rPr>
        <w:t>161</w:t>
      </w:r>
      <w:r>
        <w:t>.</w:t>
      </w:r>
      <w:r>
        <w:tab/>
        <w:t>Authorisations to be kept in enrolment record</w:t>
      </w:r>
      <w:bookmarkEnd w:id="441"/>
      <w:bookmarkEnd w:id="442"/>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family day care educator to take the child on regular outings.</w:t>
      </w:r>
    </w:p>
    <w:p>
      <w:pPr>
        <w:pStyle w:val="Heading5"/>
      </w:pPr>
      <w:bookmarkStart w:id="443" w:name="_Toc389742138"/>
      <w:bookmarkStart w:id="444" w:name="_Toc33393153"/>
      <w:r>
        <w:rPr>
          <w:rStyle w:val="CharSectno"/>
        </w:rPr>
        <w:t>162</w:t>
      </w:r>
      <w:r>
        <w:t>.</w:t>
      </w:r>
      <w:r>
        <w:tab/>
        <w:t>Health information to be kept in enrolment record</w:t>
      </w:r>
      <w:bookmarkEnd w:id="443"/>
      <w:bookmarkEnd w:id="444"/>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 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rPr>
          <w:b/>
          <w:bCs/>
        </w:rPr>
      </w:pPr>
      <w:r>
        <w:rPr>
          <w:b/>
          <w:bCs/>
        </w:rPr>
        <w:t>Subdivision 2 — Residents at family day care residences and family day care educator assistants</w:t>
      </w:r>
    </w:p>
    <w:p>
      <w:pPr>
        <w:pStyle w:val="Heading5"/>
      </w:pPr>
      <w:bookmarkStart w:id="445" w:name="_Toc389742139"/>
      <w:bookmarkStart w:id="446" w:name="_Toc33393154"/>
      <w:r>
        <w:rPr>
          <w:rStyle w:val="CharSectno"/>
        </w:rPr>
        <w:t>163</w:t>
      </w:r>
      <w:r>
        <w:t>.</w:t>
      </w:r>
      <w:r>
        <w:tab/>
        <w:t>Residents at family day care residence and family day care educator assistants to be fit and proper persons</w:t>
      </w:r>
      <w:bookmarkEnd w:id="445"/>
      <w:bookmarkEnd w:id="446"/>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pPr>
      <w:r>
        <w:tab/>
        <w:t>(4A)</w:t>
      </w:r>
      <w:r>
        <w:tab/>
        <w:t>In New South Wales or Queensland, the approved provider must consider the person’s current working with children check or working with children card.</w:t>
      </w:r>
    </w:p>
    <w:p>
      <w:pPr>
        <w:pStyle w:val="Subsection"/>
      </w:pPr>
      <w:r>
        <w:tab/>
        <w:t>(4B)</w:t>
      </w:r>
      <w:r>
        <w:tab/>
        <w:t>In Victoria, the approved provider must consider the person’s current working with children check or current teacher registration.</w:t>
      </w:r>
    </w:p>
    <w:p>
      <w:pPr>
        <w:pStyle w:val="Subsection"/>
      </w:pPr>
      <w:r>
        <w:tab/>
        <w:t>(4C)</w:t>
      </w:r>
      <w:r>
        <w:tab/>
        <w:t>In Tasmania, the approved provider must consider the person’s safety screening clearance.</w:t>
      </w:r>
    </w:p>
    <w:p>
      <w:pPr>
        <w:pStyle w:val="Subsection"/>
      </w:pPr>
      <w:r>
        <w:tab/>
        <w:t>(5)</w:t>
      </w:r>
      <w:r>
        <w:tab/>
        <w:t xml:space="preserve">For the purposes of subregulation (4)(b), if a person who does not hold a working with children check or working with children card — </w:t>
      </w:r>
    </w:p>
    <w:p>
      <w:pPr>
        <w:pStyle w:val="Indenta"/>
      </w:pPr>
      <w:r>
        <w:tab/>
        <w:t>(a)</w:t>
      </w:r>
      <w:r>
        <w:tab/>
        <w:t>attains the age of 18 years; and</w:t>
      </w:r>
    </w:p>
    <w:p>
      <w:pPr>
        <w:pStyle w:val="Indenta"/>
      </w:pPr>
      <w:r>
        <w:tab/>
        <w:t>(b)</w:t>
      </w:r>
      <w:r>
        <w:tab/>
        <w:t xml:space="preserve">has applied for a working with children check or working with children card — </w:t>
      </w:r>
    </w:p>
    <w:p>
      <w:pPr>
        <w:pStyle w:val="Subsection"/>
      </w:pPr>
      <w:r>
        <w:tab/>
      </w:r>
      <w:r>
        <w:tab/>
        <w:t>the person is taken to hold the check or card until the application is determined.</w:t>
      </w:r>
    </w:p>
    <w:p>
      <w:pPr>
        <w:pStyle w:val="NotesPerm"/>
        <w:tabs>
          <w:tab w:val="clear" w:pos="879"/>
          <w:tab w:val="left" w:pos="851"/>
        </w:tabs>
        <w:ind w:left="1418" w:hanging="1418"/>
      </w:pPr>
      <w:r>
        <w:tab/>
        <w:t>Note:</w:t>
      </w:r>
      <w:r>
        <w:tab/>
        <w:t>A compliance direction may be issued for failure to comply with subregulation (1) or (2).</w:t>
      </w:r>
    </w:p>
    <w:p>
      <w:pPr>
        <w:pStyle w:val="Footnotesection"/>
      </w:pPr>
      <w:r>
        <w:tab/>
        <w:t>[Regulation 163 amended in Gazette 13 Dec 2013 p.</w:t>
      </w:r>
      <w:r>
        <w:rPr>
          <w:sz w:val="19"/>
        </w:rPr>
        <w:t> </w:t>
      </w:r>
      <w:r>
        <w:t>6165.]</w:t>
      </w:r>
    </w:p>
    <w:p>
      <w:pPr>
        <w:pStyle w:val="Heading5"/>
      </w:pPr>
      <w:bookmarkStart w:id="447" w:name="_Toc389742140"/>
      <w:bookmarkStart w:id="448" w:name="_Toc33393155"/>
      <w:r>
        <w:rPr>
          <w:rStyle w:val="CharSectno"/>
        </w:rPr>
        <w:t>164</w:t>
      </w:r>
      <w:r>
        <w:t>.</w:t>
      </w:r>
      <w:r>
        <w:tab/>
        <w:t>Requirement for notice of new persons at residence</w:t>
      </w:r>
      <w:bookmarkEnd w:id="447"/>
      <w:bookmarkEnd w:id="448"/>
      <w:r>
        <w:t xml:space="preserve"> </w:t>
      </w:r>
    </w:p>
    <w:p>
      <w:pPr>
        <w:pStyle w:val="Subsection"/>
      </w:pPr>
      <w:r>
        <w:tab/>
      </w:r>
      <w:r>
        <w:tab/>
        <w:t xml:space="preserve">The approved provider of a family day care service must require each family day care educator to notify the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49" w:name="_Toc389742141"/>
      <w:bookmarkStart w:id="450" w:name="_Toc33393156"/>
      <w:r>
        <w:rPr>
          <w:rStyle w:val="CharSectno"/>
        </w:rPr>
        <w:t>165</w:t>
      </w:r>
      <w:r>
        <w:t>.</w:t>
      </w:r>
      <w:r>
        <w:tab/>
        <w:t>Record of visitors</w:t>
      </w:r>
      <w:bookmarkEnd w:id="449"/>
      <w:bookmarkEnd w:id="450"/>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51" w:name="_Toc389742142"/>
      <w:bookmarkStart w:id="452" w:name="_Toc33393157"/>
      <w:r>
        <w:rPr>
          <w:rStyle w:val="CharSectno"/>
        </w:rPr>
        <w:t>166</w:t>
      </w:r>
      <w:r>
        <w:t>.</w:t>
      </w:r>
      <w:r>
        <w:tab/>
        <w:t>Children not to be alone with visitors</w:t>
      </w:r>
      <w:bookmarkEnd w:id="451"/>
      <w:bookmarkEnd w:id="45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bCs/>
        </w:rPr>
      </w:pPr>
      <w:r>
        <w:rPr>
          <w:b/>
          <w:bCs/>
        </w:rPr>
        <w:t>Subdivision 3 — Record of service’s compliance</w:t>
      </w:r>
    </w:p>
    <w:p>
      <w:pPr>
        <w:pStyle w:val="Heading5"/>
      </w:pPr>
      <w:bookmarkStart w:id="453" w:name="_Toc389742143"/>
      <w:bookmarkStart w:id="454" w:name="_Toc33393158"/>
      <w:r>
        <w:rPr>
          <w:rStyle w:val="CharSectno"/>
        </w:rPr>
        <w:t>167</w:t>
      </w:r>
      <w:r>
        <w:t>.</w:t>
      </w:r>
      <w:r>
        <w:tab/>
        <w:t>Record of service’s compliance</w:t>
      </w:r>
      <w:bookmarkEnd w:id="453"/>
      <w:bookmarkEnd w:id="454"/>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pPr>
      <w:r>
        <w:tab/>
        <w:t>(a)</w:t>
      </w:r>
      <w:r>
        <w:tab/>
        <w:t>the period for seeking internal or external review under section 191 or 193 of the Law has not yet expired; or</w:t>
      </w:r>
    </w:p>
    <w:p>
      <w:pPr>
        <w:pStyle w:val="Indenta"/>
      </w:pPr>
      <w:r>
        <w:tab/>
        <w:t>(b)</w:t>
      </w:r>
      <w:r>
        <w:tab/>
        <w:t>an application for internal or external review under section 191 or 193 of the Law has been made but not yet determined; or</w:t>
      </w:r>
    </w:p>
    <w:p>
      <w:pPr>
        <w:pStyle w:val="Indenta"/>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455" w:name="_Toc389742144"/>
      <w:bookmarkStart w:id="456" w:name="_Toc33393159"/>
      <w:r>
        <w:t>Division 2 — Policies and procedures</w:t>
      </w:r>
      <w:bookmarkEnd w:id="455"/>
      <w:bookmarkEnd w:id="456"/>
    </w:p>
    <w:p>
      <w:pPr>
        <w:pStyle w:val="Heading5"/>
      </w:pPr>
      <w:bookmarkStart w:id="457" w:name="_Toc389742145"/>
      <w:bookmarkStart w:id="458" w:name="_Toc33393160"/>
      <w:r>
        <w:rPr>
          <w:rStyle w:val="CharSectno"/>
        </w:rPr>
        <w:t>168</w:t>
      </w:r>
      <w:r>
        <w:t>.</w:t>
      </w:r>
      <w:r>
        <w:tab/>
        <w:t>Education and care service must have policies and procedures</w:t>
      </w:r>
      <w:bookmarkEnd w:id="457"/>
      <w:bookmarkEnd w:id="458"/>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pPr>
      <w:r>
        <w:tab/>
        <w:t>(a)</w:t>
      </w:r>
      <w:r>
        <w:tab/>
        <w:t xml:space="preserve">health and safety, including matters relating to — </w:t>
      </w:r>
    </w:p>
    <w:p>
      <w:pPr>
        <w:pStyle w:val="Indenti"/>
      </w:pPr>
      <w:r>
        <w:tab/>
        <w:t>(i)</w:t>
      </w:r>
      <w:r>
        <w:tab/>
        <w:t>nutrition, food and beverages, dietary requirements; and</w:t>
      </w:r>
    </w:p>
    <w:p>
      <w:pPr>
        <w:pStyle w:val="Indenti"/>
      </w:pPr>
      <w:r>
        <w:tab/>
        <w:t>(ii)</w:t>
      </w:r>
      <w:r>
        <w:tab/>
        <w:t>sun protection; and</w:t>
      </w:r>
    </w:p>
    <w:p>
      <w:pPr>
        <w:pStyle w:val="Indenti"/>
      </w:pPr>
      <w:r>
        <w:tab/>
        <w:t>(iii)</w:t>
      </w:r>
      <w:r>
        <w:tab/>
        <w:t>water safety, including safety during any water</w:t>
      </w:r>
      <w:r>
        <w:noBreakHyphen/>
        <w:t>based activities; and</w:t>
      </w:r>
    </w:p>
    <w:p>
      <w:pPr>
        <w:pStyle w:val="Indenti"/>
      </w:pPr>
      <w:r>
        <w:tab/>
        <w:t>(iv)</w:t>
      </w:r>
      <w:r>
        <w:tab/>
        <w:t>the administration of first aid;</w:t>
      </w:r>
    </w:p>
    <w:p>
      <w:pPr>
        <w:pStyle w:val="Indenta"/>
      </w:pPr>
      <w:r>
        <w:tab/>
        <w:t>(b)</w:t>
      </w:r>
      <w:r>
        <w:tab/>
        <w:t>incident, injury, trauma and illness procedures complying with regulation 85;</w:t>
      </w:r>
    </w:p>
    <w:p>
      <w:pPr>
        <w:pStyle w:val="Indenta"/>
      </w:pPr>
      <w:r>
        <w:tab/>
        <w:t>(c)</w:t>
      </w:r>
      <w:r>
        <w:tab/>
        <w:t>dealing with infectious diseases, including procedures complying with regulation 88;</w:t>
      </w:r>
    </w:p>
    <w:p>
      <w:pPr>
        <w:pStyle w:val="Indenta"/>
      </w:pPr>
      <w:r>
        <w:tab/>
        <w:t>(d)</w:t>
      </w:r>
      <w:r>
        <w:tab/>
        <w:t>dealing with medical conditions in children, including the matters set out in regulation 90;</w:t>
      </w:r>
    </w:p>
    <w:p>
      <w:pPr>
        <w:pStyle w:val="Indenta"/>
      </w:pPr>
      <w:r>
        <w:tab/>
        <w:t>(e)</w:t>
      </w:r>
      <w:r>
        <w:tab/>
        <w:t>emergency and evacuation, including the matters set out in regulation 97;</w:t>
      </w:r>
    </w:p>
    <w:p>
      <w:pPr>
        <w:pStyle w:val="Indenta"/>
      </w:pPr>
      <w:r>
        <w:tab/>
        <w:t>(f)</w:t>
      </w:r>
      <w:r>
        <w:tab/>
        <w:t xml:space="preserve">delivery of children to, and collection of children from, education and care service premises, including procedures complying with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pPr>
      <w:r>
        <w:tab/>
        <w:t>(g)</w:t>
      </w:r>
      <w:r>
        <w:tab/>
        <w:t>excursions, including procedures complying with regulations 100 to 102;</w:t>
      </w:r>
    </w:p>
    <w:p>
      <w:pPr>
        <w:pStyle w:val="Indenta"/>
      </w:pPr>
      <w:r>
        <w:tab/>
        <w:t>(h)</w:t>
      </w:r>
      <w:r>
        <w:tab/>
        <w:t>providing a child safe environment;</w:t>
      </w:r>
    </w:p>
    <w:p>
      <w:pPr>
        <w:pStyle w:val="Indenta"/>
      </w:pPr>
      <w:r>
        <w:tab/>
        <w:t>(i)</w:t>
      </w:r>
      <w:r>
        <w:tab/>
        <w:t xml:space="preserve">staffing, including — </w:t>
      </w:r>
    </w:p>
    <w:p>
      <w:pPr>
        <w:pStyle w:val="Indenti"/>
      </w:pPr>
      <w:r>
        <w:tab/>
        <w:t>(i)</w:t>
      </w:r>
      <w:r>
        <w:tab/>
        <w:t>a code of conduct for staff members; and</w:t>
      </w:r>
    </w:p>
    <w:p>
      <w:pPr>
        <w:pStyle w:val="Indenti"/>
      </w:pPr>
      <w:r>
        <w:tab/>
        <w:t>(ii)</w:t>
      </w:r>
      <w:r>
        <w:tab/>
        <w:t>determining the responsible person present at the service; and</w:t>
      </w:r>
    </w:p>
    <w:p>
      <w:pPr>
        <w:pStyle w:val="Indenti"/>
      </w:pPr>
      <w:r>
        <w:tab/>
        <w:t>(iii)</w:t>
      </w:r>
      <w:r>
        <w:tab/>
        <w:t>the participation of volunteers and students on practicum placements;</w:t>
      </w:r>
    </w:p>
    <w:p>
      <w:pPr>
        <w:pStyle w:val="Indenta"/>
      </w:pPr>
      <w:r>
        <w:tab/>
        <w:t>(j)</w:t>
      </w:r>
      <w:r>
        <w:tab/>
        <w:t>interactions with children, including the matters set out in regulations 155 and 156;</w:t>
      </w:r>
    </w:p>
    <w:p>
      <w:pPr>
        <w:pStyle w:val="Indenta"/>
      </w:pPr>
      <w:r>
        <w:tab/>
        <w:t>(k)</w:t>
      </w:r>
      <w:r>
        <w:tab/>
        <w:t>enrolment and orientation;</w:t>
      </w:r>
    </w:p>
    <w:p>
      <w:pPr>
        <w:pStyle w:val="Indenta"/>
      </w:pPr>
      <w:r>
        <w:tab/>
        <w:t>(l)</w:t>
      </w:r>
      <w:r>
        <w:tab/>
        <w:t>governance and management of the service, including confidentiality of records;</w:t>
      </w:r>
    </w:p>
    <w:p>
      <w:pPr>
        <w:pStyle w:val="Indenta"/>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This regulation differs from regulation 168 of the national regulations made by the Ministerial Council.</w:t>
      </w:r>
    </w:p>
    <w:p>
      <w:pPr>
        <w:pStyle w:val="Heading5"/>
      </w:pPr>
      <w:bookmarkStart w:id="459" w:name="_Toc389742146"/>
      <w:bookmarkStart w:id="460" w:name="_Toc33393161"/>
      <w:r>
        <w:rPr>
          <w:rStyle w:val="CharSectno"/>
        </w:rPr>
        <w:t>169</w:t>
      </w:r>
      <w:r>
        <w:t>.</w:t>
      </w:r>
      <w:r>
        <w:tab/>
        <w:t>Additional policies and procedures — family day care service</w:t>
      </w:r>
      <w:bookmarkEnd w:id="459"/>
      <w:bookmarkEnd w:id="460"/>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tabs>
          <w:tab w:val="clear" w:pos="879"/>
        </w:tabs>
        <w:ind w:left="851" w:hanging="851"/>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461" w:name="_Toc389742147"/>
      <w:bookmarkStart w:id="462" w:name="_Toc33393162"/>
      <w:r>
        <w:rPr>
          <w:rStyle w:val="CharSectno"/>
        </w:rPr>
        <w:t>170</w:t>
      </w:r>
      <w:r>
        <w:t>.</w:t>
      </w:r>
      <w:r>
        <w:tab/>
        <w:t>Policies and procedures to be followed</w:t>
      </w:r>
      <w:bookmarkEnd w:id="461"/>
      <w:bookmarkEnd w:id="462"/>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463" w:name="_Toc389742148"/>
      <w:bookmarkStart w:id="464" w:name="_Toc33393163"/>
      <w:r>
        <w:rPr>
          <w:rStyle w:val="CharSectno"/>
        </w:rPr>
        <w:t>171</w:t>
      </w:r>
      <w:r>
        <w:t>.</w:t>
      </w:r>
      <w:r>
        <w:tab/>
        <w:t>Policies and procedures to be kept available</w:t>
      </w:r>
      <w:bookmarkEnd w:id="463"/>
      <w:bookmarkEnd w:id="464"/>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465" w:name="_Toc389742149"/>
      <w:bookmarkStart w:id="466" w:name="_Toc33393164"/>
      <w:r>
        <w:rPr>
          <w:rStyle w:val="CharSectno"/>
        </w:rPr>
        <w:t>172</w:t>
      </w:r>
      <w:r>
        <w:t>.</w:t>
      </w:r>
      <w:r>
        <w:tab/>
        <w:t>Notification of change to policies or procedures</w:t>
      </w:r>
      <w:bookmarkEnd w:id="465"/>
      <w:bookmarkEnd w:id="466"/>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pPr>
      <w:bookmarkStart w:id="467" w:name="_Toc389742150"/>
      <w:bookmarkStart w:id="468" w:name="_Toc33393165"/>
      <w:r>
        <w:t>Division 3 — Information and record</w:t>
      </w:r>
      <w:r>
        <w:noBreakHyphen/>
        <w:t>keeping requirements</w:t>
      </w:r>
      <w:bookmarkEnd w:id="467"/>
      <w:bookmarkEnd w:id="468"/>
    </w:p>
    <w:p>
      <w:pPr>
        <w:pStyle w:val="MiscellaneousHeading"/>
        <w:rPr>
          <w:b/>
          <w:bCs/>
        </w:rPr>
      </w:pPr>
      <w:r>
        <w:rPr>
          <w:b/>
          <w:bCs/>
        </w:rPr>
        <w:t>Subdivision 1 — Display and reporting of prescribed information</w:t>
      </w:r>
    </w:p>
    <w:p>
      <w:pPr>
        <w:pStyle w:val="Heading5"/>
      </w:pPr>
      <w:bookmarkStart w:id="469" w:name="_Toc389742151"/>
      <w:bookmarkStart w:id="470" w:name="_Toc33393166"/>
      <w:r>
        <w:rPr>
          <w:rStyle w:val="CharSectno"/>
        </w:rPr>
        <w:t>173</w:t>
      </w:r>
      <w:r>
        <w:t>.</w:t>
      </w:r>
      <w:r>
        <w:tab/>
        <w:t>Prescribed information to be displayed</w:t>
      </w:r>
      <w:bookmarkEnd w:id="469"/>
      <w:bookmarkEnd w:id="470"/>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471" w:name="_Toc389742152"/>
      <w:bookmarkStart w:id="472" w:name="_Toc33393167"/>
      <w:r>
        <w:rPr>
          <w:rStyle w:val="CharSectno"/>
        </w:rPr>
        <w:t>174</w:t>
      </w:r>
      <w:r>
        <w:t>.</w:t>
      </w:r>
      <w:r>
        <w:tab/>
        <w:t>Time to notify certain circumstances to Regulatory Authority</w:t>
      </w:r>
      <w:bookmarkEnd w:id="471"/>
      <w:bookmarkEnd w:id="472"/>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473" w:name="_Toc389742153"/>
      <w:bookmarkStart w:id="474" w:name="_Toc33393168"/>
      <w:r>
        <w:rPr>
          <w:rStyle w:val="CharSectno"/>
        </w:rPr>
        <w:t>175</w:t>
      </w:r>
      <w:r>
        <w:t>.</w:t>
      </w:r>
      <w:r>
        <w:tab/>
        <w:t>Prescribed information to be notified to Regulatory Authority</w:t>
      </w:r>
      <w:bookmarkEnd w:id="473"/>
      <w:bookmarkEnd w:id="474"/>
      <w:r>
        <w:t xml:space="preserve"> </w:t>
      </w:r>
    </w:p>
    <w:p>
      <w:pPr>
        <w:pStyle w:val="Subsection"/>
      </w:pPr>
      <w:r>
        <w:tab/>
        <w:t>(1)</w:t>
      </w:r>
      <w:r>
        <w:tab/>
        <w:t xml:space="preserve">For the purposes of section 174(1)(b) of the Law, the following matters are prescribed — </w:t>
      </w:r>
    </w:p>
    <w:p>
      <w:pPr>
        <w:pStyle w:val="Indenta"/>
      </w:pPr>
      <w:r>
        <w:tab/>
        <w:t>(a)</w:t>
      </w:r>
      <w:r>
        <w:tab/>
        <w:t>any change to the address of the approved provider or the principal office of the approved provider, or the contact details of the approved provider;</w:t>
      </w:r>
    </w:p>
    <w:p>
      <w:pPr>
        <w:pStyle w:val="Indenta"/>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pPr>
      <w:r>
        <w:tab/>
        <w:t>(a)</w:t>
      </w:r>
      <w:r>
        <w:tab/>
        <w:t>any change to the hours and days of operation of the education and care service;</w:t>
      </w:r>
    </w:p>
    <w:p>
      <w:pPr>
        <w:pStyle w:val="Indenta"/>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ind w:left="1701" w:hanging="1701"/>
      </w:pPr>
      <w:r>
        <w:tab/>
        <w:t xml:space="preserve">Example: </w:t>
      </w:r>
      <w:r>
        <w:tab/>
        <w:t>A flood or a fire that requires an approved provider to close the education and care service premises (or part of those premises) while repairs are undertaken.</w:t>
      </w:r>
    </w:p>
    <w:p>
      <w:pPr>
        <w:pStyle w:val="Indenta"/>
      </w:pPr>
      <w:r>
        <w:tab/>
        <w:t>(c)</w:t>
      </w:r>
      <w:r>
        <w:tab/>
        <w:t>any circumstance arising at the service that poses a risk to the health, safety or wellbeing of a child or children attending the service;</w:t>
      </w:r>
    </w:p>
    <w:p>
      <w:pPr>
        <w:pStyle w:val="Indenta"/>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pPr>
      <w:r>
        <w:tab/>
        <w:t>(i)</w:t>
      </w:r>
      <w:r>
        <w:tab/>
        <w:t>a description of the emergency; and</w:t>
      </w:r>
    </w:p>
    <w:p>
      <w:pPr>
        <w:pStyle w:val="Indenti"/>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475" w:name="_Toc389742154"/>
      <w:bookmarkStart w:id="476" w:name="_Toc33393169"/>
      <w:r>
        <w:rPr>
          <w:rStyle w:val="CharSectno"/>
        </w:rPr>
        <w:t>176</w:t>
      </w:r>
      <w:r>
        <w:t>.</w:t>
      </w:r>
      <w:r>
        <w:tab/>
        <w:t>Time to notify certain information to Regulatory Authority</w:t>
      </w:r>
      <w:bookmarkEnd w:id="475"/>
      <w:bookmarkEnd w:id="47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rPr>
          <w:b/>
          <w:bCs/>
        </w:rPr>
      </w:pPr>
      <w:r>
        <w:rPr>
          <w:b/>
          <w:bCs/>
        </w:rPr>
        <w:t>Subdivision 2 — Prescribed records</w:t>
      </w:r>
    </w:p>
    <w:p>
      <w:pPr>
        <w:pStyle w:val="Heading5"/>
      </w:pPr>
      <w:bookmarkStart w:id="477" w:name="_Toc389742155"/>
      <w:bookmarkStart w:id="478" w:name="_Toc33393170"/>
      <w:r>
        <w:rPr>
          <w:rStyle w:val="CharSectno"/>
        </w:rPr>
        <w:t>177</w:t>
      </w:r>
      <w:r>
        <w:t>.</w:t>
      </w:r>
      <w:r>
        <w:tab/>
        <w:t>Prescribed enrolment and other documents to be kept by approved provider</w:t>
      </w:r>
      <w:bookmarkEnd w:id="477"/>
      <w:bookmarkEnd w:id="47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A compliance direction may be issued for failure to comply with subregulation (2) or (3).</w:t>
      </w:r>
    </w:p>
    <w:p>
      <w:pPr>
        <w:pStyle w:val="NotesPerm"/>
        <w:tabs>
          <w:tab w:val="clear" w:pos="879"/>
          <w:tab w:val="left" w:pos="851"/>
        </w:tabs>
        <w:ind w:left="1418" w:hanging="1418"/>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479" w:name="_Toc389742156"/>
      <w:bookmarkStart w:id="480" w:name="_Toc33393171"/>
      <w:r>
        <w:rPr>
          <w:rStyle w:val="CharSectno"/>
        </w:rPr>
        <w:t>178</w:t>
      </w:r>
      <w:r>
        <w:t>.</w:t>
      </w:r>
      <w:r>
        <w:tab/>
        <w:t>Prescribed enrolment and other documents to be kept by family day care educator</w:t>
      </w:r>
      <w:bookmarkEnd w:id="479"/>
      <w:bookmarkEnd w:id="480"/>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481" w:name="_Toc389742157"/>
      <w:bookmarkStart w:id="482" w:name="_Toc33393172"/>
      <w:r>
        <w:rPr>
          <w:rStyle w:val="CharSectno"/>
        </w:rPr>
        <w:t>179</w:t>
      </w:r>
      <w:r>
        <w:t>.</w:t>
      </w:r>
      <w:r>
        <w:tab/>
        <w:t>Family day care educator to provide documents on leaving service</w:t>
      </w:r>
      <w:bookmarkEnd w:id="481"/>
      <w:bookmarkEnd w:id="482"/>
      <w:r>
        <w:t xml:space="preserve"> </w:t>
      </w:r>
    </w:p>
    <w:p>
      <w:pPr>
        <w:pStyle w:val="Subsection"/>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bCs/>
        </w:rPr>
      </w:pPr>
      <w:r>
        <w:rPr>
          <w:b/>
          <w:bCs/>
        </w:rPr>
        <w:t>Subdivision 3 — Insurance information</w:t>
      </w:r>
    </w:p>
    <w:p>
      <w:pPr>
        <w:pStyle w:val="Heading5"/>
      </w:pPr>
      <w:bookmarkStart w:id="483" w:name="_Toc389742158"/>
      <w:bookmarkStart w:id="484" w:name="_Toc33393173"/>
      <w:r>
        <w:rPr>
          <w:rStyle w:val="CharSectno"/>
        </w:rPr>
        <w:t>180</w:t>
      </w:r>
      <w:r>
        <w:t>.</w:t>
      </w:r>
      <w:r>
        <w:tab/>
        <w:t>Evidence of prescribed insurance</w:t>
      </w:r>
      <w:bookmarkEnd w:id="483"/>
      <w:bookmarkEnd w:id="484"/>
      <w:r>
        <w:t xml:space="preserve"> </w:t>
      </w:r>
    </w:p>
    <w:p>
      <w:pPr>
        <w:pStyle w:val="Subsection"/>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pPr>
      <w:r>
        <w:tab/>
        <w:t>(3)</w:t>
      </w:r>
      <w:r>
        <w:tab/>
        <w:t>Subregulation (1) does not apply if the prescribed insurance for the education and care service is a policy of insurance or an indemnity provided by the Government of a State or Territory.</w:t>
      </w:r>
    </w:p>
    <w:p>
      <w:pPr>
        <w:pStyle w:val="MiscellaneousHeading"/>
        <w:rPr>
          <w:b/>
          <w:bCs/>
        </w:rPr>
      </w:pPr>
      <w:r>
        <w:rPr>
          <w:b/>
          <w:bCs/>
        </w:rPr>
        <w:t>Subdivision 4 — Confidentiality and storage of records</w:t>
      </w:r>
    </w:p>
    <w:p>
      <w:pPr>
        <w:pStyle w:val="Heading5"/>
      </w:pPr>
      <w:bookmarkStart w:id="485" w:name="_Toc389742159"/>
      <w:bookmarkStart w:id="486" w:name="_Toc33393174"/>
      <w:r>
        <w:rPr>
          <w:rStyle w:val="CharSectno"/>
        </w:rPr>
        <w:t>181</w:t>
      </w:r>
      <w:r>
        <w:t>.</w:t>
      </w:r>
      <w:r>
        <w:tab/>
        <w:t>Confidentiality of records kept by approved provider</w:t>
      </w:r>
      <w:bookmarkEnd w:id="485"/>
      <w:bookmarkEnd w:id="486"/>
      <w:r>
        <w:t xml:space="preserve"> </w:t>
      </w:r>
    </w:p>
    <w:p>
      <w:pPr>
        <w:pStyle w:val="Subsection"/>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487" w:name="_Toc389742160"/>
      <w:bookmarkStart w:id="488" w:name="_Toc33393175"/>
      <w:r>
        <w:rPr>
          <w:rStyle w:val="CharSectno"/>
        </w:rPr>
        <w:t>182</w:t>
      </w:r>
      <w:r>
        <w:t>.</w:t>
      </w:r>
      <w:r>
        <w:tab/>
        <w:t>Confidentiality of records kept by family day care educator</w:t>
      </w:r>
      <w:bookmarkEnd w:id="487"/>
      <w:bookmarkEnd w:id="488"/>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489" w:name="_Toc389742161"/>
      <w:bookmarkStart w:id="490" w:name="_Toc33393176"/>
      <w:r>
        <w:rPr>
          <w:rStyle w:val="CharSectno"/>
        </w:rPr>
        <w:t>183</w:t>
      </w:r>
      <w:r>
        <w:t>.</w:t>
      </w:r>
      <w:r>
        <w:tab/>
        <w:t>Storage of records and other documents</w:t>
      </w:r>
      <w:bookmarkEnd w:id="489"/>
      <w:bookmarkEnd w:id="490"/>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91" w:name="_Toc389742162"/>
      <w:bookmarkStart w:id="492" w:name="_Toc33393177"/>
      <w:r>
        <w:rPr>
          <w:rStyle w:val="CharSectno"/>
        </w:rPr>
        <w:t>184</w:t>
      </w:r>
      <w:r>
        <w:t>.</w:t>
      </w:r>
      <w:r>
        <w:tab/>
        <w:t>Storage of records after service approval transferred</w:t>
      </w:r>
      <w:bookmarkEnd w:id="491"/>
      <w:bookmarkEnd w:id="492"/>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bCs/>
        </w:rPr>
      </w:pPr>
      <w:r>
        <w:rPr>
          <w:b/>
          <w:bCs/>
        </w:rPr>
        <w:t>Subdivision 5 — Law and regulations to be available</w:t>
      </w:r>
    </w:p>
    <w:p>
      <w:pPr>
        <w:pStyle w:val="Heading5"/>
      </w:pPr>
      <w:bookmarkStart w:id="493" w:name="_Toc389742163"/>
      <w:bookmarkStart w:id="494" w:name="_Toc33393178"/>
      <w:r>
        <w:rPr>
          <w:rStyle w:val="CharSectno"/>
        </w:rPr>
        <w:t>185</w:t>
      </w:r>
      <w:r>
        <w:t>.</w:t>
      </w:r>
      <w:r>
        <w:tab/>
        <w:t>Law and regulations to be available</w:t>
      </w:r>
      <w:bookmarkEnd w:id="493"/>
      <w:bookmarkEnd w:id="494"/>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495" w:name="_Toc389742164"/>
      <w:bookmarkStart w:id="496" w:name="_Toc33393179"/>
      <w:r>
        <w:rPr>
          <w:rStyle w:val="CharPartNo"/>
          <w:szCs w:val="34"/>
        </w:rPr>
        <w:t>Chapter 5</w:t>
      </w:r>
      <w:r>
        <w:t> — </w:t>
      </w:r>
      <w:r>
        <w:rPr>
          <w:rStyle w:val="CharPartText"/>
        </w:rPr>
        <w:t>Review, enforcement and compliance</w:t>
      </w:r>
      <w:bookmarkEnd w:id="495"/>
      <w:bookmarkEnd w:id="496"/>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97" w:name="_Toc389742165"/>
      <w:bookmarkStart w:id="498" w:name="_Toc33393180"/>
      <w:r>
        <w:rPr>
          <w:rStyle w:val="CharDivNo"/>
        </w:rPr>
        <w:t>Part 5.1</w:t>
      </w:r>
      <w:r>
        <w:t> — </w:t>
      </w:r>
      <w:r>
        <w:rPr>
          <w:rStyle w:val="CharDivText"/>
        </w:rPr>
        <w:t>Internal review</w:t>
      </w:r>
      <w:bookmarkEnd w:id="497"/>
      <w:bookmarkEnd w:id="498"/>
    </w:p>
    <w:p>
      <w:pPr>
        <w:pStyle w:val="Heading5"/>
      </w:pPr>
      <w:bookmarkStart w:id="499" w:name="_Toc389742166"/>
      <w:bookmarkStart w:id="500" w:name="_Toc33393181"/>
      <w:r>
        <w:rPr>
          <w:rStyle w:val="CharSectno"/>
        </w:rPr>
        <w:t>186</w:t>
      </w:r>
      <w:r>
        <w:t>.</w:t>
      </w:r>
      <w:r>
        <w:tab/>
        <w:t>Application for internal review of reviewable decision</w:t>
      </w:r>
      <w:bookmarkEnd w:id="499"/>
      <w:bookmarkEnd w:id="500"/>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501" w:name="_Toc389742167"/>
      <w:bookmarkStart w:id="502" w:name="_Toc33393182"/>
      <w:r>
        <w:rPr>
          <w:rStyle w:val="CharDivNo"/>
        </w:rPr>
        <w:t>Part 5.2</w:t>
      </w:r>
      <w:r>
        <w:t> — </w:t>
      </w:r>
      <w:r>
        <w:rPr>
          <w:rStyle w:val="CharDivText"/>
        </w:rPr>
        <w:t>Enforcement and compliance</w:t>
      </w:r>
      <w:bookmarkEnd w:id="501"/>
      <w:bookmarkEnd w:id="502"/>
    </w:p>
    <w:p>
      <w:pPr>
        <w:pStyle w:val="Heading5"/>
      </w:pPr>
      <w:bookmarkStart w:id="503" w:name="_Toc389742168"/>
      <w:bookmarkStart w:id="504" w:name="_Toc33393183"/>
      <w:r>
        <w:rPr>
          <w:rStyle w:val="CharSectno"/>
        </w:rPr>
        <w:t>187</w:t>
      </w:r>
      <w:r>
        <w:t>.</w:t>
      </w:r>
      <w:r>
        <w:tab/>
        <w:t>Prescribed form of identity card</w:t>
      </w:r>
      <w:bookmarkEnd w:id="503"/>
      <w:bookmarkEnd w:id="504"/>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505" w:name="_Toc389742169"/>
      <w:bookmarkStart w:id="506" w:name="_Toc33393184"/>
      <w:r>
        <w:rPr>
          <w:rStyle w:val="CharSectno"/>
        </w:rPr>
        <w:t>188</w:t>
      </w:r>
      <w:r>
        <w:t>.</w:t>
      </w:r>
      <w:r>
        <w:tab/>
        <w:t>Compliance directions</w:t>
      </w:r>
      <w:bookmarkEnd w:id="505"/>
      <w:bookmarkEnd w:id="506"/>
      <w:r>
        <w:t xml:space="preserve"> </w:t>
      </w:r>
    </w:p>
    <w:p>
      <w:pPr>
        <w:pStyle w:val="Subsection"/>
      </w:pPr>
      <w:r>
        <w:tab/>
      </w:r>
      <w:r>
        <w:tab/>
        <w:t>The provisions of the regulations set out in Schedule 3 are prescribed for the purposes of section 176 of the Law.</w:t>
      </w:r>
    </w:p>
    <w:p>
      <w:pPr>
        <w:pStyle w:val="Heading5"/>
      </w:pPr>
      <w:bookmarkStart w:id="507" w:name="_Toc389742170"/>
      <w:bookmarkStart w:id="508" w:name="_Toc33393185"/>
      <w:r>
        <w:rPr>
          <w:rStyle w:val="CharSectno"/>
        </w:rPr>
        <w:t>189</w:t>
      </w:r>
      <w:r>
        <w:t>.</w:t>
      </w:r>
      <w:r>
        <w:tab/>
        <w:t>Application to cancel prohibition notice</w:t>
      </w:r>
      <w:bookmarkEnd w:id="507"/>
      <w:bookmarkEnd w:id="508"/>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509" w:name="_Toc389742171"/>
      <w:bookmarkStart w:id="510" w:name="_Toc33393186"/>
      <w:r>
        <w:rPr>
          <w:rStyle w:val="CharSectno"/>
        </w:rPr>
        <w:t>190</w:t>
      </w:r>
      <w:r>
        <w:t>.</w:t>
      </w:r>
      <w:r>
        <w:tab/>
        <w:t>Infringement offences</w:t>
      </w:r>
      <w:bookmarkEnd w:id="509"/>
      <w:bookmarkEnd w:id="510"/>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511" w:name="_Toc389742172"/>
      <w:bookmarkStart w:id="512" w:name="_Toc33393187"/>
      <w:r>
        <w:rPr>
          <w:rStyle w:val="CharSectno"/>
        </w:rPr>
        <w:t>191</w:t>
      </w:r>
      <w:r>
        <w:t>.</w:t>
      </w:r>
      <w:r>
        <w:tab/>
        <w:t>False or misleading information or documents</w:t>
      </w:r>
      <w:bookmarkEnd w:id="511"/>
      <w:bookmarkEnd w:id="512"/>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513" w:name="_Toc389742173"/>
      <w:bookmarkStart w:id="514" w:name="_Toc33393188"/>
      <w:r>
        <w:rPr>
          <w:rStyle w:val="CharPartNo"/>
        </w:rPr>
        <w:t>Chapter 6</w:t>
      </w:r>
      <w:r>
        <w:t> — </w:t>
      </w:r>
      <w:r>
        <w:rPr>
          <w:rStyle w:val="CharPartText"/>
        </w:rPr>
        <w:t>Administration</w:t>
      </w:r>
      <w:bookmarkEnd w:id="513"/>
      <w:bookmarkEnd w:id="51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515" w:name="_Toc389742174"/>
      <w:bookmarkStart w:id="516" w:name="_Toc33393189"/>
      <w:r>
        <w:rPr>
          <w:rStyle w:val="CharDivNo"/>
        </w:rPr>
        <w:t>Part 6.1</w:t>
      </w:r>
      <w:r>
        <w:t> — </w:t>
      </w:r>
      <w:r>
        <w:rPr>
          <w:rStyle w:val="CharDivText"/>
        </w:rPr>
        <w:t>Australian Children’s Education and Care Quality Authority</w:t>
      </w:r>
      <w:bookmarkEnd w:id="515"/>
      <w:bookmarkEnd w:id="516"/>
    </w:p>
    <w:p>
      <w:pPr>
        <w:pStyle w:val="Heading5"/>
      </w:pPr>
      <w:bookmarkStart w:id="517" w:name="_Toc389742175"/>
      <w:bookmarkStart w:id="518" w:name="_Toc33393190"/>
      <w:r>
        <w:rPr>
          <w:rStyle w:val="CharSectno"/>
        </w:rPr>
        <w:t>192</w:t>
      </w:r>
      <w:r>
        <w:t>.</w:t>
      </w:r>
      <w:r>
        <w:tab/>
        <w:t>Co</w:t>
      </w:r>
      <w:r>
        <w:noBreakHyphen/>
        <w:t>operation with prescribed classes of body</w:t>
      </w:r>
      <w:bookmarkEnd w:id="517"/>
      <w:bookmarkEnd w:id="518"/>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519" w:name="_Toc389742176"/>
      <w:bookmarkStart w:id="520" w:name="_Toc33393191"/>
      <w:r>
        <w:rPr>
          <w:rStyle w:val="CharSectno"/>
        </w:rPr>
        <w:t>193</w:t>
      </w:r>
      <w:r>
        <w:t>.</w:t>
      </w:r>
      <w:r>
        <w:tab/>
        <w:t>Allocating, transferring or reimbursing money to a participating jurisdiction</w:t>
      </w:r>
      <w:bookmarkEnd w:id="519"/>
      <w:bookmarkEnd w:id="520"/>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521" w:name="_Toc389742177"/>
      <w:bookmarkStart w:id="522" w:name="_Toc33393192"/>
      <w:r>
        <w:rPr>
          <w:rStyle w:val="CharSectno"/>
        </w:rPr>
        <w:t>194</w:t>
      </w:r>
      <w:r>
        <w:t>.</w:t>
      </w:r>
      <w:r>
        <w:tab/>
        <w:t>Investment of Authority Fund</w:t>
      </w:r>
      <w:bookmarkEnd w:id="521"/>
      <w:bookmarkEnd w:id="522"/>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523" w:name="_Toc389742178"/>
      <w:bookmarkStart w:id="524" w:name="_Toc33393193"/>
      <w:r>
        <w:rPr>
          <w:rStyle w:val="CharDivNo"/>
        </w:rPr>
        <w:t>Part 6.2</w:t>
      </w:r>
      <w:r>
        <w:t> — </w:t>
      </w:r>
      <w:r>
        <w:rPr>
          <w:rStyle w:val="CharDivText"/>
        </w:rPr>
        <w:t>Information, records and privacy — National Authority and Regulatory Authorities</w:t>
      </w:r>
      <w:bookmarkEnd w:id="523"/>
      <w:bookmarkEnd w:id="524"/>
    </w:p>
    <w:p>
      <w:pPr>
        <w:pStyle w:val="Heading4"/>
      </w:pPr>
      <w:bookmarkStart w:id="525" w:name="_Toc389742179"/>
      <w:bookmarkStart w:id="526" w:name="_Toc33393194"/>
      <w:r>
        <w:t xml:space="preserve">Division 1 — Application of Commonwealth </w:t>
      </w:r>
      <w:r>
        <w:rPr>
          <w:i/>
        </w:rPr>
        <w:t>Privacy Act 1988</w:t>
      </w:r>
      <w:bookmarkEnd w:id="525"/>
      <w:bookmarkEnd w:id="526"/>
    </w:p>
    <w:p>
      <w:pPr>
        <w:pStyle w:val="Heading5"/>
      </w:pPr>
      <w:bookmarkStart w:id="527" w:name="_Toc389742180"/>
      <w:bookmarkStart w:id="528" w:name="_Toc33393195"/>
      <w:r>
        <w:rPr>
          <w:rStyle w:val="CharSectno"/>
        </w:rPr>
        <w:t>195</w:t>
      </w:r>
      <w:r>
        <w:t>.</w:t>
      </w:r>
      <w:r>
        <w:tab/>
        <w:t xml:space="preserve">Application of Commonwealth </w:t>
      </w:r>
      <w:r>
        <w:rPr>
          <w:i/>
        </w:rPr>
        <w:t>Privacy Act 1988</w:t>
      </w:r>
      <w:bookmarkEnd w:id="527"/>
      <w:bookmarkEnd w:id="528"/>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529" w:name="_Toc389742181"/>
      <w:bookmarkStart w:id="530" w:name="_Toc33393196"/>
      <w:r>
        <w:rPr>
          <w:rStyle w:val="CharSectno"/>
        </w:rPr>
        <w:t>196</w:t>
      </w:r>
      <w:r>
        <w:t>.</w:t>
      </w:r>
      <w:r>
        <w:tab/>
        <w:t>Modifications relating to National Education and Care Services Privacy Commissioner and staff</w:t>
      </w:r>
      <w:bookmarkEnd w:id="529"/>
      <w:bookmarkEnd w:id="530"/>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pPr>
      <w:bookmarkStart w:id="531" w:name="_Toc389742182"/>
      <w:bookmarkStart w:id="532" w:name="_Toc33393197"/>
      <w:r>
        <w:rPr>
          <w:rStyle w:val="CharSectno"/>
        </w:rPr>
        <w:t>197</w:t>
      </w:r>
      <w:r>
        <w:t>.</w:t>
      </w:r>
      <w:r>
        <w:tab/>
        <w:t>Modifications about financial matters</w:t>
      </w:r>
      <w:bookmarkEnd w:id="531"/>
      <w:bookmarkEnd w:id="532"/>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33" w:name="_Toc389742183"/>
      <w:bookmarkStart w:id="534" w:name="_Toc33393198"/>
      <w:r>
        <w:rPr>
          <w:rStyle w:val="CharSectno"/>
        </w:rPr>
        <w:t>198</w:t>
      </w:r>
      <w:r>
        <w:t>.</w:t>
      </w:r>
      <w:r>
        <w:tab/>
        <w:t>Modifications about annual report</w:t>
      </w:r>
      <w:bookmarkEnd w:id="533"/>
      <w:bookmarkEnd w:id="534"/>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35" w:name="_Toc389742184"/>
      <w:bookmarkStart w:id="536" w:name="_Toc33393199"/>
      <w:r>
        <w:rPr>
          <w:rStyle w:val="CharSectno"/>
        </w:rPr>
        <w:t>199</w:t>
      </w:r>
      <w:r>
        <w:t>.</w:t>
      </w:r>
      <w:r>
        <w:tab/>
        <w:t>Modifications relating to National Authority and Regulatory Authorities</w:t>
      </w:r>
      <w:bookmarkEnd w:id="535"/>
      <w:bookmarkEnd w:id="536"/>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 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537" w:name="_Toc389742185"/>
      <w:bookmarkStart w:id="538" w:name="_Toc33393200"/>
      <w:r>
        <w:rPr>
          <w:rStyle w:val="CharSectno"/>
        </w:rPr>
        <w:t>200</w:t>
      </w:r>
      <w:r>
        <w:t>.</w:t>
      </w:r>
      <w:r>
        <w:tab/>
        <w:t>Modifications relating to determinations</w:t>
      </w:r>
      <w:bookmarkEnd w:id="537"/>
      <w:bookmarkEnd w:id="538"/>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539" w:name="_Toc389742186"/>
      <w:bookmarkStart w:id="540" w:name="_Toc33393201"/>
      <w:r>
        <w:rPr>
          <w:rStyle w:val="CharSectno"/>
        </w:rPr>
        <w:t>201</w:t>
      </w:r>
      <w:r>
        <w:t>.</w:t>
      </w:r>
      <w:r>
        <w:tab/>
        <w:t>Miscellaneous modifications</w:t>
      </w:r>
      <w:bookmarkEnd w:id="539"/>
      <w:bookmarkEnd w:id="540"/>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541" w:name="_Toc389742187"/>
      <w:bookmarkStart w:id="542" w:name="_Toc33393202"/>
      <w:r>
        <w:rPr>
          <w:rStyle w:val="CharSectno"/>
        </w:rPr>
        <w:t>202</w:t>
      </w:r>
      <w:r>
        <w:t>.</w:t>
      </w:r>
      <w:r>
        <w:tab/>
        <w:t>Relevant administrative tribunal</w:t>
      </w:r>
      <w:bookmarkEnd w:id="541"/>
      <w:bookmarkEnd w:id="542"/>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543" w:name="_Toc389742188"/>
      <w:bookmarkStart w:id="544" w:name="_Toc33393203"/>
      <w:r>
        <w:rPr>
          <w:rStyle w:val="CharSectno"/>
        </w:rPr>
        <w:t>203</w:t>
      </w:r>
      <w:r>
        <w:t>.</w:t>
      </w:r>
      <w:r>
        <w:tab/>
        <w:t>Regulations</w:t>
      </w:r>
      <w:bookmarkEnd w:id="543"/>
      <w:bookmarkEnd w:id="544"/>
      <w:r>
        <w:t xml:space="preserve"> </w:t>
      </w:r>
    </w:p>
    <w:p>
      <w:pPr>
        <w:pStyle w:val="Subsection"/>
      </w:pPr>
      <w:r>
        <w:tab/>
      </w:r>
      <w:r>
        <w:tab/>
        <w:t>The regulations made under the Privacy Act do not apply.</w:t>
      </w:r>
    </w:p>
    <w:p>
      <w:pPr>
        <w:pStyle w:val="Heading4"/>
      </w:pPr>
      <w:bookmarkStart w:id="545" w:name="_Toc389742189"/>
      <w:bookmarkStart w:id="546" w:name="_Toc33393204"/>
      <w:r>
        <w:t xml:space="preserve">Division 2 — Application of Commonwealth </w:t>
      </w:r>
      <w:r>
        <w:rPr>
          <w:i/>
        </w:rPr>
        <w:t>Freedom of Information Act 1982</w:t>
      </w:r>
      <w:bookmarkEnd w:id="545"/>
      <w:bookmarkEnd w:id="546"/>
    </w:p>
    <w:p>
      <w:pPr>
        <w:pStyle w:val="Heading5"/>
      </w:pPr>
      <w:bookmarkStart w:id="547" w:name="_Toc389742190"/>
      <w:bookmarkStart w:id="548" w:name="_Toc33393205"/>
      <w:r>
        <w:rPr>
          <w:rStyle w:val="CharSectno"/>
        </w:rPr>
        <w:t>204</w:t>
      </w:r>
      <w:r>
        <w:t>.</w:t>
      </w:r>
      <w:r>
        <w:tab/>
        <w:t>Application of Commonwealth</w:t>
      </w:r>
      <w:r>
        <w:rPr>
          <w:i/>
        </w:rPr>
        <w:t xml:space="preserve"> Freedom of Information Act 1982</w:t>
      </w:r>
      <w:bookmarkEnd w:id="547"/>
      <w:bookmarkEnd w:id="548"/>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549" w:name="_Toc389742191"/>
      <w:bookmarkStart w:id="550" w:name="_Toc33393206"/>
      <w:r>
        <w:rPr>
          <w:rStyle w:val="CharSectno"/>
        </w:rPr>
        <w:t>205</w:t>
      </w:r>
      <w:r>
        <w:t>.</w:t>
      </w:r>
      <w:r>
        <w:tab/>
        <w:t>Modifications relating to National Education and Care Services Freedom of Information Commissioner and staff</w:t>
      </w:r>
      <w:bookmarkEnd w:id="549"/>
      <w:bookmarkEnd w:id="550"/>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pPr>
      <w:r>
        <w:tab/>
        <w:t>(ii)</w:t>
      </w:r>
      <w:r>
        <w:tab/>
        <w:t>the staff employed by the National Education and Care Services Freedom of Information Commissioner; and</w:t>
      </w:r>
    </w:p>
    <w:p>
      <w:pPr>
        <w:pStyle w:val="Indenta"/>
      </w:pPr>
      <w:r>
        <w:tab/>
        <w:t>(b)</w:t>
      </w:r>
      <w:r>
        <w:tab/>
        <w:t>to provide that a reference to the Information Commissioner is taken to be a reference to the National Education and Care Services Freedom of Information Commissioner; and</w:t>
      </w:r>
    </w:p>
    <w:p>
      <w:pPr>
        <w:pStyle w:val="Indenta"/>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pPr>
      <w:r>
        <w:tab/>
        <w:t>(d)</w:t>
      </w:r>
      <w:r>
        <w:tab/>
        <w:t xml:space="preserve">to provide that the National Education and Care Services Freedom of Information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(e)</w:t>
      </w:r>
      <w:r>
        <w:tab/>
        <w:t xml:space="preserve">to provide that the National Education and Care Services Freedom of Information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551" w:name="_Toc389742192"/>
      <w:bookmarkStart w:id="552" w:name="_Toc33393207"/>
      <w:r>
        <w:rPr>
          <w:rStyle w:val="CharSectno"/>
        </w:rPr>
        <w:t>206</w:t>
      </w:r>
      <w:r>
        <w:t>.</w:t>
      </w:r>
      <w:r>
        <w:tab/>
        <w:t>Modifications about financial matters</w:t>
      </w:r>
      <w:bookmarkEnd w:id="551"/>
      <w:bookmarkEnd w:id="552"/>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53" w:name="_Toc389742193"/>
      <w:bookmarkStart w:id="554" w:name="_Toc33393208"/>
      <w:r>
        <w:rPr>
          <w:rStyle w:val="CharSectno"/>
        </w:rPr>
        <w:t>207</w:t>
      </w:r>
      <w:r>
        <w:t>.</w:t>
      </w:r>
      <w:r>
        <w:tab/>
        <w:t>Modifications about annual report</w:t>
      </w:r>
      <w:bookmarkEnd w:id="553"/>
      <w:bookmarkEnd w:id="554"/>
      <w:r>
        <w:t xml:space="preserve"> </w:t>
      </w:r>
    </w:p>
    <w:p>
      <w:pPr>
        <w:pStyle w:val="Subsection"/>
      </w:pPr>
      <w:r>
        <w:tab/>
      </w:r>
      <w:r>
        <w:tab/>
        <w:t xml:space="preserve">The FOI Act applies as if after section 93B there were inserted — </w:t>
      </w:r>
    </w:p>
    <w:p>
      <w:pPr>
        <w:pStyle w:val="MiscellaneousHeading"/>
        <w:tabs>
          <w:tab w:val="left" w:pos="1843"/>
        </w:tabs>
        <w:ind w:left="1843" w:hanging="709"/>
        <w:jc w:val="left"/>
      </w:pPr>
      <w:r>
        <w:t>“</w:t>
      </w:r>
      <w:r>
        <w:rPr>
          <w:b/>
        </w:rPr>
        <w:t>93C</w:t>
      </w:r>
      <w:r>
        <w:rPr>
          <w:b/>
        </w:rPr>
        <w:tab/>
        <w:t>Annual report</w:t>
      </w:r>
    </w:p>
    <w:p>
      <w:pPr>
        <w:pStyle w:val="MiscellaneousBody"/>
        <w:tabs>
          <w:tab w:val="left" w:pos="1701"/>
          <w:tab w:val="left" w:pos="2127"/>
        </w:tabs>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55" w:name="_Toc389742194"/>
      <w:bookmarkStart w:id="556" w:name="_Toc33393209"/>
      <w:r>
        <w:rPr>
          <w:rStyle w:val="CharSectno"/>
        </w:rPr>
        <w:t>208</w:t>
      </w:r>
      <w:r>
        <w:t>.</w:t>
      </w:r>
      <w:r>
        <w:tab/>
        <w:t>Modifications relating to National Authority and Regulatory Authorities</w:t>
      </w:r>
      <w:bookmarkEnd w:id="555"/>
      <w:bookmarkEnd w:id="556"/>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 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 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 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pPr>
      <w:bookmarkStart w:id="557" w:name="_Toc389742195"/>
      <w:bookmarkStart w:id="558" w:name="_Toc33393210"/>
      <w:r>
        <w:rPr>
          <w:rStyle w:val="CharSectno"/>
        </w:rPr>
        <w:t>209</w:t>
      </w:r>
      <w:r>
        <w:t>.</w:t>
      </w:r>
      <w:r>
        <w:tab/>
        <w:t>Miscellaneous modifications</w:t>
      </w:r>
      <w:bookmarkEnd w:id="557"/>
      <w:bookmarkEnd w:id="558"/>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559" w:name="_Toc389742196"/>
      <w:bookmarkStart w:id="560" w:name="_Toc33393211"/>
      <w:r>
        <w:rPr>
          <w:rStyle w:val="CharSectno"/>
        </w:rPr>
        <w:t>210</w:t>
      </w:r>
      <w:r>
        <w:t>.</w:t>
      </w:r>
      <w:r>
        <w:tab/>
        <w:t>Relevant administrative tribunal</w:t>
      </w:r>
      <w:bookmarkEnd w:id="559"/>
      <w:bookmarkEnd w:id="560"/>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561" w:name="_Toc389742197"/>
      <w:bookmarkStart w:id="562" w:name="_Toc33393212"/>
      <w:r>
        <w:rPr>
          <w:rStyle w:val="CharSectno"/>
        </w:rPr>
        <w:t>211</w:t>
      </w:r>
      <w:r>
        <w:t>.</w:t>
      </w:r>
      <w:r>
        <w:tab/>
        <w:t>Regulations</w:t>
      </w:r>
      <w:bookmarkEnd w:id="561"/>
      <w:bookmarkEnd w:id="562"/>
      <w:r>
        <w:t xml:space="preserve"> </w:t>
      </w:r>
    </w:p>
    <w:p>
      <w:pPr>
        <w:pStyle w:val="Subsection"/>
      </w:pPr>
      <w:r>
        <w:tab/>
      </w:r>
      <w:r>
        <w:tab/>
        <w:t>The regulations made under the FOI Act, other than the provisions providing for fees and charges, do not apply.</w:t>
      </w:r>
    </w:p>
    <w:p>
      <w:pPr>
        <w:pStyle w:val="Heading4"/>
        <w:rPr>
          <w:i/>
        </w:rPr>
      </w:pPr>
      <w:bookmarkStart w:id="563" w:name="_Toc389742198"/>
      <w:bookmarkStart w:id="564" w:name="_Toc33393213"/>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563"/>
      <w:bookmarkEnd w:id="564"/>
    </w:p>
    <w:p>
      <w:pPr>
        <w:pStyle w:val="Heading5"/>
      </w:pPr>
      <w:bookmarkStart w:id="565" w:name="_Toc389742199"/>
      <w:bookmarkStart w:id="566" w:name="_Toc33393214"/>
      <w:r>
        <w:rPr>
          <w:rStyle w:val="CharSectno"/>
        </w:rPr>
        <w:t>212</w:t>
      </w:r>
      <w:r>
        <w:t>.</w:t>
      </w:r>
      <w:r>
        <w:tab/>
        <w:t>Application of State Records Act</w:t>
      </w:r>
      <w:bookmarkEnd w:id="565"/>
      <w:bookmarkEnd w:id="566"/>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67" w:name="_Toc389742200"/>
      <w:bookmarkStart w:id="568" w:name="_Toc33393215"/>
      <w:r>
        <w:rPr>
          <w:rStyle w:val="CharSectno"/>
        </w:rPr>
        <w:t>213</w:t>
      </w:r>
      <w:r>
        <w:t>.</w:t>
      </w:r>
      <w:r>
        <w:tab/>
        <w:t>Modifications relating to State Records Authority and its Board and Director</w:t>
      </w:r>
      <w:bookmarkEnd w:id="567"/>
      <w:bookmarkEnd w:id="568"/>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69" w:name="_Toc389742201"/>
      <w:bookmarkStart w:id="570" w:name="_Toc33393216"/>
      <w:r>
        <w:rPr>
          <w:rStyle w:val="CharSectno"/>
        </w:rPr>
        <w:t>214</w:t>
      </w:r>
      <w:r>
        <w:t>.</w:t>
      </w:r>
      <w:r>
        <w:tab/>
        <w:t>Modifications relating to National Authority</w:t>
      </w:r>
      <w:bookmarkEnd w:id="569"/>
      <w:bookmarkEnd w:id="570"/>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71" w:name="_Toc389742202"/>
      <w:bookmarkStart w:id="572" w:name="_Toc33393217"/>
      <w:r>
        <w:rPr>
          <w:rStyle w:val="CharSectno"/>
        </w:rPr>
        <w:t>215</w:t>
      </w:r>
      <w:r>
        <w:t>.</w:t>
      </w:r>
      <w:r>
        <w:tab/>
        <w:t>Modifications relating to Ministerial Council</w:t>
      </w:r>
      <w:bookmarkEnd w:id="571"/>
      <w:bookmarkEnd w:id="572"/>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73" w:name="_Toc389742203"/>
      <w:bookmarkStart w:id="574" w:name="_Toc33393218"/>
      <w:r>
        <w:rPr>
          <w:rStyle w:val="CharSectno"/>
        </w:rPr>
        <w:t>216</w:t>
      </w:r>
      <w:r>
        <w:t>.</w:t>
      </w:r>
      <w:r>
        <w:tab/>
        <w:t>Miscellaneous modifications</w:t>
      </w:r>
      <w:bookmarkEnd w:id="573"/>
      <w:bookmarkEnd w:id="574"/>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 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w:t>
      </w:r>
      <w:smartTag w:uri="urn:schemas-microsoft-com:office:smarttags" w:element="place">
        <w:smartTag w:uri="urn:schemas-microsoft-com:office:smarttags" w:element="State">
          <w:r>
            <w:t>Tasmania</w:t>
          </w:r>
        </w:smartTag>
      </w:smartTag>
      <w:r>
        <w:t>;</w:t>
      </w:r>
    </w:p>
    <w:p>
      <w:pPr>
        <w:pStyle w:val="Indenti"/>
      </w:pPr>
      <w:r>
        <w:tab/>
        <w:t>(iv)</w:t>
      </w:r>
      <w:r>
        <w:tab/>
        <w:t xml:space="preserve">the Ombudsman appointed under section 3 of the </w:t>
      </w:r>
      <w:r>
        <w:rPr>
          <w:i/>
        </w:rPr>
        <w:t>Ombudsman Act 1973</w:t>
      </w:r>
      <w:r>
        <w:t xml:space="preserve"> of </w:t>
      </w:r>
      <w:smartTag w:uri="urn:schemas-microsoft-com:office:smarttags" w:element="place">
        <w:smartTag w:uri="urn:schemas-microsoft-com:office:smarttags" w:element="State">
          <w:r>
            <w:t>Victoria</w:t>
          </w:r>
        </w:smartTag>
      </w:smartTag>
      <w:r>
        <w:t>;</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 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575" w:name="_Toc389742204"/>
      <w:bookmarkStart w:id="576" w:name="_Toc33393219"/>
      <w:r>
        <w:rPr>
          <w:rStyle w:val="CharSectno"/>
        </w:rPr>
        <w:t>217</w:t>
      </w:r>
      <w:r>
        <w:t>.</w:t>
      </w:r>
      <w:r>
        <w:tab/>
        <w:t>Regulations</w:t>
      </w:r>
      <w:bookmarkEnd w:id="575"/>
      <w:bookmarkEnd w:id="576"/>
      <w:r>
        <w:t xml:space="preserve"> </w:t>
      </w:r>
    </w:p>
    <w:p>
      <w:pPr>
        <w:pStyle w:val="Subsection"/>
      </w:pPr>
      <w:r>
        <w:tab/>
      </w:r>
      <w:r>
        <w:tab/>
        <w:t>The regulations made under the State Records Act do not apply.</w:t>
      </w:r>
    </w:p>
    <w:p>
      <w:pPr>
        <w:pStyle w:val="Heading4"/>
      </w:pPr>
      <w:bookmarkStart w:id="577" w:name="_Toc389742205"/>
      <w:bookmarkStart w:id="578" w:name="_Toc33393220"/>
      <w:r>
        <w:t xml:space="preserve">Division 4 — Application of Commonwealth </w:t>
      </w:r>
      <w:r>
        <w:rPr>
          <w:i/>
        </w:rPr>
        <w:t>Ombudsman Act 1976</w:t>
      </w:r>
      <w:bookmarkEnd w:id="577"/>
      <w:bookmarkEnd w:id="578"/>
    </w:p>
    <w:p>
      <w:pPr>
        <w:pStyle w:val="Heading5"/>
      </w:pPr>
      <w:bookmarkStart w:id="579" w:name="_Toc389742206"/>
      <w:bookmarkStart w:id="580" w:name="_Toc33393221"/>
      <w:r>
        <w:rPr>
          <w:rStyle w:val="CharSectno"/>
        </w:rPr>
        <w:t>218</w:t>
      </w:r>
      <w:r>
        <w:t>.</w:t>
      </w:r>
      <w:r>
        <w:tab/>
        <w:t>Application of Commonwealth Ombudsman Act</w:t>
      </w:r>
      <w:bookmarkEnd w:id="579"/>
      <w:bookmarkEnd w:id="580"/>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81" w:name="_Toc389742207"/>
      <w:bookmarkStart w:id="582" w:name="_Toc33393222"/>
      <w:r>
        <w:rPr>
          <w:rStyle w:val="CharSectno"/>
        </w:rPr>
        <w:t>219</w:t>
      </w:r>
      <w:r>
        <w:t>.</w:t>
      </w:r>
      <w:r>
        <w:tab/>
        <w:t>Modifications relating to Education and Care Services Ombudsman and staff</w:t>
      </w:r>
      <w:bookmarkEnd w:id="581"/>
      <w:bookmarkEnd w:id="582"/>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pPr>
      <w:r>
        <w:tab/>
        <w:t>(c)</w:t>
      </w:r>
      <w:r>
        <w:tab/>
        <w:t xml:space="preserve">so that the Education and Care Services Ombudsman may be — </w:t>
      </w:r>
    </w:p>
    <w:p>
      <w:pPr>
        <w:pStyle w:val="Indenti"/>
      </w:pPr>
      <w:r>
        <w:tab/>
        <w:t>(i)</w:t>
      </w:r>
      <w:r>
        <w:tab/>
        <w:t>suspended from office by the Ministerial Council without the need for a statement of the grounds of the suspension to be laid before a House of Parliament; and</w:t>
      </w:r>
    </w:p>
    <w:p>
      <w:pPr>
        <w:pStyle w:val="Indenti"/>
      </w:pPr>
      <w:r>
        <w:tab/>
        <w:t>(ii)</w:t>
      </w:r>
      <w:r>
        <w:tab/>
        <w:t>removed from office by the Ministerial Council on the ground of misconduct or physical or mental incapacity without the need for an address being presented to a House of Parliament; and</w:t>
      </w:r>
    </w:p>
    <w:p>
      <w:pPr>
        <w:pStyle w:val="Indenta"/>
      </w:pPr>
      <w:r>
        <w:tab/>
        <w:t>(d)</w:t>
      </w:r>
      <w:r>
        <w:tab/>
        <w:t xml:space="preserve">so that the provisions of the Act providing for the Deputy Ombudsman and other staff of the Ombudsman do not apply; and </w:t>
      </w:r>
    </w:p>
    <w:p>
      <w:pPr>
        <w:pStyle w:val="Indenta"/>
      </w:pPr>
      <w:r>
        <w:tab/>
        <w:t>(e)</w:t>
      </w:r>
      <w:r>
        <w:tab/>
        <w:t xml:space="preserve">to provide that the Education and Care Services Ombudsman may, for the purposes of performing the Ombudsman’s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Ombudsman.</w:t>
      </w:r>
    </w:p>
    <w:p>
      <w:pPr>
        <w:pStyle w:val="Heading5"/>
      </w:pPr>
      <w:bookmarkStart w:id="583" w:name="_Toc389742208"/>
      <w:bookmarkStart w:id="584" w:name="_Toc33393223"/>
      <w:r>
        <w:rPr>
          <w:rStyle w:val="CharSectno"/>
        </w:rPr>
        <w:t>220</w:t>
      </w:r>
      <w:r>
        <w:t>.</w:t>
      </w:r>
      <w:r>
        <w:tab/>
        <w:t>Modifications about financial matters</w:t>
      </w:r>
      <w:bookmarkEnd w:id="583"/>
      <w:bookmarkEnd w:id="584"/>
      <w:r>
        <w:t xml:space="preserve"> </w:t>
      </w:r>
    </w:p>
    <w:p>
      <w:pPr>
        <w:pStyle w:val="Subsection"/>
      </w:pPr>
      <w:r>
        <w:tab/>
      </w:r>
      <w:r>
        <w:tab/>
        <w:t xml:space="preserve">The Ombudsman Act applies as if it were modified to provide that the Education and Care Services Ombudsman is required to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moneys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85" w:name="_Toc389742209"/>
      <w:bookmarkStart w:id="586" w:name="_Toc33393224"/>
      <w:r>
        <w:rPr>
          <w:rStyle w:val="CharSectno"/>
        </w:rPr>
        <w:t>221</w:t>
      </w:r>
      <w:r>
        <w:t>.</w:t>
      </w:r>
      <w:r>
        <w:tab/>
        <w:t>Modifications about annual report</w:t>
      </w:r>
      <w:bookmarkEnd w:id="585"/>
      <w:bookmarkEnd w:id="58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 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87" w:name="_Toc389742210"/>
      <w:bookmarkStart w:id="588" w:name="_Toc33393225"/>
      <w:r>
        <w:rPr>
          <w:rStyle w:val="CharSectno"/>
        </w:rPr>
        <w:t>222</w:t>
      </w:r>
      <w:r>
        <w:t>.</w:t>
      </w:r>
      <w:r>
        <w:tab/>
        <w:t>Modifications relating to National Authority and Regulatory Authorities</w:t>
      </w:r>
      <w:bookmarkEnd w:id="587"/>
      <w:bookmarkEnd w:id="588"/>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89" w:name="_Toc389742211"/>
      <w:bookmarkStart w:id="590" w:name="_Toc33393226"/>
      <w:r>
        <w:rPr>
          <w:rStyle w:val="CharSectno"/>
        </w:rPr>
        <w:t>223</w:t>
      </w:r>
      <w:r>
        <w:t>.</w:t>
      </w:r>
      <w:r>
        <w:tab/>
        <w:t>Miscellaneous modifications</w:t>
      </w:r>
      <w:bookmarkEnd w:id="589"/>
      <w:bookmarkEnd w:id="590"/>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pPr>
      <w:r>
        <w:tab/>
        <w:t>(i)</w:t>
      </w:r>
      <w:r>
        <w:tab/>
        <w:t>as if it were modified so that provisions relating to the Integrity Commissioner did not apply; and</w:t>
      </w:r>
    </w:p>
    <w:p>
      <w:pPr>
        <w:pStyle w:val="Indenta"/>
      </w:pPr>
      <w:r>
        <w:tab/>
        <w:t>(j)</w:t>
      </w:r>
      <w:r>
        <w:tab/>
        <w:t>as if a reference to a Commonwealth service provider were a reference to a person who provides goods or services under a contract with the National Authority; and</w:t>
      </w:r>
    </w:p>
    <w:p>
      <w:pPr>
        <w:pStyle w:val="Indenta"/>
      </w:pPr>
      <w:r>
        <w:tab/>
        <w:t>(k)</w:t>
      </w:r>
      <w:r>
        <w:tab/>
        <w:t>as if a reference to any other Commonwealth office holder or body were a reference to the equivalent office holder or body of a participating jurisdiction; and</w:t>
      </w:r>
    </w:p>
    <w:p>
      <w:pPr>
        <w:pStyle w:val="Indenta"/>
      </w:pPr>
      <w:r>
        <w:tab/>
        <w:t>(l)</w:t>
      </w:r>
      <w:r>
        <w:tab/>
        <w:t>as if a reference to an arrangement or communication between a Commonwealth Minister and a Minister of a State included a reference to an arrangement or communication between Ministers of States; and</w:t>
      </w:r>
    </w:p>
    <w:p>
      <w:pPr>
        <w:pStyle w:val="Indenta"/>
      </w:pPr>
      <w:r>
        <w:tab/>
        <w:t>(m)</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(n)</w:t>
      </w:r>
      <w:r>
        <w:tab/>
        <w:t>with any other modifications that are necessary for the effective administration of the Ombudsman Act for the purposes of the National Quality Framework.</w:t>
      </w:r>
    </w:p>
    <w:p>
      <w:pPr>
        <w:pStyle w:val="Heading5"/>
      </w:pPr>
      <w:bookmarkStart w:id="591" w:name="_Toc389742212"/>
      <w:bookmarkStart w:id="592" w:name="_Toc33393227"/>
      <w:r>
        <w:rPr>
          <w:rStyle w:val="CharSectno"/>
        </w:rPr>
        <w:t>224</w:t>
      </w:r>
      <w:r>
        <w:t>.</w:t>
      </w:r>
      <w:r>
        <w:tab/>
        <w:t>Relevant administrative tribunal</w:t>
      </w:r>
      <w:bookmarkEnd w:id="591"/>
      <w:bookmarkEnd w:id="592"/>
      <w:r>
        <w:t xml:space="preserve"> </w:t>
      </w:r>
    </w:p>
    <w:p>
      <w:pPr>
        <w:pStyle w:val="Subsection"/>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593" w:name="_Toc389742213"/>
      <w:bookmarkStart w:id="594" w:name="_Toc33393228"/>
      <w:r>
        <w:rPr>
          <w:rStyle w:val="CharSectno"/>
        </w:rPr>
        <w:t>225</w:t>
      </w:r>
      <w:r>
        <w:t>.</w:t>
      </w:r>
      <w:r>
        <w:tab/>
        <w:t>Regulations</w:t>
      </w:r>
      <w:bookmarkEnd w:id="593"/>
      <w:bookmarkEnd w:id="594"/>
      <w:r>
        <w:t xml:space="preserve"> </w:t>
      </w:r>
    </w:p>
    <w:p>
      <w:pPr>
        <w:pStyle w:val="Subsection"/>
      </w:pPr>
      <w:r>
        <w:tab/>
      </w:r>
      <w:r>
        <w:tab/>
        <w:t>The regulations made under the Ombudsman Act, other than provisions providing for witness expenses, do not apply.</w:t>
      </w:r>
    </w:p>
    <w:p>
      <w:pPr>
        <w:pStyle w:val="Heading4"/>
      </w:pPr>
      <w:bookmarkStart w:id="595" w:name="_Toc389742214"/>
      <w:bookmarkStart w:id="596" w:name="_Toc33393229"/>
      <w:r>
        <w:t>Division 5 — Publication of information</w:t>
      </w:r>
      <w:bookmarkEnd w:id="595"/>
      <w:bookmarkEnd w:id="596"/>
    </w:p>
    <w:p>
      <w:pPr>
        <w:pStyle w:val="Heading5"/>
      </w:pPr>
      <w:bookmarkStart w:id="597" w:name="_Toc389742215"/>
      <w:bookmarkStart w:id="598" w:name="_Toc33393230"/>
      <w:r>
        <w:rPr>
          <w:rStyle w:val="CharSectno"/>
        </w:rPr>
        <w:t>226</w:t>
      </w:r>
      <w:r>
        <w:t>.</w:t>
      </w:r>
      <w:r>
        <w:tab/>
        <w:t>Publication of information</w:t>
      </w:r>
      <w:bookmarkEnd w:id="597"/>
      <w:bookmarkEnd w:id="598"/>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599" w:name="_Toc389742216"/>
      <w:bookmarkStart w:id="600" w:name="_Toc33393231"/>
      <w:r>
        <w:rPr>
          <w:rStyle w:val="CharSectno"/>
        </w:rPr>
        <w:t>227</w:t>
      </w:r>
      <w:r>
        <w:t>.</w:t>
      </w:r>
      <w:r>
        <w:tab/>
        <w:t>Compliance and enforcement information</w:t>
      </w:r>
      <w:bookmarkEnd w:id="599"/>
      <w:bookmarkEnd w:id="600"/>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Ednotepara"/>
      </w:pPr>
      <w:r>
        <w:tab/>
        <w:t>[(f)</w:t>
      </w:r>
      <w:r>
        <w:tab/>
        <w:t>deleted]</w:t>
      </w:r>
    </w:p>
    <w:p>
      <w:pPr>
        <w:pStyle w:val="Subsection"/>
      </w:pPr>
      <w:r>
        <w:tab/>
        <w:t>(2A)</w:t>
      </w:r>
      <w:r>
        <w:tab/>
        <w:t xml:space="preserve">For the purposes of section 270(5)(b), the following matters are prescribed — </w:t>
      </w:r>
    </w:p>
    <w:p>
      <w:pPr>
        <w:pStyle w:val="Indenta"/>
      </w:pPr>
      <w:r>
        <w:tab/>
        <w:t>(a)</w:t>
      </w:r>
      <w:r>
        <w:tab/>
        <w:t>proceedings commenced by an allegation made under section 188B of the Law that grounds for disciplinary action exist;</w:t>
      </w:r>
    </w:p>
    <w:p>
      <w:pPr>
        <w:pStyle w:val="Indenta"/>
      </w:pPr>
      <w:r>
        <w:tab/>
        <w:t>(b)</w:t>
      </w:r>
      <w:r>
        <w:tab/>
        <w:t>any order made in such proceedings.</w:t>
      </w:r>
    </w:p>
    <w:p>
      <w:pPr>
        <w:pStyle w:val="Subsection"/>
      </w:pPr>
      <w:r>
        <w:tab/>
        <w:t>(3)</w:t>
      </w:r>
      <w:r>
        <w:tab/>
        <w:t xml:space="preserve">The following information may be published — </w:t>
      </w:r>
    </w:p>
    <w:p>
      <w:pPr>
        <w:pStyle w:val="Indenta"/>
      </w:pPr>
      <w:r>
        <w:tab/>
        <w:t>(a)</w:t>
      </w:r>
      <w:r>
        <w:tab/>
        <w:t>the nature of the enforcement action;</w:t>
      </w:r>
    </w:p>
    <w:p>
      <w:pPr>
        <w:pStyle w:val="Indenta"/>
      </w:pPr>
      <w:r>
        <w:tab/>
        <w:t>(b)</w:t>
      </w:r>
      <w:r>
        <w:tab/>
        <w:t xml:space="preserve">the details of the person in relation to whom the enforcement action was taken, including — </w:t>
      </w:r>
    </w:p>
    <w:p>
      <w:pPr>
        <w:pStyle w:val="Indenti"/>
      </w:pPr>
      <w:r>
        <w:tab/>
        <w:t>(i)</w:t>
      </w:r>
      <w:r>
        <w:tab/>
        <w:t>the name and provider approval number of the approved provider;</w:t>
      </w:r>
    </w:p>
    <w:p>
      <w:pPr>
        <w:pStyle w:val="Indenti"/>
      </w:pPr>
      <w:r>
        <w:tab/>
        <w:t>(ii)</w:t>
      </w:r>
      <w:r>
        <w:tab/>
        <w:t>for a centre</w:t>
      </w:r>
      <w:r>
        <w:noBreakHyphen/>
        <w:t xml:space="preserve">based service — </w:t>
      </w:r>
    </w:p>
    <w:p>
      <w:pPr>
        <w:pStyle w:val="IndentI0"/>
      </w:pPr>
      <w:r>
        <w:tab/>
        <w:t>(A)</w:t>
      </w:r>
      <w:r>
        <w:tab/>
        <w:t>the address of the service; and</w:t>
      </w:r>
    </w:p>
    <w:p>
      <w:pPr>
        <w:pStyle w:val="IndentI0"/>
      </w:pPr>
      <w:r>
        <w:tab/>
        <w:t>(B)</w:t>
      </w:r>
      <w:r>
        <w:tab/>
        <w:t>the name by which the service is known;</w:t>
      </w:r>
    </w:p>
    <w:p>
      <w:pPr>
        <w:pStyle w:val="Indenti"/>
      </w:pPr>
      <w:r>
        <w:tab/>
        <w:t>(iii)</w:t>
      </w:r>
      <w:r>
        <w:tab/>
        <w:t xml:space="preserve">for a family day care service — </w:t>
      </w:r>
    </w:p>
    <w:p>
      <w:pPr>
        <w:pStyle w:val="IndentI0"/>
      </w:pPr>
      <w:r>
        <w:tab/>
        <w:t>(A)</w:t>
      </w:r>
      <w:r>
        <w:tab/>
        <w:t>the address of the service, unless the address is also the home address of a family day care educator; and</w:t>
      </w:r>
    </w:p>
    <w:p>
      <w:pPr>
        <w:pStyle w:val="IndentI0"/>
      </w:pPr>
      <w:r>
        <w:tab/>
        <w:t>(B)</w:t>
      </w:r>
      <w:r>
        <w:tab/>
        <w:t>the name by which the service is known;</w:t>
      </w:r>
    </w:p>
    <w:p>
      <w:pPr>
        <w:pStyle w:val="Indenti"/>
      </w:pPr>
      <w:r>
        <w:tab/>
        <w:t>(iv)</w:t>
      </w:r>
      <w:r>
        <w:tab/>
        <w:t>for an individual, the name of the individual and the individual’s supervisor certificate number, if relevant;</w:t>
      </w:r>
    </w:p>
    <w:p>
      <w:pPr>
        <w:pStyle w:val="Indenta"/>
      </w:pPr>
      <w:r>
        <w:tab/>
        <w:t>(c)</w:t>
      </w:r>
      <w:r>
        <w:tab/>
        <w:t>the reason for taking the enforcement action, including details of the breach or alleged breach by the person of the Law or these Regulations and the provision that was breached or alleged to be breached;</w:t>
      </w:r>
    </w:p>
    <w:p>
      <w:pPr>
        <w:pStyle w:val="Indenta"/>
        <w:ind w:left="2336"/>
      </w:pPr>
      <w:r>
        <w:tab/>
        <w:t>(d)</w:t>
      </w:r>
      <w:r>
        <w:tab/>
        <w:t xml:space="preserve">details of the enforcement action taken, including — </w:t>
      </w:r>
    </w:p>
    <w:p>
      <w:pPr>
        <w:pStyle w:val="Indenti"/>
      </w:pPr>
      <w:r>
        <w:tab/>
        <w:t>(i)</w:t>
      </w:r>
      <w:r>
        <w:tab/>
        <w:t xml:space="preserve">for a prosecution leading to a conviction or finding of guilt or a plea of guilt —  </w:t>
      </w:r>
    </w:p>
    <w:p>
      <w:pPr>
        <w:pStyle w:val="IndentI0"/>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Ednotesubpara"/>
      </w:pPr>
      <w:r>
        <w:tab/>
        <w:t>[(vii)</w:t>
      </w:r>
      <w:r>
        <w:tab/>
        <w:t>deleted]</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This regulation differs from regulation 227 of the national regulations made by the Ministerial Council.</w:t>
      </w:r>
    </w:p>
    <w:p>
      <w:pPr>
        <w:pStyle w:val="NotesPerm"/>
        <w:keepNext/>
        <w:keepLines/>
        <w:tabs>
          <w:tab w:val="clear" w:pos="879"/>
          <w:tab w:val="left" w:pos="851"/>
        </w:tabs>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601" w:name="_Toc389742217"/>
      <w:bookmarkStart w:id="602" w:name="_Toc33393232"/>
      <w:r>
        <w:rPr>
          <w:rStyle w:val="CharSectno"/>
        </w:rPr>
        <w:t>228</w:t>
      </w:r>
      <w:r>
        <w:t>.</w:t>
      </w:r>
      <w:r>
        <w:tab/>
        <w:t>Timing of publication where internal or external review of enforcement action is available</w:t>
      </w:r>
      <w:bookmarkEnd w:id="601"/>
      <w:bookmarkEnd w:id="602"/>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603" w:name="_Toc389742218"/>
      <w:bookmarkStart w:id="604" w:name="_Toc33393233"/>
      <w:r>
        <w:t>Division 6 — Registers</w:t>
      </w:r>
      <w:bookmarkEnd w:id="603"/>
      <w:bookmarkEnd w:id="604"/>
    </w:p>
    <w:p>
      <w:pPr>
        <w:pStyle w:val="Heading5"/>
      </w:pPr>
      <w:bookmarkStart w:id="605" w:name="_Toc389742219"/>
      <w:bookmarkStart w:id="606" w:name="_Toc33393234"/>
      <w:r>
        <w:rPr>
          <w:rStyle w:val="CharSectno"/>
        </w:rPr>
        <w:t>229</w:t>
      </w:r>
      <w:r>
        <w:t>.</w:t>
      </w:r>
      <w:r>
        <w:tab/>
        <w:t>Register of approved providers</w:t>
      </w:r>
      <w:bookmarkEnd w:id="605"/>
      <w:bookmarkEnd w:id="60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607" w:name="_Toc389742220"/>
      <w:bookmarkStart w:id="608" w:name="_Toc33393235"/>
      <w:r>
        <w:rPr>
          <w:rStyle w:val="CharSectno"/>
        </w:rPr>
        <w:t>230</w:t>
      </w:r>
      <w:r>
        <w:t>.</w:t>
      </w:r>
      <w:r>
        <w:tab/>
        <w:t>Register of approved education and care services</w:t>
      </w:r>
      <w:bookmarkEnd w:id="607"/>
      <w:bookmarkEnd w:id="608"/>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609" w:name="_Toc389742221"/>
      <w:bookmarkStart w:id="610" w:name="_Toc33393236"/>
      <w:r>
        <w:rPr>
          <w:rStyle w:val="CharSectno"/>
        </w:rPr>
        <w:t>231</w:t>
      </w:r>
      <w:r>
        <w:t>.</w:t>
      </w:r>
      <w:r>
        <w:tab/>
        <w:t>Register of certified supervisors</w:t>
      </w:r>
      <w:bookmarkEnd w:id="609"/>
      <w:bookmarkEnd w:id="610"/>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611" w:name="_Toc389742222"/>
      <w:bookmarkStart w:id="612" w:name="_Toc33393237"/>
      <w:r>
        <w:rPr>
          <w:rStyle w:val="CharDivNo"/>
        </w:rPr>
        <w:t>Part 6.3</w:t>
      </w:r>
      <w:r>
        <w:t> — </w:t>
      </w:r>
      <w:r>
        <w:rPr>
          <w:rStyle w:val="CharDivText"/>
        </w:rPr>
        <w:t>Fees</w:t>
      </w:r>
      <w:bookmarkEnd w:id="611"/>
      <w:bookmarkEnd w:id="612"/>
    </w:p>
    <w:p>
      <w:pPr>
        <w:pStyle w:val="Heading5"/>
      </w:pPr>
      <w:bookmarkStart w:id="613" w:name="_Toc389742223"/>
      <w:bookmarkStart w:id="614" w:name="_Toc33393238"/>
      <w:r>
        <w:rPr>
          <w:rStyle w:val="CharSectno"/>
        </w:rPr>
        <w:t>232</w:t>
      </w:r>
      <w:r>
        <w:t>.</w:t>
      </w:r>
      <w:r>
        <w:tab/>
        <w:t>Prescribed fees</w:t>
      </w:r>
      <w:bookmarkEnd w:id="613"/>
      <w:bookmarkEnd w:id="614"/>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615" w:name="_Toc389742224"/>
      <w:bookmarkStart w:id="616" w:name="_Toc33393239"/>
      <w:r>
        <w:rPr>
          <w:rStyle w:val="CharSectno"/>
        </w:rPr>
        <w:t>233</w:t>
      </w:r>
      <w:r>
        <w:t>.</w:t>
      </w:r>
      <w:r>
        <w:tab/>
        <w:t>Late payment fees (annual fees)</w:t>
      </w:r>
      <w:bookmarkEnd w:id="615"/>
      <w:bookmarkEnd w:id="616"/>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per cent of the relevant annual fee prescribed for the purposes of regulation 33.</w:t>
      </w:r>
    </w:p>
    <w:p>
      <w:pPr>
        <w:pStyle w:val="Heading5"/>
      </w:pPr>
      <w:bookmarkStart w:id="617" w:name="_Toc389742225"/>
      <w:bookmarkStart w:id="618" w:name="_Toc33393240"/>
      <w:r>
        <w:rPr>
          <w:rStyle w:val="CharSectno"/>
        </w:rPr>
        <w:t>234</w:t>
      </w:r>
      <w:r>
        <w:t>.</w:t>
      </w:r>
      <w:r>
        <w:tab/>
        <w:t>Waiver, reduction, deferral and refund of fees</w:t>
      </w:r>
      <w:bookmarkEnd w:id="617"/>
      <w:bookmarkEnd w:id="618"/>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619" w:name="_Toc389742226"/>
      <w:bookmarkStart w:id="620" w:name="_Toc33393241"/>
      <w:r>
        <w:rPr>
          <w:rStyle w:val="CharSectno"/>
        </w:rPr>
        <w:t>235</w:t>
      </w:r>
      <w:r>
        <w:t>.</w:t>
      </w:r>
      <w:r>
        <w:tab/>
        <w:t>Indexation of fees</w:t>
      </w:r>
      <w:bookmarkEnd w:id="619"/>
      <w:bookmarkEnd w:id="620"/>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Subsection"/>
        <w:jc w:val="center"/>
        <w:rPr>
          <w:del w:id="621" w:author="Master Repository Process" w:date="2021-08-01T09:50:00Z"/>
        </w:rPr>
      </w:pPr>
      <w:del w:id="622" w:author="Master Repository Process" w:date="2021-08-01T09:50: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25pt;height:34.5pt">
              <v:imagedata r:id="rId15" o:title=""/>
            </v:shape>
          </w:pict>
        </w:r>
      </w:del>
    </w:p>
    <w:p>
      <w:pPr>
        <w:pStyle w:val="Subsection"/>
        <w:jc w:val="center"/>
        <w:rPr>
          <w:ins w:id="623" w:author="Master Repository Process" w:date="2021-08-01T09:50:00Z"/>
        </w:rPr>
      </w:pPr>
      <w:ins w:id="624" w:author="Master Repository Process" w:date="2021-08-01T09:50:00Z">
        <w:r>
          <w:rPr>
            <w:position w:val="-30"/>
          </w:rPr>
          <w:pict>
            <v:shape id="_x0000_i1026" type="#_x0000_t75" style="width:220.5pt;height:34.5pt">
              <v:imagedata r:id="rId15" o:title=""/>
            </v:shape>
          </w:pict>
        </w:r>
      </w:ins>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625" w:name="_Toc389742227"/>
      <w:bookmarkStart w:id="626" w:name="_Toc33393242"/>
      <w:r>
        <w:rPr>
          <w:rStyle w:val="CharSectno"/>
        </w:rPr>
        <w:t>236</w:t>
      </w:r>
      <w:r>
        <w:t>.</w:t>
      </w:r>
      <w:r>
        <w:tab/>
        <w:t>Publication of indexed fees</w:t>
      </w:r>
      <w:bookmarkEnd w:id="625"/>
      <w:bookmarkEnd w:id="626"/>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627" w:name="_Toc389742228"/>
      <w:bookmarkStart w:id="628" w:name="_Toc33393243"/>
      <w:r>
        <w:rPr>
          <w:rStyle w:val="CharDivNo"/>
        </w:rPr>
        <w:t>Part 6.4</w:t>
      </w:r>
      <w:r>
        <w:t> — </w:t>
      </w:r>
      <w:r>
        <w:rPr>
          <w:rStyle w:val="CharDivText"/>
        </w:rPr>
        <w:t>Delegations</w:t>
      </w:r>
      <w:bookmarkEnd w:id="627"/>
      <w:bookmarkEnd w:id="628"/>
    </w:p>
    <w:p>
      <w:pPr>
        <w:pStyle w:val="Heading5"/>
      </w:pPr>
      <w:bookmarkStart w:id="629" w:name="_Toc389742229"/>
      <w:bookmarkStart w:id="630" w:name="_Toc33393244"/>
      <w:r>
        <w:rPr>
          <w:rStyle w:val="CharSectno"/>
        </w:rPr>
        <w:t>237</w:t>
      </w:r>
      <w:r>
        <w:t>.</w:t>
      </w:r>
      <w:r>
        <w:tab/>
        <w:t>Delegation</w:t>
      </w:r>
      <w:bookmarkEnd w:id="629"/>
      <w:bookmarkEnd w:id="63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631" w:name="_Toc389742230"/>
      <w:bookmarkStart w:id="632" w:name="_Toc33393245"/>
      <w:r>
        <w:rPr>
          <w:rStyle w:val="CharPartNo"/>
        </w:rPr>
        <w:t>Chapter 7</w:t>
      </w:r>
      <w:r>
        <w:t> — </w:t>
      </w:r>
      <w:r>
        <w:rPr>
          <w:rStyle w:val="CharPartText"/>
        </w:rPr>
        <w:t>Jurisdiction</w:t>
      </w:r>
      <w:r>
        <w:rPr>
          <w:rStyle w:val="CharPartText"/>
        </w:rPr>
        <w:noBreakHyphen/>
        <w:t>specific and transitional and saving provisions</w:t>
      </w:r>
      <w:bookmarkEnd w:id="631"/>
      <w:bookmarkEnd w:id="632"/>
    </w:p>
    <w:p>
      <w:pPr>
        <w:pStyle w:val="MiscellaneousBody"/>
      </w:pPr>
      <w:r>
        <w:t>This Chapter contains transitional and saving provisions and provisions that relate to specific jurisdictions.</w:t>
      </w:r>
    </w:p>
    <w:p>
      <w:pPr>
        <w:pStyle w:val="MiscellaneousBody"/>
      </w:pPr>
      <w:r>
        <w:rPr>
          <w:b/>
        </w:rPr>
        <w:t>Part 7.1</w:t>
      </w:r>
      <w:r>
        <w:t xml:space="preserve"> contains general transitional and saving provisions.</w:t>
      </w:r>
    </w:p>
    <w:p>
      <w:pPr>
        <w:pStyle w:val="MiscellaneousBody"/>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ind w:left="1418" w:hanging="1418"/>
      </w:pPr>
      <w:r>
        <w:tab/>
        <w:t>Note:</w:t>
      </w:r>
      <w:r>
        <w:tab/>
        <w:t>The national regulations made by the Ministerial Council include provisions as Parts 7.2-7.8.</w:t>
      </w:r>
    </w:p>
    <w:p>
      <w:pPr>
        <w:pStyle w:val="Heading3"/>
      </w:pPr>
      <w:bookmarkStart w:id="633" w:name="_Toc389742231"/>
      <w:bookmarkStart w:id="634" w:name="_Toc33393246"/>
      <w:r>
        <w:rPr>
          <w:rStyle w:val="CharDivNo"/>
        </w:rPr>
        <w:t>Part 7.1</w:t>
      </w:r>
      <w:r>
        <w:t> — </w:t>
      </w:r>
      <w:r>
        <w:rPr>
          <w:rStyle w:val="CharDivText"/>
        </w:rPr>
        <w:t>General transitional and saving provisions</w:t>
      </w:r>
      <w:bookmarkEnd w:id="633"/>
      <w:bookmarkEnd w:id="634"/>
    </w:p>
    <w:p>
      <w:pPr>
        <w:pStyle w:val="Heading4"/>
      </w:pPr>
      <w:bookmarkStart w:id="635" w:name="_Toc389742232"/>
      <w:bookmarkStart w:id="636" w:name="_Toc33393247"/>
      <w:r>
        <w:t>Division 1 — Quality improvement plans</w:t>
      </w:r>
      <w:bookmarkEnd w:id="635"/>
      <w:bookmarkEnd w:id="636"/>
    </w:p>
    <w:p>
      <w:pPr>
        <w:pStyle w:val="Heading5"/>
      </w:pPr>
      <w:bookmarkStart w:id="637" w:name="_Toc389742233"/>
      <w:bookmarkStart w:id="638" w:name="_Toc33393248"/>
      <w:r>
        <w:rPr>
          <w:rStyle w:val="CharSectno"/>
        </w:rPr>
        <w:t>238</w:t>
      </w:r>
      <w:r>
        <w:t>.</w:t>
      </w:r>
      <w:r>
        <w:tab/>
        <w:t>Quality improvement plans</w:t>
      </w:r>
      <w:bookmarkEnd w:id="637"/>
      <w:bookmarkEnd w:id="638"/>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639" w:name="_Toc389742234"/>
      <w:bookmarkStart w:id="640" w:name="_Toc33393249"/>
      <w:r>
        <w:t>Division 2 — Staffing arrangements</w:t>
      </w:r>
      <w:bookmarkEnd w:id="639"/>
      <w:bookmarkEnd w:id="640"/>
    </w:p>
    <w:p>
      <w:pPr>
        <w:pStyle w:val="Heading5"/>
      </w:pPr>
      <w:bookmarkStart w:id="641" w:name="_Toc389742235"/>
      <w:bookmarkStart w:id="642" w:name="_Toc33393250"/>
      <w:r>
        <w:rPr>
          <w:rStyle w:val="CharSectno"/>
        </w:rPr>
        <w:t>239</w:t>
      </w:r>
      <w:r>
        <w:t>.</w:t>
      </w:r>
      <w:r>
        <w:tab/>
        <w:t>Centre</w:t>
      </w:r>
      <w:r>
        <w:noBreakHyphen/>
        <w:t>based service offering a preschool program in a composite class in a school</w:t>
      </w:r>
      <w:bookmarkEnd w:id="641"/>
      <w:bookmarkEnd w:id="642"/>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643" w:name="_Toc389742236"/>
      <w:bookmarkStart w:id="644" w:name="_Toc33393251"/>
      <w:r>
        <w:rPr>
          <w:rStyle w:val="CharSectno"/>
        </w:rPr>
        <w:t>240</w:t>
      </w:r>
      <w:r>
        <w:t>.</w:t>
      </w:r>
      <w:r>
        <w:tab/>
        <w:t>Qualifications for educators — centre</w:t>
      </w:r>
      <w:r>
        <w:noBreakHyphen/>
        <w:t>based service</w:t>
      </w:r>
      <w:bookmarkEnd w:id="643"/>
      <w:bookmarkEnd w:id="644"/>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645" w:name="_Toc389742237"/>
      <w:bookmarkStart w:id="646" w:name="_Toc33393252"/>
      <w:r>
        <w:rPr>
          <w:rStyle w:val="CharSectno"/>
        </w:rPr>
        <w:t>241</w:t>
      </w:r>
      <w:r>
        <w:t>.</w:t>
      </w:r>
      <w:r>
        <w:tab/>
        <w:t>Persons taken to hold an approved early childhood teaching qualification</w:t>
      </w:r>
      <w:bookmarkEnd w:id="645"/>
      <w:bookmarkEnd w:id="64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w:t>
      </w:r>
      <w:smartTag w:uri="urn:schemas-microsoft-com:office:smarttags" w:element="place">
        <w:smartTag w:uri="urn:schemas-microsoft-com:office:smarttags" w:element="State">
          <w:r>
            <w:t>Tasmania</w:t>
          </w:r>
        </w:smartTag>
      </w:smartTag>
      <w:r>
        <w:t>; or</w:t>
      </w:r>
    </w:p>
    <w:p>
      <w:pPr>
        <w:pStyle w:val="Indenta"/>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person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w:t>
      </w:r>
    </w:p>
    <w:p>
      <w:pPr>
        <w:pStyle w:val="Footnotesection"/>
      </w:pPr>
      <w:r>
        <w:tab/>
        <w:t>[Regulation 241 amended in Gazette 13 Dec 2013 p.</w:t>
      </w:r>
      <w:r>
        <w:rPr>
          <w:sz w:val="19"/>
        </w:rPr>
        <w:t> </w:t>
      </w:r>
      <w:r>
        <w:t>6169.]</w:t>
      </w:r>
    </w:p>
    <w:p>
      <w:pPr>
        <w:pStyle w:val="Heading5"/>
        <w:pageBreakBefore/>
      </w:pPr>
      <w:bookmarkStart w:id="647" w:name="_Toc389742238"/>
      <w:bookmarkStart w:id="648" w:name="_Toc33393253"/>
      <w:r>
        <w:rPr>
          <w:rStyle w:val="CharSectno"/>
        </w:rPr>
        <w:t>242</w:t>
      </w:r>
      <w:r>
        <w:t>.</w:t>
      </w:r>
      <w:r>
        <w:tab/>
        <w:t>Persons taken to be early childhood teachers</w:t>
      </w:r>
      <w:bookmarkEnd w:id="647"/>
      <w:bookmarkEnd w:id="648"/>
      <w:r>
        <w:t xml:space="preserve"> </w:t>
      </w:r>
    </w:p>
    <w:p>
      <w:pPr>
        <w:pStyle w:val="Subsection"/>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per cent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ind w:left="1418" w:hanging="1418"/>
      </w:pPr>
      <w:r>
        <w:tab/>
        <w:t>Note:</w:t>
      </w:r>
      <w:r>
        <w:tab/>
        <w:t>This regulation differs from regulation 242 of the national regulations made by the Ministerial Council.</w:t>
      </w:r>
    </w:p>
    <w:p>
      <w:pPr>
        <w:pStyle w:val="Footnotesection"/>
      </w:pPr>
      <w:r>
        <w:tab/>
        <w:t>[Regulation 242 amended in Gazette 13 Dec 2013 p.</w:t>
      </w:r>
      <w:r>
        <w:rPr>
          <w:sz w:val="19"/>
        </w:rPr>
        <w:t> </w:t>
      </w:r>
      <w:r>
        <w:t>6169.]</w:t>
      </w:r>
    </w:p>
    <w:p>
      <w:pPr>
        <w:pStyle w:val="Heading5"/>
      </w:pPr>
      <w:bookmarkStart w:id="649" w:name="_Toc389742239"/>
      <w:bookmarkStart w:id="650" w:name="_Toc33393254"/>
      <w:r>
        <w:rPr>
          <w:rStyle w:val="CharSectno"/>
        </w:rPr>
        <w:t>243</w:t>
      </w:r>
      <w:r>
        <w:t>.</w:t>
      </w:r>
      <w:r>
        <w:tab/>
        <w:t>Persons taken to hold an approved diploma level education and care qualification</w:t>
      </w:r>
      <w:bookmarkEnd w:id="649"/>
      <w:bookmarkEnd w:id="650"/>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pPr>
      <w:bookmarkStart w:id="651" w:name="_Toc389742240"/>
      <w:bookmarkStart w:id="652" w:name="_Toc33393255"/>
      <w:r>
        <w:rPr>
          <w:rStyle w:val="CharSectno"/>
        </w:rPr>
        <w:t>243A</w:t>
      </w:r>
      <w:r>
        <w:t>.</w:t>
      </w:r>
      <w:r>
        <w:tab/>
        <w:t>Persons taken to hold an approved diploma level education and care qualification for regulation 128 in Queensland</w:t>
      </w:r>
      <w:bookmarkEnd w:id="651"/>
      <w:bookmarkEnd w:id="652"/>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coordinators.</w:t>
      </w:r>
    </w:p>
    <w:p>
      <w:pPr>
        <w:pStyle w:val="Footnotesection"/>
      </w:pPr>
      <w:r>
        <w:tab/>
        <w:t>[Regulation 243A inserted in Gazette 13 Dec 2013 p.</w:t>
      </w:r>
      <w:r>
        <w:rPr>
          <w:sz w:val="19"/>
        </w:rPr>
        <w:t> </w:t>
      </w:r>
      <w:r>
        <w:t>6169.]</w:t>
      </w:r>
    </w:p>
    <w:p>
      <w:pPr>
        <w:pStyle w:val="Heading5"/>
      </w:pPr>
      <w:bookmarkStart w:id="653" w:name="_Toc389742241"/>
      <w:bookmarkStart w:id="654" w:name="_Toc33393256"/>
      <w:r>
        <w:rPr>
          <w:rStyle w:val="CharSectno"/>
        </w:rPr>
        <w:t>244</w:t>
      </w:r>
      <w:r>
        <w:t>.</w:t>
      </w:r>
      <w:r>
        <w:tab/>
        <w:t>Persons taken to hold an approved certificate III level education and care qualification</w:t>
      </w:r>
      <w:bookmarkEnd w:id="653"/>
      <w:bookmarkEnd w:id="654"/>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655" w:name="_Toc389742242"/>
      <w:bookmarkStart w:id="656" w:name="_Toc33393257"/>
      <w:r>
        <w:rPr>
          <w:rStyle w:val="CharSectno"/>
        </w:rPr>
        <w:t>245</w:t>
      </w:r>
      <w:r>
        <w:t>.</w:t>
      </w:r>
      <w:r>
        <w:tab/>
        <w:t>Person taken to hold approved first aid qualification</w:t>
      </w:r>
      <w:bookmarkEnd w:id="655"/>
      <w:bookmarkEnd w:id="656"/>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657" w:name="_Toc389742243"/>
      <w:bookmarkStart w:id="658" w:name="_Toc33393258"/>
      <w:r>
        <w:rPr>
          <w:rStyle w:val="CharSectno"/>
        </w:rPr>
        <w:t>246</w:t>
      </w:r>
      <w:r>
        <w:t>.</w:t>
      </w:r>
      <w:r>
        <w:tab/>
        <w:t>Anaphylaxis training</w:t>
      </w:r>
      <w:bookmarkEnd w:id="657"/>
      <w:bookmarkEnd w:id="658"/>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659" w:name="_Toc389742244"/>
      <w:bookmarkStart w:id="660" w:name="_Toc33393259"/>
      <w:r>
        <w:rPr>
          <w:rStyle w:val="CharSectno"/>
        </w:rPr>
        <w:t>247</w:t>
      </w:r>
      <w:r>
        <w:t>.</w:t>
      </w:r>
      <w:r>
        <w:tab/>
        <w:t>Asthma management training</w:t>
      </w:r>
      <w:bookmarkEnd w:id="659"/>
      <w:bookmarkEnd w:id="660"/>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661" w:name="_Toc389742245"/>
      <w:bookmarkStart w:id="662" w:name="_Toc33393260"/>
      <w:r>
        <w:t>Division 3 — Physical environment</w:t>
      </w:r>
      <w:bookmarkEnd w:id="661"/>
      <w:bookmarkEnd w:id="662"/>
    </w:p>
    <w:p>
      <w:pPr>
        <w:pStyle w:val="Heading5"/>
      </w:pPr>
      <w:bookmarkStart w:id="663" w:name="_Toc389742246"/>
      <w:bookmarkStart w:id="664" w:name="_Toc33393261"/>
      <w:r>
        <w:rPr>
          <w:rStyle w:val="CharSectno"/>
        </w:rPr>
        <w:t>248</w:t>
      </w:r>
      <w:r>
        <w:t>.</w:t>
      </w:r>
      <w:r>
        <w:tab/>
        <w:t>Centre</w:t>
      </w:r>
      <w:r>
        <w:noBreakHyphen/>
        <w:t>based service offering a preschool program in a composite class in a school</w:t>
      </w:r>
      <w:bookmarkEnd w:id="663"/>
      <w:bookmarkEnd w:id="66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665" w:name="_Toc389742247"/>
      <w:bookmarkStart w:id="666" w:name="_Toc33393262"/>
      <w:r>
        <w:rPr>
          <w:rStyle w:val="CharSectno"/>
        </w:rPr>
        <w:t>249</w:t>
      </w:r>
      <w:r>
        <w:t>.</w:t>
      </w:r>
      <w:r>
        <w:tab/>
        <w:t>Declared approved services (other than declared approved family day care services)</w:t>
      </w:r>
      <w:bookmarkEnd w:id="665"/>
      <w:bookmarkEnd w:id="666"/>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667" w:name="_Toc389742248"/>
      <w:bookmarkStart w:id="668" w:name="_Toc33393263"/>
      <w:r>
        <w:rPr>
          <w:rStyle w:val="CharSectno"/>
        </w:rPr>
        <w:t>250</w:t>
      </w:r>
      <w:r>
        <w:t>.</w:t>
      </w:r>
      <w:r>
        <w:tab/>
        <w:t>Declared approved family day care services</w:t>
      </w:r>
      <w:bookmarkEnd w:id="667"/>
      <w:bookmarkEnd w:id="668"/>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669" w:name="_Toc389742249"/>
      <w:bookmarkStart w:id="670" w:name="_Toc33393264"/>
      <w:r>
        <w:rPr>
          <w:rStyle w:val="CharSectno"/>
        </w:rPr>
        <w:t>251</w:t>
      </w:r>
      <w:r>
        <w:t>.</w:t>
      </w:r>
      <w:r>
        <w:tab/>
        <w:t>Declared out of scope services</w:t>
      </w:r>
      <w:bookmarkEnd w:id="669"/>
      <w:bookmarkEnd w:id="670"/>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671" w:name="_Toc389742250"/>
      <w:bookmarkStart w:id="672" w:name="_Toc33393265"/>
      <w:r>
        <w:t>Division 4 — Information retention and sharing</w:t>
      </w:r>
      <w:bookmarkEnd w:id="671"/>
      <w:bookmarkEnd w:id="672"/>
    </w:p>
    <w:p>
      <w:pPr>
        <w:pStyle w:val="Heading5"/>
      </w:pPr>
      <w:bookmarkStart w:id="673" w:name="_Toc389742251"/>
      <w:bookmarkStart w:id="674" w:name="_Toc33393266"/>
      <w:r>
        <w:rPr>
          <w:rStyle w:val="CharSectno"/>
        </w:rPr>
        <w:t>252</w:t>
      </w:r>
      <w:r>
        <w:t>.</w:t>
      </w:r>
      <w:r>
        <w:tab/>
        <w:t>Information held by Regulatory Authority or regulatory body</w:t>
      </w:r>
      <w:bookmarkEnd w:id="673"/>
      <w:bookmarkEnd w:id="674"/>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75" w:name="_Toc389742252"/>
      <w:bookmarkStart w:id="676" w:name="_Toc33393267"/>
      <w:r>
        <w:rPr>
          <w:rStyle w:val="CharSectno"/>
        </w:rPr>
        <w:t>253</w:t>
      </w:r>
      <w:r>
        <w:t>.</w:t>
      </w:r>
      <w:r>
        <w:tab/>
        <w:t>Information kept by approved provider</w:t>
      </w:r>
      <w:bookmarkEnd w:id="675"/>
      <w:bookmarkEnd w:id="676"/>
    </w:p>
    <w:p>
      <w:pPr>
        <w:pStyle w:val="Subsection"/>
      </w:pPr>
      <w:r>
        <w:tab/>
      </w:r>
      <w:r>
        <w:tab/>
        <w:t>For the purposes of section 322(3) of the Law, the documents must be kept in accordance with regulation 183.</w:t>
      </w:r>
    </w:p>
    <w:p>
      <w:pPr>
        <w:pStyle w:val="Heading4"/>
      </w:pPr>
      <w:bookmarkStart w:id="677" w:name="_Toc389742253"/>
      <w:bookmarkStart w:id="678" w:name="_Toc33393268"/>
      <w:r>
        <w:t>Division 5 — Declared approved learning frameworks</w:t>
      </w:r>
      <w:bookmarkEnd w:id="677"/>
      <w:bookmarkEnd w:id="678"/>
    </w:p>
    <w:p>
      <w:pPr>
        <w:pStyle w:val="Heading5"/>
      </w:pPr>
      <w:bookmarkStart w:id="679" w:name="_Toc389742254"/>
      <w:bookmarkStart w:id="680" w:name="_Toc33393269"/>
      <w:r>
        <w:rPr>
          <w:rStyle w:val="CharSectno"/>
        </w:rPr>
        <w:t>254</w:t>
      </w:r>
      <w:r>
        <w:t>.</w:t>
      </w:r>
      <w:r>
        <w:tab/>
        <w:t>Declared approved learning frameworks</w:t>
      </w:r>
      <w:bookmarkEnd w:id="679"/>
      <w:bookmarkEnd w:id="680"/>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681" w:name="_Toc389742255"/>
      <w:bookmarkStart w:id="682" w:name="_Toc33393270"/>
      <w:r>
        <w:t>Division 6 — Fees</w:t>
      </w:r>
      <w:bookmarkEnd w:id="681"/>
      <w:bookmarkEnd w:id="682"/>
    </w:p>
    <w:p>
      <w:pPr>
        <w:pStyle w:val="Heading5"/>
      </w:pPr>
      <w:bookmarkStart w:id="683" w:name="_Toc389742256"/>
      <w:bookmarkStart w:id="684" w:name="_Toc33393271"/>
      <w:r>
        <w:rPr>
          <w:rStyle w:val="CharSectno"/>
        </w:rPr>
        <w:t>255</w:t>
      </w:r>
      <w:r>
        <w:t>.</w:t>
      </w:r>
      <w:r>
        <w:tab/>
        <w:t>Fees for application for provider approval for declared out of scope service</w:t>
      </w:r>
      <w:bookmarkEnd w:id="683"/>
      <w:bookmarkEnd w:id="684"/>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685" w:name="_Toc389742257"/>
      <w:bookmarkStart w:id="686" w:name="_Toc33393272"/>
      <w:r>
        <w:t>Division 7 — General provisions relating to exemptions</w:t>
      </w:r>
      <w:bookmarkEnd w:id="685"/>
      <w:bookmarkEnd w:id="686"/>
    </w:p>
    <w:p>
      <w:pPr>
        <w:pStyle w:val="Heading5"/>
      </w:pPr>
      <w:bookmarkStart w:id="687" w:name="_Toc389742258"/>
      <w:bookmarkStart w:id="688" w:name="_Toc33393273"/>
      <w:r>
        <w:rPr>
          <w:rStyle w:val="CharSectno"/>
        </w:rPr>
        <w:t>256</w:t>
      </w:r>
      <w:r>
        <w:t>.</w:t>
      </w:r>
      <w:r>
        <w:tab/>
        <w:t>Publication where service taken to comply with regulations</w:t>
      </w:r>
      <w:bookmarkEnd w:id="687"/>
      <w:bookmarkEnd w:id="688"/>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256 of the national regulations made by the Ministerial Council.</w:t>
      </w:r>
    </w:p>
    <w:p>
      <w:pPr>
        <w:pStyle w:val="Heading5"/>
      </w:pPr>
      <w:bookmarkStart w:id="689" w:name="_Toc389742259"/>
      <w:bookmarkStart w:id="690" w:name="_Toc33393274"/>
      <w:r>
        <w:rPr>
          <w:rStyle w:val="CharSectno"/>
        </w:rPr>
        <w:t>257</w:t>
      </w:r>
      <w:r>
        <w:t>.</w:t>
      </w:r>
      <w:r>
        <w:tab/>
        <w:t>Application for removal of exemption</w:t>
      </w:r>
      <w:bookmarkEnd w:id="689"/>
      <w:bookmarkEnd w:id="690"/>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691" w:name="_Toc389742260"/>
      <w:bookmarkStart w:id="692" w:name="_Toc33393275"/>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691"/>
      <w:bookmarkEnd w:id="692"/>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693" w:name="_Toc389742261"/>
      <w:bookmarkStart w:id="694" w:name="_Toc33393276"/>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693"/>
      <w:bookmarkEnd w:id="694"/>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695" w:name="_Toc389742262"/>
      <w:bookmarkStart w:id="696" w:name="_Toc33393277"/>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695"/>
      <w:bookmarkEnd w:id="696"/>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697" w:name="_Toc389742263"/>
      <w:bookmarkStart w:id="698" w:name="_Toc33393278"/>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697"/>
      <w:bookmarkEnd w:id="698"/>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699" w:name="_Toc389742264"/>
      <w:bookmarkStart w:id="700" w:name="_Toc33393279"/>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699"/>
      <w:bookmarkEnd w:id="700"/>
    </w:p>
    <w:p>
      <w:pPr>
        <w:pStyle w:val="NotesPerm"/>
        <w:tabs>
          <w:tab w:val="clear" w:pos="879"/>
          <w:tab w:val="left" w:pos="851"/>
        </w:tabs>
        <w:ind w:left="1418" w:hanging="1418"/>
      </w:pPr>
      <w:r>
        <w:tab/>
        <w:t>Note:</w:t>
      </w:r>
      <w:r>
        <w:tab/>
        <w:t>The national regulations made by the Ministerial Council include provisions as Part 7.6.</w:t>
      </w:r>
    </w:p>
    <w:p>
      <w:pPr>
        <w:pStyle w:val="Heading3"/>
      </w:pPr>
      <w:bookmarkStart w:id="701" w:name="_Toc389742265"/>
      <w:bookmarkStart w:id="702" w:name="_Toc33393280"/>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701"/>
      <w:bookmarkEnd w:id="702"/>
    </w:p>
    <w:p>
      <w:pPr>
        <w:pStyle w:val="NotesPerm"/>
        <w:tabs>
          <w:tab w:val="clear" w:pos="879"/>
          <w:tab w:val="left" w:pos="851"/>
        </w:tabs>
        <w:ind w:left="1418" w:hanging="1418"/>
      </w:pPr>
      <w:r>
        <w:tab/>
        <w:t>Note:</w:t>
      </w:r>
      <w:r>
        <w:tab/>
        <w:t>The national regulations made by the Ministerial Council include provisions as Part 7.7.</w:t>
      </w:r>
    </w:p>
    <w:p>
      <w:pPr>
        <w:pStyle w:val="Heading3"/>
      </w:pPr>
      <w:bookmarkStart w:id="703" w:name="_Toc389742266"/>
      <w:bookmarkStart w:id="704" w:name="_Toc33393281"/>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703"/>
      <w:bookmarkEnd w:id="704"/>
    </w:p>
    <w:p>
      <w:pPr>
        <w:pStyle w:val="NotesPerm"/>
        <w:tabs>
          <w:tab w:val="clear" w:pos="879"/>
          <w:tab w:val="left" w:pos="851"/>
        </w:tabs>
        <w:ind w:left="1418" w:hanging="1418"/>
      </w:pPr>
      <w:r>
        <w:tab/>
        <w:t>Note:</w:t>
      </w:r>
      <w:r>
        <w:tab/>
        <w:t>The national regulations made by the Ministerial Council include provisions as Part 7.8.</w:t>
      </w:r>
    </w:p>
    <w:p>
      <w:pPr>
        <w:pStyle w:val="Heading3"/>
      </w:pPr>
      <w:bookmarkStart w:id="705" w:name="_Toc389742267"/>
      <w:bookmarkStart w:id="706" w:name="_Toc33393282"/>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705"/>
      <w:bookmarkEnd w:id="706"/>
    </w:p>
    <w:p>
      <w:pPr>
        <w:pStyle w:val="Heading4"/>
      </w:pPr>
      <w:bookmarkStart w:id="707" w:name="_Toc389742268"/>
      <w:bookmarkStart w:id="708" w:name="_Toc33393283"/>
      <w:r>
        <w:t>Division 1 — Application of Part 7.9</w:t>
      </w:r>
      <w:bookmarkEnd w:id="707"/>
      <w:bookmarkEnd w:id="708"/>
    </w:p>
    <w:p>
      <w:pPr>
        <w:pStyle w:val="Heading5"/>
      </w:pPr>
      <w:bookmarkStart w:id="709" w:name="_Toc389742269"/>
      <w:bookmarkStart w:id="710" w:name="_Toc33393284"/>
      <w:r>
        <w:rPr>
          <w:rStyle w:val="CharSectno"/>
        </w:rPr>
        <w:t>367</w:t>
      </w:r>
      <w:r>
        <w:t>.</w:t>
      </w:r>
      <w:r>
        <w:tab/>
        <w:t>Application of Part 7.9</w:t>
      </w:r>
      <w:bookmarkEnd w:id="709"/>
      <w:bookmarkEnd w:id="710"/>
      <w:r>
        <w:t xml:space="preserve"> </w:t>
      </w:r>
    </w:p>
    <w:p>
      <w:pPr>
        <w:pStyle w:val="Subsection"/>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711" w:name="_Toc389742270"/>
      <w:bookmarkStart w:id="712" w:name="_Toc33393285"/>
      <w:r>
        <w:rPr>
          <w:rStyle w:val="CharSectno"/>
        </w:rPr>
        <w:t>368</w:t>
      </w:r>
      <w:r>
        <w:t>.</w:t>
      </w:r>
      <w:r>
        <w:tab/>
        <w:t>Definitions</w:t>
      </w:r>
      <w:bookmarkEnd w:id="711"/>
      <w:bookmarkEnd w:id="712"/>
      <w:r>
        <w:t xml:space="preserve"> </w:t>
      </w:r>
    </w:p>
    <w:p>
      <w:pPr>
        <w:pStyle w:val="Subsection"/>
      </w:pPr>
      <w:r>
        <w:tab/>
      </w:r>
      <w:r>
        <w:tab/>
        <w:t xml:space="preserve">In this Part — </w:t>
      </w:r>
    </w:p>
    <w:p>
      <w:pPr>
        <w:pStyle w:val="Defstart"/>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preschool</w:t>
      </w:r>
      <w:r>
        <w:t xml:space="preserve"> means an education and care service that is a preschool program provided by a school or a community kindergarten;</w:t>
      </w:r>
    </w:p>
    <w:p>
      <w:pPr>
        <w:pStyle w:val="Defstart"/>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3"/>
        <w:rPr>
          <w:ins w:id="713" w:author="Master Repository Process" w:date="2021-08-01T09:50:00Z"/>
          <w:sz w:val="24"/>
        </w:rPr>
      </w:pPr>
      <w:bookmarkStart w:id="714" w:name="_Toc389742271"/>
      <w:ins w:id="715" w:author="Master Repository Process" w:date="2021-08-01T09:50:00Z">
        <w:r>
          <w:rPr>
            <w:sz w:val="24"/>
          </w:rPr>
          <w:t>Division 1A</w:t>
        </w:r>
        <w:r>
          <w:t> — </w:t>
        </w:r>
        <w:r>
          <w:rPr>
            <w:sz w:val="24"/>
          </w:rPr>
          <w:t>Exceeding national quality standards</w:t>
        </w:r>
        <w:bookmarkEnd w:id="714"/>
      </w:ins>
    </w:p>
    <w:p>
      <w:pPr>
        <w:pStyle w:val="Footnoteheading"/>
        <w:rPr>
          <w:ins w:id="716" w:author="Master Repository Process" w:date="2021-08-01T09:50:00Z"/>
        </w:rPr>
      </w:pPr>
      <w:ins w:id="717" w:author="Master Repository Process" w:date="2021-08-01T09:50:00Z">
        <w:r>
          <w:tab/>
          <w:t>[Heading inserted in Gazette 6 Jun 2014 p. 1788.]</w:t>
        </w:r>
      </w:ins>
    </w:p>
    <w:p>
      <w:pPr>
        <w:pStyle w:val="Heading5"/>
        <w:rPr>
          <w:ins w:id="718" w:author="Master Repository Process" w:date="2021-08-01T09:50:00Z"/>
        </w:rPr>
      </w:pPr>
      <w:bookmarkStart w:id="719" w:name="_Toc389742272"/>
      <w:ins w:id="720" w:author="Master Repository Process" w:date="2021-08-01T09:50:00Z">
        <w:r>
          <w:rPr>
            <w:rStyle w:val="CharSectno"/>
          </w:rPr>
          <w:t>368A</w:t>
        </w:r>
        <w:r>
          <w:t>.</w:t>
        </w:r>
        <w:r>
          <w:tab/>
          <w:t>Exceeding national quality standards: educational program and practice quality area</w:t>
        </w:r>
        <w:bookmarkEnd w:id="719"/>
      </w:ins>
    </w:p>
    <w:p>
      <w:pPr>
        <w:pStyle w:val="Subsection"/>
        <w:rPr>
          <w:ins w:id="721" w:author="Master Repository Process" w:date="2021-08-01T09:50:00Z"/>
        </w:rPr>
      </w:pPr>
      <w:ins w:id="722" w:author="Master Repository Process" w:date="2021-08-01T09:50:00Z">
        <w:r>
          <w:tab/>
          <w:t>(1)</w:t>
        </w:r>
        <w:r>
          <w:tab/>
          <w:t xml:space="preserve">For Western Australia, an education and care service is entitled to be given an Exceeding National Quality Standards for the educational program and practice quality area if — </w:t>
        </w:r>
      </w:ins>
    </w:p>
    <w:p>
      <w:pPr>
        <w:pStyle w:val="Indenta"/>
        <w:rPr>
          <w:ins w:id="723" w:author="Master Repository Process" w:date="2021-08-01T09:50:00Z"/>
        </w:rPr>
      </w:pPr>
      <w:ins w:id="724" w:author="Master Repository Process" w:date="2021-08-01T09:50:00Z">
        <w:r>
          <w:tab/>
          <w:t>(a)</w:t>
        </w:r>
        <w:r>
          <w:tab/>
          <w:t>the service has a documented arrangement for a kindergarten programme to be provided by a school for children who are educated and cared for by the service; and</w:t>
        </w:r>
      </w:ins>
    </w:p>
    <w:p>
      <w:pPr>
        <w:pStyle w:val="Indenta"/>
        <w:rPr>
          <w:ins w:id="725" w:author="Master Repository Process" w:date="2021-08-01T09:50:00Z"/>
        </w:rPr>
      </w:pPr>
      <w:ins w:id="726" w:author="Master Repository Process" w:date="2021-08-01T09:50:00Z">
        <w:r>
          <w:tab/>
          <w:t>(b)</w:t>
        </w:r>
        <w:r>
          <w:tab/>
          <w:t>if the arrangement is generally available to children educated and cared for by the service, the service informs parents of the arrangement.</w:t>
        </w:r>
      </w:ins>
    </w:p>
    <w:p>
      <w:pPr>
        <w:pStyle w:val="Subsection"/>
        <w:rPr>
          <w:ins w:id="727" w:author="Master Repository Process" w:date="2021-08-01T09:50:00Z"/>
        </w:rPr>
      </w:pPr>
      <w:ins w:id="728" w:author="Master Repository Process" w:date="2021-08-01T09:50:00Z">
        <w:r>
          <w:tab/>
          <w:t>(2)</w:t>
        </w:r>
        <w:r>
          <w:tab/>
          <w:t>This regulation is in addition to regulation 62(2).</w:t>
        </w:r>
      </w:ins>
    </w:p>
    <w:p>
      <w:pPr>
        <w:pStyle w:val="NotesPerm"/>
        <w:tabs>
          <w:tab w:val="clear" w:pos="879"/>
          <w:tab w:val="left" w:pos="851"/>
        </w:tabs>
        <w:ind w:left="1418" w:hanging="1418"/>
        <w:rPr>
          <w:ins w:id="729" w:author="Master Repository Process" w:date="2021-08-01T09:50:00Z"/>
        </w:rPr>
      </w:pPr>
      <w:ins w:id="730" w:author="Master Repository Process" w:date="2021-08-01T09:50:00Z">
        <w:r>
          <w:tab/>
          <w:t>Note:</w:t>
        </w:r>
        <w:r>
          <w:tab/>
          <w:t>The national regulations made by the Ministerial Council does not include provisions as Part 7.9 Division 1A.</w:t>
        </w:r>
      </w:ins>
    </w:p>
    <w:p>
      <w:pPr>
        <w:pStyle w:val="Footnotesection"/>
        <w:rPr>
          <w:ins w:id="731" w:author="Master Repository Process" w:date="2021-08-01T09:50:00Z"/>
        </w:rPr>
      </w:pPr>
      <w:ins w:id="732" w:author="Master Repository Process" w:date="2021-08-01T09:50:00Z">
        <w:r>
          <w:tab/>
          <w:t>[Regulation 368A inserted in Gazette 6 Jun 2014 p. 1788.]</w:t>
        </w:r>
      </w:ins>
    </w:p>
    <w:p>
      <w:pPr>
        <w:pStyle w:val="Heading4"/>
      </w:pPr>
      <w:bookmarkStart w:id="733" w:name="_Toc389742273"/>
      <w:bookmarkStart w:id="734" w:name="_Toc33393286"/>
      <w:r>
        <w:t>Division 2 — Minimum number of educators and qualifications required — children over preschool age</w:t>
      </w:r>
      <w:bookmarkEnd w:id="733"/>
      <w:bookmarkEnd w:id="734"/>
    </w:p>
    <w:p>
      <w:pPr>
        <w:pStyle w:val="Heading5"/>
      </w:pPr>
      <w:bookmarkStart w:id="735" w:name="_Toc389742274"/>
      <w:bookmarkStart w:id="736" w:name="_Toc33393287"/>
      <w:r>
        <w:rPr>
          <w:rStyle w:val="CharSectno"/>
        </w:rPr>
        <w:t>369</w:t>
      </w:r>
      <w:r>
        <w:t>.</w:t>
      </w:r>
      <w:r>
        <w:tab/>
        <w:t>Educator to child ratios — children over preschool age</w:t>
      </w:r>
      <w:bookmarkEnd w:id="735"/>
      <w:bookmarkEnd w:id="736"/>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737" w:name="_Toc389742275"/>
      <w:bookmarkStart w:id="738" w:name="_Toc33393288"/>
      <w:r>
        <w:rPr>
          <w:rStyle w:val="CharSectno"/>
        </w:rPr>
        <w:t>370</w:t>
      </w:r>
      <w:r>
        <w:t>.</w:t>
      </w:r>
      <w:r>
        <w:tab/>
        <w:t>General qualification requirements for educators — children over preschool age</w:t>
      </w:r>
      <w:bookmarkEnd w:id="737"/>
      <w:bookmarkEnd w:id="738"/>
      <w:r>
        <w:t xml:space="preserve"> </w:t>
      </w:r>
    </w:p>
    <w:p>
      <w:pPr>
        <w:pStyle w:val="Subsection"/>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pPr>
      <w:r>
        <w:tab/>
        <w:t>(2)</w:t>
      </w:r>
      <w:r>
        <w:tab/>
        <w:t>The number of educators at the service who are required to be qualified educators is the relevant number set out in column 4 of the Table to regulation 369 in relation to the service.</w:t>
      </w:r>
    </w:p>
    <w:p>
      <w:pPr>
        <w:pStyle w:val="Subsection"/>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739" w:name="_Toc389742276"/>
      <w:bookmarkStart w:id="740" w:name="_Toc33393289"/>
      <w:r>
        <w:t>Division 3 — Minimum number of educators and qualifications required — centre</w:t>
      </w:r>
      <w:r>
        <w:noBreakHyphen/>
        <w:t>based services — children preschool age or under</w:t>
      </w:r>
      <w:bookmarkEnd w:id="739"/>
      <w:bookmarkEnd w:id="740"/>
    </w:p>
    <w:p>
      <w:pPr>
        <w:pStyle w:val="Heading5"/>
      </w:pPr>
      <w:bookmarkStart w:id="741" w:name="_Toc389742277"/>
      <w:bookmarkStart w:id="742" w:name="_Toc33393290"/>
      <w:r>
        <w:rPr>
          <w:rStyle w:val="CharSectno"/>
        </w:rPr>
        <w:t>371</w:t>
      </w:r>
      <w:r>
        <w:t>.</w:t>
      </w:r>
      <w:r>
        <w:tab/>
        <w:t>Educator to child ratio — children preschool age or under who are 36 months of age or over (other than for a pre</w:t>
      </w:r>
      <w:r>
        <w:noBreakHyphen/>
        <w:t>kindergarten programme or kindergarten programme)</w:t>
      </w:r>
      <w:bookmarkEnd w:id="741"/>
      <w:bookmarkEnd w:id="742"/>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743" w:name="_Toc389742278"/>
      <w:bookmarkStart w:id="744" w:name="_Toc33393291"/>
      <w:r>
        <w:rPr>
          <w:rStyle w:val="CharSectno"/>
        </w:rPr>
        <w:t>372</w:t>
      </w:r>
      <w:r>
        <w:t>.</w:t>
      </w:r>
      <w:r>
        <w:tab/>
        <w:t>Educator to child ratio — pre</w:t>
      </w:r>
      <w:r>
        <w:noBreakHyphen/>
        <w:t>kindergarten programme or kindergarten programme provided by a school</w:t>
      </w:r>
      <w:bookmarkEnd w:id="743"/>
      <w:bookmarkEnd w:id="744"/>
      <w:r>
        <w:t xml:space="preserve"> </w:t>
      </w:r>
    </w:p>
    <w:p>
      <w:pPr>
        <w:pStyle w:val="Subsection"/>
      </w:pPr>
      <w:r>
        <w:tab/>
        <w:t>(1)</w:t>
      </w:r>
      <w:r>
        <w:tab/>
        <w:t>This regulation applies in place of regulation 123(1)(c) on and after 1 January 2016 to a pre</w:t>
      </w:r>
      <w:r>
        <w:noBreakHyphen/>
        <w:t>kindergarten programme or kindergarten programme provided by a school.</w:t>
      </w:r>
    </w:p>
    <w:p>
      <w:pPr>
        <w:pStyle w:val="Subsection"/>
      </w:pPr>
      <w:r>
        <w:tab/>
        <w:t>(2)</w:t>
      </w:r>
      <w:r>
        <w:tab/>
        <w:t>The educator to child ratio is 1 educator to 10 children.</w:t>
      </w:r>
    </w:p>
    <w:p>
      <w:pPr>
        <w:pStyle w:val="Subsection"/>
      </w:pPr>
      <w:r>
        <w:tab/>
        <w:t>(3)</w:t>
      </w:r>
      <w:r>
        <w:tab/>
        <w:t xml:space="preserve">Despite subregulation (2), the educator to child ratio may be increased to 1 educator to 11 children — </w:t>
      </w:r>
    </w:p>
    <w:p>
      <w:pPr>
        <w:pStyle w:val="Indenta"/>
      </w:pPr>
      <w:r>
        <w:tab/>
        <w:t>(a)</w:t>
      </w:r>
      <w:r>
        <w:tab/>
        <w:t>in exceptional circumstances; or</w:t>
      </w:r>
    </w:p>
    <w:p>
      <w:pPr>
        <w:pStyle w:val="Indenta"/>
      </w:pPr>
      <w:r>
        <w:tab/>
        <w:t>(b)</w:t>
      </w:r>
      <w:r>
        <w:tab/>
        <w:t>for a period not exceeding one year.</w:t>
      </w:r>
    </w:p>
    <w:p>
      <w:pPr>
        <w:pStyle w:val="Heading5"/>
      </w:pPr>
      <w:bookmarkStart w:id="745" w:name="_Toc389742279"/>
      <w:bookmarkStart w:id="746" w:name="_Toc33393292"/>
      <w:r>
        <w:rPr>
          <w:rStyle w:val="CharSectno"/>
        </w:rPr>
        <w:t>373</w:t>
      </w:r>
      <w:r>
        <w:t>.</w:t>
      </w:r>
      <w:r>
        <w:tab/>
        <w:t>Early childhood teachers — pre</w:t>
      </w:r>
      <w:r>
        <w:noBreakHyphen/>
        <w:t>kindergarten programme or kindergarten programme provided by a school</w:t>
      </w:r>
      <w:bookmarkEnd w:id="745"/>
      <w:bookmarkEnd w:id="746"/>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747" w:name="_Toc389742280"/>
      <w:bookmarkStart w:id="748" w:name="_Toc33393293"/>
      <w:r>
        <w:t>Division 4 — Transitional provisions — staffing arrangements</w:t>
      </w:r>
      <w:bookmarkEnd w:id="747"/>
      <w:bookmarkEnd w:id="748"/>
    </w:p>
    <w:p>
      <w:pPr>
        <w:pStyle w:val="MiscellaneousHeading"/>
        <w:rPr>
          <w:b/>
          <w:bCs/>
        </w:rPr>
      </w:pPr>
      <w:r>
        <w:rPr>
          <w:b/>
          <w:bCs/>
        </w:rPr>
        <w:t>Subdivision 1 — Centre</w:t>
      </w:r>
      <w:r>
        <w:rPr>
          <w:b/>
          <w:bCs/>
        </w:rPr>
        <w:noBreakHyphen/>
        <w:t>based services</w:t>
      </w:r>
    </w:p>
    <w:p>
      <w:pPr>
        <w:pStyle w:val="Heading5"/>
      </w:pPr>
      <w:bookmarkStart w:id="749" w:name="_Toc389742281"/>
      <w:bookmarkStart w:id="750" w:name="_Toc33393294"/>
      <w:r>
        <w:rPr>
          <w:rStyle w:val="CharSectno"/>
        </w:rPr>
        <w:t>374</w:t>
      </w:r>
      <w:r>
        <w:t>.</w:t>
      </w:r>
      <w:r>
        <w:tab/>
        <w:t>Educator to child ratio — pre</w:t>
      </w:r>
      <w:r>
        <w:noBreakHyphen/>
        <w:t>kindergarten programme or kindergarten programme provided by a school</w:t>
      </w:r>
      <w:bookmarkEnd w:id="749"/>
      <w:bookmarkEnd w:id="750"/>
      <w:r>
        <w:t xml:space="preserve"> </w:t>
      </w:r>
    </w:p>
    <w:p>
      <w:pPr>
        <w:pStyle w:val="Subsection"/>
        <w:spacing w:before="120"/>
      </w:pPr>
      <w:r>
        <w:tab/>
        <w:t>(1)</w:t>
      </w:r>
      <w:r>
        <w:tab/>
        <w:t>This regulation applies in place of regulation 123(1)(c) until 31 December 2015 to a pre</w:t>
      </w:r>
      <w:r>
        <w:noBreakHyphen/>
        <w:t>kindergarten programme or kindergarten programme provided by a school.</w:t>
      </w:r>
    </w:p>
    <w:p>
      <w:pPr>
        <w:pStyle w:val="Subsection"/>
        <w:spacing w:before="120"/>
      </w:pPr>
      <w:r>
        <w:tab/>
        <w:t>(2)</w:t>
      </w:r>
      <w:r>
        <w:tab/>
        <w:t>The educator to child ratio for the programme is 2 educators for the first 25 children and 1 educator for each additional 8 children.</w:t>
      </w:r>
    </w:p>
    <w:p>
      <w:pPr>
        <w:pStyle w:val="Subsection"/>
        <w:spacing w:before="120"/>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751" w:name="_Toc389742282"/>
      <w:bookmarkStart w:id="752" w:name="_Toc33393295"/>
      <w:r>
        <w:rPr>
          <w:rStyle w:val="CharSectno"/>
        </w:rPr>
        <w:t>374A</w:t>
      </w:r>
      <w:r>
        <w:t>.</w:t>
      </w:r>
      <w:r>
        <w:tab/>
        <w:t>Educator to child ratios — centre</w:t>
      </w:r>
      <w:r>
        <w:noBreakHyphen/>
        <w:t>based services during lunch periods</w:t>
      </w:r>
      <w:bookmarkEnd w:id="751"/>
      <w:bookmarkEnd w:id="752"/>
    </w:p>
    <w:p>
      <w:pPr>
        <w:pStyle w:val="Subsection"/>
        <w:spacing w:before="120"/>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spacing w:before="120"/>
      </w:pPr>
      <w:r>
        <w:tab/>
        <w:t>(2)</w:t>
      </w:r>
      <w:r>
        <w:tab/>
        <w:t xml:space="preserve">This regulation applies in place of regulation 123 until </w:t>
      </w:r>
      <w:del w:id="753" w:author="Master Repository Process" w:date="2021-08-01T09:50:00Z">
        <w:r>
          <w:delText>1 August 2014</w:delText>
        </w:r>
      </w:del>
      <w:ins w:id="754" w:author="Master Repository Process" w:date="2021-08-01T09:50:00Z">
        <w:r>
          <w:t>31 July 2015</w:t>
        </w:r>
      </w:ins>
      <w:r>
        <w:t xml:space="preserve"> to a centre</w:t>
      </w:r>
      <w:r>
        <w:noBreakHyphen/>
        <w:t>based service during lunch periods.</w:t>
      </w:r>
    </w:p>
    <w:p>
      <w:pPr>
        <w:pStyle w:val="Subsection"/>
        <w:spacing w:before="120"/>
      </w:pPr>
      <w:r>
        <w:tab/>
        <w:t>(3)</w:t>
      </w:r>
      <w:r>
        <w:tab/>
        <w:t>During lunch periods, a centre</w:t>
      </w:r>
      <w:r>
        <w:noBreakHyphen/>
        <w:t>based service that educates and cares for children who are 5 years of age or under may meet the educator to child ratio for those children with a number of educators that is not less than 60 per cent of the number of educators that would otherwise be required under regulation 123.</w:t>
      </w:r>
    </w:p>
    <w:p>
      <w:pPr>
        <w:pStyle w:val="NotesPerm"/>
        <w:tabs>
          <w:tab w:val="clear" w:pos="879"/>
          <w:tab w:val="left" w:pos="851"/>
        </w:tabs>
        <w:spacing w:before="120"/>
        <w:ind w:left="1418" w:hanging="1418"/>
      </w:pPr>
      <w:r>
        <w:tab/>
        <w:t>Note:</w:t>
      </w:r>
      <w:r>
        <w:tab/>
        <w:t>Regulation 374A does not form part of the national regulations made by the Ministerial Council.</w:t>
      </w:r>
    </w:p>
    <w:p>
      <w:pPr>
        <w:pStyle w:val="Footnotesection"/>
        <w:rPr>
          <w:ins w:id="755" w:author="Master Repository Process" w:date="2021-08-01T09:50:00Z"/>
        </w:rPr>
      </w:pPr>
      <w:ins w:id="756" w:author="Master Repository Process" w:date="2021-08-01T09:50:00Z">
        <w:r>
          <w:tab/>
          <w:t>[Regulation 374A amended in Gazette 6 Jun 2014 p. 1788.]</w:t>
        </w:r>
      </w:ins>
    </w:p>
    <w:p>
      <w:pPr>
        <w:pStyle w:val="Heading5"/>
      </w:pPr>
      <w:bookmarkStart w:id="757" w:name="_Toc389742283"/>
      <w:bookmarkStart w:id="758" w:name="_Toc33393296"/>
      <w:r>
        <w:rPr>
          <w:rStyle w:val="CharSectno"/>
        </w:rPr>
        <w:t>375</w:t>
      </w:r>
      <w:r>
        <w:t>.</w:t>
      </w:r>
      <w:r>
        <w:tab/>
        <w:t>Qualifications for educators — children aged 24 months or under (other than for a pre</w:t>
      </w:r>
      <w:r>
        <w:noBreakHyphen/>
        <w:t>kindergarten programme or kindergarten programme)</w:t>
      </w:r>
      <w:bookmarkEnd w:id="757"/>
      <w:bookmarkEnd w:id="758"/>
    </w:p>
    <w:p>
      <w:pPr>
        <w:pStyle w:val="Subsection"/>
      </w:pPr>
      <w:r>
        <w:tab/>
        <w:t>(1)</w:t>
      </w:r>
      <w:r>
        <w:tab/>
        <w:t>This regulation applies to a centre</w:t>
      </w:r>
      <w:r>
        <w:noBreakHyphen/>
        <w:t>based service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24 months or under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759" w:name="_Toc389742284"/>
      <w:bookmarkStart w:id="760" w:name="_Toc33393297"/>
      <w:r>
        <w:rPr>
          <w:rStyle w:val="CharSectno"/>
        </w:rPr>
        <w:t>376</w:t>
      </w:r>
      <w:r>
        <w:t>.</w:t>
      </w:r>
      <w:r>
        <w:tab/>
        <w:t>Qualifications for educators — children aged more than 24 months but less than 36 months (other than for a pre</w:t>
      </w:r>
      <w:r>
        <w:noBreakHyphen/>
        <w:t>kindergarten programme or kindergarten programme)</w:t>
      </w:r>
      <w:bookmarkEnd w:id="759"/>
      <w:bookmarkEnd w:id="760"/>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761" w:name="_Toc389742285"/>
      <w:bookmarkStart w:id="762" w:name="_Toc33393298"/>
      <w:r>
        <w:rPr>
          <w:rStyle w:val="CharSectno"/>
        </w:rPr>
        <w:t>377</w:t>
      </w:r>
      <w:r>
        <w:t>.</w:t>
      </w:r>
      <w:r>
        <w:tab/>
        <w:t>Qualifications for educators — children preschool age or under who are 36 months of age or over (other than a pre</w:t>
      </w:r>
      <w:r>
        <w:noBreakHyphen/>
        <w:t>kindergarten programme or kindergarten programme)</w:t>
      </w:r>
      <w:bookmarkEnd w:id="761"/>
      <w:bookmarkEnd w:id="762"/>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763" w:name="_Toc389742286"/>
      <w:bookmarkStart w:id="764" w:name="_Toc33393299"/>
      <w:r>
        <w:rPr>
          <w:rStyle w:val="CharSectno"/>
        </w:rPr>
        <w:t>378</w:t>
      </w:r>
      <w:r>
        <w:t>.</w:t>
      </w:r>
      <w:r>
        <w:tab/>
        <w:t>Qualifications for educators — pre</w:t>
      </w:r>
      <w:r>
        <w:noBreakHyphen/>
        <w:t>kindergarten programme or kindergarten programme provided by a school</w:t>
      </w:r>
      <w:bookmarkEnd w:id="763"/>
      <w:bookmarkEnd w:id="764"/>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765" w:name="_Toc389742287"/>
      <w:bookmarkStart w:id="766" w:name="_Toc33393300"/>
      <w:r>
        <w:rPr>
          <w:rStyle w:val="CharSectno"/>
        </w:rPr>
        <w:t>379</w:t>
      </w:r>
      <w:r>
        <w:t>.</w:t>
      </w:r>
      <w:r>
        <w:tab/>
        <w:t>Educators required to be early childhood teachers</w:t>
      </w:r>
      <w:bookmarkEnd w:id="765"/>
      <w:bookmarkEnd w:id="766"/>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rPr>
          <w:b/>
          <w:bCs/>
        </w:rPr>
      </w:pPr>
      <w:r>
        <w:rPr>
          <w:b/>
          <w:bCs/>
        </w:rPr>
        <w:t>Subdivision 2 — Family day care services</w:t>
      </w:r>
    </w:p>
    <w:p>
      <w:pPr>
        <w:pStyle w:val="Heading5"/>
      </w:pPr>
      <w:bookmarkStart w:id="767" w:name="_Toc389742288"/>
      <w:bookmarkStart w:id="768" w:name="_Toc33393301"/>
      <w:r>
        <w:rPr>
          <w:rStyle w:val="CharSectno"/>
        </w:rPr>
        <w:t>380</w:t>
      </w:r>
      <w:r>
        <w:t>.</w:t>
      </w:r>
      <w:r>
        <w:tab/>
        <w:t>Number of children who can be educated and cared for — family day care educator</w:t>
      </w:r>
      <w:bookmarkEnd w:id="767"/>
      <w:bookmarkEnd w:id="768"/>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769" w:name="_Toc389742289"/>
      <w:bookmarkStart w:id="770" w:name="_Toc33393302"/>
      <w:r>
        <w:rPr>
          <w:rStyle w:val="CharSectno"/>
        </w:rPr>
        <w:t>381</w:t>
      </w:r>
      <w:r>
        <w:t>.</w:t>
      </w:r>
      <w:r>
        <w:tab/>
        <w:t>Qualifications for family day care educators</w:t>
      </w:r>
      <w:bookmarkEnd w:id="769"/>
      <w:bookmarkEnd w:id="770"/>
      <w:r>
        <w:t xml:space="preserve"> </w:t>
      </w:r>
    </w:p>
    <w:p>
      <w:pPr>
        <w:pStyle w:val="Subsection"/>
      </w:pPr>
      <w:r>
        <w:tab/>
      </w:r>
      <w:r>
        <w:tab/>
        <w:t>The qualification requirements in regulation 127 do not apply to family day care educators before 1 January 2014.</w:t>
      </w:r>
    </w:p>
    <w:p>
      <w:pPr>
        <w:pStyle w:val="Heading5"/>
      </w:pPr>
      <w:bookmarkStart w:id="771" w:name="_Toc389742290"/>
      <w:bookmarkStart w:id="772" w:name="_Toc33393303"/>
      <w:r>
        <w:rPr>
          <w:rStyle w:val="CharSectno"/>
        </w:rPr>
        <w:t>382</w:t>
      </w:r>
      <w:r>
        <w:t>.</w:t>
      </w:r>
      <w:r>
        <w:tab/>
        <w:t>Qualifications for family day care co</w:t>
      </w:r>
      <w:r>
        <w:noBreakHyphen/>
        <w:t>ordinators</w:t>
      </w:r>
      <w:bookmarkEnd w:id="771"/>
      <w:bookmarkEnd w:id="772"/>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773" w:name="_Toc389742291"/>
      <w:bookmarkStart w:id="774" w:name="_Toc33393304"/>
      <w:r>
        <w:t>Division 5 — Saving provision — physical environment</w:t>
      </w:r>
      <w:bookmarkEnd w:id="773"/>
      <w:bookmarkEnd w:id="774"/>
    </w:p>
    <w:p>
      <w:pPr>
        <w:pStyle w:val="Heading5"/>
      </w:pPr>
      <w:bookmarkStart w:id="775" w:name="_Toc389742292"/>
      <w:bookmarkStart w:id="776" w:name="_Toc33393305"/>
      <w:r>
        <w:rPr>
          <w:rStyle w:val="CharSectno"/>
        </w:rPr>
        <w:t>383</w:t>
      </w:r>
      <w:r>
        <w:t>.</w:t>
      </w:r>
      <w:r>
        <w:tab/>
        <w:t>Saving provision — education and care services provided by a school</w:t>
      </w:r>
      <w:bookmarkEnd w:id="775"/>
      <w:bookmarkEnd w:id="776"/>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777" w:name="_Toc389742293"/>
      <w:bookmarkStart w:id="778" w:name="_Toc33393306"/>
      <w:r>
        <w:t>Division 6 — Other transitional matters</w:t>
      </w:r>
      <w:bookmarkEnd w:id="777"/>
      <w:bookmarkEnd w:id="778"/>
    </w:p>
    <w:p>
      <w:pPr>
        <w:pStyle w:val="Heading5"/>
      </w:pPr>
      <w:bookmarkStart w:id="779" w:name="_Toc389742294"/>
      <w:bookmarkStart w:id="780" w:name="_Toc33393307"/>
      <w:r>
        <w:rPr>
          <w:rStyle w:val="CharSectno"/>
        </w:rPr>
        <w:t>384</w:t>
      </w:r>
      <w:r>
        <w:t>.</w:t>
      </w:r>
      <w:r>
        <w:tab/>
        <w:t>Monetary orders under former education and care services law</w:t>
      </w:r>
      <w:bookmarkEnd w:id="779"/>
      <w:bookmarkEnd w:id="780"/>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781" w:name="_Toc389742295"/>
      <w:bookmarkStart w:id="782" w:name="_Toc33393308"/>
      <w:r>
        <w:rPr>
          <w:rStyle w:val="CharSectno"/>
        </w:rPr>
        <w:t>385</w:t>
      </w:r>
      <w:r>
        <w:t>.</w:t>
      </w:r>
      <w:r>
        <w:tab/>
        <w:t>Proceedings under former education and care services law</w:t>
      </w:r>
      <w:bookmarkEnd w:id="781"/>
      <w:bookmarkEnd w:id="782"/>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pStyle w:val="NotesPerm"/>
        <w:tabs>
          <w:tab w:val="clear" w:pos="879"/>
          <w:tab w:val="left" w:pos="851"/>
        </w:tabs>
        <w:ind w:left="1418" w:hanging="1418"/>
      </w:pPr>
    </w:p>
    <w:p>
      <w:pPr>
        <w:sectPr>
          <w:headerReference w:type="even" r:id="rId16"/>
          <w:headerReference w:type="default" r:id="rId17"/>
          <w:footerReference w:type="even" r:id="rId18"/>
          <w:footerReference w:type="default" r:id="rId19"/>
          <w:footerReference w:type="first" r:id="rId20"/>
          <w:pgSz w:w="11906" w:h="16838" w:code="9"/>
          <w:pgMar w:top="2376" w:right="2404" w:bottom="3544" w:left="2404" w:header="709" w:footer="3380" w:gutter="0"/>
          <w:pgNumType w:start="1"/>
          <w:cols w:space="720"/>
          <w:noEndnote/>
          <w:titlePg/>
          <w:docGrid w:linePitch="326"/>
        </w:sectPr>
      </w:pPr>
    </w:p>
    <w:p>
      <w:pPr>
        <w:pStyle w:val="yScheduleHeading"/>
      </w:pPr>
      <w:bookmarkStart w:id="783" w:name="_Toc389742296"/>
      <w:bookmarkStart w:id="784" w:name="_Toc33393309"/>
      <w:r>
        <w:rPr>
          <w:rStyle w:val="CharSchNo"/>
        </w:rPr>
        <w:t>Schedule 1</w:t>
      </w:r>
      <w:r>
        <w:rPr>
          <w:rStyle w:val="CharSDivNo"/>
        </w:rPr>
        <w:t> </w:t>
      </w:r>
      <w:r>
        <w:t>—</w:t>
      </w:r>
      <w:r>
        <w:rPr>
          <w:rStyle w:val="CharSDivText"/>
        </w:rPr>
        <w:t> </w:t>
      </w:r>
      <w:r>
        <w:rPr>
          <w:rStyle w:val="CharSchText"/>
        </w:rPr>
        <w:t>National Quality Standard</w:t>
      </w:r>
      <w:bookmarkEnd w:id="783"/>
      <w:bookmarkEnd w:id="784"/>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785" w:name="_Toc389742297"/>
      <w:bookmarkStart w:id="786" w:name="_Toc33393310"/>
      <w:r>
        <w:t>Quality area 1— Educational program and practice</w:t>
      </w:r>
      <w:bookmarkEnd w:id="785"/>
      <w:bookmarkEnd w:id="786"/>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ind w:left="284"/>
      </w:pPr>
      <w:r>
        <w:rPr>
          <w:b/>
        </w:rPr>
        <w:t>Element 1.1.2</w:t>
      </w:r>
      <w:r>
        <w:t xml:space="preserve">  Each child’s current knowledge, ideas, culture, abilities and interests are the foundation of the program.</w:t>
      </w:r>
    </w:p>
    <w:p>
      <w:pPr>
        <w:pStyle w:val="yMiscellaneousBody"/>
        <w:ind w:left="284"/>
      </w:pPr>
      <w:r>
        <w:rPr>
          <w:b/>
        </w:rPr>
        <w:t>Element 1.1.3</w:t>
      </w:r>
      <w:r>
        <w:t xml:space="preserve">  The program, including routines, is organised in ways that maximise opportunities for each child’s learning.</w:t>
      </w:r>
    </w:p>
    <w:p>
      <w:pPr>
        <w:pStyle w:val="yMiscellaneousBody"/>
        <w:ind w:left="284"/>
      </w:pPr>
      <w:r>
        <w:rPr>
          <w:b/>
        </w:rPr>
        <w:t>Element 1.1.4</w:t>
      </w:r>
      <w:r>
        <w:t xml:space="preserve">  The documentation about each child’s program and progress is available to families.</w:t>
      </w:r>
    </w:p>
    <w:p>
      <w:pPr>
        <w:pStyle w:val="yMiscellaneousBody"/>
        <w:ind w:left="284"/>
      </w:pPr>
      <w:r>
        <w:rPr>
          <w:b/>
        </w:rPr>
        <w:t>Element 1.1.5</w:t>
      </w:r>
      <w:r>
        <w:t xml:space="preserve">  Every child is supported to participate in the program.</w:t>
      </w:r>
    </w:p>
    <w:p>
      <w:pPr>
        <w:pStyle w:val="yMiscellaneousBody"/>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787" w:name="_Toc389742298"/>
      <w:bookmarkStart w:id="788" w:name="_Toc33393311"/>
      <w:r>
        <w:t>Quality area 2 — Children’s health and safety</w:t>
      </w:r>
      <w:bookmarkEnd w:id="787"/>
      <w:bookmarkEnd w:id="788"/>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789" w:name="_Toc389742299"/>
      <w:bookmarkStart w:id="790" w:name="_Toc33393312"/>
      <w:r>
        <w:t>Quality area 3 — Physical environment</w:t>
      </w:r>
      <w:bookmarkEnd w:id="789"/>
      <w:bookmarkEnd w:id="790"/>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ind w:left="284"/>
      </w:pPr>
      <w:r>
        <w:rPr>
          <w:b/>
        </w:rPr>
        <w:t>Element 3.3.1</w:t>
      </w:r>
      <w:r>
        <w:t xml:space="preserve"> Sustainable practices are embedded in service operations.</w:t>
      </w:r>
    </w:p>
    <w:p>
      <w:pPr>
        <w:pStyle w:val="yMiscellaneousBody"/>
        <w:ind w:left="284"/>
      </w:pPr>
      <w:r>
        <w:rPr>
          <w:b/>
        </w:rPr>
        <w:t>Element 3.3.2</w:t>
      </w:r>
      <w:r>
        <w:t xml:space="preserve"> Children are supported to become environmentally responsible and show respect for the environment.</w:t>
      </w:r>
    </w:p>
    <w:p>
      <w:pPr>
        <w:pStyle w:val="yHeading4"/>
      </w:pPr>
      <w:bookmarkStart w:id="791" w:name="_Toc389742300"/>
      <w:bookmarkStart w:id="792" w:name="_Toc33393313"/>
      <w:r>
        <w:t>Quality area 4 — Staffing arrangements</w:t>
      </w:r>
      <w:bookmarkEnd w:id="791"/>
      <w:bookmarkEnd w:id="792"/>
    </w:p>
    <w:p>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pPr>
      <w:r>
        <w:rPr>
          <w:b/>
        </w:rPr>
        <w:t>Standard 4.1</w:t>
      </w:r>
      <w:r>
        <w:t xml:space="preserve"> Staffing arrangements enhance children’s learning and development and ensure their safety and wellbeing. </w:t>
      </w:r>
    </w:p>
    <w:p>
      <w:pPr>
        <w:pStyle w:val="yMiscellaneousBody"/>
        <w:ind w:left="284"/>
      </w:pPr>
      <w:r>
        <w:rPr>
          <w:b/>
        </w:rPr>
        <w:t>Element 4.1.1</w:t>
      </w:r>
      <w:r>
        <w:t xml:space="preserve"> Educator</w:t>
      </w:r>
      <w:r>
        <w:noBreakHyphen/>
        <w:t>to</w:t>
      </w:r>
      <w:r>
        <w:noBreakHyphen/>
        <w:t>child ratios and qualification requirements are maintained at all times.</w:t>
      </w:r>
    </w:p>
    <w:p>
      <w:pPr>
        <w:pStyle w:val="yMiscellaneousBody"/>
      </w:pPr>
      <w:r>
        <w:rPr>
          <w:b/>
        </w:rPr>
        <w:t>Standard 4.2</w:t>
      </w:r>
      <w:r>
        <w:t xml:space="preserve"> Educators, co</w:t>
      </w:r>
      <w:r>
        <w:noBreakHyphen/>
        <w:t xml:space="preserve">ordinators and staff members are respectful and ethical. </w:t>
      </w:r>
    </w:p>
    <w:p>
      <w:pPr>
        <w:pStyle w:val="yMiscellaneousBody"/>
        <w:ind w:left="284"/>
      </w:pPr>
      <w:r>
        <w:rPr>
          <w:b/>
        </w:rPr>
        <w:t>Element 4.2.1</w:t>
      </w:r>
      <w:r>
        <w:t xml:space="preserve"> Professional standards guide practice, interactions and relationships.</w:t>
      </w:r>
    </w:p>
    <w:p>
      <w:pPr>
        <w:pStyle w:val="yMiscellaneousBody"/>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ind w:left="284"/>
      </w:pPr>
      <w:r>
        <w:rPr>
          <w:b/>
        </w:rPr>
        <w:t>Element 4.2.3</w:t>
      </w:r>
      <w:r>
        <w:t xml:space="preserve"> Interactions convey mutual respect, equity and recognition of each other’s strengths and skills.</w:t>
      </w:r>
    </w:p>
    <w:p>
      <w:pPr>
        <w:pStyle w:val="yHeading4"/>
      </w:pPr>
      <w:bookmarkStart w:id="793" w:name="_Toc389742301"/>
      <w:bookmarkStart w:id="794" w:name="_Toc33393314"/>
      <w:r>
        <w:t>Quality area 5 — Relationships with children</w:t>
      </w:r>
      <w:bookmarkEnd w:id="793"/>
      <w:bookmarkEnd w:id="794"/>
    </w:p>
    <w:p>
      <w:pPr>
        <w:pStyle w:val="yMiscellaneousBody"/>
      </w:pPr>
      <w:r>
        <w:t>Relationships that are responsive, respectful and promote children’s sense of security and belonging free them to explore the environment and engage in learning.</w:t>
      </w:r>
    </w:p>
    <w:p>
      <w:pPr>
        <w:pStyle w:val="yMiscellaneousBody"/>
      </w:pPr>
      <w:r>
        <w:rPr>
          <w:b/>
        </w:rPr>
        <w:t>Standard 5.1</w:t>
      </w:r>
      <w:r>
        <w:t xml:space="preserve"> Respectful and equitable relationships are developed and maintained with each child. </w:t>
      </w:r>
    </w:p>
    <w:p>
      <w:pPr>
        <w:pStyle w:val="yMiscellaneousBody"/>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795" w:name="_Toc389742302"/>
      <w:bookmarkStart w:id="796" w:name="_Toc33393315"/>
      <w:r>
        <w:t>Quality area 6 — Collaborative partnerships with families and communities</w:t>
      </w:r>
      <w:bookmarkEnd w:id="795"/>
      <w:bookmarkEnd w:id="796"/>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797" w:name="_Toc389742303"/>
      <w:bookmarkStart w:id="798" w:name="_Toc33393316"/>
      <w:r>
        <w:t>Quality area 7</w:t>
      </w:r>
      <w:r>
        <w:rPr>
          <w:b w:val="0"/>
        </w:rPr>
        <w:t> — </w:t>
      </w:r>
      <w:r>
        <w:t>Leadership and service management</w:t>
      </w:r>
      <w:bookmarkEnd w:id="797"/>
      <w:bookmarkEnd w:id="798"/>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pPr>
      <w:bookmarkStart w:id="799" w:name="_Toc389742304"/>
      <w:bookmarkStart w:id="800" w:name="_Toc33393317"/>
      <w:r>
        <w:rPr>
          <w:rStyle w:val="CharSchNo"/>
        </w:rPr>
        <w:t>Schedule 2</w:t>
      </w:r>
      <w:r>
        <w:t> — </w:t>
      </w:r>
      <w:r>
        <w:rPr>
          <w:rStyle w:val="CharSchText"/>
        </w:rPr>
        <w:t>Prescribed fees</w:t>
      </w:r>
      <w:bookmarkEnd w:id="799"/>
      <w:bookmarkEnd w:id="800"/>
    </w:p>
    <w:p>
      <w:pPr>
        <w:pStyle w:val="yHeading3"/>
        <w:spacing w:after="240"/>
      </w:pPr>
      <w:bookmarkStart w:id="801" w:name="_Toc389742305"/>
      <w:bookmarkStart w:id="802" w:name="_Toc33393318"/>
      <w:r>
        <w:rPr>
          <w:rStyle w:val="CharSDivNo"/>
        </w:rPr>
        <w:t>Part 1</w:t>
      </w:r>
      <w:r>
        <w:t> — </w:t>
      </w:r>
      <w:r>
        <w:rPr>
          <w:rStyle w:val="CharSDivText"/>
        </w:rPr>
        <w:t>Fees relating to provider approvals, service approvals and ratings</w:t>
      </w:r>
      <w:bookmarkEnd w:id="801"/>
      <w:bookmarkEnd w:id="802"/>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$185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803" w:name="_Toc389742306"/>
      <w:bookmarkStart w:id="804" w:name="_Toc33393319"/>
      <w:r>
        <w:rPr>
          <w:rStyle w:val="CharSDivNo"/>
        </w:rPr>
        <w:t>Part 2</w:t>
      </w:r>
      <w:r>
        <w:t> — </w:t>
      </w:r>
      <w:r>
        <w:rPr>
          <w:rStyle w:val="CharSDivText"/>
        </w:rPr>
        <w:t>Other fees</w:t>
      </w:r>
      <w:bookmarkEnd w:id="803"/>
      <w:bookmarkEnd w:id="804"/>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805" w:name="_Toc389742307"/>
      <w:bookmarkStart w:id="806" w:name="_Toc33393320"/>
      <w:r>
        <w:rPr>
          <w:rStyle w:val="CharSchNo"/>
        </w:rPr>
        <w:t>Schedule 3</w:t>
      </w:r>
      <w:r>
        <w:rPr>
          <w:rStyle w:val="CharSDivNo"/>
        </w:rPr>
        <w:t> </w:t>
      </w:r>
      <w:r>
        <w:t>—</w:t>
      </w:r>
      <w:r>
        <w:rPr>
          <w:rStyle w:val="CharSDivText"/>
        </w:rPr>
        <w:t> </w:t>
      </w:r>
      <w:r>
        <w:rPr>
          <w:rStyle w:val="CharSchText"/>
        </w:rPr>
        <w:t>Compliance directions — prescribed provisions</w:t>
      </w:r>
      <w:bookmarkEnd w:id="805"/>
      <w:bookmarkEnd w:id="806"/>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pStyle w:val="yScheduleHeading"/>
      </w:pPr>
      <w:bookmarkStart w:id="807" w:name="_Toc389742308"/>
      <w:bookmarkStart w:id="808" w:name="_Toc33393321"/>
      <w:r>
        <w:rPr>
          <w:rStyle w:val="CharSchNo"/>
        </w:rPr>
        <w:t>Schedule 4</w:t>
      </w:r>
      <w:r>
        <w:t> — </w:t>
      </w:r>
      <w:r>
        <w:rPr>
          <w:rStyle w:val="CharSchText"/>
        </w:rPr>
        <w:t>Prescribed forms</w:t>
      </w:r>
      <w:bookmarkEnd w:id="807"/>
      <w:bookmarkEnd w:id="808"/>
    </w:p>
    <w:p>
      <w:pPr>
        <w:pStyle w:val="yShoulderClause"/>
        <w:ind w:right="141"/>
      </w:pPr>
      <w:r>
        <w:t>Regulation 190(2)(d)</w:t>
      </w:r>
    </w:p>
    <w:p>
      <w:pPr>
        <w:pStyle w:val="Footnoteheading"/>
      </w:pPr>
      <w:r>
        <w:tab/>
        <w:t>[Heading amended in Gazette 5 Mar 2013 p. 1109.]</w:t>
      </w:r>
    </w:p>
    <w:p>
      <w:pPr>
        <w:pStyle w:val="yMiscellaneousHeading"/>
        <w:spacing w:after="120"/>
        <w:ind w:left="142"/>
        <w:jc w:val="left"/>
        <w:rPr>
          <w:b/>
        </w:rPr>
      </w:pPr>
      <w:r>
        <w:rPr>
          <w:b/>
        </w:rPr>
        <w:t xml:space="preserve">Form 1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1"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1"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2977"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2977" w:type="dxa"/>
            <w:gridSpan w:val="4"/>
            <w:vMerge/>
          </w:tcPr>
          <w:p>
            <w:pPr>
              <w:pStyle w:val="yTableNAm"/>
            </w:pPr>
          </w:p>
        </w:tc>
      </w:tr>
      <w:tr>
        <w:trPr>
          <w:trHeight w:val="401"/>
        </w:trPr>
        <w:tc>
          <w:tcPr>
            <w:tcW w:w="1276" w:type="dxa"/>
            <w:tcBorders>
              <w:bottom w:val="single" w:sz="4" w:space="0" w:color="auto"/>
            </w:tcBorders>
          </w:tcPr>
          <w:p>
            <w:pPr>
              <w:pStyle w:val="yTableNAm"/>
              <w:rPr>
                <w:b/>
              </w:rPr>
            </w:pPr>
            <w:r>
              <w:rPr>
                <w:b/>
              </w:rPr>
              <w:t xml:space="preserve">TAKE NOTICE </w:t>
            </w:r>
          </w:p>
        </w:tc>
        <w:tc>
          <w:tcPr>
            <w:tcW w:w="5528"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276"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394" w:type="dxa"/>
            <w:gridSpan w:val="6"/>
            <w:tcBorders>
              <w:bottom w:val="nil"/>
            </w:tcBorders>
          </w:tcPr>
          <w:p>
            <w:pPr>
              <w:pStyle w:val="yTableNAm"/>
              <w:keepNext/>
              <w:keepLines/>
              <w:spacing w:before="100" w:beforeAutospacing="1"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276"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394"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276" w:type="dxa"/>
            <w:tcBorders>
              <w:top w:val="nil"/>
            </w:tcBorders>
          </w:tcPr>
          <w:p>
            <w:pPr>
              <w:pStyle w:val="yTableNAm"/>
            </w:pPr>
          </w:p>
        </w:tc>
        <w:tc>
          <w:tcPr>
            <w:tcW w:w="1134" w:type="dxa"/>
            <w:tcBorders>
              <w:top w:val="nil"/>
            </w:tcBorders>
          </w:tcPr>
          <w:p>
            <w:pPr>
              <w:pStyle w:val="yTableNAm"/>
            </w:pPr>
          </w:p>
        </w:tc>
        <w:tc>
          <w:tcPr>
            <w:tcW w:w="4394" w:type="dxa"/>
            <w:gridSpan w:val="6"/>
            <w:tcBorders>
              <w:top w:val="nil"/>
            </w:tcBorders>
          </w:tcPr>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120"/>
        <w:ind w:left="142"/>
        <w:jc w:val="left"/>
        <w:rPr>
          <w:b/>
        </w:rPr>
      </w:pPr>
      <w:r>
        <w:rPr>
          <w:b/>
        </w:rPr>
        <w:t xml:space="preserve">Form 2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
      <w:pPr>
        <w:sectPr>
          <w:headerReference w:type="even" r:id="rId21"/>
          <w:headerReference w:type="default" r:id="rId22"/>
          <w:footerReference w:type="even" r:id="rId23"/>
          <w:footerReference w:type="default" r:id="rId24"/>
          <w:footerReference w:type="first" r:id="rId25"/>
          <w:pgSz w:w="11906" w:h="16838" w:code="9"/>
          <w:pgMar w:top="2381" w:right="2410" w:bottom="3544" w:left="2410" w:header="720" w:footer="3380" w:gutter="0"/>
          <w:cols w:space="720"/>
          <w:titlePg/>
          <w:docGrid w:linePitch="78"/>
        </w:sectPr>
      </w:pPr>
    </w:p>
    <w:p>
      <w:pPr>
        <w:pStyle w:val="nHeading2"/>
      </w:pPr>
      <w:bookmarkStart w:id="809" w:name="_Toc389742309"/>
      <w:bookmarkStart w:id="810" w:name="_Toc33393322"/>
      <w:r>
        <w:t>Notes</w:t>
      </w:r>
      <w:bookmarkEnd w:id="809"/>
      <w:bookmarkEnd w:id="810"/>
    </w:p>
    <w:p>
      <w:pPr>
        <w:pStyle w:val="nSubsection"/>
        <w:rPr>
          <w:snapToGrid w:val="0"/>
        </w:rPr>
      </w:pPr>
      <w:r>
        <w:rPr>
          <w:snapToGrid w:val="0"/>
          <w:vertAlign w:val="superscript"/>
        </w:rPr>
        <w:t>1</w:t>
      </w:r>
      <w:r>
        <w:rPr>
          <w:snapToGrid w:val="0"/>
        </w:rPr>
        <w:tab/>
        <w:t xml:space="preserve">This is a compilation of the </w:t>
      </w:r>
      <w:r>
        <w:rPr>
          <w:i/>
        </w:rPr>
        <w:t>Education and Care Services National Regulations</w:t>
      </w:r>
      <w:r>
        <w:t> </w:t>
      </w:r>
      <w:r>
        <w:rPr>
          <w:i/>
        </w:rPr>
        <w:t>2012</w:t>
      </w:r>
      <w:r>
        <w:t xml:space="preserve"> and includes the amendments made by the other written laws referred to in the following table.</w:t>
      </w:r>
    </w:p>
    <w:p>
      <w:pPr>
        <w:pStyle w:val="nHeading3"/>
      </w:pPr>
      <w:bookmarkStart w:id="811" w:name="_Toc389742310"/>
      <w:bookmarkStart w:id="812" w:name="_Toc33393323"/>
      <w:r>
        <w:t>Compilation table</w:t>
      </w:r>
      <w:bookmarkEnd w:id="811"/>
      <w:bookmarkEnd w:id="8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Education and Care Services National Regulations 2012</w:t>
            </w:r>
          </w:p>
        </w:tc>
        <w:tc>
          <w:tcPr>
            <w:tcW w:w="1276" w:type="dxa"/>
            <w:tcBorders>
              <w:bottom w:val="nil"/>
            </w:tcBorders>
          </w:tcPr>
          <w:p>
            <w:pPr>
              <w:pStyle w:val="nTable"/>
              <w:spacing w:after="40"/>
              <w:rPr>
                <w:sz w:val="19"/>
              </w:rPr>
            </w:pPr>
            <w:r>
              <w:rPr>
                <w:sz w:val="19"/>
              </w:rPr>
              <w:t>25 Jul 2012 p. 3417–660</w:t>
            </w:r>
          </w:p>
        </w:tc>
        <w:tc>
          <w:tcPr>
            <w:tcW w:w="2693" w:type="dxa"/>
            <w:tcBorders>
              <w:bottom w:val="nil"/>
            </w:tcBorders>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r>
        <w:tc>
          <w:tcPr>
            <w:tcW w:w="3118" w:type="dxa"/>
            <w:tcBorders>
              <w:top w:val="nil"/>
              <w:bottom w:val="nil"/>
            </w:tcBorders>
          </w:tcPr>
          <w:p>
            <w:pPr>
              <w:pStyle w:val="nTable"/>
              <w:spacing w:after="40"/>
              <w:rPr>
                <w:i/>
                <w:sz w:val="19"/>
                <w:szCs w:val="19"/>
              </w:rPr>
            </w:pPr>
            <w:r>
              <w:rPr>
                <w:i/>
                <w:sz w:val="19"/>
                <w:szCs w:val="19"/>
              </w:rPr>
              <w:t>Education and Care Services National Amendment Regulations 2012</w:t>
            </w:r>
          </w:p>
        </w:tc>
        <w:tc>
          <w:tcPr>
            <w:tcW w:w="1276" w:type="dxa"/>
            <w:tcBorders>
              <w:top w:val="nil"/>
              <w:bottom w:val="nil"/>
            </w:tcBorders>
          </w:tcPr>
          <w:p>
            <w:pPr>
              <w:pStyle w:val="nTable"/>
              <w:spacing w:after="40"/>
              <w:rPr>
                <w:sz w:val="19"/>
                <w:szCs w:val="19"/>
              </w:rPr>
            </w:pPr>
            <w:r>
              <w:rPr>
                <w:sz w:val="19"/>
                <w:szCs w:val="19"/>
              </w:rPr>
              <w:t>5 Mar 2013 p. 1107</w:t>
            </w:r>
            <w:r>
              <w:rPr>
                <w:sz w:val="19"/>
                <w:szCs w:val="19"/>
              </w:rPr>
              <w:noBreakHyphen/>
              <w:t>9</w:t>
            </w:r>
          </w:p>
        </w:tc>
        <w:tc>
          <w:tcPr>
            <w:tcW w:w="2693" w:type="dxa"/>
            <w:tcBorders>
              <w:top w:val="nil"/>
              <w:bottom w:val="nil"/>
            </w:tcBorders>
          </w:tcPr>
          <w:p>
            <w:pPr>
              <w:pStyle w:val="nTable"/>
              <w:spacing w:after="40"/>
              <w:rPr>
                <w:sz w:val="19"/>
                <w:szCs w:val="19"/>
              </w:rPr>
            </w:pPr>
            <w:r>
              <w:rPr>
                <w:snapToGrid w:val="0"/>
                <w:spacing w:val="-2"/>
                <w:sz w:val="19"/>
                <w:szCs w:val="19"/>
              </w:rPr>
              <w:t>r. 1 and 2: 5 Mar 2013 (see r. 2(a));</w:t>
            </w:r>
            <w:r>
              <w:rPr>
                <w:snapToGrid w:val="0"/>
                <w:spacing w:val="-2"/>
                <w:sz w:val="19"/>
                <w:szCs w:val="19"/>
              </w:rPr>
              <w:br/>
              <w:t>Regulations other than r. 1 and 2: 6 Mar 2013 (see r. 2(b))</w:t>
            </w:r>
          </w:p>
        </w:tc>
      </w:tr>
      <w:tr>
        <w:tc>
          <w:tcPr>
            <w:tcW w:w="3118" w:type="dxa"/>
            <w:tcBorders>
              <w:top w:val="nil"/>
              <w:bottom w:val="nil"/>
            </w:tcBorders>
          </w:tcPr>
          <w:p>
            <w:pPr>
              <w:pStyle w:val="nTable"/>
              <w:spacing w:after="40"/>
              <w:rPr>
                <w:i/>
                <w:sz w:val="19"/>
                <w:szCs w:val="19"/>
              </w:rPr>
            </w:pPr>
            <w:r>
              <w:rPr>
                <w:i/>
                <w:sz w:val="19"/>
                <w:szCs w:val="19"/>
              </w:rPr>
              <w:t>Education and Care Services National Amendment Regulations 2013</w:t>
            </w:r>
          </w:p>
        </w:tc>
        <w:tc>
          <w:tcPr>
            <w:tcW w:w="1276" w:type="dxa"/>
            <w:tcBorders>
              <w:top w:val="nil"/>
              <w:bottom w:val="nil"/>
            </w:tcBorders>
          </w:tcPr>
          <w:p>
            <w:pPr>
              <w:pStyle w:val="nTable"/>
              <w:spacing w:after="40"/>
              <w:rPr>
                <w:sz w:val="19"/>
                <w:szCs w:val="19"/>
              </w:rPr>
            </w:pPr>
            <w:r>
              <w:rPr>
                <w:sz w:val="19"/>
                <w:szCs w:val="19"/>
              </w:rPr>
              <w:t>13 Dec 2013 p. 6151</w:t>
            </w:r>
            <w:r>
              <w:rPr>
                <w:sz w:val="19"/>
                <w:szCs w:val="19"/>
              </w:rPr>
              <w:noBreakHyphen/>
              <w:t>70</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r. 1 and 2: 13 Dec 2013 (see r. 2(a));</w:t>
            </w:r>
            <w:r>
              <w:rPr>
                <w:snapToGrid w:val="0"/>
                <w:spacing w:val="-2"/>
                <w:sz w:val="19"/>
                <w:szCs w:val="19"/>
              </w:rPr>
              <w:br/>
              <w:t xml:space="preserve">Regulations other than r. 1 and 2: </w:t>
            </w:r>
            <w:r>
              <w:rPr>
                <w:sz w:val="19"/>
                <w:szCs w:val="19"/>
              </w:rPr>
              <w:t>31 Dec 2013 (see r. 2(b))</w:t>
            </w:r>
          </w:p>
        </w:tc>
      </w:tr>
      <w:tr>
        <w:trPr>
          <w:ins w:id="813" w:author="Master Repository Process" w:date="2021-08-01T09:50:00Z"/>
        </w:trPr>
        <w:tc>
          <w:tcPr>
            <w:tcW w:w="3118" w:type="dxa"/>
            <w:tcBorders>
              <w:top w:val="nil"/>
              <w:bottom w:val="single" w:sz="4" w:space="0" w:color="auto"/>
            </w:tcBorders>
          </w:tcPr>
          <w:p>
            <w:pPr>
              <w:pStyle w:val="nTable"/>
              <w:spacing w:after="40"/>
              <w:rPr>
                <w:ins w:id="814" w:author="Master Repository Process" w:date="2021-08-01T09:50:00Z"/>
                <w:i/>
                <w:sz w:val="19"/>
                <w:szCs w:val="19"/>
              </w:rPr>
            </w:pPr>
            <w:ins w:id="815" w:author="Master Repository Process" w:date="2021-08-01T09:50:00Z">
              <w:r>
                <w:rPr>
                  <w:i/>
                  <w:sz w:val="19"/>
                  <w:szCs w:val="19"/>
                </w:rPr>
                <w:t>Education and Care Services National Amendment Regulations 2014</w:t>
              </w:r>
            </w:ins>
          </w:p>
        </w:tc>
        <w:tc>
          <w:tcPr>
            <w:tcW w:w="1276" w:type="dxa"/>
            <w:tcBorders>
              <w:top w:val="nil"/>
              <w:bottom w:val="single" w:sz="4" w:space="0" w:color="auto"/>
            </w:tcBorders>
          </w:tcPr>
          <w:p>
            <w:pPr>
              <w:pStyle w:val="nTable"/>
              <w:spacing w:after="40"/>
              <w:rPr>
                <w:ins w:id="816" w:author="Master Repository Process" w:date="2021-08-01T09:50:00Z"/>
                <w:sz w:val="19"/>
                <w:szCs w:val="19"/>
              </w:rPr>
            </w:pPr>
            <w:ins w:id="817" w:author="Master Repository Process" w:date="2021-08-01T09:50:00Z">
              <w:r>
                <w:rPr>
                  <w:sz w:val="19"/>
                  <w:szCs w:val="19"/>
                </w:rPr>
                <w:t>6 Jun 2014 p. 1787</w:t>
              </w:r>
              <w:r>
                <w:rPr>
                  <w:sz w:val="19"/>
                  <w:szCs w:val="19"/>
                </w:rPr>
                <w:noBreakHyphen/>
                <w:t>8</w:t>
              </w:r>
            </w:ins>
          </w:p>
        </w:tc>
        <w:tc>
          <w:tcPr>
            <w:tcW w:w="2693" w:type="dxa"/>
            <w:tcBorders>
              <w:top w:val="nil"/>
              <w:bottom w:val="single" w:sz="4" w:space="0" w:color="auto"/>
            </w:tcBorders>
          </w:tcPr>
          <w:p>
            <w:pPr>
              <w:pStyle w:val="nTable"/>
              <w:spacing w:after="40"/>
              <w:rPr>
                <w:ins w:id="818" w:author="Master Repository Process" w:date="2021-08-01T09:50:00Z"/>
                <w:snapToGrid w:val="0"/>
                <w:spacing w:val="-2"/>
                <w:sz w:val="19"/>
                <w:szCs w:val="19"/>
              </w:rPr>
            </w:pPr>
            <w:ins w:id="819" w:author="Master Repository Process" w:date="2021-08-01T09:50:00Z">
              <w:r>
                <w:rPr>
                  <w:rFonts w:ascii="Times" w:hAnsi="Times"/>
                  <w:bCs/>
                  <w:snapToGrid w:val="0"/>
                  <w:spacing w:val="-2"/>
                  <w:sz w:val="19"/>
                  <w:szCs w:val="19"/>
                </w:rPr>
                <w:t>r. 1 and 2: 6 Jun 2014 (see r. 2(a));</w:t>
              </w:r>
              <w:r>
                <w:rPr>
                  <w:rFonts w:ascii="Times" w:hAnsi="Times"/>
                  <w:bCs/>
                  <w:snapToGrid w:val="0"/>
                  <w:spacing w:val="-2"/>
                  <w:sz w:val="19"/>
                  <w:szCs w:val="19"/>
                </w:rPr>
                <w:br/>
                <w:t>Regulations other than r. 1 and 2: 7 Jun 2014 (see r. 2(b))</w:t>
              </w:r>
            </w:ins>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Regulations 2012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33"/>
  </w:num>
  <w:num w:numId="18">
    <w:abstractNumId w:val="24"/>
  </w:num>
  <w:num w:numId="19">
    <w:abstractNumId w:val="31"/>
  </w:num>
  <w:num w:numId="20">
    <w:abstractNumId w:val="2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5123433"/>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605123433" w:val="RemoveTocBookmarks,RemoveUnusedBookmarks,RemoveLanguageTags,UsedStyles,ResetPageSize,UpdateArrangement"/>
    <w:docVar w:name="WAFER_20140605123433_GUID" w:val="ad802ddc-e2ef-4a40-90b0-8df2fe689a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775ADA5-8828-494A-B4D8-BC8F0B6C3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6496A-292C-4E2D-AC0B-45304C328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53156</Words>
  <Characters>274822</Characters>
  <Application>Microsoft Office Word</Application>
  <DocSecurity>0</DocSecurity>
  <Lines>7633</Lines>
  <Paragraphs>4099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00-d0-00 - 00-e0-00</dc:title>
  <dc:subject/>
  <dc:creator/>
  <cp:keywords/>
  <dc:description/>
  <cp:lastModifiedBy>Master Repository Process</cp:lastModifiedBy>
  <cp:revision>2</cp:revision>
  <cp:lastPrinted>2012-07-03T09:15:00Z</cp:lastPrinted>
  <dcterms:created xsi:type="dcterms:W3CDTF">2021-08-01T01:50:00Z</dcterms:created>
  <dcterms:modified xsi:type="dcterms:W3CDTF">2021-08-01T01:50:00Z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20140607</vt:lpwstr>
  </property>
  <property fmtid="{D5CDD505-2E9C-101B-9397-08002B2CF9AE}" pid="4" name="DocumentType">
    <vt:lpwstr>Reg</vt:lpwstr>
  </property>
  <property fmtid="{D5CDD505-2E9C-101B-9397-08002B2CF9AE}" pid="5" name="FromSuffix">
    <vt:lpwstr>00-d0-00</vt:lpwstr>
  </property>
  <property fmtid="{D5CDD505-2E9C-101B-9397-08002B2CF9AE}" pid="6" name="FromAsAtDate">
    <vt:lpwstr>31 Dec 2013</vt:lpwstr>
  </property>
  <property fmtid="{D5CDD505-2E9C-101B-9397-08002B2CF9AE}" pid="7" name="ToSuffix">
    <vt:lpwstr>00-e0-00</vt:lpwstr>
  </property>
  <property fmtid="{D5CDD505-2E9C-101B-9397-08002B2CF9AE}" pid="8" name="ToAsAtDate">
    <vt:lpwstr>07 Jun 2014</vt:lpwstr>
  </property>
</Properties>
</file>