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Fines, Penalties and Infringement Notices Enforcement Regulations 1994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06 Dec 2013</w:t>
      </w:r>
      <w:r>
        <w:fldChar w:fldCharType="end"/>
      </w:r>
      <w:r>
        <w:t xml:space="preserve">, </w:t>
      </w:r>
      <w:r>
        <w:fldChar w:fldCharType="begin"/>
      </w:r>
      <w:r>
        <w:instrText xml:space="preserve"> DocProperty FromSuffix </w:instrText>
      </w:r>
      <w:r>
        <w:fldChar w:fldCharType="separate"/>
      </w:r>
      <w:r>
        <w:t>06-a0-02</w:t>
      </w:r>
      <w:r>
        <w:fldChar w:fldCharType="end"/>
      </w:r>
      <w:r>
        <w:t>] and [</w:t>
      </w:r>
      <w:r>
        <w:fldChar w:fldCharType="begin"/>
      </w:r>
      <w:r>
        <w:instrText xml:space="preserve"> DocProperty ToAsAtDate</w:instrText>
      </w:r>
      <w:r>
        <w:fldChar w:fldCharType="separate"/>
      </w:r>
      <w:r>
        <w:t>21 Jun 2014</w:t>
      </w:r>
      <w:r>
        <w:fldChar w:fldCharType="end"/>
      </w:r>
      <w:r>
        <w:t xml:space="preserve">, </w:t>
      </w:r>
      <w:r>
        <w:fldChar w:fldCharType="begin"/>
      </w:r>
      <w:r>
        <w:instrText xml:space="preserve"> DocProperty ToSuffix</w:instrText>
      </w:r>
      <w:r>
        <w:fldChar w:fldCharType="separate"/>
      </w:r>
      <w:r>
        <w:t>06-b0-00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0" w:author="Master Repository Process" w:date="2021-08-28T08:15:00Z"/>
        </w:trPr>
        <w:tc>
          <w:tcPr>
            <w:tcW w:w="2434" w:type="dxa"/>
            <w:vMerge w:val="restart"/>
          </w:tcPr>
          <w:p>
            <w:pPr>
              <w:rPr>
                <w:del w:id="1" w:author="Master Repository Process" w:date="2021-08-28T08:15:00Z"/>
              </w:rPr>
            </w:pPr>
          </w:p>
        </w:tc>
        <w:tc>
          <w:tcPr>
            <w:tcW w:w="2434" w:type="dxa"/>
            <w:vMerge w:val="restart"/>
          </w:tcPr>
          <w:p>
            <w:pPr>
              <w:jc w:val="center"/>
              <w:rPr>
                <w:del w:id="2" w:author="Master Repository Process" w:date="2021-08-28T08:15:00Z"/>
              </w:rPr>
            </w:pPr>
            <w:del w:id="3" w:author="Master Repository Process" w:date="2021-08-28T08:15:00Z">
              <w:r>
                <w:rPr>
                  <w:noProof/>
                </w:rPr>
                <w:drawing>
                  <wp:inline distT="0" distB="0" distL="0" distR="0">
                    <wp:extent cx="533400" cy="476250"/>
                    <wp:effectExtent l="0" t="0" r="0" b="0"/>
                    <wp:docPr id="6" name="Picture 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4" w:author="Master Repository Process" w:date="2021-08-28T08:15:00Z"/>
              </w:rPr>
            </w:pPr>
            <w:del w:id="5" w:author="Master Repository Process" w:date="2021-08-28T08:15:00Z">
              <w:r>
                <w:rPr>
                  <w:b/>
                  <w:sz w:val="22"/>
                </w:rPr>
                <w:delText xml:space="preserve">Reprinted under the </w:delText>
              </w:r>
              <w:r>
                <w:rPr>
                  <w:b/>
                  <w:i/>
                  <w:sz w:val="22"/>
                </w:rPr>
                <w:delText>Reprints Act 1984</w:delText>
              </w:r>
              <w:r>
                <w:rPr>
                  <w:b/>
                  <w:sz w:val="22"/>
                </w:rPr>
                <w:delText xml:space="preserve"> as</w:delText>
              </w:r>
            </w:del>
          </w:p>
        </w:tc>
      </w:tr>
      <w:tr>
        <w:trPr>
          <w:cantSplit/>
          <w:del w:id="6" w:author="Master Repository Process" w:date="2021-08-28T08:15:00Z"/>
        </w:trPr>
        <w:tc>
          <w:tcPr>
            <w:tcW w:w="2434" w:type="dxa"/>
            <w:vMerge/>
          </w:tcPr>
          <w:p>
            <w:pPr>
              <w:rPr>
                <w:del w:id="7" w:author="Master Repository Process" w:date="2021-08-28T08:15:00Z"/>
              </w:rPr>
            </w:pPr>
          </w:p>
        </w:tc>
        <w:tc>
          <w:tcPr>
            <w:tcW w:w="2434" w:type="dxa"/>
            <w:vMerge/>
          </w:tcPr>
          <w:p>
            <w:pPr>
              <w:jc w:val="center"/>
              <w:rPr>
                <w:del w:id="8" w:author="Master Repository Process" w:date="2021-08-28T08:15:00Z"/>
              </w:rPr>
            </w:pPr>
          </w:p>
        </w:tc>
        <w:tc>
          <w:tcPr>
            <w:tcW w:w="2434" w:type="dxa"/>
          </w:tcPr>
          <w:p>
            <w:pPr>
              <w:keepNext/>
              <w:rPr>
                <w:del w:id="9" w:author="Master Repository Process" w:date="2021-08-28T08:15:00Z"/>
                <w:b/>
                <w:sz w:val="22"/>
              </w:rPr>
            </w:pPr>
            <w:del w:id="10" w:author="Master Repository Process" w:date="2021-08-28T08:15:00Z">
              <w:r>
                <w:rPr>
                  <w:b/>
                  <w:sz w:val="22"/>
                </w:rPr>
                <w:delText>at 6</w:delText>
              </w:r>
              <w:r>
                <w:rPr>
                  <w:b/>
                  <w:snapToGrid w:val="0"/>
                  <w:sz w:val="22"/>
                </w:rPr>
                <w:delText xml:space="preserve"> December 2013</w:delText>
              </w:r>
            </w:del>
          </w:p>
        </w:tc>
      </w:tr>
    </w:tbl>
    <w:p>
      <w:pPr>
        <w:pStyle w:val="WA"/>
        <w:spacing w:before="120"/>
      </w:pPr>
      <w:r>
        <w:t>Western Australia</w:t>
      </w:r>
    </w:p>
    <w:p>
      <w:pPr>
        <w:pStyle w:val="PrincipalActReg"/>
        <w:spacing w:before="360" w:after="600"/>
        <w:rPr>
          <w:snapToGrid w:val="0"/>
        </w:rPr>
      </w:pPr>
      <w:bookmarkStart w:id="11" w:name="RuleErr_2"/>
      <w:r>
        <w:rPr>
          <w:snapToGrid w:val="0"/>
        </w:rPr>
        <w:t>Fines, Penalties and Infringement Notices Enforcement Act 1994</w:t>
      </w:r>
    </w:p>
    <w:bookmarkEnd w:id="11"/>
    <w:p>
      <w:pPr>
        <w:pStyle w:val="NameofActReg"/>
        <w:spacing w:before="960" w:after="960"/>
      </w:pPr>
      <w:r>
        <w:t>Fines, Penalties and Infringement Notices Enforcement Regulations 1994</w:t>
      </w:r>
    </w:p>
    <w:p>
      <w:pPr>
        <w:pStyle w:val="Heading5"/>
        <w:rPr>
          <w:snapToGrid w:val="0"/>
        </w:rPr>
      </w:pPr>
      <w:bookmarkStart w:id="12" w:name="_Toc391017365"/>
      <w:bookmarkStart w:id="13" w:name="_Toc377549559"/>
      <w:r>
        <w:rPr>
          <w:rStyle w:val="CharSectno"/>
        </w:rPr>
        <w:t>1</w:t>
      </w:r>
      <w:bookmarkStart w:id="14" w:name="_GoBack"/>
      <w:bookmarkEnd w:id="14"/>
      <w:r>
        <w:rPr>
          <w:snapToGrid w:val="0"/>
        </w:rPr>
        <w:t>.</w:t>
      </w:r>
      <w:r>
        <w:rPr>
          <w:snapToGrid w:val="0"/>
        </w:rPr>
        <w:tab/>
        <w:t>Citation</w:t>
      </w:r>
      <w:bookmarkEnd w:id="12"/>
      <w:bookmarkEnd w:id="13"/>
    </w:p>
    <w:p>
      <w:pPr>
        <w:pStyle w:val="Subsection"/>
        <w:rPr>
          <w:snapToGrid w:val="0"/>
        </w:rPr>
      </w:pPr>
      <w:r>
        <w:rPr>
          <w:snapToGrid w:val="0"/>
        </w:rPr>
        <w:tab/>
      </w:r>
      <w:r>
        <w:rPr>
          <w:snapToGrid w:val="0"/>
        </w:rPr>
        <w:tab/>
        <w:t xml:space="preserve">These regulations may be cited as the </w:t>
      </w:r>
      <w:r>
        <w:rPr>
          <w:i/>
          <w:snapToGrid w:val="0"/>
        </w:rPr>
        <w:t xml:space="preserve">Fines, Penalties and Infringement Notices Enforcement Regulations 1994 </w:t>
      </w:r>
      <w:r>
        <w:rPr>
          <w:snapToGrid w:val="0"/>
          <w:vertAlign w:val="superscript"/>
        </w:rPr>
        <w:t>1</w:t>
      </w:r>
      <w:r>
        <w:rPr>
          <w:snapToGrid w:val="0"/>
        </w:rPr>
        <w:t>.</w:t>
      </w:r>
    </w:p>
    <w:p>
      <w:pPr>
        <w:pStyle w:val="Heading5"/>
        <w:rPr>
          <w:snapToGrid w:val="0"/>
        </w:rPr>
      </w:pPr>
      <w:bookmarkStart w:id="15" w:name="_Toc391017366"/>
      <w:bookmarkStart w:id="16" w:name="_Toc377549560"/>
      <w:r>
        <w:rPr>
          <w:rStyle w:val="CharSectno"/>
        </w:rPr>
        <w:t>2</w:t>
      </w:r>
      <w:r>
        <w:rPr>
          <w:snapToGrid w:val="0"/>
        </w:rPr>
        <w:t>.</w:t>
      </w:r>
      <w:r>
        <w:rPr>
          <w:snapToGrid w:val="0"/>
        </w:rPr>
        <w:tab/>
        <w:t>Commencement</w:t>
      </w:r>
      <w:bookmarkEnd w:id="15"/>
      <w:bookmarkEnd w:id="16"/>
    </w:p>
    <w:p>
      <w:pPr>
        <w:pStyle w:val="Subsection"/>
        <w:rPr>
          <w:snapToGrid w:val="0"/>
        </w:rPr>
      </w:pPr>
      <w:r>
        <w:rPr>
          <w:snapToGrid w:val="0"/>
        </w:rPr>
        <w:tab/>
      </w:r>
      <w:r>
        <w:rPr>
          <w:snapToGrid w:val="0"/>
        </w:rPr>
        <w:tab/>
        <w:t xml:space="preserve">These regulations come into operation on the day on which the </w:t>
      </w:r>
      <w:r>
        <w:rPr>
          <w:i/>
          <w:snapToGrid w:val="0"/>
        </w:rPr>
        <w:t>Fines, Penalties and Infringement Notices Enforcement Act 1994</w:t>
      </w:r>
      <w:r>
        <w:rPr>
          <w:snapToGrid w:val="0"/>
        </w:rPr>
        <w:t xml:space="preserve"> comes into operation </w:t>
      </w:r>
      <w:r>
        <w:rPr>
          <w:snapToGrid w:val="0"/>
          <w:vertAlign w:val="superscript"/>
        </w:rPr>
        <w:t>1</w:t>
      </w:r>
      <w:r>
        <w:rPr>
          <w:snapToGrid w:val="0"/>
        </w:rPr>
        <w:t>.</w:t>
      </w:r>
    </w:p>
    <w:p>
      <w:pPr>
        <w:pStyle w:val="Heading5"/>
        <w:rPr>
          <w:snapToGrid w:val="0"/>
        </w:rPr>
      </w:pPr>
      <w:bookmarkStart w:id="17" w:name="_Toc391017367"/>
      <w:bookmarkStart w:id="18" w:name="_Toc377549561"/>
      <w:r>
        <w:rPr>
          <w:rStyle w:val="CharSectno"/>
        </w:rPr>
        <w:t>3</w:t>
      </w:r>
      <w:r>
        <w:rPr>
          <w:snapToGrid w:val="0"/>
        </w:rPr>
        <w:t>.</w:t>
      </w:r>
      <w:r>
        <w:rPr>
          <w:snapToGrid w:val="0"/>
        </w:rPr>
        <w:tab/>
        <w:t>Enactments prescribed for Act Part 3 (Act s. 12)</w:t>
      </w:r>
      <w:bookmarkEnd w:id="17"/>
      <w:bookmarkEnd w:id="18"/>
    </w:p>
    <w:p>
      <w:pPr>
        <w:pStyle w:val="Subsection"/>
        <w:rPr>
          <w:snapToGrid w:val="0"/>
        </w:rPr>
      </w:pPr>
      <w:r>
        <w:rPr>
          <w:snapToGrid w:val="0"/>
        </w:rPr>
        <w:tab/>
      </w:r>
      <w:r>
        <w:rPr>
          <w:snapToGrid w:val="0"/>
        </w:rPr>
        <w:tab/>
        <w:t>Under section 12, the enactments in Schedule 1 are prescribed as enactments to which Part 3 of the Act applies.</w:t>
      </w:r>
    </w:p>
    <w:p>
      <w:pPr>
        <w:pStyle w:val="Heading5"/>
      </w:pPr>
      <w:bookmarkStart w:id="19" w:name="_Toc391017368"/>
      <w:bookmarkStart w:id="20" w:name="_Toc377549562"/>
      <w:r>
        <w:rPr>
          <w:rStyle w:val="CharSectno"/>
        </w:rPr>
        <w:t>3AA</w:t>
      </w:r>
      <w:r>
        <w:t>.</w:t>
      </w:r>
      <w:r>
        <w:tab/>
        <w:t>Amount payable under Act s. 22(5)(c)</w:t>
      </w:r>
      <w:bookmarkEnd w:id="19"/>
      <w:bookmarkEnd w:id="20"/>
    </w:p>
    <w:p>
      <w:pPr>
        <w:pStyle w:val="Subsection"/>
      </w:pPr>
      <w:r>
        <w:tab/>
        <w:t>(1)</w:t>
      </w:r>
      <w:r>
        <w:tab/>
        <w:t xml:space="preserve">In this regulation — </w:t>
      </w:r>
    </w:p>
    <w:p>
      <w:pPr>
        <w:pStyle w:val="Defstart"/>
      </w:pPr>
      <w:r>
        <w:tab/>
      </w:r>
      <w:r>
        <w:rPr>
          <w:rStyle w:val="CharDefText"/>
        </w:rPr>
        <w:t>GST</w:t>
      </w:r>
      <w:r>
        <w:t xml:space="preserve"> has the meaning given in the </w:t>
      </w:r>
      <w:bookmarkStart w:id="21" w:name="RuleErr_7"/>
      <w:r>
        <w:rPr>
          <w:i/>
        </w:rPr>
        <w:t>A New Tax System (Goods and Services Tax) Act 1999</w:t>
      </w:r>
      <w:bookmarkEnd w:id="21"/>
      <w:r>
        <w:t xml:space="preserve"> (Commonwealth) section 195</w:t>
      </w:r>
      <w:r>
        <w:noBreakHyphen/>
        <w:t>1.</w:t>
      </w:r>
    </w:p>
    <w:p>
      <w:pPr>
        <w:pStyle w:val="Subsection"/>
      </w:pPr>
      <w:r>
        <w:tab/>
        <w:t>(2)</w:t>
      </w:r>
      <w:r>
        <w:tab/>
        <w:t xml:space="preserve">For the purposes of section 22(5)(c), the alleged offender is to be paid — </w:t>
      </w:r>
    </w:p>
    <w:p>
      <w:pPr>
        <w:pStyle w:val="Indenta"/>
      </w:pPr>
      <w:r>
        <w:tab/>
        <w:t>(a)</w:t>
      </w:r>
      <w:r>
        <w:tab/>
        <w:t>an amount calculated in accordance with subregulation (3); and</w:t>
      </w:r>
    </w:p>
    <w:p>
      <w:pPr>
        <w:pStyle w:val="Indenta"/>
      </w:pPr>
      <w:r>
        <w:tab/>
        <w:t>(b)</w:t>
      </w:r>
      <w:r>
        <w:tab/>
        <w:t xml:space="preserve">any amount paid or required to be paid by the alleged offender under the </w:t>
      </w:r>
      <w:r>
        <w:rPr>
          <w:i/>
        </w:rPr>
        <w:t>Road Traffic (Charges and Fees) Regulations 2006</w:t>
      </w:r>
      <w:r>
        <w:t xml:space="preserve"> in connection with the issue of a new vehicle licence in respect of the vehicle, including the following — </w:t>
      </w:r>
    </w:p>
    <w:p>
      <w:pPr>
        <w:pStyle w:val="Indenti"/>
      </w:pPr>
      <w:r>
        <w:tab/>
        <w:t>(i)</w:t>
      </w:r>
      <w:r>
        <w:tab/>
        <w:t>any examination fee under regulation 23 of those regulations;</w:t>
      </w:r>
    </w:p>
    <w:p>
      <w:pPr>
        <w:pStyle w:val="Indenti"/>
      </w:pPr>
      <w:r>
        <w:tab/>
        <w:t>(ii)</w:t>
      </w:r>
      <w:r>
        <w:tab/>
        <w:t>any recording fee under regulation 25 of those regulations;</w:t>
      </w:r>
    </w:p>
    <w:p>
      <w:pPr>
        <w:pStyle w:val="Indenti"/>
      </w:pPr>
      <w:r>
        <w:tab/>
        <w:t>(iii)</w:t>
      </w:r>
      <w:r>
        <w:tab/>
        <w:t>any fee for the issue of number plates under regulation 30 of those regulations;</w:t>
      </w:r>
    </w:p>
    <w:p>
      <w:pPr>
        <w:pStyle w:val="Indenta"/>
      </w:pPr>
      <w:r>
        <w:tab/>
      </w:r>
      <w:r>
        <w:tab/>
        <w:t>and</w:t>
      </w:r>
    </w:p>
    <w:p>
      <w:pPr>
        <w:pStyle w:val="Indenta"/>
      </w:pPr>
      <w:r>
        <w:tab/>
        <w:t>(c)</w:t>
      </w:r>
      <w:r>
        <w:tab/>
        <w:t xml:space="preserve">any amount paid or required to be paid by the alleged offender in connection with the issue of an unlicensed vehicle permit for the vehicle under the </w:t>
      </w:r>
      <w:r>
        <w:rPr>
          <w:i/>
        </w:rPr>
        <w:t>Road Traffic (Licensing) Regulations 1975</w:t>
      </w:r>
      <w:r>
        <w:t xml:space="preserve"> regulation 11, where the permit is issued for the purpose of enabling the vehicle to be driven to a location for an examination under those regulations or for repairs; and</w:t>
      </w:r>
    </w:p>
    <w:p>
      <w:pPr>
        <w:pStyle w:val="Indenta"/>
      </w:pPr>
      <w:r>
        <w:tab/>
        <w:t>(d)</w:t>
      </w:r>
      <w:r>
        <w:tab/>
        <w:t>if the alleged offender produces to the Registrar documentary evidence of any expenses of the alleged offender for travel, or vehicle towing or lifting, that resulted from the issue of the vehicle licence cancellation order — an amount that the Registrar considers appropriate to compensate the alleged offender for those expenses; and</w:t>
      </w:r>
    </w:p>
    <w:p>
      <w:pPr>
        <w:pStyle w:val="Indenta"/>
      </w:pPr>
      <w:r>
        <w:tab/>
        <w:t>(e)</w:t>
      </w:r>
      <w:r>
        <w:tab/>
        <w:t>if the alleged offender produces to the Registrar documentary evidence of any loss of earnings of the alleged offender that resulted from the issue of the vehicle licence cancellation order and that could not reasonably have been avoided by the alleged offender — an amount that the Registrar considers appropriate to compensate the alleged offender for the loss of earnings.</w:t>
      </w:r>
    </w:p>
    <w:p>
      <w:pPr>
        <w:pStyle w:val="Subsection"/>
      </w:pPr>
      <w:r>
        <w:tab/>
        <w:t>(3)</w:t>
      </w:r>
      <w:r>
        <w:tab/>
        <w:t xml:space="preserve">For the purposes of subregulation (2)(a), the amount is to be calculated in accordance with the following formula — </w:t>
      </w:r>
    </w:p>
    <w:p>
      <w:pPr>
        <w:pStyle w:val="Subsection"/>
        <w:rPr>
          <w:sz w:val="23"/>
          <w:szCs w:val="22"/>
          <w:highlight w:val="cyan"/>
        </w:rPr>
      </w:pPr>
      <m:oMathPara>
        <m:oMathParaPr>
          <m:jc m:val="left"/>
        </m:oMathParaPr>
        <m:oMath>
          <m:f>
            <m:fPr>
              <m:ctrlPr>
                <w:rPr>
                  <w:rFonts w:ascii="Cambria Math" w:hAnsi="Cambria Math"/>
                  <w:sz w:val="23"/>
                  <w:szCs w:val="22"/>
                </w:rPr>
              </m:ctrlPr>
            </m:fPr>
            <m:num>
              <m:r>
                <m:rPr>
                  <m:sty m:val="p"/>
                </m:rPr>
                <w:rPr>
                  <w:rFonts w:ascii="Cambria Math" w:hAnsi="Cambria Math"/>
                  <w:sz w:val="23"/>
                  <w:szCs w:val="22"/>
                </w:rPr>
                <m:t>licence cost</m:t>
              </m:r>
            </m:num>
            <m:den>
              <m:r>
                <m:rPr>
                  <m:sty m:val="p"/>
                </m:rPr>
                <w:rPr>
                  <w:rFonts w:ascii="Cambria Math" w:hAnsi="Cambria Math"/>
                  <w:sz w:val="23"/>
                  <w:szCs w:val="22"/>
                </w:rPr>
                <m:t>total days</m:t>
              </m:r>
            </m:den>
          </m:f>
          <m:r>
            <m:rPr>
              <m:sty m:val="p"/>
            </m:rPr>
            <w:rPr>
              <w:rFonts w:ascii="Cambria Math" w:hAnsi="Cambria Math"/>
              <w:sz w:val="23"/>
              <w:szCs w:val="22"/>
            </w:rPr>
            <m:t>×remaining days</m:t>
          </m:r>
        </m:oMath>
      </m:oMathPara>
    </w:p>
    <w:p>
      <w:pPr>
        <w:pStyle w:val="Subsection"/>
      </w:pPr>
      <w:r>
        <w:tab/>
      </w:r>
      <w:r>
        <w:tab/>
        <w:t xml:space="preserve">where — </w:t>
      </w:r>
    </w:p>
    <w:p>
      <w:pPr>
        <w:pStyle w:val="MiscellaneousBody"/>
        <w:tabs>
          <w:tab w:val="left" w:pos="910"/>
          <w:tab w:val="left" w:pos="2552"/>
        </w:tabs>
        <w:ind w:left="2552" w:hanging="2552"/>
      </w:pPr>
      <w:r>
        <w:tab/>
        <w:t>licence cost</w:t>
      </w:r>
      <w:r>
        <w:tab/>
        <w:t xml:space="preserve">is the total of — </w:t>
      </w:r>
    </w:p>
    <w:p>
      <w:pPr>
        <w:pStyle w:val="MiscellaneousBody"/>
        <w:tabs>
          <w:tab w:val="left" w:pos="2835"/>
          <w:tab w:val="left" w:pos="3402"/>
        </w:tabs>
        <w:ind w:left="3402" w:hanging="3402"/>
      </w:pPr>
      <w:r>
        <w:tab/>
        <w:t>(a)</w:t>
      </w:r>
      <w:r>
        <w:tab/>
        <w:t xml:space="preserve">the vehicle licence charge paid for the vehicle licence in accordance with the </w:t>
      </w:r>
      <w:r>
        <w:rPr>
          <w:i/>
        </w:rPr>
        <w:t>Road Traffic (Charges and Fees) Regulations 2006</w:t>
      </w:r>
      <w:r>
        <w:t xml:space="preserve"> (taking into account any exemption, reduction, concession or refund applied under those regulations); and</w:t>
      </w:r>
    </w:p>
    <w:p>
      <w:pPr>
        <w:pStyle w:val="MiscellaneousBody"/>
        <w:tabs>
          <w:tab w:val="left" w:pos="2835"/>
          <w:tab w:val="left" w:pos="3402"/>
        </w:tabs>
        <w:ind w:left="3402" w:hanging="3402"/>
      </w:pPr>
      <w:r>
        <w:tab/>
        <w:t>(b)</w:t>
      </w:r>
      <w:r>
        <w:tab/>
        <w:t xml:space="preserve">the insurance premium for the contract of insurance with respect to the vehicle as required by the </w:t>
      </w:r>
      <w:r>
        <w:rPr>
          <w:i/>
        </w:rPr>
        <w:t>Motor Vehicle (Third Party Insurance) Act 1943</w:t>
      </w:r>
      <w:r>
        <w:t xml:space="preserve"> section 4 (including GST);</w:t>
      </w:r>
    </w:p>
    <w:p>
      <w:pPr>
        <w:pStyle w:val="MiscellaneousBody"/>
        <w:tabs>
          <w:tab w:val="left" w:pos="910"/>
          <w:tab w:val="left" w:pos="2552"/>
        </w:tabs>
        <w:ind w:left="2552" w:hanging="2552"/>
        <w:rPr>
          <w:kern w:val="24"/>
        </w:rPr>
      </w:pPr>
      <w:r>
        <w:tab/>
      </w:r>
      <w:r>
        <w:rPr>
          <w:kern w:val="24"/>
        </w:rPr>
        <w:t>total days</w:t>
      </w:r>
      <w:r>
        <w:rPr>
          <w:kern w:val="24"/>
        </w:rPr>
        <w:tab/>
        <w:t>is the total number of days in the period for which the vehicle licence was issued;</w:t>
      </w:r>
    </w:p>
    <w:p>
      <w:pPr>
        <w:pStyle w:val="MiscellaneousBody"/>
        <w:tabs>
          <w:tab w:val="left" w:pos="910"/>
          <w:tab w:val="left" w:pos="2552"/>
        </w:tabs>
        <w:ind w:left="2552" w:hanging="2552"/>
      </w:pPr>
      <w:r>
        <w:rPr>
          <w:kern w:val="24"/>
        </w:rPr>
        <w:tab/>
        <w:t>remaining days</w:t>
      </w:r>
      <w:r>
        <w:rPr>
          <w:kern w:val="24"/>
        </w:rPr>
        <w:tab/>
        <w:t>is the number of days that were remaining in the period for which the vehicle licence was issued when the vehicle licence cancellation order was made (including the day on which the vehicle licence cancellation order was made).</w:t>
      </w:r>
    </w:p>
    <w:p>
      <w:pPr>
        <w:pStyle w:val="Footnotesection"/>
      </w:pPr>
      <w:r>
        <w:tab/>
        <w:t>[Regulation 3AA inserted in Gazette 20 Aug 2013 p. 3878-80.]</w:t>
      </w:r>
    </w:p>
    <w:p>
      <w:pPr>
        <w:pStyle w:val="Heading5"/>
      </w:pPr>
      <w:bookmarkStart w:id="22" w:name="_Toc391017369"/>
      <w:bookmarkStart w:id="23" w:name="_Toc377549563"/>
      <w:r>
        <w:rPr>
          <w:rStyle w:val="CharSectno"/>
        </w:rPr>
        <w:t>3A</w:t>
      </w:r>
      <w:r>
        <w:t>.</w:t>
      </w:r>
      <w:r>
        <w:tab/>
        <w:t xml:space="preserve">Request under </w:t>
      </w:r>
      <w:r>
        <w:rPr>
          <w:snapToGrid w:val="0"/>
        </w:rPr>
        <w:t>Act </w:t>
      </w:r>
      <w:r>
        <w:t>s. 27A(1), form of</w:t>
      </w:r>
      <w:bookmarkEnd w:id="22"/>
      <w:bookmarkEnd w:id="23"/>
    </w:p>
    <w:p>
      <w:pPr>
        <w:pStyle w:val="Subsection"/>
        <w:keepNext/>
      </w:pPr>
      <w:r>
        <w:tab/>
      </w:r>
      <w:r>
        <w:tab/>
        <w:t>A request under section 27A(1) must be made in a form approved by the Registrar.</w:t>
      </w:r>
    </w:p>
    <w:p>
      <w:pPr>
        <w:pStyle w:val="Footnotesection"/>
      </w:pPr>
      <w:r>
        <w:tab/>
        <w:t>[Regulation 3A inserted in Gazette 30 Jan 2001 p. 617; amended in Gazette 20 Aug 2013 p. 3880.]</w:t>
      </w:r>
    </w:p>
    <w:p>
      <w:pPr>
        <w:pStyle w:val="Heading5"/>
        <w:rPr>
          <w:snapToGrid w:val="0"/>
        </w:rPr>
      </w:pPr>
      <w:bookmarkStart w:id="24" w:name="_Toc391017370"/>
      <w:bookmarkStart w:id="25" w:name="_Toc377549564"/>
      <w:r>
        <w:rPr>
          <w:rStyle w:val="CharSectno"/>
        </w:rPr>
        <w:t>4</w:t>
      </w:r>
      <w:r>
        <w:rPr>
          <w:snapToGrid w:val="0"/>
        </w:rPr>
        <w:t>.</w:t>
      </w:r>
      <w:r>
        <w:rPr>
          <w:snapToGrid w:val="0"/>
        </w:rPr>
        <w:tab/>
        <w:t xml:space="preserve">Orders and enactments prescribed for definition of </w:t>
      </w:r>
      <w:r>
        <w:rPr>
          <w:i/>
          <w:snapToGrid w:val="0"/>
        </w:rPr>
        <w:t xml:space="preserve">fine </w:t>
      </w:r>
      <w:r>
        <w:rPr>
          <w:snapToGrid w:val="0"/>
        </w:rPr>
        <w:t>in Act s. 28(1)</w:t>
      </w:r>
      <w:bookmarkEnd w:id="24"/>
      <w:bookmarkEnd w:id="25"/>
    </w:p>
    <w:p>
      <w:pPr>
        <w:pStyle w:val="Subsection"/>
        <w:rPr>
          <w:snapToGrid w:val="0"/>
        </w:rPr>
      </w:pPr>
      <w:r>
        <w:rPr>
          <w:snapToGrid w:val="0"/>
        </w:rPr>
        <w:tab/>
      </w:r>
      <w:r>
        <w:rPr>
          <w:snapToGrid w:val="0"/>
        </w:rPr>
        <w:tab/>
        <w:t xml:space="preserve">For the purposes of paragraph (b) of the definition of </w:t>
      </w:r>
      <w:r>
        <w:rPr>
          <w:b/>
          <w:i/>
          <w:snapToGrid w:val="0"/>
        </w:rPr>
        <w:t>fine</w:t>
      </w:r>
      <w:r>
        <w:rPr>
          <w:snapToGrid w:val="0"/>
        </w:rPr>
        <w:t xml:space="preserve"> in section 28(1), an order of the kind described in column 2 of the Table made under the enactment opposite it in column 1 of the Table is prescribed.</w:t>
      </w:r>
    </w:p>
    <w:p>
      <w:pPr>
        <w:pStyle w:val="MiscellaneousHeading"/>
        <w:rPr>
          <w:b/>
          <w:snapToGrid w:val="0"/>
        </w:rPr>
      </w:pPr>
      <w:r>
        <w:rPr>
          <w:b/>
          <w:snapToGrid w:val="0"/>
        </w:rPr>
        <w:t>Table</w:t>
      </w:r>
    </w:p>
    <w:tbl>
      <w:tblPr>
        <w:tblW w:w="0" w:type="auto"/>
        <w:tblInd w:w="851" w:type="dxa"/>
        <w:tblLayout w:type="fixed"/>
        <w:tblCellMar>
          <w:left w:w="141" w:type="dxa"/>
          <w:right w:w="141" w:type="dxa"/>
        </w:tblCellMar>
        <w:tblLook w:val="0000" w:firstRow="0" w:lastRow="0" w:firstColumn="0" w:lastColumn="0" w:noHBand="0" w:noVBand="0"/>
      </w:tblPr>
      <w:tblGrid>
        <w:gridCol w:w="3259"/>
        <w:gridCol w:w="3261"/>
      </w:tblGrid>
      <w:tr>
        <w:tc>
          <w:tcPr>
            <w:tcW w:w="3259" w:type="dxa"/>
          </w:tcPr>
          <w:p>
            <w:pPr>
              <w:pStyle w:val="Table"/>
              <w:keepNext/>
              <w:rPr>
                <w:b/>
                <w:spacing w:val="-1"/>
              </w:rPr>
            </w:pPr>
            <w:bookmarkStart w:id="26" w:name="RuleErr_9"/>
            <w:r>
              <w:rPr>
                <w:b/>
                <w:i/>
                <w:spacing w:val="-1"/>
              </w:rPr>
              <w:t>Column 1</w:t>
            </w:r>
            <w:bookmarkEnd w:id="26"/>
          </w:p>
        </w:tc>
        <w:tc>
          <w:tcPr>
            <w:tcW w:w="3261" w:type="dxa"/>
          </w:tcPr>
          <w:p>
            <w:pPr>
              <w:pStyle w:val="Table"/>
              <w:keepNext/>
              <w:rPr>
                <w:b/>
                <w:i/>
                <w:spacing w:val="-1"/>
              </w:rPr>
            </w:pPr>
            <w:r>
              <w:rPr>
                <w:b/>
                <w:i/>
                <w:spacing w:val="-1"/>
              </w:rPr>
              <w:t>Column 2</w:t>
            </w:r>
          </w:p>
        </w:tc>
      </w:tr>
      <w:tr>
        <w:tc>
          <w:tcPr>
            <w:tcW w:w="3259" w:type="dxa"/>
          </w:tcPr>
          <w:p>
            <w:pPr>
              <w:pStyle w:val="Table"/>
            </w:pPr>
            <w:r>
              <w:rPr>
                <w:i/>
              </w:rPr>
              <w:t>Workers’ Compensation and Injury Management Act 1981</w:t>
            </w:r>
            <w:r>
              <w:rPr>
                <w:vertAlign w:val="superscript"/>
              </w:rPr>
              <w:t> 2</w:t>
            </w:r>
            <w:r>
              <w:t>, s. 170(2)</w:t>
            </w:r>
          </w:p>
        </w:tc>
        <w:tc>
          <w:tcPr>
            <w:tcW w:w="3261" w:type="dxa"/>
          </w:tcPr>
          <w:p>
            <w:pPr>
              <w:pStyle w:val="Table"/>
            </w:pPr>
            <w:r>
              <w:t>An order that an employer pay an amount to the General Fund</w:t>
            </w:r>
            <w:r>
              <w:rPr>
                <w:vertAlign w:val="superscript"/>
              </w:rPr>
              <w:t> 3</w:t>
            </w:r>
            <w:r>
              <w:t>.</w:t>
            </w:r>
          </w:p>
        </w:tc>
      </w:tr>
    </w:tbl>
    <w:p>
      <w:pPr>
        <w:pStyle w:val="Heading5"/>
        <w:spacing w:before="260"/>
        <w:rPr>
          <w:snapToGrid w:val="0"/>
        </w:rPr>
      </w:pPr>
      <w:bookmarkStart w:id="27" w:name="_Toc391017371"/>
      <w:bookmarkStart w:id="28" w:name="_Toc377549565"/>
      <w:r>
        <w:rPr>
          <w:rStyle w:val="CharSectno"/>
        </w:rPr>
        <w:t>5</w:t>
      </w:r>
      <w:r>
        <w:rPr>
          <w:snapToGrid w:val="0"/>
        </w:rPr>
        <w:t>.</w:t>
      </w:r>
      <w:r>
        <w:rPr>
          <w:snapToGrid w:val="0"/>
        </w:rPr>
        <w:tab/>
        <w:t>Enactment prescribed for Act s. 31(b)</w:t>
      </w:r>
      <w:bookmarkEnd w:id="27"/>
      <w:bookmarkEnd w:id="28"/>
    </w:p>
    <w:p>
      <w:pPr>
        <w:pStyle w:val="Subsection"/>
        <w:spacing w:before="120"/>
        <w:rPr>
          <w:snapToGrid w:val="0"/>
        </w:rPr>
      </w:pPr>
      <w:r>
        <w:rPr>
          <w:snapToGrid w:val="0"/>
        </w:rPr>
        <w:tab/>
      </w:r>
      <w:r>
        <w:rPr>
          <w:snapToGrid w:val="0"/>
        </w:rPr>
        <w:tab/>
        <w:t>For the purposes of section 31(b) this enactment is prescribed:</w:t>
      </w:r>
    </w:p>
    <w:p>
      <w:pPr>
        <w:pStyle w:val="Subsection"/>
        <w:spacing w:before="120"/>
        <w:rPr>
          <w:snapToGrid w:val="0"/>
        </w:rPr>
      </w:pPr>
      <w:r>
        <w:rPr>
          <w:snapToGrid w:val="0"/>
        </w:rPr>
        <w:tab/>
      </w:r>
      <w:r>
        <w:rPr>
          <w:snapToGrid w:val="0"/>
        </w:rPr>
        <w:tab/>
      </w:r>
      <w:r>
        <w:rPr>
          <w:i/>
          <w:snapToGrid w:val="0"/>
        </w:rPr>
        <w:t>Workers’ Compensation and Injury Management Act 1981</w:t>
      </w:r>
      <w:r>
        <w:rPr>
          <w:snapToGrid w:val="0"/>
        </w:rPr>
        <w:t> </w:t>
      </w:r>
      <w:r>
        <w:rPr>
          <w:snapToGrid w:val="0"/>
          <w:vertAlign w:val="superscript"/>
        </w:rPr>
        <w:t>2</w:t>
      </w:r>
      <w:r>
        <w:rPr>
          <w:snapToGrid w:val="0"/>
        </w:rPr>
        <w:t>.</w:t>
      </w:r>
    </w:p>
    <w:p>
      <w:pPr>
        <w:pStyle w:val="Heading5"/>
        <w:spacing w:before="240"/>
        <w:rPr>
          <w:snapToGrid w:val="0"/>
        </w:rPr>
      </w:pPr>
      <w:bookmarkStart w:id="29" w:name="_Toc391017372"/>
      <w:bookmarkStart w:id="30" w:name="_Toc377549566"/>
      <w:r>
        <w:rPr>
          <w:rStyle w:val="CharSectno"/>
        </w:rPr>
        <w:t>6</w:t>
      </w:r>
      <w:r>
        <w:rPr>
          <w:snapToGrid w:val="0"/>
        </w:rPr>
        <w:t>.</w:t>
      </w:r>
      <w:r>
        <w:rPr>
          <w:snapToGrid w:val="0"/>
        </w:rPr>
        <w:tab/>
        <w:t>Time to pay orders, applications for etc. (Act s. 33, 34 and 35)</w:t>
      </w:r>
      <w:bookmarkEnd w:id="29"/>
      <w:bookmarkEnd w:id="30"/>
    </w:p>
    <w:p>
      <w:pPr>
        <w:pStyle w:val="Subsection"/>
        <w:spacing w:before="120"/>
        <w:rPr>
          <w:snapToGrid w:val="0"/>
        </w:rPr>
      </w:pPr>
      <w:r>
        <w:rPr>
          <w:snapToGrid w:val="0"/>
        </w:rPr>
        <w:tab/>
        <w:t>(1)</w:t>
      </w:r>
      <w:r>
        <w:rPr>
          <w:snapToGrid w:val="0"/>
        </w:rPr>
        <w:tab/>
        <w:t>An application —</w:t>
      </w:r>
    </w:p>
    <w:p>
      <w:pPr>
        <w:pStyle w:val="Indenta"/>
        <w:rPr>
          <w:snapToGrid w:val="0"/>
        </w:rPr>
      </w:pPr>
      <w:r>
        <w:rPr>
          <w:snapToGrid w:val="0"/>
        </w:rPr>
        <w:tab/>
        <w:t>(a)</w:t>
      </w:r>
      <w:r>
        <w:rPr>
          <w:snapToGrid w:val="0"/>
        </w:rPr>
        <w:tab/>
        <w:t>under section 33 for a time to pay order; or</w:t>
      </w:r>
    </w:p>
    <w:p>
      <w:pPr>
        <w:pStyle w:val="Indenta"/>
        <w:rPr>
          <w:snapToGrid w:val="0"/>
        </w:rPr>
      </w:pPr>
      <w:r>
        <w:rPr>
          <w:snapToGrid w:val="0"/>
        </w:rPr>
        <w:tab/>
        <w:t>(b)</w:t>
      </w:r>
      <w:r>
        <w:rPr>
          <w:snapToGrid w:val="0"/>
        </w:rPr>
        <w:tab/>
        <w:t>under section 34 to have a time to pay order amended,</w:t>
      </w:r>
    </w:p>
    <w:p>
      <w:pPr>
        <w:pStyle w:val="Subsection"/>
        <w:spacing w:before="120"/>
        <w:rPr>
          <w:snapToGrid w:val="0"/>
        </w:rPr>
      </w:pPr>
      <w:r>
        <w:rPr>
          <w:snapToGrid w:val="0"/>
        </w:rPr>
        <w:tab/>
      </w:r>
      <w:r>
        <w:rPr>
          <w:snapToGrid w:val="0"/>
        </w:rPr>
        <w:tab/>
        <w:t>may be made orally or in writing, as the Registrar directs, and if in writing, is to be in such form as the chief executive officer approves.</w:t>
      </w:r>
    </w:p>
    <w:p>
      <w:pPr>
        <w:pStyle w:val="Subsection"/>
        <w:spacing w:before="180"/>
        <w:rPr>
          <w:snapToGrid w:val="0"/>
        </w:rPr>
      </w:pPr>
      <w:r>
        <w:rPr>
          <w:snapToGrid w:val="0"/>
        </w:rPr>
        <w:tab/>
        <w:t>(1a)</w:t>
      </w:r>
      <w:r>
        <w:rPr>
          <w:snapToGrid w:val="0"/>
        </w:rPr>
        <w:tab/>
        <w:t>On an application —</w:t>
      </w:r>
    </w:p>
    <w:p>
      <w:pPr>
        <w:pStyle w:val="Indenta"/>
        <w:rPr>
          <w:snapToGrid w:val="0"/>
        </w:rPr>
      </w:pPr>
      <w:r>
        <w:rPr>
          <w:snapToGrid w:val="0"/>
        </w:rPr>
        <w:tab/>
        <w:t>(a)</w:t>
      </w:r>
      <w:r>
        <w:rPr>
          <w:snapToGrid w:val="0"/>
        </w:rPr>
        <w:tab/>
        <w:t>under section 33 for a time to pay order; or</w:t>
      </w:r>
    </w:p>
    <w:p>
      <w:pPr>
        <w:pStyle w:val="Indenta"/>
        <w:keepNext/>
        <w:rPr>
          <w:snapToGrid w:val="0"/>
        </w:rPr>
      </w:pPr>
      <w:r>
        <w:rPr>
          <w:snapToGrid w:val="0"/>
        </w:rPr>
        <w:tab/>
        <w:t>(b)</w:t>
      </w:r>
      <w:r>
        <w:rPr>
          <w:snapToGrid w:val="0"/>
        </w:rPr>
        <w:tab/>
        <w:t>under section 34 to have a time to pay order amended,</w:t>
      </w:r>
    </w:p>
    <w:p>
      <w:pPr>
        <w:pStyle w:val="Subsection"/>
        <w:spacing w:before="120"/>
        <w:rPr>
          <w:snapToGrid w:val="0"/>
        </w:rPr>
      </w:pPr>
      <w:r>
        <w:rPr>
          <w:snapToGrid w:val="0"/>
        </w:rPr>
        <w:tab/>
      </w:r>
      <w:r>
        <w:rPr>
          <w:snapToGrid w:val="0"/>
        </w:rPr>
        <w:tab/>
        <w:t>the Registrar may require the applicant to produce documentary evidence to verify the applicant’s income or expenditure.</w:t>
      </w:r>
    </w:p>
    <w:p>
      <w:pPr>
        <w:pStyle w:val="Subsection"/>
        <w:spacing w:before="120"/>
        <w:rPr>
          <w:snapToGrid w:val="0"/>
        </w:rPr>
      </w:pPr>
      <w:r>
        <w:rPr>
          <w:snapToGrid w:val="0"/>
        </w:rPr>
        <w:tab/>
        <w:t>(2)</w:t>
      </w:r>
      <w:r>
        <w:rPr>
          <w:snapToGrid w:val="0"/>
        </w:rPr>
        <w:tab/>
        <w:t xml:space="preserve">If under </w:t>
      </w:r>
      <w:r>
        <w:t xml:space="preserve">section 33(3), 34(3) or 35(1) </w:t>
      </w:r>
      <w:r>
        <w:rPr>
          <w:snapToGrid w:val="0"/>
        </w:rPr>
        <w:t xml:space="preserve"> an offender is required to undergo a means test, the offender must make a statutory declaration in such form as the chief executive officer approves as to the offender’s financial capacity to pay the fine or fines concerned.</w:t>
      </w:r>
    </w:p>
    <w:p>
      <w:pPr>
        <w:pStyle w:val="Footnotesection"/>
      </w:pPr>
      <w:r>
        <w:tab/>
        <w:t>[Regulation 6 amended in Gazette 5 Jul 1996 p. 3226; 20 Aug 2013 p. 3880; 3 Dec 2013 p. 5625.]</w:t>
      </w:r>
    </w:p>
    <w:p>
      <w:pPr>
        <w:pStyle w:val="Heading5"/>
        <w:rPr>
          <w:snapToGrid w:val="0"/>
        </w:rPr>
      </w:pPr>
      <w:bookmarkStart w:id="31" w:name="_Toc391017373"/>
      <w:bookmarkStart w:id="32" w:name="_Toc377549567"/>
      <w:r>
        <w:rPr>
          <w:rStyle w:val="CharSectno"/>
        </w:rPr>
        <w:t>6A</w:t>
      </w:r>
      <w:r>
        <w:rPr>
          <w:snapToGrid w:val="0"/>
        </w:rPr>
        <w:t>.</w:t>
      </w:r>
      <w:r>
        <w:rPr>
          <w:snapToGrid w:val="0"/>
        </w:rPr>
        <w:tab/>
        <w:t>Required hours for WDO, calculation of (Act s. 50)</w:t>
      </w:r>
      <w:bookmarkEnd w:id="31"/>
      <w:bookmarkEnd w:id="32"/>
    </w:p>
    <w:p>
      <w:pPr>
        <w:pStyle w:val="Subsection"/>
        <w:keepNext/>
        <w:rPr>
          <w:snapToGrid w:val="0"/>
        </w:rPr>
      </w:pPr>
      <w:r>
        <w:rPr>
          <w:snapToGrid w:val="0"/>
        </w:rPr>
        <w:tab/>
        <w:t>(1)</w:t>
      </w:r>
      <w:r>
        <w:rPr>
          <w:snapToGrid w:val="0"/>
        </w:rPr>
        <w:tab/>
        <w:t>The required hours in a WDO are to be calculated as —</w:t>
      </w:r>
    </w:p>
    <w:p>
      <w:pPr>
        <w:pStyle w:val="Indenta"/>
        <w:rPr>
          <w:snapToGrid w:val="0"/>
        </w:rPr>
      </w:pPr>
      <w:r>
        <w:rPr>
          <w:snapToGrid w:val="0"/>
        </w:rPr>
        <w:tab/>
        <w:t>(a)</w:t>
      </w:r>
      <w:r>
        <w:rPr>
          <w:snapToGrid w:val="0"/>
        </w:rPr>
        <w:tab/>
        <w:t xml:space="preserve">for up to </w:t>
      </w:r>
      <w:r>
        <w:t>$300</w:t>
      </w:r>
      <w:r>
        <w:rPr>
          <w:snapToGrid w:val="0"/>
        </w:rPr>
        <w:t xml:space="preserve"> owed by the offender — 6 hours;</w:t>
      </w:r>
    </w:p>
    <w:p>
      <w:pPr>
        <w:pStyle w:val="Indenta"/>
        <w:rPr>
          <w:snapToGrid w:val="0"/>
        </w:rPr>
      </w:pPr>
      <w:r>
        <w:rPr>
          <w:snapToGrid w:val="0"/>
        </w:rPr>
        <w:tab/>
        <w:t>(b)</w:t>
      </w:r>
      <w:r>
        <w:rPr>
          <w:snapToGrid w:val="0"/>
        </w:rPr>
        <w:tab/>
        <w:t xml:space="preserve">for more than </w:t>
      </w:r>
      <w:r>
        <w:t>$300</w:t>
      </w:r>
      <w:r>
        <w:rPr>
          <w:snapToGrid w:val="0"/>
        </w:rPr>
        <w:t xml:space="preserve"> and up to </w:t>
      </w:r>
      <w:r>
        <w:t>$600</w:t>
      </w:r>
      <w:r>
        <w:rPr>
          <w:snapToGrid w:val="0"/>
        </w:rPr>
        <w:t xml:space="preserve"> owed by the offender — 12 hours,</w:t>
      </w:r>
    </w:p>
    <w:p>
      <w:pPr>
        <w:pStyle w:val="Subsection"/>
        <w:rPr>
          <w:snapToGrid w:val="0"/>
        </w:rPr>
      </w:pPr>
      <w:r>
        <w:rPr>
          <w:snapToGrid w:val="0"/>
        </w:rPr>
        <w:tab/>
      </w:r>
      <w:r>
        <w:rPr>
          <w:snapToGrid w:val="0"/>
        </w:rPr>
        <w:tab/>
        <w:t xml:space="preserve">and so on, increasing in units of up to </w:t>
      </w:r>
      <w:r>
        <w:t>$300</w:t>
      </w:r>
      <w:r>
        <w:rPr>
          <w:snapToGrid w:val="0"/>
        </w:rPr>
        <w:t>.</w:t>
      </w:r>
    </w:p>
    <w:p>
      <w:pPr>
        <w:pStyle w:val="Subsection"/>
        <w:rPr>
          <w:snapToGrid w:val="0"/>
        </w:rPr>
      </w:pPr>
      <w:r>
        <w:rPr>
          <w:snapToGrid w:val="0"/>
        </w:rPr>
        <w:tab/>
        <w:t>(2)</w:t>
      </w:r>
      <w:r>
        <w:rPr>
          <w:snapToGrid w:val="0"/>
        </w:rPr>
        <w:tab/>
        <w:t>The number of hours to be performed each week is 12 hours, unless a lesser number of hours remains for that offender to perform, in which case all of the remaining hours are to be performed in the one week.</w:t>
      </w:r>
    </w:p>
    <w:p>
      <w:pPr>
        <w:pStyle w:val="Footnotesection"/>
      </w:pPr>
      <w:r>
        <w:tab/>
        <w:t>[Regulation 6A inserted in Gazette 30 Jun 1995 p. 2637; amended in Gazette 12 Mar 1999 p. 1163; 9 Sep 2005 p. 4156.]</w:t>
      </w:r>
    </w:p>
    <w:p>
      <w:pPr>
        <w:pStyle w:val="Heading5"/>
        <w:rPr>
          <w:snapToGrid w:val="0"/>
        </w:rPr>
      </w:pPr>
      <w:bookmarkStart w:id="33" w:name="_Toc391017374"/>
      <w:bookmarkStart w:id="34" w:name="_Toc377549568"/>
      <w:r>
        <w:rPr>
          <w:rStyle w:val="CharSectno"/>
        </w:rPr>
        <w:t>6B</w:t>
      </w:r>
      <w:r>
        <w:rPr>
          <w:snapToGrid w:val="0"/>
        </w:rPr>
        <w:t>.</w:t>
      </w:r>
      <w:r>
        <w:rPr>
          <w:snapToGrid w:val="0"/>
        </w:rPr>
        <w:tab/>
        <w:t>Reductions under Act s. 51, how calculated</w:t>
      </w:r>
      <w:bookmarkEnd w:id="33"/>
      <w:bookmarkEnd w:id="34"/>
    </w:p>
    <w:p>
      <w:pPr>
        <w:pStyle w:val="Subsection"/>
        <w:rPr>
          <w:snapToGrid w:val="0"/>
        </w:rPr>
      </w:pPr>
      <w:r>
        <w:rPr>
          <w:snapToGrid w:val="0"/>
        </w:rPr>
        <w:tab/>
        <w:t>(1)</w:t>
      </w:r>
      <w:r>
        <w:rPr>
          <w:snapToGrid w:val="0"/>
        </w:rPr>
        <w:tab/>
        <w:t>Where an offender pays part of the amount owed, the remaining hours required to be performed under the WDO are to be calculated in accordance with regulation 6A(1).</w:t>
      </w:r>
    </w:p>
    <w:p>
      <w:pPr>
        <w:pStyle w:val="Subsection"/>
        <w:rPr>
          <w:snapToGrid w:val="0"/>
        </w:rPr>
      </w:pPr>
      <w:r>
        <w:rPr>
          <w:snapToGrid w:val="0"/>
        </w:rPr>
        <w:tab/>
        <w:t>(2)</w:t>
      </w:r>
      <w:r>
        <w:rPr>
          <w:snapToGrid w:val="0"/>
        </w:rPr>
        <w:tab/>
        <w:t xml:space="preserve">The amount owed by an offender who is the subject of a WDO, is to be reduced by </w:t>
      </w:r>
      <w:r>
        <w:t>$300</w:t>
      </w:r>
      <w:r>
        <w:rPr>
          <w:snapToGrid w:val="0"/>
        </w:rPr>
        <w:t xml:space="preserve"> for every 6 hours worked, with the reductions to be in units of 6 hours, and where less than </w:t>
      </w:r>
      <w:r>
        <w:t>$300</w:t>
      </w:r>
      <w:r>
        <w:rPr>
          <w:snapToGrid w:val="0"/>
        </w:rPr>
        <w:t xml:space="preserve"> is owed, the offender must perform 6 hours to complete that WDO.</w:t>
      </w:r>
    </w:p>
    <w:p>
      <w:pPr>
        <w:pStyle w:val="Footnotesection"/>
      </w:pPr>
      <w:r>
        <w:tab/>
        <w:t>[Regulation 6B inserted in Gazette 30 Jun 1995 p. 2637; amended in Gazette 12 Mar 1999 p. 1163; 9 Sep 2005 p. 4156.]</w:t>
      </w:r>
    </w:p>
    <w:p>
      <w:pPr>
        <w:pStyle w:val="Heading5"/>
      </w:pPr>
      <w:bookmarkStart w:id="35" w:name="_Toc391017375"/>
      <w:bookmarkStart w:id="36" w:name="_Toc377549569"/>
      <w:r>
        <w:rPr>
          <w:rStyle w:val="CharSectno"/>
        </w:rPr>
        <w:t>6BAA</w:t>
      </w:r>
      <w:r>
        <w:t>.</w:t>
      </w:r>
      <w:r>
        <w:tab/>
        <w:t>Amount p</w:t>
      </w:r>
      <w:r>
        <w:rPr>
          <w:bCs/>
        </w:rPr>
        <w:t>rescribed for warrant of commitment (</w:t>
      </w:r>
      <w:r>
        <w:rPr>
          <w:snapToGrid w:val="0"/>
        </w:rPr>
        <w:t>Act </w:t>
      </w:r>
      <w:r>
        <w:rPr>
          <w:bCs/>
        </w:rPr>
        <w:t>s. 53(3))</w:t>
      </w:r>
      <w:bookmarkEnd w:id="35"/>
      <w:bookmarkEnd w:id="36"/>
    </w:p>
    <w:p>
      <w:pPr>
        <w:pStyle w:val="Subsection"/>
        <w:keepNext/>
        <w:keepLines/>
      </w:pPr>
      <w:r>
        <w:tab/>
      </w:r>
      <w:r>
        <w:tab/>
        <w:t>The amount prescribed for the purposes of section 53(3)(a) is $250 per day.</w:t>
      </w:r>
    </w:p>
    <w:p>
      <w:pPr>
        <w:pStyle w:val="Footnotesection"/>
      </w:pPr>
      <w:r>
        <w:tab/>
        <w:t>[Regulation 6BAA inserted in Gazette 27 Mar 2008 p. 904.]</w:t>
      </w:r>
    </w:p>
    <w:p>
      <w:pPr>
        <w:pStyle w:val="Heading5"/>
        <w:spacing w:before="240"/>
      </w:pPr>
      <w:bookmarkStart w:id="37" w:name="_Toc391017376"/>
      <w:bookmarkStart w:id="38" w:name="_Toc377549570"/>
      <w:r>
        <w:rPr>
          <w:rStyle w:val="CharSectno"/>
        </w:rPr>
        <w:t>6BA</w:t>
      </w:r>
      <w:r>
        <w:t>.</w:t>
      </w:r>
      <w:r>
        <w:tab/>
        <w:t xml:space="preserve">Request under </w:t>
      </w:r>
      <w:r>
        <w:rPr>
          <w:snapToGrid w:val="0"/>
        </w:rPr>
        <w:t>Act </w:t>
      </w:r>
      <w:r>
        <w:t>s. 55A(1), form of</w:t>
      </w:r>
      <w:bookmarkEnd w:id="37"/>
      <w:bookmarkEnd w:id="38"/>
    </w:p>
    <w:p>
      <w:pPr>
        <w:pStyle w:val="Subsection"/>
        <w:keepNext/>
        <w:keepLines/>
      </w:pPr>
      <w:r>
        <w:tab/>
      </w:r>
      <w:r>
        <w:tab/>
        <w:t>A request under section 55A(1) must be made in a form approved by the Registrar.</w:t>
      </w:r>
    </w:p>
    <w:p>
      <w:pPr>
        <w:pStyle w:val="Footnotesection"/>
      </w:pPr>
      <w:r>
        <w:tab/>
        <w:t>[Regulation 6BA inserted in Gazette 30 Jan 2001 p. 618; amended in Gazette 20 Aug 2013 p. 3881.]</w:t>
      </w:r>
    </w:p>
    <w:p>
      <w:pPr>
        <w:pStyle w:val="Heading5"/>
        <w:spacing w:before="240"/>
      </w:pPr>
      <w:bookmarkStart w:id="39" w:name="_Toc391017377"/>
      <w:bookmarkStart w:id="40" w:name="_Toc377549571"/>
      <w:r>
        <w:rPr>
          <w:rStyle w:val="CharSectno"/>
        </w:rPr>
        <w:t>6C</w:t>
      </w:r>
      <w:r>
        <w:t>.</w:t>
      </w:r>
      <w:r>
        <w:tab/>
        <w:t>Reduction of liability to pay fine where WDO taken to be cancelled (</w:t>
      </w:r>
      <w:r>
        <w:rPr>
          <w:i/>
        </w:rPr>
        <w:t xml:space="preserve">Sentencing Act 1995 </w:t>
      </w:r>
      <w:r>
        <w:t>s. 57B(5))</w:t>
      </w:r>
      <w:bookmarkEnd w:id="39"/>
      <w:bookmarkEnd w:id="40"/>
    </w:p>
    <w:p>
      <w:pPr>
        <w:pStyle w:val="Subsection"/>
        <w:spacing w:before="180"/>
      </w:pPr>
      <w:r>
        <w:tab/>
        <w:t>(1)</w:t>
      </w:r>
      <w:r>
        <w:tab/>
        <w:t xml:space="preserve">This regulation applies if a WDO has been wholly or partially completed at the time it is to be taken to be cancelled under section 57B(5) of the </w:t>
      </w:r>
      <w:r>
        <w:rPr>
          <w:i/>
        </w:rPr>
        <w:t>Sentencing Act 1995</w:t>
      </w:r>
      <w:r>
        <w:t>.</w:t>
      </w:r>
    </w:p>
    <w:p>
      <w:pPr>
        <w:pStyle w:val="Subsection"/>
        <w:spacing w:before="180"/>
      </w:pPr>
      <w:r>
        <w:tab/>
        <w:t>(2)</w:t>
      </w:r>
      <w:r>
        <w:tab/>
        <w:t>If the WDO has been wholly completed, the offender’s liability to pay the fine is discharged.</w:t>
      </w:r>
    </w:p>
    <w:p>
      <w:pPr>
        <w:pStyle w:val="Subsection"/>
        <w:spacing w:before="180"/>
      </w:pPr>
      <w:r>
        <w:tab/>
        <w:t>(3)</w:t>
      </w:r>
      <w:r>
        <w:tab/>
        <w:t>If the WDO has been partially completed, the fine payable by the offender is to be reduced by $300 for every 6 hours worked.</w:t>
      </w:r>
    </w:p>
    <w:p>
      <w:pPr>
        <w:pStyle w:val="Footnotesection"/>
      </w:pPr>
      <w:r>
        <w:tab/>
        <w:t>[Regulation 6C inserted in Gazette 25 Aug 2000 p. 4908; amended in Gazette 9 Sep 2005 p. 4156.]</w:t>
      </w:r>
    </w:p>
    <w:p>
      <w:pPr>
        <w:pStyle w:val="Heading5"/>
        <w:spacing w:before="240"/>
        <w:rPr>
          <w:snapToGrid w:val="0"/>
        </w:rPr>
      </w:pPr>
      <w:bookmarkStart w:id="41" w:name="_Toc391017378"/>
      <w:bookmarkStart w:id="42" w:name="_Toc377549572"/>
      <w:r>
        <w:rPr>
          <w:rStyle w:val="CharSectno"/>
        </w:rPr>
        <w:t>7</w:t>
      </w:r>
      <w:r>
        <w:rPr>
          <w:snapToGrid w:val="0"/>
        </w:rPr>
        <w:t>.</w:t>
      </w:r>
      <w:r>
        <w:rPr>
          <w:snapToGrid w:val="0"/>
        </w:rPr>
        <w:tab/>
        <w:t>States, Territories and courts prescribed (Act s. 59)</w:t>
      </w:r>
      <w:bookmarkEnd w:id="41"/>
      <w:bookmarkEnd w:id="42"/>
    </w:p>
    <w:p>
      <w:pPr>
        <w:pStyle w:val="Subsection"/>
        <w:spacing w:before="180"/>
        <w:rPr>
          <w:snapToGrid w:val="0"/>
        </w:rPr>
      </w:pPr>
      <w:r>
        <w:rPr>
          <w:snapToGrid w:val="0"/>
        </w:rPr>
        <w:tab/>
        <w:t>(1)</w:t>
      </w:r>
      <w:r>
        <w:rPr>
          <w:snapToGrid w:val="0"/>
        </w:rPr>
        <w:tab/>
        <w:t>A State or a Territory in column 1 of the Table is prescribed as a reciprocating State or Territory (as the case may be) for the purposes of Part 6 of the Act.</w:t>
      </w:r>
    </w:p>
    <w:p>
      <w:pPr>
        <w:pStyle w:val="Subsection"/>
        <w:spacing w:before="180"/>
        <w:rPr>
          <w:snapToGrid w:val="0"/>
          <w:spacing w:val="-4"/>
        </w:rPr>
      </w:pPr>
      <w:r>
        <w:rPr>
          <w:snapToGrid w:val="0"/>
          <w:spacing w:val="-4"/>
        </w:rPr>
        <w:tab/>
        <w:t>(2)</w:t>
      </w:r>
      <w:r>
        <w:rPr>
          <w:snapToGrid w:val="0"/>
          <w:spacing w:val="-4"/>
        </w:rPr>
        <w:tab/>
        <w:t>A court of a reciprocating State or a Territory described opposite that State or Territory in column 2 of the Table is prescribed as a reciprocating court for the purposes of Part 6 of the Act.</w:t>
      </w:r>
    </w:p>
    <w:p>
      <w:pPr>
        <w:pStyle w:val="Subsection"/>
        <w:keepNext/>
        <w:keepLines/>
        <w:spacing w:before="120"/>
        <w:jc w:val="center"/>
        <w:rPr>
          <w:b/>
          <w:snapToGrid w:val="0"/>
          <w:spacing w:val="-4"/>
        </w:rPr>
      </w:pPr>
      <w:r>
        <w:rPr>
          <w:b/>
          <w:snapToGrid w:val="0"/>
          <w:spacing w:val="-4"/>
        </w:rPr>
        <w:t>Table</w:t>
      </w:r>
    </w:p>
    <w:tbl>
      <w:tblPr>
        <w:tblW w:w="0" w:type="auto"/>
        <w:tblInd w:w="851" w:type="dxa"/>
        <w:tblLayout w:type="fixed"/>
        <w:tblCellMar>
          <w:left w:w="141" w:type="dxa"/>
          <w:right w:w="141" w:type="dxa"/>
        </w:tblCellMar>
        <w:tblLook w:val="0000" w:firstRow="0" w:lastRow="0" w:firstColumn="0" w:lastColumn="0" w:noHBand="0" w:noVBand="0"/>
      </w:tblPr>
      <w:tblGrid>
        <w:gridCol w:w="2834"/>
        <w:gridCol w:w="3544"/>
      </w:tblGrid>
      <w:tr>
        <w:trPr>
          <w:tblHeader/>
        </w:trPr>
        <w:tc>
          <w:tcPr>
            <w:tcW w:w="2834" w:type="dxa"/>
          </w:tcPr>
          <w:p>
            <w:pPr>
              <w:pStyle w:val="Table"/>
              <w:keepNext/>
              <w:keepLines/>
              <w:rPr>
                <w:b/>
                <w:spacing w:val="-1"/>
              </w:rPr>
            </w:pPr>
            <w:r>
              <w:rPr>
                <w:b/>
                <w:i/>
                <w:spacing w:val="-1"/>
              </w:rPr>
              <w:t>Column 1</w:t>
            </w:r>
          </w:p>
        </w:tc>
        <w:tc>
          <w:tcPr>
            <w:tcW w:w="3544" w:type="dxa"/>
          </w:tcPr>
          <w:p>
            <w:pPr>
              <w:pStyle w:val="Table"/>
              <w:keepNext/>
              <w:keepLines/>
              <w:rPr>
                <w:b/>
                <w:i/>
                <w:spacing w:val="-1"/>
              </w:rPr>
            </w:pPr>
            <w:r>
              <w:rPr>
                <w:b/>
                <w:i/>
                <w:spacing w:val="-1"/>
              </w:rPr>
              <w:t>Column 2</w:t>
            </w:r>
          </w:p>
        </w:tc>
      </w:tr>
      <w:tr>
        <w:trPr>
          <w:cantSplit/>
        </w:trPr>
        <w:tc>
          <w:tcPr>
            <w:tcW w:w="2834" w:type="dxa"/>
          </w:tcPr>
          <w:p>
            <w:pPr>
              <w:pStyle w:val="Table"/>
              <w:rPr>
                <w:spacing w:val="-1"/>
              </w:rPr>
            </w:pPr>
            <w:smartTag w:uri="urn:schemas-microsoft-com:office:smarttags" w:element="State">
              <w:smartTag w:uri="urn:schemas-microsoft-com:office:smarttags" w:element="place">
                <w:r>
                  <w:rPr>
                    <w:spacing w:val="-1"/>
                  </w:rPr>
                  <w:t>Australian Capital Territory</w:t>
                </w:r>
              </w:smartTag>
            </w:smartTag>
          </w:p>
        </w:tc>
        <w:tc>
          <w:tcPr>
            <w:tcW w:w="3544" w:type="dxa"/>
          </w:tcPr>
          <w:p>
            <w:pPr>
              <w:pStyle w:val="Table"/>
              <w:rPr>
                <w:spacing w:val="-1"/>
              </w:rPr>
            </w:pPr>
            <w:r>
              <w:rPr>
                <w:spacing w:val="-1"/>
              </w:rPr>
              <w:t>Any court of the Magistrates Court of that Territory.</w:t>
            </w:r>
          </w:p>
        </w:tc>
      </w:tr>
      <w:tr>
        <w:trPr>
          <w:cantSplit/>
        </w:trPr>
        <w:tc>
          <w:tcPr>
            <w:tcW w:w="2834" w:type="dxa"/>
          </w:tcPr>
          <w:p>
            <w:pPr>
              <w:pStyle w:val="Table"/>
              <w:rPr>
                <w:spacing w:val="-1"/>
              </w:rPr>
            </w:pPr>
            <w:smartTag w:uri="urn:schemas-microsoft-com:office:smarttags" w:element="State">
              <w:smartTag w:uri="urn:schemas-microsoft-com:office:smarttags" w:element="place">
                <w:r>
                  <w:rPr>
                    <w:spacing w:val="-1"/>
                  </w:rPr>
                  <w:t>New South Wales</w:t>
                </w:r>
              </w:smartTag>
            </w:smartTag>
          </w:p>
        </w:tc>
        <w:tc>
          <w:tcPr>
            <w:tcW w:w="3544" w:type="dxa"/>
          </w:tcPr>
          <w:p>
            <w:pPr>
              <w:pStyle w:val="Table"/>
              <w:rPr>
                <w:spacing w:val="-1"/>
              </w:rPr>
            </w:pPr>
            <w:r>
              <w:rPr>
                <w:spacing w:val="-1"/>
              </w:rPr>
              <w:t>Local Courts in that State.</w:t>
            </w:r>
          </w:p>
        </w:tc>
      </w:tr>
      <w:tr>
        <w:trPr>
          <w:cantSplit/>
        </w:trPr>
        <w:tc>
          <w:tcPr>
            <w:tcW w:w="2834" w:type="dxa"/>
          </w:tcPr>
          <w:p>
            <w:pPr>
              <w:pStyle w:val="Table"/>
              <w:rPr>
                <w:spacing w:val="-1"/>
              </w:rPr>
            </w:pPr>
            <w:smartTag w:uri="urn:schemas-microsoft-com:office:smarttags" w:element="State">
              <w:smartTag w:uri="urn:schemas-microsoft-com:office:smarttags" w:element="place">
                <w:r>
                  <w:rPr>
                    <w:spacing w:val="-1"/>
                  </w:rPr>
                  <w:t>Northern Territory</w:t>
                </w:r>
              </w:smartTag>
            </w:smartTag>
          </w:p>
        </w:tc>
        <w:tc>
          <w:tcPr>
            <w:tcW w:w="3544" w:type="dxa"/>
          </w:tcPr>
          <w:p>
            <w:pPr>
              <w:pStyle w:val="Table"/>
              <w:keepNext/>
              <w:keepLines/>
              <w:rPr>
                <w:spacing w:val="-1"/>
              </w:rPr>
            </w:pPr>
            <w:r>
              <w:rPr>
                <w:spacing w:val="-1"/>
              </w:rPr>
              <w:t>Any court of summary jurisdiction of that Territory.</w:t>
            </w:r>
          </w:p>
        </w:tc>
      </w:tr>
      <w:tr>
        <w:trPr>
          <w:cantSplit/>
        </w:trPr>
        <w:tc>
          <w:tcPr>
            <w:tcW w:w="2834" w:type="dxa"/>
          </w:tcPr>
          <w:p>
            <w:pPr>
              <w:pStyle w:val="Table"/>
              <w:rPr>
                <w:spacing w:val="-1"/>
              </w:rPr>
            </w:pPr>
            <w:smartTag w:uri="urn:schemas-microsoft-com:office:smarttags" w:element="State">
              <w:smartTag w:uri="urn:schemas-microsoft-com:office:smarttags" w:element="place">
                <w:r>
                  <w:rPr>
                    <w:spacing w:val="-1"/>
                  </w:rPr>
                  <w:t>Queensland</w:t>
                </w:r>
              </w:smartTag>
            </w:smartTag>
          </w:p>
        </w:tc>
        <w:tc>
          <w:tcPr>
            <w:tcW w:w="3544" w:type="dxa"/>
          </w:tcPr>
          <w:p>
            <w:pPr>
              <w:pStyle w:val="Table"/>
              <w:rPr>
                <w:spacing w:val="-1"/>
              </w:rPr>
            </w:pPr>
            <w:r>
              <w:rPr>
                <w:spacing w:val="-1"/>
              </w:rPr>
              <w:t>All Magistrates Courts.</w:t>
            </w:r>
          </w:p>
        </w:tc>
      </w:tr>
      <w:tr>
        <w:trPr>
          <w:cantSplit/>
        </w:trPr>
        <w:tc>
          <w:tcPr>
            <w:tcW w:w="2834" w:type="dxa"/>
          </w:tcPr>
          <w:p>
            <w:pPr>
              <w:pStyle w:val="Table"/>
              <w:rPr>
                <w:spacing w:val="-1"/>
              </w:rPr>
            </w:pPr>
            <w:smartTag w:uri="urn:schemas-microsoft-com:office:smarttags" w:element="State">
              <w:smartTag w:uri="urn:schemas-microsoft-com:office:smarttags" w:element="place">
                <w:r>
                  <w:rPr>
                    <w:spacing w:val="-1"/>
                  </w:rPr>
                  <w:t>South Australia</w:t>
                </w:r>
              </w:smartTag>
            </w:smartTag>
          </w:p>
        </w:tc>
        <w:tc>
          <w:tcPr>
            <w:tcW w:w="3544" w:type="dxa"/>
          </w:tcPr>
          <w:p>
            <w:pPr>
              <w:pStyle w:val="Table"/>
              <w:rPr>
                <w:spacing w:val="-1"/>
              </w:rPr>
            </w:pPr>
            <w:r>
              <w:t>All Magistrates Courts.</w:t>
            </w:r>
          </w:p>
        </w:tc>
      </w:tr>
      <w:tr>
        <w:trPr>
          <w:cantSplit/>
        </w:trPr>
        <w:tc>
          <w:tcPr>
            <w:tcW w:w="2834" w:type="dxa"/>
          </w:tcPr>
          <w:p>
            <w:pPr>
              <w:pStyle w:val="Table"/>
              <w:rPr>
                <w:spacing w:val="-1"/>
              </w:rPr>
            </w:pPr>
            <w:smartTag w:uri="urn:schemas-microsoft-com:office:smarttags" w:element="State">
              <w:smartTag w:uri="urn:schemas-microsoft-com:office:smarttags" w:element="place">
                <w:r>
                  <w:rPr>
                    <w:spacing w:val="-1"/>
                  </w:rPr>
                  <w:t>Tasmania</w:t>
                </w:r>
              </w:smartTag>
            </w:smartTag>
          </w:p>
        </w:tc>
        <w:tc>
          <w:tcPr>
            <w:tcW w:w="3544" w:type="dxa"/>
          </w:tcPr>
          <w:p>
            <w:pPr>
              <w:pStyle w:val="Table"/>
              <w:rPr>
                <w:spacing w:val="-4"/>
              </w:rPr>
            </w:pPr>
            <w:r>
              <w:t>All Magistrates Courts.</w:t>
            </w:r>
          </w:p>
        </w:tc>
      </w:tr>
      <w:tr>
        <w:trPr>
          <w:cantSplit/>
        </w:trPr>
        <w:tc>
          <w:tcPr>
            <w:tcW w:w="2834" w:type="dxa"/>
          </w:tcPr>
          <w:p>
            <w:pPr>
              <w:pStyle w:val="Table"/>
              <w:rPr>
                <w:spacing w:val="-1"/>
              </w:rPr>
            </w:pPr>
            <w:smartTag w:uri="urn:schemas-microsoft-com:office:smarttags" w:element="State">
              <w:smartTag w:uri="urn:schemas-microsoft-com:office:smarttags" w:element="place">
                <w:r>
                  <w:rPr>
                    <w:spacing w:val="-1"/>
                  </w:rPr>
                  <w:t>Victoria</w:t>
                </w:r>
              </w:smartTag>
            </w:smartTag>
          </w:p>
        </w:tc>
        <w:tc>
          <w:tcPr>
            <w:tcW w:w="3544" w:type="dxa"/>
          </w:tcPr>
          <w:p>
            <w:pPr>
              <w:pStyle w:val="Table"/>
              <w:rPr>
                <w:spacing w:val="-1"/>
              </w:rPr>
            </w:pPr>
            <w:r>
              <w:rPr>
                <w:spacing w:val="-1"/>
              </w:rPr>
              <w:t>All Magistrates Courts.</w:t>
            </w:r>
          </w:p>
        </w:tc>
      </w:tr>
    </w:tbl>
    <w:p>
      <w:pPr>
        <w:pStyle w:val="Footnotesection"/>
      </w:pPr>
      <w:r>
        <w:tab/>
        <w:t>[Regulation 7 amended in Gazette 11 Mar 2008 p. 818.]</w:t>
      </w:r>
    </w:p>
    <w:p>
      <w:pPr>
        <w:pStyle w:val="Heading5"/>
      </w:pPr>
      <w:bookmarkStart w:id="43" w:name="_Toc391017379"/>
      <w:bookmarkStart w:id="44" w:name="_Toc377549573"/>
      <w:r>
        <w:rPr>
          <w:rStyle w:val="CharSectno"/>
        </w:rPr>
        <w:t>8</w:t>
      </w:r>
      <w:r>
        <w:t>.</w:t>
      </w:r>
      <w:r>
        <w:tab/>
        <w:t>Property prescribed that cannot be seized etc. (Act s. 75)</w:t>
      </w:r>
      <w:bookmarkEnd w:id="43"/>
      <w:bookmarkEnd w:id="44"/>
    </w:p>
    <w:p>
      <w:pPr>
        <w:pStyle w:val="Subsection"/>
      </w:pPr>
      <w:r>
        <w:tab/>
        <w:t>(1)</w:t>
      </w:r>
      <w:r>
        <w:tab/>
        <w:t>For the purposes of the Act section 75(b), the following wearing apparel and personal items are prescribed —</w:t>
      </w:r>
    </w:p>
    <w:p>
      <w:pPr>
        <w:pStyle w:val="Indenta"/>
        <w:spacing w:before="70"/>
      </w:pPr>
      <w:r>
        <w:tab/>
        <w:t>(a)</w:t>
      </w:r>
      <w:r>
        <w:tab/>
        <w:t>wearing apparel of the debtor to the value of $1 250;</w:t>
      </w:r>
    </w:p>
    <w:p>
      <w:pPr>
        <w:pStyle w:val="Indenta"/>
        <w:spacing w:before="70"/>
      </w:pPr>
      <w:r>
        <w:tab/>
        <w:t>(b)</w:t>
      </w:r>
      <w:r>
        <w:tab/>
        <w:t>wearing apparel of a dependant of the debtor to the value of $1 250;</w:t>
      </w:r>
    </w:p>
    <w:p>
      <w:pPr>
        <w:pStyle w:val="Indenta"/>
        <w:spacing w:before="70"/>
      </w:pPr>
      <w:r>
        <w:tab/>
        <w:t>(c)</w:t>
      </w:r>
      <w:r>
        <w:tab/>
        <w:t>family diaries, photographs and portraits;</w:t>
      </w:r>
    </w:p>
    <w:p>
      <w:pPr>
        <w:pStyle w:val="Indenta"/>
        <w:spacing w:before="70"/>
      </w:pPr>
      <w:r>
        <w:tab/>
        <w:t>(d)</w:t>
      </w:r>
      <w:r>
        <w:tab/>
        <w:t>medical and dental aids and equipment.</w:t>
      </w:r>
    </w:p>
    <w:p>
      <w:pPr>
        <w:pStyle w:val="Subsection"/>
      </w:pPr>
      <w:r>
        <w:tab/>
        <w:t>(2)</w:t>
      </w:r>
      <w:r>
        <w:tab/>
        <w:t>For the purposes of the Act section 75(c), the following household property items are prescribed —</w:t>
      </w:r>
    </w:p>
    <w:p>
      <w:pPr>
        <w:pStyle w:val="Indenta"/>
        <w:spacing w:before="70"/>
      </w:pPr>
      <w:r>
        <w:tab/>
        <w:t>(a)</w:t>
      </w:r>
      <w:r>
        <w:tab/>
        <w:t>kitchen and dining furniture and implements to the value of $1 250;</w:t>
      </w:r>
    </w:p>
    <w:p>
      <w:pPr>
        <w:pStyle w:val="Indenta"/>
        <w:spacing w:before="70"/>
      </w:pPr>
      <w:r>
        <w:tab/>
        <w:t>(b)</w:t>
      </w:r>
      <w:r>
        <w:tab/>
        <w:t>bedroom furniture and bedding of the debtor to the value of $500;</w:t>
      </w:r>
    </w:p>
    <w:p>
      <w:pPr>
        <w:pStyle w:val="Indenta"/>
        <w:spacing w:before="70"/>
      </w:pPr>
      <w:r>
        <w:tab/>
        <w:t>(c)</w:t>
      </w:r>
      <w:r>
        <w:tab/>
        <w:t>bedroom furniture and bedding of a dependant of the debtor to the value of $200;</w:t>
      </w:r>
    </w:p>
    <w:p>
      <w:pPr>
        <w:pStyle w:val="Indenta"/>
        <w:spacing w:before="70"/>
      </w:pPr>
      <w:r>
        <w:tab/>
        <w:t>(d)</w:t>
      </w:r>
      <w:r>
        <w:tab/>
        <w:t>laundry equipment to the value of $200;</w:t>
      </w:r>
    </w:p>
    <w:p>
      <w:pPr>
        <w:pStyle w:val="Indenta"/>
        <w:spacing w:before="70"/>
      </w:pPr>
      <w:r>
        <w:tab/>
        <w:t>(e)</w:t>
      </w:r>
      <w:r>
        <w:tab/>
        <w:t>electrical goods used for family entertainment to the value of $300;</w:t>
      </w:r>
    </w:p>
    <w:p>
      <w:pPr>
        <w:pStyle w:val="Indenta"/>
      </w:pPr>
      <w:r>
        <w:tab/>
        <w:t>(f)</w:t>
      </w:r>
      <w:r>
        <w:tab/>
        <w:t>books, software, computers and other equipment, used by a dependant of the debtor for educational purposes to the value of $3 000.</w:t>
      </w:r>
    </w:p>
    <w:p>
      <w:pPr>
        <w:pStyle w:val="Subsection"/>
      </w:pPr>
      <w:r>
        <w:tab/>
        <w:t>(3)</w:t>
      </w:r>
      <w:r>
        <w:tab/>
        <w:t>For the purposes of the Act section 75(d), ordinary tools of trade, plant and equipment, professional instruments and reference books to the value of $2 500 used by the debtor to earn income by personal exertion are prescribed.</w:t>
      </w:r>
    </w:p>
    <w:p>
      <w:pPr>
        <w:pStyle w:val="Footnotesection"/>
        <w:spacing w:before="80"/>
        <w:ind w:left="890" w:hanging="890"/>
      </w:pPr>
      <w:r>
        <w:tab/>
        <w:t>[Regulation 8 inserted in Gazette 30 Dec 2005 p. 6876</w:t>
      </w:r>
      <w:r>
        <w:noBreakHyphen/>
        <w:t>7; amended in Gazette 20 Aug 2013 p. 3881.]</w:t>
      </w:r>
    </w:p>
    <w:p>
      <w:pPr>
        <w:pStyle w:val="Heading5"/>
        <w:rPr>
          <w:snapToGrid w:val="0"/>
        </w:rPr>
      </w:pPr>
      <w:bookmarkStart w:id="45" w:name="_Toc391017380"/>
      <w:bookmarkStart w:id="46" w:name="_Toc377549574"/>
      <w:r>
        <w:rPr>
          <w:rStyle w:val="CharSectno"/>
        </w:rPr>
        <w:t>8A</w:t>
      </w:r>
      <w:r>
        <w:rPr>
          <w:snapToGrid w:val="0"/>
        </w:rPr>
        <w:t>.</w:t>
      </w:r>
      <w:r>
        <w:rPr>
          <w:snapToGrid w:val="0"/>
        </w:rPr>
        <w:tab/>
        <w:t>Enforcement proceedings after successful application under Act s. 101, 101AA or 101A</w:t>
      </w:r>
      <w:bookmarkEnd w:id="45"/>
      <w:bookmarkEnd w:id="46"/>
    </w:p>
    <w:p>
      <w:pPr>
        <w:pStyle w:val="Subsection"/>
        <w:rPr>
          <w:snapToGrid w:val="0"/>
        </w:rPr>
      </w:pPr>
      <w:r>
        <w:rPr>
          <w:snapToGrid w:val="0"/>
        </w:rPr>
        <w:tab/>
        <w:t>(1)</w:t>
      </w:r>
      <w:r>
        <w:rPr>
          <w:snapToGrid w:val="0"/>
        </w:rPr>
        <w:tab/>
        <w:t xml:space="preserve">If on an application by a person under section 101 the Magistrates Court makes an order cancelling the licence suspension order concerned, the Registrar may again take proceedings under Part 3 of the Act to enforce the infringement notice that gave rise to that licence suspension order, such proceedings to be commenced by issuing a notice of intention to </w:t>
      </w:r>
      <w:r>
        <w:t>enforce</w:t>
      </w:r>
      <w:r>
        <w:rPr>
          <w:snapToGrid w:val="0"/>
        </w:rPr>
        <w:t xml:space="preserve"> under section 18.</w:t>
      </w:r>
    </w:p>
    <w:p>
      <w:pPr>
        <w:pStyle w:val="Subsection"/>
      </w:pPr>
      <w:r>
        <w:tab/>
        <w:t>(2A)</w:t>
      </w:r>
      <w:r>
        <w:tab/>
        <w:t>If on an application by a person under section 101AA the Magistrates Court makes an order cancelling the enforcement warrant concerned, the Registrar may again take proceedings under Part 3 of the Act to enforce the infringement notice that gave rise to that enforcement warrant, such proceedings to be commenced by issuing a notice of intention to enforce under section 18.</w:t>
      </w:r>
    </w:p>
    <w:p>
      <w:pPr>
        <w:pStyle w:val="Subsection"/>
        <w:rPr>
          <w:snapToGrid w:val="0"/>
        </w:rPr>
      </w:pPr>
      <w:r>
        <w:rPr>
          <w:snapToGrid w:val="0"/>
        </w:rPr>
        <w:tab/>
        <w:t>(2)</w:t>
      </w:r>
      <w:r>
        <w:rPr>
          <w:snapToGrid w:val="0"/>
        </w:rPr>
        <w:tab/>
        <w:t xml:space="preserve">If on an application by a person under section 101A the </w:t>
      </w:r>
      <w:r>
        <w:t xml:space="preserve">Magistrates Court </w:t>
      </w:r>
      <w:r>
        <w:rPr>
          <w:snapToGrid w:val="0"/>
        </w:rPr>
        <w:t xml:space="preserve">makes an order cancelling the licence suspension order concerned, the Registrar may again take proceedings under Part 4 of the Act to enforce the fine that gave rise to that licence suspension order, such proceedings to be commenced by issuing a notice of intention to </w:t>
      </w:r>
      <w:r>
        <w:t>enforce</w:t>
      </w:r>
      <w:r>
        <w:rPr>
          <w:snapToGrid w:val="0"/>
        </w:rPr>
        <w:t xml:space="preserve"> under section 42.</w:t>
      </w:r>
    </w:p>
    <w:p>
      <w:pPr>
        <w:pStyle w:val="Footnotesection"/>
        <w:keepLines w:val="0"/>
        <w:spacing w:before="80"/>
        <w:ind w:left="890" w:hanging="890"/>
      </w:pPr>
      <w:r>
        <w:tab/>
        <w:t>[Regulation 8A inserted in Gazette 5 Jul 1996 p. 3227; amended in Gazette 13 May 2005 p. 2079; 20 Aug 2013 p. 3881.]</w:t>
      </w:r>
    </w:p>
    <w:p>
      <w:pPr>
        <w:pStyle w:val="Heading5"/>
        <w:rPr>
          <w:snapToGrid w:val="0"/>
        </w:rPr>
      </w:pPr>
      <w:bookmarkStart w:id="47" w:name="_Toc391017381"/>
      <w:bookmarkStart w:id="48" w:name="_Toc377549575"/>
      <w:r>
        <w:rPr>
          <w:rStyle w:val="CharSectno"/>
        </w:rPr>
        <w:t>8B</w:t>
      </w:r>
      <w:r>
        <w:rPr>
          <w:snapToGrid w:val="0"/>
        </w:rPr>
        <w:t>.</w:t>
      </w:r>
      <w:r>
        <w:rPr>
          <w:snapToGrid w:val="0"/>
        </w:rPr>
        <w:tab/>
        <w:t>Enforcement proceedings after an appeal (Act s. 101B)</w:t>
      </w:r>
      <w:bookmarkEnd w:id="47"/>
      <w:bookmarkEnd w:id="48"/>
    </w:p>
    <w:p>
      <w:pPr>
        <w:pStyle w:val="Subsection"/>
        <w:rPr>
          <w:snapToGrid w:val="0"/>
        </w:rPr>
      </w:pPr>
      <w:r>
        <w:rPr>
          <w:snapToGrid w:val="0"/>
        </w:rPr>
        <w:tab/>
        <w:t>(1)</w:t>
      </w:r>
      <w:r>
        <w:rPr>
          <w:snapToGrid w:val="0"/>
        </w:rPr>
        <w:tab/>
        <w:t>This regulation applies if —</w:t>
      </w:r>
    </w:p>
    <w:p>
      <w:pPr>
        <w:pStyle w:val="Indenta"/>
        <w:rPr>
          <w:snapToGrid w:val="0"/>
        </w:rPr>
      </w:pPr>
      <w:r>
        <w:rPr>
          <w:snapToGrid w:val="0"/>
        </w:rPr>
        <w:tab/>
        <w:t>(a)</w:t>
      </w:r>
      <w:r>
        <w:rPr>
          <w:snapToGrid w:val="0"/>
        </w:rPr>
        <w:tab/>
        <w:t>a person appeals against a fine, or a decision giving rise to a fine (as defined in section 101B(1)); and</w:t>
      </w:r>
    </w:p>
    <w:p>
      <w:pPr>
        <w:pStyle w:val="Indenta"/>
        <w:rPr>
          <w:snapToGrid w:val="0"/>
        </w:rPr>
      </w:pPr>
      <w:r>
        <w:rPr>
          <w:snapToGrid w:val="0"/>
        </w:rPr>
        <w:tab/>
        <w:t>(b)</w:t>
      </w:r>
      <w:r>
        <w:rPr>
          <w:snapToGrid w:val="0"/>
        </w:rPr>
        <w:tab/>
        <w:t>the fine is still payable after the appeal is disposed of (as defined in section 101B(6)).</w:t>
      </w:r>
    </w:p>
    <w:p>
      <w:pPr>
        <w:pStyle w:val="Subsection"/>
        <w:rPr>
          <w:snapToGrid w:val="0"/>
        </w:rPr>
      </w:pPr>
      <w:r>
        <w:rPr>
          <w:snapToGrid w:val="0"/>
        </w:rPr>
        <w:tab/>
        <w:t>(2)</w:t>
      </w:r>
      <w:r>
        <w:rPr>
          <w:snapToGrid w:val="0"/>
        </w:rPr>
        <w:tab/>
        <w:t>If when the person appealed, a time to pay order was in force and ceased to have effect by reason of section 101B(3)(a), then when the appeal is disposed of the time to pay order has effect again; but for the purposes of the time to pay order the period beginning on the date when the person appealed and ending on the date when the appeal was disposed of is to be disregarded when calculating any time elapsed under the order.</w:t>
      </w:r>
    </w:p>
    <w:p>
      <w:pPr>
        <w:pStyle w:val="Subsection"/>
        <w:rPr>
          <w:snapToGrid w:val="0"/>
        </w:rPr>
      </w:pPr>
      <w:r>
        <w:rPr>
          <w:snapToGrid w:val="0"/>
        </w:rPr>
        <w:tab/>
        <w:t>(3)</w:t>
      </w:r>
      <w:r>
        <w:rPr>
          <w:snapToGrid w:val="0"/>
        </w:rPr>
        <w:tab/>
        <w:t xml:space="preserve">If when the person appealed, a notice of intention to </w:t>
      </w:r>
      <w:r>
        <w:t>enforce</w:t>
      </w:r>
      <w:r>
        <w:rPr>
          <w:snapToGrid w:val="0"/>
        </w:rPr>
        <w:t xml:space="preserve"> was cancelled by reason of section 101B(3)(b), then when the appeal is disposed of the Registrar may issue another notice of intention to </w:t>
      </w:r>
      <w:r>
        <w:t>enforce</w:t>
      </w:r>
      <w:r>
        <w:rPr>
          <w:snapToGrid w:val="0"/>
        </w:rPr>
        <w:t xml:space="preserve"> under section 42.</w:t>
      </w:r>
    </w:p>
    <w:p>
      <w:pPr>
        <w:pStyle w:val="Subsection"/>
        <w:rPr>
          <w:snapToGrid w:val="0"/>
        </w:rPr>
      </w:pPr>
      <w:r>
        <w:rPr>
          <w:snapToGrid w:val="0"/>
        </w:rPr>
        <w:tab/>
        <w:t>(4)</w:t>
      </w:r>
      <w:r>
        <w:rPr>
          <w:snapToGrid w:val="0"/>
        </w:rPr>
        <w:tab/>
        <w:t xml:space="preserve">If when the person appealed, a licence suspension order was cancelled by reason of section 101B(3)(c), then when the appeal is disposed of the Registrar may issue another notice of intention to </w:t>
      </w:r>
      <w:r>
        <w:t>enforce</w:t>
      </w:r>
      <w:r>
        <w:rPr>
          <w:snapToGrid w:val="0"/>
        </w:rPr>
        <w:t xml:space="preserve"> under section 42.</w:t>
      </w:r>
    </w:p>
    <w:p>
      <w:pPr>
        <w:pStyle w:val="Subsection"/>
        <w:keepLines/>
        <w:rPr>
          <w:snapToGrid w:val="0"/>
        </w:rPr>
      </w:pPr>
      <w:r>
        <w:rPr>
          <w:snapToGrid w:val="0"/>
        </w:rPr>
        <w:tab/>
        <w:t>(5)</w:t>
      </w:r>
      <w:r>
        <w:rPr>
          <w:snapToGrid w:val="0"/>
        </w:rPr>
        <w:tab/>
        <w:t xml:space="preserve">If when the person appealed, </w:t>
      </w:r>
      <w:r>
        <w:t>an enforcement warrant</w:t>
      </w:r>
      <w:r>
        <w:rPr>
          <w:snapToGrid w:val="0"/>
        </w:rPr>
        <w:t xml:space="preserve"> was cancelled by reason of section 101B(3)(d), then when the appeal is disposed of the Registrar may issue another notice of intention to </w:t>
      </w:r>
      <w:r>
        <w:t>enforce</w:t>
      </w:r>
      <w:r>
        <w:rPr>
          <w:snapToGrid w:val="0"/>
        </w:rPr>
        <w:t xml:space="preserve"> under section 42.</w:t>
      </w:r>
    </w:p>
    <w:p>
      <w:pPr>
        <w:pStyle w:val="Subsection"/>
        <w:rPr>
          <w:snapToGrid w:val="0"/>
        </w:rPr>
      </w:pPr>
      <w:r>
        <w:rPr>
          <w:snapToGrid w:val="0"/>
        </w:rPr>
        <w:tab/>
        <w:t>(6)</w:t>
      </w:r>
      <w:r>
        <w:rPr>
          <w:snapToGrid w:val="0"/>
        </w:rPr>
        <w:tab/>
        <w:t xml:space="preserve">If when the person appealed, an order to attend for work and development was cancelled by reason of section 101B(3)(e), then when the appeal is disposed of the Registrar may issue another notice of intention to </w:t>
      </w:r>
      <w:r>
        <w:t>enforce</w:t>
      </w:r>
      <w:r>
        <w:rPr>
          <w:snapToGrid w:val="0"/>
        </w:rPr>
        <w:t xml:space="preserve"> under section 42.</w:t>
      </w:r>
    </w:p>
    <w:p>
      <w:pPr>
        <w:pStyle w:val="Footnotesection"/>
        <w:keepLines w:val="0"/>
        <w:spacing w:before="80"/>
        <w:ind w:left="890" w:hanging="890"/>
      </w:pPr>
      <w:r>
        <w:tab/>
        <w:t>[Regulation 8B inserted in Gazette 5 Jul 1996 p. 3227; amended in Gazette 20 Aug 2013 p. 3882.]</w:t>
      </w:r>
    </w:p>
    <w:p>
      <w:pPr>
        <w:pStyle w:val="Heading5"/>
      </w:pPr>
      <w:bookmarkStart w:id="49" w:name="_Toc391017382"/>
      <w:bookmarkStart w:id="50" w:name="_Toc377549576"/>
      <w:r>
        <w:rPr>
          <w:rStyle w:val="CharSectno"/>
        </w:rPr>
        <w:t>9</w:t>
      </w:r>
      <w:r>
        <w:t>.</w:t>
      </w:r>
      <w:r>
        <w:tab/>
        <w:t>Enforcement fees prescribed (Act Parts 3, 4 and 7)</w:t>
      </w:r>
      <w:bookmarkEnd w:id="49"/>
      <w:bookmarkEnd w:id="50"/>
    </w:p>
    <w:p>
      <w:pPr>
        <w:pStyle w:val="Subsection"/>
      </w:pPr>
      <w:r>
        <w:tab/>
        <w:t>(1)</w:t>
      </w:r>
      <w:r>
        <w:tab/>
        <w:t>The fees in Schedule 2 Division 1 are prescribed as enforcement fees for the purposes of Part 3 of the Act and are to be imposed on an alleged offender at the time indicated.</w:t>
      </w:r>
    </w:p>
    <w:p>
      <w:pPr>
        <w:pStyle w:val="Subsection"/>
      </w:pPr>
      <w:r>
        <w:tab/>
        <w:t>(2)</w:t>
      </w:r>
      <w:r>
        <w:tab/>
        <w:t>The fees in Schedule 2 Division 2 are prescribed as enforcement fees for the purposes of Part 4 of the Act and are to be imposed on an offender at the time indicated.</w:t>
      </w:r>
    </w:p>
    <w:p>
      <w:pPr>
        <w:pStyle w:val="Subsection"/>
      </w:pPr>
      <w:r>
        <w:tab/>
        <w:t>(3)</w:t>
      </w:r>
      <w:r>
        <w:tab/>
        <w:t>The fees in Schedule 2 Division 3 are prescribed as enforcement fees for the purposes of Part 7 of the Act and are calculated in accordance with that Division.</w:t>
      </w:r>
    </w:p>
    <w:p>
      <w:pPr>
        <w:pStyle w:val="Footnotesection"/>
      </w:pPr>
      <w:r>
        <w:tab/>
        <w:t>[Regulation 9 inserted in Gazette 13 May 2005 p. 2079</w:t>
      </w:r>
      <w:r>
        <w:noBreakHyphen/>
        <w:t>80.]</w:t>
      </w:r>
    </w:p>
    <w:p>
      <w:pPr>
        <w:pStyle w:val="Heading5"/>
      </w:pPr>
      <w:bookmarkStart w:id="51" w:name="_Toc391017383"/>
      <w:bookmarkStart w:id="52" w:name="_Toc377549577"/>
      <w:r>
        <w:rPr>
          <w:rStyle w:val="CharSectno"/>
        </w:rPr>
        <w:t>10</w:t>
      </w:r>
      <w:r>
        <w:t>.</w:t>
      </w:r>
      <w:r>
        <w:tab/>
        <w:t>Exemptions from fees (Act Part 3)</w:t>
      </w:r>
      <w:bookmarkEnd w:id="51"/>
      <w:bookmarkEnd w:id="52"/>
    </w:p>
    <w:p>
      <w:pPr>
        <w:pStyle w:val="Subsection"/>
      </w:pPr>
      <w:r>
        <w:tab/>
      </w:r>
      <w:r>
        <w:tab/>
        <w:t>The prosecuting authorities specified in the Table are exempted from payment of the fee for registering an infringement notice under Part 3 of the Act.</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67"/>
        <w:gridCol w:w="4961"/>
      </w:tblGrid>
      <w:tr>
        <w:tc>
          <w:tcPr>
            <w:tcW w:w="567" w:type="dxa"/>
          </w:tcPr>
          <w:p>
            <w:pPr>
              <w:pStyle w:val="TableNAm"/>
            </w:pPr>
            <w:r>
              <w:t>1.</w:t>
            </w:r>
          </w:p>
        </w:tc>
        <w:tc>
          <w:tcPr>
            <w:tcW w:w="4961" w:type="dxa"/>
          </w:tcPr>
          <w:p>
            <w:pPr>
              <w:pStyle w:val="TableNAm"/>
            </w:pPr>
            <w:r>
              <w:t>Commissioner of Police</w:t>
            </w:r>
          </w:p>
        </w:tc>
      </w:tr>
      <w:tr>
        <w:tc>
          <w:tcPr>
            <w:tcW w:w="567" w:type="dxa"/>
          </w:tcPr>
          <w:p>
            <w:pPr>
              <w:pStyle w:val="TableNAm"/>
            </w:pPr>
            <w:r>
              <w:t>2.</w:t>
            </w:r>
          </w:p>
        </w:tc>
        <w:tc>
          <w:tcPr>
            <w:tcW w:w="4961" w:type="dxa"/>
          </w:tcPr>
          <w:p>
            <w:pPr>
              <w:pStyle w:val="TableNAm"/>
            </w:pPr>
            <w:r>
              <w:t>Department of Agriculture and Food</w:t>
            </w:r>
          </w:p>
        </w:tc>
      </w:tr>
      <w:tr>
        <w:tc>
          <w:tcPr>
            <w:tcW w:w="567" w:type="dxa"/>
          </w:tcPr>
          <w:p>
            <w:pPr>
              <w:pStyle w:val="TableNAm"/>
            </w:pPr>
            <w:r>
              <w:t>3.</w:t>
            </w:r>
          </w:p>
        </w:tc>
        <w:tc>
          <w:tcPr>
            <w:tcW w:w="4961" w:type="dxa"/>
          </w:tcPr>
          <w:p>
            <w:pPr>
              <w:pStyle w:val="TableNAm"/>
            </w:pPr>
            <w:r>
              <w:t>Department of the Attorney General</w:t>
            </w:r>
          </w:p>
        </w:tc>
      </w:tr>
      <w:tr>
        <w:tc>
          <w:tcPr>
            <w:tcW w:w="567" w:type="dxa"/>
          </w:tcPr>
          <w:p>
            <w:pPr>
              <w:pStyle w:val="TableNAm"/>
            </w:pPr>
            <w:r>
              <w:t>4.</w:t>
            </w:r>
          </w:p>
        </w:tc>
        <w:tc>
          <w:tcPr>
            <w:tcW w:w="4961" w:type="dxa"/>
          </w:tcPr>
          <w:p>
            <w:pPr>
              <w:pStyle w:val="TableNAm"/>
            </w:pPr>
            <w:r>
              <w:t>Department of Commerce</w:t>
            </w:r>
          </w:p>
        </w:tc>
      </w:tr>
      <w:tr>
        <w:tc>
          <w:tcPr>
            <w:tcW w:w="567" w:type="dxa"/>
          </w:tcPr>
          <w:p>
            <w:pPr>
              <w:pStyle w:val="TableNAm"/>
            </w:pPr>
            <w:r>
              <w:t>5.</w:t>
            </w:r>
          </w:p>
        </w:tc>
        <w:tc>
          <w:tcPr>
            <w:tcW w:w="4961" w:type="dxa"/>
          </w:tcPr>
          <w:p>
            <w:pPr>
              <w:pStyle w:val="TableNAm"/>
            </w:pPr>
            <w:r>
              <w:t>Department of Environment Regulation</w:t>
            </w:r>
          </w:p>
        </w:tc>
      </w:tr>
      <w:tr>
        <w:tc>
          <w:tcPr>
            <w:tcW w:w="567" w:type="dxa"/>
          </w:tcPr>
          <w:p>
            <w:pPr>
              <w:pStyle w:val="TableNAm"/>
            </w:pPr>
            <w:r>
              <w:t>6.</w:t>
            </w:r>
          </w:p>
        </w:tc>
        <w:tc>
          <w:tcPr>
            <w:tcW w:w="4961" w:type="dxa"/>
          </w:tcPr>
          <w:p>
            <w:pPr>
              <w:pStyle w:val="TableNAm"/>
            </w:pPr>
            <w:r>
              <w:t>Department of Fisheries</w:t>
            </w:r>
          </w:p>
        </w:tc>
      </w:tr>
      <w:tr>
        <w:tc>
          <w:tcPr>
            <w:tcW w:w="567" w:type="dxa"/>
          </w:tcPr>
          <w:p>
            <w:pPr>
              <w:pStyle w:val="TableNAm"/>
            </w:pPr>
            <w:r>
              <w:t>7.</w:t>
            </w:r>
          </w:p>
        </w:tc>
        <w:tc>
          <w:tcPr>
            <w:tcW w:w="4961" w:type="dxa"/>
          </w:tcPr>
          <w:p>
            <w:pPr>
              <w:pStyle w:val="TableNAm"/>
            </w:pPr>
            <w:r>
              <w:t>Department of Health</w:t>
            </w:r>
          </w:p>
        </w:tc>
      </w:tr>
      <w:tr>
        <w:tc>
          <w:tcPr>
            <w:tcW w:w="567" w:type="dxa"/>
          </w:tcPr>
          <w:p>
            <w:pPr>
              <w:pStyle w:val="TableNAm"/>
            </w:pPr>
            <w:r>
              <w:t>8.</w:t>
            </w:r>
          </w:p>
        </w:tc>
        <w:tc>
          <w:tcPr>
            <w:tcW w:w="4961" w:type="dxa"/>
          </w:tcPr>
          <w:p>
            <w:pPr>
              <w:pStyle w:val="TableNAm"/>
            </w:pPr>
            <w:r>
              <w:t>Department of Parks and Wildlife</w:t>
            </w:r>
          </w:p>
        </w:tc>
      </w:tr>
      <w:tr>
        <w:tc>
          <w:tcPr>
            <w:tcW w:w="567" w:type="dxa"/>
          </w:tcPr>
          <w:p>
            <w:pPr>
              <w:pStyle w:val="TableNAm"/>
            </w:pPr>
            <w:r>
              <w:t>9.</w:t>
            </w:r>
          </w:p>
        </w:tc>
        <w:tc>
          <w:tcPr>
            <w:tcW w:w="4961" w:type="dxa"/>
          </w:tcPr>
          <w:p>
            <w:pPr>
              <w:pStyle w:val="TableNAm"/>
            </w:pPr>
            <w:r>
              <w:t>Department of Racing, Gaming and Liquor</w:t>
            </w:r>
          </w:p>
        </w:tc>
      </w:tr>
      <w:tr>
        <w:tc>
          <w:tcPr>
            <w:tcW w:w="567" w:type="dxa"/>
          </w:tcPr>
          <w:p>
            <w:pPr>
              <w:pStyle w:val="TableNAm"/>
            </w:pPr>
            <w:r>
              <w:t>10.</w:t>
            </w:r>
          </w:p>
        </w:tc>
        <w:tc>
          <w:tcPr>
            <w:tcW w:w="4961" w:type="dxa"/>
          </w:tcPr>
          <w:p>
            <w:pPr>
              <w:pStyle w:val="TableNAm"/>
            </w:pPr>
            <w:r>
              <w:t>Department of Transport</w:t>
            </w:r>
          </w:p>
        </w:tc>
      </w:tr>
      <w:tr>
        <w:tc>
          <w:tcPr>
            <w:tcW w:w="567" w:type="dxa"/>
          </w:tcPr>
          <w:p>
            <w:pPr>
              <w:pStyle w:val="TableNAm"/>
            </w:pPr>
            <w:r>
              <w:t>11.</w:t>
            </w:r>
          </w:p>
        </w:tc>
        <w:tc>
          <w:tcPr>
            <w:tcW w:w="4961" w:type="dxa"/>
          </w:tcPr>
          <w:p>
            <w:pPr>
              <w:pStyle w:val="TableNAm"/>
            </w:pPr>
            <w:r>
              <w:t>Department of Water</w:t>
            </w:r>
          </w:p>
        </w:tc>
      </w:tr>
      <w:tr>
        <w:tc>
          <w:tcPr>
            <w:tcW w:w="567" w:type="dxa"/>
          </w:tcPr>
          <w:p>
            <w:pPr>
              <w:pStyle w:val="TableNAm"/>
            </w:pPr>
            <w:r>
              <w:t>12.</w:t>
            </w:r>
          </w:p>
        </w:tc>
        <w:tc>
          <w:tcPr>
            <w:tcW w:w="4961" w:type="dxa"/>
          </w:tcPr>
          <w:p>
            <w:pPr>
              <w:pStyle w:val="TableNAm"/>
            </w:pPr>
            <w:r>
              <w:t>Gaming and Wagering Commission of Western Australia</w:t>
            </w:r>
          </w:p>
        </w:tc>
      </w:tr>
      <w:tr>
        <w:tc>
          <w:tcPr>
            <w:tcW w:w="567" w:type="dxa"/>
          </w:tcPr>
          <w:p>
            <w:pPr>
              <w:pStyle w:val="TableNAm"/>
            </w:pPr>
            <w:r>
              <w:t>13.</w:t>
            </w:r>
          </w:p>
        </w:tc>
        <w:tc>
          <w:tcPr>
            <w:tcW w:w="4961" w:type="dxa"/>
          </w:tcPr>
          <w:p>
            <w:pPr>
              <w:pStyle w:val="TableNAm"/>
            </w:pPr>
            <w:r>
              <w:t>Perth Market Authority</w:t>
            </w:r>
          </w:p>
        </w:tc>
      </w:tr>
      <w:tr>
        <w:tc>
          <w:tcPr>
            <w:tcW w:w="567" w:type="dxa"/>
          </w:tcPr>
          <w:p>
            <w:pPr>
              <w:pStyle w:val="TableNAm"/>
            </w:pPr>
            <w:r>
              <w:t>14.</w:t>
            </w:r>
          </w:p>
        </w:tc>
        <w:tc>
          <w:tcPr>
            <w:tcW w:w="4961" w:type="dxa"/>
          </w:tcPr>
          <w:p>
            <w:pPr>
              <w:pStyle w:val="TableNAm"/>
            </w:pPr>
            <w:r>
              <w:t>Public Transport Authority of Western Australia</w:t>
            </w:r>
          </w:p>
        </w:tc>
      </w:tr>
      <w:tr>
        <w:tc>
          <w:tcPr>
            <w:tcW w:w="567" w:type="dxa"/>
          </w:tcPr>
          <w:p>
            <w:pPr>
              <w:pStyle w:val="TableNAm"/>
            </w:pPr>
            <w:r>
              <w:t>15.</w:t>
            </w:r>
          </w:p>
        </w:tc>
        <w:tc>
          <w:tcPr>
            <w:tcW w:w="4961" w:type="dxa"/>
          </w:tcPr>
          <w:p>
            <w:pPr>
              <w:pStyle w:val="TableNAm"/>
            </w:pPr>
            <w:r>
              <w:t>Rottnest Island Authority</w:t>
            </w:r>
          </w:p>
        </w:tc>
      </w:tr>
      <w:tr>
        <w:tc>
          <w:tcPr>
            <w:tcW w:w="567" w:type="dxa"/>
          </w:tcPr>
          <w:p>
            <w:pPr>
              <w:pStyle w:val="TableNAm"/>
            </w:pPr>
            <w:r>
              <w:t>16.</w:t>
            </w:r>
          </w:p>
        </w:tc>
        <w:tc>
          <w:tcPr>
            <w:tcW w:w="4961" w:type="dxa"/>
          </w:tcPr>
          <w:p>
            <w:pPr>
              <w:pStyle w:val="TableNAm"/>
            </w:pPr>
            <w:r>
              <w:t>The Queen Elizabeth II Medical Centre Trust</w:t>
            </w:r>
          </w:p>
        </w:tc>
      </w:tr>
      <w:tr>
        <w:tc>
          <w:tcPr>
            <w:tcW w:w="567" w:type="dxa"/>
          </w:tcPr>
          <w:p>
            <w:pPr>
              <w:pStyle w:val="TableNAm"/>
            </w:pPr>
            <w:r>
              <w:t>17.</w:t>
            </w:r>
          </w:p>
        </w:tc>
        <w:tc>
          <w:tcPr>
            <w:tcW w:w="4961" w:type="dxa"/>
          </w:tcPr>
          <w:p>
            <w:pPr>
              <w:pStyle w:val="TableNAm"/>
            </w:pPr>
            <w:r>
              <w:t>Water Corporation</w:t>
            </w:r>
          </w:p>
        </w:tc>
      </w:tr>
      <w:tr>
        <w:tc>
          <w:tcPr>
            <w:tcW w:w="567" w:type="dxa"/>
          </w:tcPr>
          <w:p>
            <w:pPr>
              <w:pStyle w:val="TableNAm"/>
            </w:pPr>
            <w:r>
              <w:t>18.</w:t>
            </w:r>
          </w:p>
        </w:tc>
        <w:tc>
          <w:tcPr>
            <w:tcW w:w="4961" w:type="dxa"/>
          </w:tcPr>
          <w:p>
            <w:pPr>
              <w:pStyle w:val="TableNAm"/>
            </w:pPr>
            <w:r>
              <w:t>Western Australian Electoral Commission</w:t>
            </w:r>
          </w:p>
        </w:tc>
      </w:tr>
      <w:tr>
        <w:tc>
          <w:tcPr>
            <w:tcW w:w="567" w:type="dxa"/>
          </w:tcPr>
          <w:p>
            <w:pPr>
              <w:pStyle w:val="TableNAm"/>
            </w:pPr>
            <w:r>
              <w:t>19.</w:t>
            </w:r>
          </w:p>
        </w:tc>
        <w:tc>
          <w:tcPr>
            <w:tcW w:w="4961" w:type="dxa"/>
          </w:tcPr>
          <w:p>
            <w:pPr>
              <w:pStyle w:val="TableNAm"/>
            </w:pPr>
            <w:r>
              <w:t>Zoological Parks Authority</w:t>
            </w:r>
          </w:p>
        </w:tc>
      </w:tr>
    </w:tbl>
    <w:p>
      <w:pPr>
        <w:pStyle w:val="Footnotesection"/>
        <w:keepLines w:val="0"/>
        <w:spacing w:before="240" w:after="480"/>
        <w:ind w:left="890" w:hanging="890"/>
      </w:pPr>
      <w:r>
        <w:tab/>
        <w:t>[Regulation 10 inserted in Gazette 20 Aug 2013 p. 3883-4.]</w:t>
      </w:r>
    </w:p>
    <w:p>
      <w:pPr>
        <w:pStyle w:val="Heading5"/>
        <w:rPr>
          <w:snapToGrid w:val="0"/>
        </w:rPr>
      </w:pPr>
      <w:bookmarkStart w:id="53" w:name="_Toc391017384"/>
      <w:bookmarkStart w:id="54" w:name="_Toc377549578"/>
      <w:r>
        <w:rPr>
          <w:rStyle w:val="CharSectno"/>
        </w:rPr>
        <w:t>11</w:t>
      </w:r>
      <w:r>
        <w:rPr>
          <w:snapToGrid w:val="0"/>
        </w:rPr>
        <w:t>.</w:t>
      </w:r>
      <w:r>
        <w:rPr>
          <w:snapToGrid w:val="0"/>
        </w:rPr>
        <w:tab/>
        <w:t>Methods of payment</w:t>
      </w:r>
      <w:bookmarkEnd w:id="53"/>
      <w:bookmarkEnd w:id="54"/>
    </w:p>
    <w:p>
      <w:pPr>
        <w:pStyle w:val="Subsection"/>
        <w:rPr>
          <w:snapToGrid w:val="0"/>
        </w:rPr>
      </w:pPr>
      <w:r>
        <w:rPr>
          <w:snapToGrid w:val="0"/>
        </w:rPr>
        <w:tab/>
      </w:r>
      <w:r>
        <w:rPr>
          <w:snapToGrid w:val="0"/>
        </w:rPr>
        <w:tab/>
        <w:t>Under the Act, modified penalties, fines and enforcement fees may be paid by cash, cheque,</w:t>
      </w:r>
      <w:r>
        <w:t xml:space="preserve"> money order or credit card, by direct debit from a bank account or credit card, or by using a bill payment system approved by the Registrar.</w:t>
      </w:r>
    </w:p>
    <w:p>
      <w:pPr>
        <w:pStyle w:val="Footnotesection"/>
        <w:keepLines w:val="0"/>
        <w:ind w:left="890" w:hanging="890"/>
      </w:pPr>
      <w:r>
        <w:tab/>
        <w:t>[Regulation 11 amended in Gazette 20 Aug 2013 p. 3884.]</w:t>
      </w:r>
    </w:p>
    <w:p>
      <w:pPr>
        <w:pStyle w:val="Heading5"/>
        <w:rPr>
          <w:snapToGrid w:val="0"/>
        </w:rPr>
      </w:pPr>
      <w:bookmarkStart w:id="55" w:name="_Toc391017385"/>
      <w:bookmarkStart w:id="56" w:name="_Toc377549579"/>
      <w:r>
        <w:rPr>
          <w:rStyle w:val="CharSectno"/>
        </w:rPr>
        <w:t>12</w:t>
      </w:r>
      <w:r>
        <w:rPr>
          <w:snapToGrid w:val="0"/>
        </w:rPr>
        <w:t>.</w:t>
      </w:r>
      <w:r>
        <w:rPr>
          <w:snapToGrid w:val="0"/>
        </w:rPr>
        <w:tab/>
        <w:t>Forms (Sch. 3)</w:t>
      </w:r>
      <w:bookmarkEnd w:id="55"/>
      <w:bookmarkEnd w:id="56"/>
    </w:p>
    <w:p>
      <w:pPr>
        <w:pStyle w:val="Subsection"/>
        <w:rPr>
          <w:snapToGrid w:val="0"/>
        </w:rPr>
      </w:pPr>
      <w:r>
        <w:rPr>
          <w:snapToGrid w:val="0"/>
        </w:rPr>
        <w:tab/>
      </w:r>
      <w:r>
        <w:rPr>
          <w:snapToGrid w:val="0"/>
        </w:rPr>
        <w:tab/>
        <w:t>The forms in Schedule 3 are prescribed in relation to the matters specified in the forms.</w:t>
      </w:r>
    </w:p>
    <w:p>
      <w:pPr>
        <w:rPr>
          <w:rStyle w:val="CharDivText"/>
        </w:rPr>
        <w:sectPr>
          <w:headerReference w:type="even" r:id="rId16"/>
          <w:headerReference w:type="default" r:id="rId17"/>
          <w:footerReference w:type="even" r:id="rId18"/>
          <w:footerReference w:type="default" r:id="rId19"/>
          <w:headerReference w:type="first" r:id="rId20"/>
          <w:footerReference w:type="first" r:id="rId21"/>
          <w:pgSz w:w="11906" w:h="16838" w:code="9"/>
          <w:pgMar w:top="2376" w:right="2405" w:bottom="3542" w:left="2405" w:header="706" w:footer="3380" w:gutter="0"/>
          <w:pgNumType w:start="1"/>
          <w:cols w:space="720"/>
          <w:noEndnote/>
          <w:titlePg/>
          <w:docGrid w:linePitch="326"/>
        </w:sectPr>
      </w:pPr>
    </w:p>
    <w:p>
      <w:pPr>
        <w:pStyle w:val="yScheduleHeading"/>
      </w:pPr>
      <w:bookmarkStart w:id="57" w:name="_Toc391017386"/>
      <w:bookmarkStart w:id="58" w:name="_Toc377549580"/>
      <w:r>
        <w:rPr>
          <w:rStyle w:val="CharSchNo"/>
        </w:rPr>
        <w:t>Schedule 1</w:t>
      </w:r>
      <w:r>
        <w:rPr>
          <w:rStyle w:val="CharSDivNo"/>
        </w:rPr>
        <w:t> </w:t>
      </w:r>
      <w:r>
        <w:t>—</w:t>
      </w:r>
      <w:r>
        <w:rPr>
          <w:rStyle w:val="CharSDivText"/>
        </w:rPr>
        <w:t> </w:t>
      </w:r>
      <w:r>
        <w:rPr>
          <w:rStyle w:val="CharSchText"/>
        </w:rPr>
        <w:t>Enactments to which Part 3 of the Act applies</w:t>
      </w:r>
      <w:bookmarkEnd w:id="57"/>
      <w:bookmarkEnd w:id="58"/>
    </w:p>
    <w:p>
      <w:pPr>
        <w:pStyle w:val="yShoulderClause"/>
      </w:pPr>
      <w:r>
        <w:t>[r. 3]</w:t>
      </w:r>
    </w:p>
    <w:p>
      <w:pPr>
        <w:pStyle w:val="yFootnoteheading"/>
        <w:spacing w:after="120"/>
      </w:pPr>
      <w:r>
        <w:tab/>
        <w:t>[Heading inserted in Gazette 13 May 2005 p. 2080.]</w:t>
      </w:r>
    </w:p>
    <w:tbl>
      <w:tblPr>
        <w:tblW w:w="7230" w:type="dxa"/>
        <w:tblInd w:w="8" w:type="dxa"/>
        <w:tblLayout w:type="fixed"/>
        <w:tblCellMar>
          <w:left w:w="0" w:type="dxa"/>
          <w:right w:w="0" w:type="dxa"/>
        </w:tblCellMar>
        <w:tblLook w:val="0000" w:firstRow="0" w:lastRow="0" w:firstColumn="0" w:lastColumn="0" w:noHBand="0" w:noVBand="0"/>
      </w:tblPr>
      <w:tblGrid>
        <w:gridCol w:w="5812"/>
        <w:gridCol w:w="1418"/>
      </w:tblGrid>
      <w:tr>
        <w:trPr>
          <w:tblHeader/>
        </w:trPr>
        <w:tc>
          <w:tcPr>
            <w:tcW w:w="5812" w:type="dxa"/>
          </w:tcPr>
          <w:p>
            <w:pPr>
              <w:pStyle w:val="yTableNAm"/>
              <w:rPr>
                <w:b/>
                <w:bCs/>
              </w:rPr>
            </w:pPr>
            <w:r>
              <w:rPr>
                <w:b/>
                <w:bCs/>
              </w:rPr>
              <w:t>Act</w:t>
            </w:r>
          </w:p>
        </w:tc>
        <w:tc>
          <w:tcPr>
            <w:tcW w:w="1418" w:type="dxa"/>
          </w:tcPr>
          <w:p>
            <w:pPr>
              <w:pStyle w:val="yTableNAm"/>
              <w:tabs>
                <w:tab w:val="clear" w:pos="567"/>
              </w:tabs>
              <w:ind w:right="270"/>
              <w:jc w:val="right"/>
              <w:rPr>
                <w:b/>
                <w:bCs/>
              </w:rPr>
            </w:pPr>
            <w:r>
              <w:rPr>
                <w:b/>
                <w:bCs/>
              </w:rPr>
              <w:t>section(s)</w:t>
            </w:r>
          </w:p>
        </w:tc>
      </w:tr>
      <w:tr>
        <w:tc>
          <w:tcPr>
            <w:tcW w:w="5812" w:type="dxa"/>
          </w:tcPr>
          <w:p>
            <w:pPr>
              <w:pStyle w:val="yTableNAm"/>
              <w:rPr>
                <w:b/>
                <w:bCs/>
              </w:rPr>
            </w:pPr>
            <w:r>
              <w:rPr>
                <w:i/>
              </w:rPr>
              <w:t>Animal Welfare Act 2002</w:t>
            </w:r>
          </w:p>
        </w:tc>
        <w:tc>
          <w:tcPr>
            <w:tcW w:w="1418" w:type="dxa"/>
          </w:tcPr>
          <w:p>
            <w:pPr>
              <w:pStyle w:val="yTableNAm"/>
              <w:tabs>
                <w:tab w:val="clear" w:pos="567"/>
              </w:tabs>
              <w:ind w:right="510"/>
              <w:jc w:val="right"/>
              <w:rPr>
                <w:bCs/>
              </w:rPr>
            </w:pPr>
          </w:p>
        </w:tc>
      </w:tr>
      <w:tr>
        <w:tc>
          <w:tcPr>
            <w:tcW w:w="5812" w:type="dxa"/>
          </w:tcPr>
          <w:p>
            <w:pPr>
              <w:pStyle w:val="yTableNAm"/>
              <w:rPr>
                <w:b/>
                <w:bCs/>
              </w:rPr>
            </w:pPr>
            <w:r>
              <w:rPr>
                <w:i/>
              </w:rPr>
              <w:t>Associations Incorporation Act 1987</w:t>
            </w:r>
          </w:p>
        </w:tc>
        <w:tc>
          <w:tcPr>
            <w:tcW w:w="1418" w:type="dxa"/>
          </w:tcPr>
          <w:p>
            <w:pPr>
              <w:pStyle w:val="yTableNAm"/>
              <w:tabs>
                <w:tab w:val="clear" w:pos="567"/>
              </w:tabs>
              <w:ind w:right="510"/>
              <w:jc w:val="right"/>
              <w:rPr>
                <w:bCs/>
              </w:rPr>
            </w:pPr>
          </w:p>
        </w:tc>
      </w:tr>
      <w:tr>
        <w:tc>
          <w:tcPr>
            <w:tcW w:w="5812" w:type="dxa"/>
          </w:tcPr>
          <w:p>
            <w:pPr>
              <w:pStyle w:val="yTableNAm"/>
              <w:rPr>
                <w:i/>
              </w:rPr>
            </w:pPr>
            <w:r>
              <w:rPr>
                <w:i/>
                <w:szCs w:val="22"/>
              </w:rPr>
              <w:t>Biosecurity and Agriculture Management Act 2007</w:t>
            </w:r>
          </w:p>
        </w:tc>
        <w:tc>
          <w:tcPr>
            <w:tcW w:w="1418" w:type="dxa"/>
          </w:tcPr>
          <w:p>
            <w:pPr>
              <w:pStyle w:val="yTableNAm"/>
              <w:tabs>
                <w:tab w:val="clear" w:pos="567"/>
              </w:tabs>
              <w:ind w:right="510"/>
              <w:jc w:val="right"/>
              <w:rPr>
                <w:bCs/>
              </w:rPr>
            </w:pPr>
          </w:p>
        </w:tc>
      </w:tr>
      <w:tr>
        <w:tc>
          <w:tcPr>
            <w:tcW w:w="5812" w:type="dxa"/>
          </w:tcPr>
          <w:p>
            <w:pPr>
              <w:pStyle w:val="yTableNAm"/>
              <w:rPr>
                <w:bCs/>
                <w:i/>
              </w:rPr>
            </w:pPr>
            <w:r>
              <w:rPr>
                <w:bCs/>
                <w:i/>
              </w:rPr>
              <w:t>Botanic Gardens and Parks Authority Act 1998</w:t>
            </w:r>
          </w:p>
        </w:tc>
        <w:tc>
          <w:tcPr>
            <w:tcW w:w="1418" w:type="dxa"/>
          </w:tcPr>
          <w:p>
            <w:pPr>
              <w:pStyle w:val="yTableNAm"/>
              <w:tabs>
                <w:tab w:val="clear" w:pos="567"/>
              </w:tabs>
              <w:ind w:right="510"/>
              <w:jc w:val="right"/>
              <w:rPr>
                <w:bCs/>
              </w:rPr>
            </w:pPr>
          </w:p>
        </w:tc>
      </w:tr>
      <w:tr>
        <w:tc>
          <w:tcPr>
            <w:tcW w:w="5812" w:type="dxa"/>
          </w:tcPr>
          <w:p>
            <w:pPr>
              <w:pStyle w:val="yTableNAm"/>
              <w:rPr>
                <w:i/>
              </w:rPr>
            </w:pPr>
            <w:r>
              <w:rPr>
                <w:i/>
              </w:rPr>
              <w:t>Building Act 2011</w:t>
            </w:r>
          </w:p>
        </w:tc>
        <w:tc>
          <w:tcPr>
            <w:tcW w:w="1418" w:type="dxa"/>
          </w:tcPr>
          <w:p>
            <w:pPr>
              <w:pStyle w:val="yTableNAm"/>
              <w:tabs>
                <w:tab w:val="clear" w:pos="567"/>
              </w:tabs>
              <w:ind w:right="510"/>
              <w:jc w:val="right"/>
            </w:pPr>
          </w:p>
        </w:tc>
      </w:tr>
      <w:tr>
        <w:tc>
          <w:tcPr>
            <w:tcW w:w="5812" w:type="dxa"/>
          </w:tcPr>
          <w:p>
            <w:pPr>
              <w:pStyle w:val="yTableNAm"/>
              <w:rPr>
                <w:i/>
              </w:rPr>
            </w:pPr>
            <w:r>
              <w:rPr>
                <w:i/>
              </w:rPr>
              <w:t>Building Services (Complaint Resolution and Administration) Act 2011</w:t>
            </w:r>
          </w:p>
        </w:tc>
        <w:tc>
          <w:tcPr>
            <w:tcW w:w="1418" w:type="dxa"/>
          </w:tcPr>
          <w:p>
            <w:pPr>
              <w:pStyle w:val="yTableNAm"/>
              <w:tabs>
                <w:tab w:val="clear" w:pos="567"/>
              </w:tabs>
              <w:ind w:right="510"/>
              <w:jc w:val="right"/>
            </w:pPr>
          </w:p>
        </w:tc>
      </w:tr>
      <w:tr>
        <w:tc>
          <w:tcPr>
            <w:tcW w:w="5812" w:type="dxa"/>
          </w:tcPr>
          <w:p>
            <w:pPr>
              <w:pStyle w:val="yTableNAm"/>
              <w:rPr>
                <w:i/>
              </w:rPr>
            </w:pPr>
            <w:r>
              <w:rPr>
                <w:i/>
              </w:rPr>
              <w:t>Building Services (Registration) Act 2011</w:t>
            </w:r>
          </w:p>
        </w:tc>
        <w:tc>
          <w:tcPr>
            <w:tcW w:w="1418" w:type="dxa"/>
          </w:tcPr>
          <w:p>
            <w:pPr>
              <w:pStyle w:val="yTableNAm"/>
              <w:tabs>
                <w:tab w:val="clear" w:pos="567"/>
              </w:tabs>
              <w:ind w:right="510"/>
              <w:jc w:val="right"/>
            </w:pPr>
          </w:p>
        </w:tc>
      </w:tr>
      <w:tr>
        <w:tc>
          <w:tcPr>
            <w:tcW w:w="5812" w:type="dxa"/>
          </w:tcPr>
          <w:p>
            <w:pPr>
              <w:pStyle w:val="yTableNAm"/>
            </w:pPr>
            <w:r>
              <w:rPr>
                <w:i/>
              </w:rPr>
              <w:t>Bush Fires Act 1954</w:t>
            </w:r>
          </w:p>
        </w:tc>
        <w:tc>
          <w:tcPr>
            <w:tcW w:w="1418" w:type="dxa"/>
          </w:tcPr>
          <w:p>
            <w:pPr>
              <w:pStyle w:val="yTableNAm"/>
              <w:tabs>
                <w:tab w:val="clear" w:pos="567"/>
              </w:tabs>
              <w:ind w:right="510"/>
              <w:jc w:val="right"/>
            </w:pPr>
            <w:r>
              <w:t>59A</w:t>
            </w:r>
          </w:p>
        </w:tc>
      </w:tr>
      <w:tr>
        <w:tc>
          <w:tcPr>
            <w:tcW w:w="5812" w:type="dxa"/>
          </w:tcPr>
          <w:p>
            <w:pPr>
              <w:pStyle w:val="yTableNAm"/>
              <w:rPr>
                <w:i/>
              </w:rPr>
            </w:pPr>
            <w:r>
              <w:rPr>
                <w:i/>
              </w:rPr>
              <w:t>Business Names Act 1962</w:t>
            </w:r>
          </w:p>
        </w:tc>
        <w:tc>
          <w:tcPr>
            <w:tcW w:w="1418" w:type="dxa"/>
          </w:tcPr>
          <w:p>
            <w:pPr>
              <w:pStyle w:val="yTableNAm"/>
              <w:tabs>
                <w:tab w:val="clear" w:pos="567"/>
              </w:tabs>
              <w:ind w:right="510"/>
              <w:jc w:val="right"/>
            </w:pPr>
          </w:p>
        </w:tc>
      </w:tr>
      <w:tr>
        <w:tc>
          <w:tcPr>
            <w:tcW w:w="5812" w:type="dxa"/>
          </w:tcPr>
          <w:p>
            <w:pPr>
              <w:pStyle w:val="yTableNAm"/>
            </w:pP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Act 1995</w:t>
            </w:r>
          </w:p>
        </w:tc>
        <w:tc>
          <w:tcPr>
            <w:tcW w:w="1418" w:type="dxa"/>
          </w:tcPr>
          <w:p>
            <w:pPr>
              <w:pStyle w:val="yTableNAm"/>
              <w:tabs>
                <w:tab w:val="clear" w:pos="567"/>
              </w:tabs>
              <w:ind w:right="510"/>
              <w:jc w:val="right"/>
            </w:pPr>
            <w:r>
              <w:t>23</w:t>
            </w:r>
          </w:p>
        </w:tc>
      </w:tr>
      <w:tr>
        <w:tc>
          <w:tcPr>
            <w:tcW w:w="5812" w:type="dxa"/>
          </w:tcPr>
          <w:p>
            <w:pPr>
              <w:pStyle w:val="yTableNAm"/>
              <w:rPr>
                <w:i/>
              </w:rPr>
            </w:pPr>
            <w:r>
              <w:rPr>
                <w:i/>
              </w:rPr>
              <w:t>Casino (</w:t>
            </w:r>
            <w:smartTag w:uri="urn:schemas-microsoft-com:office:smarttags" w:element="place">
              <w:smartTag w:uri="urn:schemas-microsoft-com:office:smarttags" w:element="PlaceName">
                <w:r>
                  <w:rPr>
                    <w:i/>
                  </w:rPr>
                  <w:t>Burswood</w:t>
                </w:r>
              </w:smartTag>
              <w:r>
                <w:rPr>
                  <w:i/>
                </w:rPr>
                <w:t xml:space="preserve"> </w:t>
              </w:r>
              <w:smartTag w:uri="urn:schemas-microsoft-com:office:smarttags" w:element="PlaceType">
                <w:r>
                  <w:rPr>
                    <w:i/>
                  </w:rPr>
                  <w:t>Island</w:t>
                </w:r>
              </w:smartTag>
            </w:smartTag>
            <w:r>
              <w:rPr>
                <w:i/>
              </w:rPr>
              <w:t>) Agreement Act 1985</w:t>
            </w:r>
          </w:p>
        </w:tc>
        <w:tc>
          <w:tcPr>
            <w:tcW w:w="1418" w:type="dxa"/>
          </w:tcPr>
          <w:p>
            <w:pPr>
              <w:pStyle w:val="yTableNAm"/>
              <w:tabs>
                <w:tab w:val="clear" w:pos="567"/>
              </w:tabs>
              <w:ind w:right="510"/>
              <w:jc w:val="right"/>
            </w:pPr>
          </w:p>
        </w:tc>
      </w:tr>
      <w:tr>
        <w:tc>
          <w:tcPr>
            <w:tcW w:w="5812" w:type="dxa"/>
          </w:tcPr>
          <w:p>
            <w:pPr>
              <w:pStyle w:val="yTableNAm"/>
              <w:rPr>
                <w:i/>
              </w:rPr>
            </w:pPr>
            <w:r>
              <w:rPr>
                <w:i/>
              </w:rPr>
              <w:t>Casino Control Act 1984</w:t>
            </w:r>
          </w:p>
        </w:tc>
        <w:tc>
          <w:tcPr>
            <w:tcW w:w="1418" w:type="dxa"/>
          </w:tcPr>
          <w:p>
            <w:pPr>
              <w:pStyle w:val="yTableNAm"/>
              <w:tabs>
                <w:tab w:val="clear" w:pos="567"/>
              </w:tabs>
              <w:ind w:right="510"/>
              <w:jc w:val="right"/>
            </w:pPr>
          </w:p>
        </w:tc>
      </w:tr>
      <w:tr>
        <w:tc>
          <w:tcPr>
            <w:tcW w:w="5812" w:type="dxa"/>
          </w:tcPr>
          <w:p>
            <w:pPr>
              <w:pStyle w:val="yTableNAm"/>
              <w:rPr>
                <w:i/>
              </w:rPr>
            </w:pPr>
            <w:r>
              <w:rPr>
                <w:i/>
                <w:szCs w:val="22"/>
              </w:rPr>
              <w:t>Cat Act 2011</w:t>
            </w:r>
          </w:p>
        </w:tc>
        <w:tc>
          <w:tcPr>
            <w:tcW w:w="1418" w:type="dxa"/>
          </w:tcPr>
          <w:p>
            <w:pPr>
              <w:pStyle w:val="yTableNAm"/>
              <w:tabs>
                <w:tab w:val="clear" w:pos="567"/>
              </w:tabs>
              <w:ind w:right="510"/>
              <w:jc w:val="right"/>
            </w:pPr>
          </w:p>
        </w:tc>
      </w:tr>
      <w:tr>
        <w:tc>
          <w:tcPr>
            <w:tcW w:w="5812" w:type="dxa"/>
          </w:tcPr>
          <w:p>
            <w:pPr>
              <w:pStyle w:val="yTableNAm"/>
              <w:rPr>
                <w:i/>
              </w:rPr>
            </w:pPr>
            <w:r>
              <w:rPr>
                <w:i/>
              </w:rPr>
              <w:t>Cemeteries Act 1986</w:t>
            </w:r>
          </w:p>
        </w:tc>
        <w:tc>
          <w:tcPr>
            <w:tcW w:w="1418" w:type="dxa"/>
          </w:tcPr>
          <w:p>
            <w:pPr>
              <w:pStyle w:val="yTableNAm"/>
              <w:tabs>
                <w:tab w:val="clear" w:pos="567"/>
                <w:tab w:val="left" w:pos="908"/>
              </w:tabs>
              <w:ind w:right="510"/>
              <w:jc w:val="right"/>
            </w:pPr>
            <w:r>
              <w:t>63</w:t>
            </w:r>
          </w:p>
        </w:tc>
      </w:tr>
      <w:tr>
        <w:tc>
          <w:tcPr>
            <w:tcW w:w="5812" w:type="dxa"/>
          </w:tcPr>
          <w:p>
            <w:pPr>
              <w:pStyle w:val="yTableNAm"/>
              <w:rPr>
                <w:i/>
              </w:rPr>
            </w:pPr>
            <w:r>
              <w:rPr>
                <w:i/>
              </w:rPr>
              <w:t>Charitable Collections Act 1946</w:t>
            </w:r>
          </w:p>
        </w:tc>
        <w:tc>
          <w:tcPr>
            <w:tcW w:w="1418" w:type="dxa"/>
          </w:tcPr>
          <w:p>
            <w:pPr>
              <w:pStyle w:val="yTableNAm"/>
              <w:tabs>
                <w:tab w:val="clear" w:pos="567"/>
                <w:tab w:val="left" w:pos="908"/>
              </w:tabs>
              <w:ind w:right="510"/>
              <w:jc w:val="right"/>
            </w:pPr>
          </w:p>
        </w:tc>
      </w:tr>
      <w:tr>
        <w:tc>
          <w:tcPr>
            <w:tcW w:w="5812" w:type="dxa"/>
          </w:tcPr>
          <w:p>
            <w:pPr>
              <w:pStyle w:val="yTableNAm"/>
              <w:rPr>
                <w:i/>
              </w:rPr>
            </w:pPr>
            <w:r>
              <w:rPr>
                <w:i/>
              </w:rPr>
              <w:t>Chattel Securities Act 1987</w:t>
            </w:r>
          </w:p>
        </w:tc>
        <w:tc>
          <w:tcPr>
            <w:tcW w:w="1418" w:type="dxa"/>
          </w:tcPr>
          <w:p>
            <w:pPr>
              <w:pStyle w:val="yTableNAm"/>
              <w:tabs>
                <w:tab w:val="clear" w:pos="567"/>
                <w:tab w:val="left" w:pos="908"/>
              </w:tabs>
              <w:ind w:right="510"/>
              <w:jc w:val="right"/>
            </w:pPr>
          </w:p>
        </w:tc>
      </w:tr>
      <w:tr>
        <w:tc>
          <w:tcPr>
            <w:tcW w:w="5812" w:type="dxa"/>
          </w:tcPr>
          <w:p>
            <w:pPr>
              <w:pStyle w:val="yTableNAm"/>
              <w:rPr>
                <w:i/>
              </w:rPr>
            </w:pPr>
            <w:r>
              <w:rPr>
                <w:i/>
              </w:rPr>
              <w:t>Classification (Publications, Films and Computer Games) Enforcement Act 1996</w:t>
            </w:r>
            <w:r>
              <w:rPr>
                <w:snapToGrid w:val="0"/>
              </w:rPr>
              <w:t> </w:t>
            </w:r>
            <w:r>
              <w:rPr>
                <w:snapToGrid w:val="0"/>
                <w:vertAlign w:val="superscript"/>
              </w:rPr>
              <w:t>4</w:t>
            </w:r>
          </w:p>
        </w:tc>
        <w:tc>
          <w:tcPr>
            <w:tcW w:w="1418" w:type="dxa"/>
          </w:tcPr>
          <w:p>
            <w:pPr>
              <w:pStyle w:val="yTableNAm"/>
              <w:tabs>
                <w:tab w:val="clear" w:pos="567"/>
              </w:tabs>
              <w:ind w:right="510"/>
              <w:jc w:val="right"/>
            </w:pPr>
          </w:p>
        </w:tc>
      </w:tr>
      <w:tr>
        <w:tc>
          <w:tcPr>
            <w:tcW w:w="5812" w:type="dxa"/>
          </w:tcPr>
          <w:p>
            <w:pPr>
              <w:pStyle w:val="yTableNAm"/>
              <w:rPr>
                <w:i/>
              </w:rPr>
            </w:pPr>
            <w:r>
              <w:rPr>
                <w:i/>
              </w:rPr>
              <w:t>Companies (Co</w:t>
            </w:r>
            <w:r>
              <w:rPr>
                <w:i/>
              </w:rPr>
              <w:noBreakHyphen/>
              <w:t>operative) Act 1943</w:t>
            </w:r>
            <w:r>
              <w:rPr>
                <w:vertAlign w:val="superscript"/>
              </w:rPr>
              <w:t> 5</w:t>
            </w:r>
          </w:p>
        </w:tc>
        <w:tc>
          <w:tcPr>
            <w:tcW w:w="1418" w:type="dxa"/>
          </w:tcPr>
          <w:p>
            <w:pPr>
              <w:pStyle w:val="yTableNAm"/>
              <w:tabs>
                <w:tab w:val="clear" w:pos="567"/>
                <w:tab w:val="left" w:pos="908"/>
              </w:tabs>
              <w:ind w:right="510"/>
              <w:jc w:val="right"/>
            </w:pPr>
          </w:p>
        </w:tc>
      </w:tr>
      <w:tr>
        <w:tc>
          <w:tcPr>
            <w:tcW w:w="5812" w:type="dxa"/>
          </w:tcPr>
          <w:p>
            <w:pPr>
              <w:pStyle w:val="yTableNAm"/>
              <w:rPr>
                <w:i/>
              </w:rPr>
            </w:pPr>
            <w:r>
              <w:rPr>
                <w:i/>
              </w:rPr>
              <w:t>Conservation and Land Management Act 1984</w:t>
            </w:r>
          </w:p>
        </w:tc>
        <w:tc>
          <w:tcPr>
            <w:tcW w:w="1418" w:type="dxa"/>
          </w:tcPr>
          <w:p>
            <w:pPr>
              <w:pStyle w:val="yTableNAm"/>
              <w:tabs>
                <w:tab w:val="clear" w:pos="567"/>
              </w:tabs>
              <w:ind w:right="510"/>
              <w:jc w:val="right"/>
            </w:pPr>
          </w:p>
        </w:tc>
      </w:tr>
      <w:tr>
        <w:tc>
          <w:tcPr>
            <w:tcW w:w="5812" w:type="dxa"/>
          </w:tcPr>
          <w:p>
            <w:pPr>
              <w:pStyle w:val="yTableNAm"/>
            </w:pPr>
            <w:r>
              <w:rPr>
                <w:i/>
              </w:rPr>
              <w:t>Control of Vehicles (Off</w:t>
            </w:r>
            <w:r>
              <w:rPr>
                <w:i/>
              </w:rPr>
              <w:noBreakHyphen/>
              <w:t>road Areas) Act 1978</w:t>
            </w:r>
          </w:p>
        </w:tc>
        <w:tc>
          <w:tcPr>
            <w:tcW w:w="1418" w:type="dxa"/>
          </w:tcPr>
          <w:p>
            <w:pPr>
              <w:pStyle w:val="yTableNAm"/>
              <w:tabs>
                <w:tab w:val="clear" w:pos="567"/>
              </w:tabs>
              <w:ind w:right="510"/>
              <w:jc w:val="right"/>
            </w:pPr>
            <w:r>
              <w:t>37</w:t>
            </w:r>
          </w:p>
        </w:tc>
      </w:tr>
      <w:tr>
        <w:tc>
          <w:tcPr>
            <w:tcW w:w="5812" w:type="dxa"/>
          </w:tcPr>
          <w:p>
            <w:pPr>
              <w:pStyle w:val="yTableNAm"/>
              <w:rPr>
                <w:i/>
              </w:rPr>
            </w:pPr>
            <w:r>
              <w:rPr>
                <w:i/>
              </w:rPr>
              <w:t>Credit Act 1984</w:t>
            </w:r>
          </w:p>
        </w:tc>
        <w:tc>
          <w:tcPr>
            <w:tcW w:w="1418" w:type="dxa"/>
          </w:tcPr>
          <w:p>
            <w:pPr>
              <w:pStyle w:val="yTableNAm"/>
              <w:tabs>
                <w:tab w:val="clear" w:pos="567"/>
              </w:tabs>
              <w:ind w:right="510"/>
              <w:jc w:val="right"/>
            </w:pPr>
          </w:p>
        </w:tc>
      </w:tr>
      <w:tr>
        <w:tc>
          <w:tcPr>
            <w:tcW w:w="5812" w:type="dxa"/>
          </w:tcPr>
          <w:p>
            <w:pPr>
              <w:pStyle w:val="yTableNAm"/>
              <w:rPr>
                <w:i/>
              </w:rPr>
            </w:pPr>
            <w:r>
              <w:rPr>
                <w:i/>
              </w:rPr>
              <w:t>Credit (Administration) Act 1984</w:t>
            </w:r>
          </w:p>
        </w:tc>
        <w:tc>
          <w:tcPr>
            <w:tcW w:w="1418" w:type="dxa"/>
          </w:tcPr>
          <w:p>
            <w:pPr>
              <w:pStyle w:val="yTableNAm"/>
              <w:tabs>
                <w:tab w:val="clear" w:pos="567"/>
              </w:tabs>
              <w:ind w:right="510"/>
              <w:jc w:val="right"/>
            </w:pPr>
          </w:p>
        </w:tc>
      </w:tr>
      <w:tr>
        <w:tc>
          <w:tcPr>
            <w:tcW w:w="5812" w:type="dxa"/>
          </w:tcPr>
          <w:p>
            <w:pPr>
              <w:pStyle w:val="yTableNAm"/>
            </w:pPr>
            <w:smartTag w:uri="urn:schemas-microsoft-com:office:smarttags" w:element="place">
              <w:smartTag w:uri="urn:schemas-microsoft-com:office:smarttags" w:element="PlaceName">
                <w:r>
                  <w:rPr>
                    <w:i/>
                  </w:rPr>
                  <w:t>Curtin</w:t>
                </w:r>
              </w:smartTag>
              <w:r>
                <w:rPr>
                  <w:i/>
                </w:rPr>
                <w:t xml:space="preserve"> </w:t>
              </w:r>
              <w:smartTag w:uri="urn:schemas-microsoft-com:office:smarttags" w:element="PlaceType">
                <w:r>
                  <w:rPr>
                    <w:i/>
                  </w:rPr>
                  <w:t>University</w:t>
                </w:r>
              </w:smartTag>
            </w:smartTag>
            <w:r>
              <w:rPr>
                <w:i/>
              </w:rPr>
              <w:t xml:space="preserve"> of Technology Act 1966</w:t>
            </w:r>
          </w:p>
        </w:tc>
        <w:tc>
          <w:tcPr>
            <w:tcW w:w="1418" w:type="dxa"/>
          </w:tcPr>
          <w:p>
            <w:pPr>
              <w:pStyle w:val="yTableNAm"/>
              <w:tabs>
                <w:tab w:val="clear" w:pos="567"/>
              </w:tabs>
              <w:ind w:right="510"/>
              <w:jc w:val="right"/>
            </w:pPr>
            <w:r>
              <w:t>20A</w:t>
            </w:r>
          </w:p>
        </w:tc>
      </w:tr>
      <w:tr>
        <w:tc>
          <w:tcPr>
            <w:tcW w:w="5812" w:type="dxa"/>
          </w:tcPr>
          <w:p>
            <w:pPr>
              <w:pStyle w:val="yTableNAm"/>
              <w:rPr>
                <w:i/>
              </w:rPr>
            </w:pPr>
            <w:r>
              <w:rPr>
                <w:i/>
              </w:rPr>
              <w:t>Debt Collectors Licensing Act 1964</w:t>
            </w:r>
          </w:p>
        </w:tc>
        <w:tc>
          <w:tcPr>
            <w:tcW w:w="1418" w:type="dxa"/>
          </w:tcPr>
          <w:p>
            <w:pPr>
              <w:pStyle w:val="yTableNAm"/>
              <w:tabs>
                <w:tab w:val="clear" w:pos="567"/>
              </w:tabs>
              <w:ind w:right="510"/>
              <w:jc w:val="right"/>
            </w:pPr>
          </w:p>
        </w:tc>
      </w:tr>
      <w:tr>
        <w:tc>
          <w:tcPr>
            <w:tcW w:w="5812" w:type="dxa"/>
          </w:tcPr>
          <w:p>
            <w:pPr>
              <w:pStyle w:val="yTableNAm"/>
            </w:pPr>
            <w:r>
              <w:rPr>
                <w:i/>
              </w:rPr>
              <w:t>Dog Act 1976</w:t>
            </w:r>
          </w:p>
        </w:tc>
        <w:tc>
          <w:tcPr>
            <w:tcW w:w="1418" w:type="dxa"/>
          </w:tcPr>
          <w:p>
            <w:pPr>
              <w:pStyle w:val="yTableNAm"/>
              <w:tabs>
                <w:tab w:val="clear" w:pos="567"/>
              </w:tabs>
              <w:ind w:right="510"/>
              <w:jc w:val="right"/>
            </w:pPr>
            <w:r>
              <w:t>45A</w:t>
            </w:r>
          </w:p>
        </w:tc>
      </w:tr>
      <w:tr>
        <w:tc>
          <w:tcPr>
            <w:tcW w:w="5812" w:type="dxa"/>
          </w:tcPr>
          <w:p>
            <w:pPr>
              <w:pStyle w:val="yTableNAm"/>
            </w:pPr>
            <w:r>
              <w:rPr>
                <w:i/>
              </w:rPr>
              <w:t>Edith Cowan University Act 1984</w:t>
            </w:r>
          </w:p>
        </w:tc>
        <w:tc>
          <w:tcPr>
            <w:tcW w:w="1418" w:type="dxa"/>
          </w:tcPr>
          <w:p>
            <w:pPr>
              <w:pStyle w:val="yTableNAm"/>
              <w:tabs>
                <w:tab w:val="clear" w:pos="567"/>
              </w:tabs>
              <w:ind w:right="510"/>
              <w:jc w:val="right"/>
            </w:pPr>
            <w:r>
              <w:t>29</w:t>
            </w:r>
          </w:p>
        </w:tc>
      </w:tr>
      <w:tr>
        <w:tc>
          <w:tcPr>
            <w:tcW w:w="5812" w:type="dxa"/>
          </w:tcPr>
          <w:p>
            <w:pPr>
              <w:pStyle w:val="yTableNAm"/>
            </w:pPr>
            <w:r>
              <w:rPr>
                <w:i/>
              </w:rPr>
              <w:t>Electoral Act 1907</w:t>
            </w:r>
          </w:p>
        </w:tc>
        <w:tc>
          <w:tcPr>
            <w:tcW w:w="1418" w:type="dxa"/>
          </w:tcPr>
          <w:p>
            <w:pPr>
              <w:pStyle w:val="yTableNAm"/>
              <w:tabs>
                <w:tab w:val="clear" w:pos="567"/>
              </w:tabs>
              <w:ind w:right="510"/>
              <w:jc w:val="right"/>
            </w:pPr>
            <w:r>
              <w:t>156</w:t>
            </w:r>
          </w:p>
        </w:tc>
      </w:tr>
      <w:tr>
        <w:tc>
          <w:tcPr>
            <w:tcW w:w="5812" w:type="dxa"/>
          </w:tcPr>
          <w:p>
            <w:pPr>
              <w:pStyle w:val="yTableNAm"/>
              <w:rPr>
                <w:i/>
              </w:rPr>
            </w:pPr>
            <w:r>
              <w:rPr>
                <w:i/>
              </w:rPr>
              <w:t>Electricity Act 1945</w:t>
            </w:r>
          </w:p>
        </w:tc>
        <w:tc>
          <w:tcPr>
            <w:tcW w:w="1418" w:type="dxa"/>
          </w:tcPr>
          <w:p>
            <w:pPr>
              <w:pStyle w:val="yTableNAm"/>
              <w:tabs>
                <w:tab w:val="clear" w:pos="567"/>
              </w:tabs>
              <w:ind w:right="510"/>
              <w:jc w:val="right"/>
            </w:pPr>
          </w:p>
        </w:tc>
      </w:tr>
      <w:tr>
        <w:tc>
          <w:tcPr>
            <w:tcW w:w="5812" w:type="dxa"/>
          </w:tcPr>
          <w:p>
            <w:pPr>
              <w:pStyle w:val="yTableNAm"/>
              <w:rPr>
                <w:i/>
              </w:rPr>
            </w:pPr>
            <w:r>
              <w:rPr>
                <w:i/>
              </w:rPr>
              <w:t>Employment Agents Act 1976</w:t>
            </w:r>
          </w:p>
        </w:tc>
        <w:tc>
          <w:tcPr>
            <w:tcW w:w="1418" w:type="dxa"/>
          </w:tcPr>
          <w:p>
            <w:pPr>
              <w:pStyle w:val="yTableNAm"/>
              <w:tabs>
                <w:tab w:val="clear" w:pos="567"/>
              </w:tabs>
              <w:ind w:right="510"/>
              <w:jc w:val="right"/>
            </w:pPr>
          </w:p>
        </w:tc>
      </w:tr>
      <w:tr>
        <w:tc>
          <w:tcPr>
            <w:tcW w:w="5812" w:type="dxa"/>
          </w:tcPr>
          <w:p>
            <w:pPr>
              <w:pStyle w:val="yTableNAm"/>
              <w:rPr>
                <w:i/>
              </w:rPr>
            </w:pPr>
            <w:r>
              <w:rPr>
                <w:i/>
              </w:rPr>
              <w:t>Energy Coordination Act 1994</w:t>
            </w:r>
          </w:p>
        </w:tc>
        <w:tc>
          <w:tcPr>
            <w:tcW w:w="1418" w:type="dxa"/>
          </w:tcPr>
          <w:p>
            <w:pPr>
              <w:pStyle w:val="yTableNAm"/>
              <w:tabs>
                <w:tab w:val="clear" w:pos="567"/>
              </w:tabs>
              <w:ind w:right="510"/>
              <w:jc w:val="right"/>
            </w:pPr>
          </w:p>
        </w:tc>
      </w:tr>
      <w:tr>
        <w:tc>
          <w:tcPr>
            <w:tcW w:w="5812" w:type="dxa"/>
          </w:tcPr>
          <w:p>
            <w:pPr>
              <w:pStyle w:val="yTableNAm"/>
              <w:rPr>
                <w:i/>
              </w:rPr>
            </w:pPr>
            <w:r>
              <w:rPr>
                <w:i/>
              </w:rPr>
              <w:t>Energy Safety Act 2006</w:t>
            </w:r>
          </w:p>
        </w:tc>
        <w:tc>
          <w:tcPr>
            <w:tcW w:w="1418" w:type="dxa"/>
          </w:tcPr>
          <w:p>
            <w:pPr>
              <w:pStyle w:val="yTableNAm"/>
              <w:tabs>
                <w:tab w:val="clear" w:pos="567"/>
              </w:tabs>
              <w:ind w:right="510"/>
              <w:jc w:val="right"/>
            </w:pPr>
          </w:p>
        </w:tc>
      </w:tr>
      <w:tr>
        <w:tc>
          <w:tcPr>
            <w:tcW w:w="5812" w:type="dxa"/>
          </w:tcPr>
          <w:p>
            <w:pPr>
              <w:pStyle w:val="yTableNAm"/>
              <w:rPr>
                <w:i/>
              </w:rPr>
            </w:pPr>
            <w:r>
              <w:rPr>
                <w:i/>
              </w:rPr>
              <w:t>Environmental Protection Act 1986</w:t>
            </w:r>
          </w:p>
        </w:tc>
        <w:tc>
          <w:tcPr>
            <w:tcW w:w="1418" w:type="dxa"/>
          </w:tcPr>
          <w:p>
            <w:pPr>
              <w:pStyle w:val="yTableNAm"/>
              <w:tabs>
                <w:tab w:val="clear" w:pos="567"/>
              </w:tabs>
              <w:ind w:right="510"/>
              <w:jc w:val="right"/>
            </w:pPr>
          </w:p>
        </w:tc>
      </w:tr>
      <w:tr>
        <w:tc>
          <w:tcPr>
            <w:tcW w:w="5812" w:type="dxa"/>
          </w:tcPr>
          <w:p>
            <w:pPr>
              <w:pStyle w:val="yTableNAm"/>
              <w:rPr>
                <w:i/>
              </w:rPr>
            </w:pPr>
            <w:r>
              <w:rPr>
                <w:i/>
              </w:rPr>
              <w:t>Fair Trading Act 2010</w:t>
            </w:r>
          </w:p>
        </w:tc>
        <w:tc>
          <w:tcPr>
            <w:tcW w:w="1418" w:type="dxa"/>
          </w:tcPr>
          <w:p>
            <w:pPr>
              <w:pStyle w:val="yTableNAm"/>
              <w:tabs>
                <w:tab w:val="clear" w:pos="567"/>
              </w:tabs>
              <w:ind w:right="510"/>
              <w:jc w:val="right"/>
            </w:pPr>
          </w:p>
        </w:tc>
      </w:tr>
      <w:tr>
        <w:tc>
          <w:tcPr>
            <w:tcW w:w="5812" w:type="dxa"/>
          </w:tcPr>
          <w:p>
            <w:pPr>
              <w:pStyle w:val="yTableNAm"/>
            </w:pPr>
            <w:r>
              <w:rPr>
                <w:i/>
              </w:rPr>
              <w:t>Fish Resources Management Act 1994</w:t>
            </w:r>
          </w:p>
        </w:tc>
        <w:tc>
          <w:tcPr>
            <w:tcW w:w="1418" w:type="dxa"/>
          </w:tcPr>
          <w:p>
            <w:pPr>
              <w:pStyle w:val="yTableNAm"/>
              <w:tabs>
                <w:tab w:val="clear" w:pos="567"/>
              </w:tabs>
              <w:ind w:right="510"/>
              <w:jc w:val="right"/>
            </w:pPr>
          </w:p>
        </w:tc>
      </w:tr>
      <w:tr>
        <w:tc>
          <w:tcPr>
            <w:tcW w:w="5812" w:type="dxa"/>
          </w:tcPr>
          <w:p>
            <w:pPr>
              <w:pStyle w:val="yTableNAm"/>
              <w:rPr>
                <w:i/>
              </w:rPr>
            </w:pPr>
            <w:r>
              <w:rPr>
                <w:i/>
              </w:rPr>
              <w:t>Food Act 2008</w:t>
            </w:r>
          </w:p>
        </w:tc>
        <w:tc>
          <w:tcPr>
            <w:tcW w:w="1418" w:type="dxa"/>
          </w:tcPr>
          <w:p>
            <w:pPr>
              <w:pStyle w:val="yTableNAm"/>
              <w:tabs>
                <w:tab w:val="clear" w:pos="567"/>
              </w:tabs>
              <w:ind w:right="510"/>
              <w:jc w:val="right"/>
            </w:pPr>
          </w:p>
        </w:tc>
      </w:tr>
      <w:tr>
        <w:tc>
          <w:tcPr>
            <w:tcW w:w="5812" w:type="dxa"/>
          </w:tcPr>
          <w:p>
            <w:pPr>
              <w:pStyle w:val="yTableNAm"/>
            </w:pPr>
            <w:r>
              <w:rPr>
                <w:i/>
              </w:rPr>
              <w:t>Gaming and Wagering Commission Act 1987</w:t>
            </w:r>
          </w:p>
        </w:tc>
        <w:tc>
          <w:tcPr>
            <w:tcW w:w="1418" w:type="dxa"/>
          </w:tcPr>
          <w:p>
            <w:pPr>
              <w:pStyle w:val="yTableNAm"/>
              <w:tabs>
                <w:tab w:val="clear" w:pos="567"/>
              </w:tabs>
              <w:ind w:right="510"/>
              <w:jc w:val="right"/>
            </w:pPr>
          </w:p>
        </w:tc>
      </w:tr>
      <w:tr>
        <w:tc>
          <w:tcPr>
            <w:tcW w:w="5812" w:type="dxa"/>
          </w:tcPr>
          <w:p>
            <w:pPr>
              <w:pStyle w:val="yTableNAm"/>
              <w:rPr>
                <w:i/>
              </w:rPr>
            </w:pPr>
            <w:r>
              <w:rPr>
                <w:i/>
              </w:rPr>
              <w:t>Gas Standards Act 1972</w:t>
            </w:r>
          </w:p>
        </w:tc>
        <w:tc>
          <w:tcPr>
            <w:tcW w:w="1418" w:type="dxa"/>
          </w:tcPr>
          <w:p>
            <w:pPr>
              <w:pStyle w:val="yTableNAm"/>
              <w:tabs>
                <w:tab w:val="clear" w:pos="567"/>
              </w:tabs>
              <w:ind w:right="510"/>
              <w:jc w:val="right"/>
            </w:pPr>
          </w:p>
        </w:tc>
      </w:tr>
      <w:tr>
        <w:tc>
          <w:tcPr>
            <w:tcW w:w="5812" w:type="dxa"/>
          </w:tcPr>
          <w:p>
            <w:pPr>
              <w:pStyle w:val="yTableNAm"/>
            </w:pPr>
            <w:r>
              <w:rPr>
                <w:i/>
              </w:rPr>
              <w:t>Government Railways Act 1904</w:t>
            </w:r>
          </w:p>
        </w:tc>
        <w:tc>
          <w:tcPr>
            <w:tcW w:w="1418" w:type="dxa"/>
          </w:tcPr>
          <w:p>
            <w:pPr>
              <w:pStyle w:val="yTableNAm"/>
              <w:tabs>
                <w:tab w:val="clear" w:pos="567"/>
              </w:tabs>
              <w:ind w:right="510"/>
              <w:jc w:val="right"/>
            </w:pPr>
            <w:r>
              <w:t>53A</w:t>
            </w:r>
          </w:p>
        </w:tc>
      </w:tr>
      <w:tr>
        <w:tc>
          <w:tcPr>
            <w:tcW w:w="5812" w:type="dxa"/>
          </w:tcPr>
          <w:p>
            <w:pPr>
              <w:pStyle w:val="yTableNAm"/>
              <w:rPr>
                <w:i/>
              </w:rPr>
            </w:pPr>
            <w:r>
              <w:rPr>
                <w:i/>
              </w:rPr>
              <w:t>Health Act 1911</w:t>
            </w:r>
          </w:p>
        </w:tc>
        <w:tc>
          <w:tcPr>
            <w:tcW w:w="1418" w:type="dxa"/>
          </w:tcPr>
          <w:p>
            <w:pPr>
              <w:pStyle w:val="yTableNAm"/>
              <w:tabs>
                <w:tab w:val="clear" w:pos="567"/>
              </w:tabs>
              <w:ind w:right="510"/>
              <w:jc w:val="right"/>
            </w:pPr>
          </w:p>
        </w:tc>
      </w:tr>
      <w:tr>
        <w:tc>
          <w:tcPr>
            <w:tcW w:w="5812" w:type="dxa"/>
          </w:tcPr>
          <w:p>
            <w:pPr>
              <w:pStyle w:val="yTableNAm"/>
              <w:tabs>
                <w:tab w:val="right" w:pos="2765"/>
                <w:tab w:val="left" w:pos="3053"/>
              </w:tabs>
              <w:spacing w:line="260" w:lineRule="atLeast"/>
              <w:ind w:left="3050" w:hanging="3050"/>
              <w:rPr>
                <w:highlight w:val="yellow"/>
              </w:rPr>
            </w:pPr>
            <w:r>
              <w:rPr>
                <w:i/>
              </w:rPr>
              <w:t>Hire</w:t>
            </w:r>
            <w:r>
              <w:rPr>
                <w:i/>
              </w:rPr>
              <w:noBreakHyphen/>
              <w:t>Purchase Act 1959</w:t>
            </w:r>
          </w:p>
        </w:tc>
        <w:tc>
          <w:tcPr>
            <w:tcW w:w="1418" w:type="dxa"/>
          </w:tcPr>
          <w:p>
            <w:pPr>
              <w:pStyle w:val="yTableNAm"/>
              <w:tabs>
                <w:tab w:val="clear" w:pos="567"/>
              </w:tabs>
              <w:ind w:right="510"/>
              <w:jc w:val="right"/>
            </w:pPr>
          </w:p>
        </w:tc>
      </w:tr>
      <w:tr>
        <w:tc>
          <w:tcPr>
            <w:tcW w:w="5812" w:type="dxa"/>
          </w:tcPr>
          <w:p>
            <w:pPr>
              <w:pStyle w:val="yTableNAm"/>
              <w:rPr>
                <w:i/>
              </w:rPr>
            </w:pPr>
            <w:smartTag w:uri="urn:schemas-microsoft-com:office:smarttags" w:element="place">
              <w:smartTag w:uri="urn:schemas-microsoft-com:office:smarttags" w:element="PlaceType">
                <w:r>
                  <w:rPr>
                    <w:i/>
                  </w:rPr>
                  <w:t>Home</w:t>
                </w:r>
              </w:smartTag>
              <w:r>
                <w:rPr>
                  <w:i/>
                </w:rPr>
                <w:t xml:space="preserve"> </w:t>
              </w:r>
              <w:smartTag w:uri="urn:schemas-microsoft-com:office:smarttags" w:element="PlaceType">
                <w:r>
                  <w:rPr>
                    <w:i/>
                  </w:rPr>
                  <w:t>Building</w:t>
                </w:r>
              </w:smartTag>
            </w:smartTag>
            <w:r>
              <w:rPr>
                <w:i/>
              </w:rPr>
              <w:t xml:space="preserve"> Contracts Act 1991</w:t>
            </w:r>
          </w:p>
        </w:tc>
        <w:tc>
          <w:tcPr>
            <w:tcW w:w="1418" w:type="dxa"/>
          </w:tcPr>
          <w:p>
            <w:pPr>
              <w:pStyle w:val="yTableNAm"/>
              <w:tabs>
                <w:tab w:val="clear" w:pos="567"/>
              </w:tabs>
              <w:ind w:right="510"/>
              <w:jc w:val="right"/>
            </w:pPr>
          </w:p>
        </w:tc>
      </w:tr>
      <w:tr>
        <w:tc>
          <w:tcPr>
            <w:tcW w:w="5812" w:type="dxa"/>
          </w:tcPr>
          <w:p>
            <w:pPr>
              <w:pStyle w:val="yTableNAm"/>
              <w:rPr>
                <w:i/>
              </w:rPr>
            </w:pPr>
            <w:r>
              <w:rPr>
                <w:i/>
              </w:rPr>
              <w:t>Hospitals and Health Services Act 1927</w:t>
            </w:r>
          </w:p>
        </w:tc>
        <w:tc>
          <w:tcPr>
            <w:tcW w:w="1418" w:type="dxa"/>
          </w:tcPr>
          <w:p>
            <w:pPr>
              <w:pStyle w:val="yTableNAm"/>
              <w:tabs>
                <w:tab w:val="clear" w:pos="567"/>
              </w:tabs>
              <w:ind w:right="510"/>
              <w:jc w:val="right"/>
            </w:pPr>
          </w:p>
        </w:tc>
      </w:tr>
      <w:tr>
        <w:tc>
          <w:tcPr>
            <w:tcW w:w="5812" w:type="dxa"/>
          </w:tcPr>
          <w:p>
            <w:pPr>
              <w:pStyle w:val="yTableNAm"/>
              <w:rPr>
                <w:i/>
              </w:rPr>
            </w:pPr>
            <w:r>
              <w:rPr>
                <w:i/>
                <w:szCs w:val="22"/>
              </w:rPr>
              <w:t>Juries Act 1957</w:t>
            </w:r>
          </w:p>
        </w:tc>
        <w:tc>
          <w:tcPr>
            <w:tcW w:w="1418" w:type="dxa"/>
          </w:tcPr>
          <w:p>
            <w:pPr>
              <w:pStyle w:val="yTableNAm"/>
              <w:tabs>
                <w:tab w:val="clear" w:pos="567"/>
              </w:tabs>
              <w:ind w:right="510"/>
              <w:jc w:val="right"/>
            </w:pPr>
          </w:p>
        </w:tc>
      </w:tr>
      <w:tr>
        <w:tc>
          <w:tcPr>
            <w:tcW w:w="5812" w:type="dxa"/>
          </w:tcPr>
          <w:p>
            <w:pPr>
              <w:pStyle w:val="yTableNAm"/>
              <w:rPr>
                <w:i/>
              </w:rPr>
            </w:pPr>
            <w:r>
              <w:rPr>
                <w:i/>
              </w:rPr>
              <w:t>Land Administration Act 1997</w:t>
            </w:r>
          </w:p>
        </w:tc>
        <w:tc>
          <w:tcPr>
            <w:tcW w:w="1418" w:type="dxa"/>
          </w:tcPr>
          <w:p>
            <w:pPr>
              <w:pStyle w:val="yTableNAm"/>
              <w:tabs>
                <w:tab w:val="clear" w:pos="567"/>
              </w:tabs>
              <w:ind w:right="510"/>
              <w:jc w:val="right"/>
            </w:pPr>
          </w:p>
        </w:tc>
      </w:tr>
      <w:tr>
        <w:tc>
          <w:tcPr>
            <w:tcW w:w="5812" w:type="dxa"/>
          </w:tcPr>
          <w:p>
            <w:pPr>
              <w:pStyle w:val="yTableNAm"/>
              <w:rPr>
                <w:i/>
              </w:rPr>
            </w:pPr>
            <w:r>
              <w:rPr>
                <w:i/>
              </w:rPr>
              <w:t>Land Valuers Licensing Act 1978</w:t>
            </w:r>
          </w:p>
        </w:tc>
        <w:tc>
          <w:tcPr>
            <w:tcW w:w="1418" w:type="dxa"/>
          </w:tcPr>
          <w:p>
            <w:pPr>
              <w:pStyle w:val="yTableNAm"/>
              <w:tabs>
                <w:tab w:val="clear" w:pos="567"/>
              </w:tabs>
              <w:ind w:right="510"/>
              <w:jc w:val="right"/>
            </w:pPr>
          </w:p>
        </w:tc>
      </w:tr>
      <w:tr>
        <w:tc>
          <w:tcPr>
            <w:tcW w:w="5812" w:type="dxa"/>
          </w:tcPr>
          <w:p>
            <w:pPr>
              <w:pStyle w:val="yTableNAm"/>
            </w:pPr>
            <w:r>
              <w:rPr>
                <w:i/>
                <w:iCs/>
              </w:rPr>
              <w:t>Liquor Control Act 1988</w:t>
            </w:r>
          </w:p>
        </w:tc>
        <w:tc>
          <w:tcPr>
            <w:tcW w:w="1418" w:type="dxa"/>
          </w:tcPr>
          <w:p>
            <w:pPr>
              <w:pStyle w:val="yTableNAm"/>
              <w:tabs>
                <w:tab w:val="clear" w:pos="567"/>
              </w:tabs>
              <w:ind w:right="510"/>
              <w:jc w:val="right"/>
            </w:pPr>
            <w:r>
              <w:t>167</w:t>
            </w:r>
          </w:p>
        </w:tc>
      </w:tr>
      <w:tr>
        <w:tc>
          <w:tcPr>
            <w:tcW w:w="5812" w:type="dxa"/>
          </w:tcPr>
          <w:p>
            <w:pPr>
              <w:pStyle w:val="yTableNAm"/>
            </w:pPr>
            <w:r>
              <w:rPr>
                <w:i/>
              </w:rPr>
              <w:t>Litter Act 1979</w:t>
            </w:r>
          </w:p>
        </w:tc>
        <w:tc>
          <w:tcPr>
            <w:tcW w:w="1418" w:type="dxa"/>
          </w:tcPr>
          <w:p>
            <w:pPr>
              <w:pStyle w:val="yTableNAm"/>
              <w:tabs>
                <w:tab w:val="clear" w:pos="567"/>
              </w:tabs>
              <w:ind w:right="510"/>
              <w:jc w:val="right"/>
            </w:pPr>
            <w:r>
              <w:t>30</w:t>
            </w:r>
          </w:p>
        </w:tc>
      </w:tr>
      <w:tr>
        <w:tc>
          <w:tcPr>
            <w:tcW w:w="5812" w:type="dxa"/>
          </w:tcPr>
          <w:p>
            <w:pPr>
              <w:pStyle w:val="yTableNAm"/>
            </w:pPr>
            <w:r>
              <w:rPr>
                <w:i/>
              </w:rPr>
              <w:t>Local Government Act 1995</w:t>
            </w:r>
          </w:p>
        </w:tc>
        <w:tc>
          <w:tcPr>
            <w:tcW w:w="1418" w:type="dxa"/>
          </w:tcPr>
          <w:p>
            <w:pPr>
              <w:pStyle w:val="yTableNAm"/>
              <w:tabs>
                <w:tab w:val="clear" w:pos="567"/>
              </w:tabs>
              <w:ind w:right="510"/>
              <w:jc w:val="right"/>
            </w:pPr>
          </w:p>
        </w:tc>
      </w:tr>
      <w:tr>
        <w:tc>
          <w:tcPr>
            <w:tcW w:w="5812" w:type="dxa"/>
          </w:tcPr>
          <w:p>
            <w:pPr>
              <w:pStyle w:val="yTableNAm"/>
            </w:pPr>
            <w:r>
              <w:rPr>
                <w:i/>
              </w:rPr>
              <w:t>Local Government (Miscellaneous Provisions) Act 1960</w:t>
            </w:r>
          </w:p>
        </w:tc>
        <w:tc>
          <w:tcPr>
            <w:tcW w:w="1418" w:type="dxa"/>
          </w:tcPr>
          <w:p>
            <w:pPr>
              <w:pStyle w:val="yTableNAm"/>
              <w:tabs>
                <w:tab w:val="clear" w:pos="567"/>
              </w:tabs>
              <w:ind w:right="510"/>
              <w:jc w:val="right"/>
            </w:pPr>
          </w:p>
        </w:tc>
      </w:tr>
      <w:tr>
        <w:tc>
          <w:tcPr>
            <w:tcW w:w="5812" w:type="dxa"/>
          </w:tcPr>
          <w:p>
            <w:pPr>
              <w:pStyle w:val="yTableNAm"/>
              <w:rPr>
                <w:i/>
              </w:rPr>
            </w:pPr>
            <w:r>
              <w:rPr>
                <w:i/>
                <w:szCs w:val="22"/>
              </w:rPr>
              <w:t>Mining Rehabilitation Fund Act 2012</w:t>
            </w:r>
          </w:p>
        </w:tc>
        <w:tc>
          <w:tcPr>
            <w:tcW w:w="1418" w:type="dxa"/>
          </w:tcPr>
          <w:p>
            <w:pPr>
              <w:pStyle w:val="yTableNAm"/>
              <w:tabs>
                <w:tab w:val="clear" w:pos="567"/>
              </w:tabs>
              <w:ind w:right="510"/>
              <w:jc w:val="right"/>
            </w:pPr>
          </w:p>
        </w:tc>
      </w:tr>
      <w:tr>
        <w:tc>
          <w:tcPr>
            <w:tcW w:w="5812" w:type="dxa"/>
          </w:tcPr>
          <w:p>
            <w:pPr>
              <w:pStyle w:val="yTableNAm"/>
              <w:rPr>
                <w:i/>
              </w:rPr>
            </w:pPr>
            <w:r>
              <w:rPr>
                <w:i/>
              </w:rPr>
              <w:t>Motor Vehicle Dealers Act 1973</w:t>
            </w:r>
          </w:p>
        </w:tc>
        <w:tc>
          <w:tcPr>
            <w:tcW w:w="1418" w:type="dxa"/>
          </w:tcPr>
          <w:p>
            <w:pPr>
              <w:pStyle w:val="yTableNAm"/>
              <w:tabs>
                <w:tab w:val="clear" w:pos="567"/>
              </w:tabs>
              <w:ind w:right="510"/>
              <w:jc w:val="right"/>
            </w:pPr>
          </w:p>
        </w:tc>
      </w:tr>
      <w:tr>
        <w:tc>
          <w:tcPr>
            <w:tcW w:w="5812" w:type="dxa"/>
          </w:tcPr>
          <w:p>
            <w:pPr>
              <w:pStyle w:val="yTableNAm"/>
              <w:rPr>
                <w:i/>
              </w:rPr>
            </w:pPr>
            <w:r>
              <w:rPr>
                <w:i/>
              </w:rPr>
              <w:t>Motor Vehicle Repairers Act 2003</w:t>
            </w:r>
          </w:p>
        </w:tc>
        <w:tc>
          <w:tcPr>
            <w:tcW w:w="1418" w:type="dxa"/>
          </w:tcPr>
          <w:p>
            <w:pPr>
              <w:pStyle w:val="yTableNAm"/>
              <w:tabs>
                <w:tab w:val="clear" w:pos="567"/>
              </w:tabs>
              <w:ind w:right="510"/>
              <w:jc w:val="right"/>
            </w:pPr>
          </w:p>
        </w:tc>
      </w:tr>
      <w:tr>
        <w:tc>
          <w:tcPr>
            <w:tcW w:w="5812" w:type="dxa"/>
          </w:tcPr>
          <w:p>
            <w:pPr>
              <w:pStyle w:val="yTableNAm"/>
              <w:tabs>
                <w:tab w:val="right" w:pos="2765"/>
                <w:tab w:val="left" w:pos="3053"/>
              </w:tabs>
              <w:spacing w:line="260" w:lineRule="atLeast"/>
              <w:ind w:left="3050" w:hanging="3050"/>
            </w:pPr>
            <w:smartTag w:uri="urn:schemas-microsoft-com:office:smarttags" w:element="place">
              <w:smartTag w:uri="urn:schemas-microsoft-com:office:smarttags" w:element="PlaceName">
                <w:r>
                  <w:rPr>
                    <w:i/>
                  </w:rPr>
                  <w:t>Murdoch</w:t>
                </w:r>
              </w:smartTag>
              <w:r>
                <w:rPr>
                  <w:i/>
                </w:rPr>
                <w:t xml:space="preserve"> </w:t>
              </w:r>
              <w:smartTag w:uri="urn:schemas-microsoft-com:office:smarttags" w:element="PlaceType">
                <w:r>
                  <w:rPr>
                    <w:i/>
                  </w:rPr>
                  <w:t>University</w:t>
                </w:r>
              </w:smartTag>
            </w:smartTag>
            <w:r>
              <w:rPr>
                <w:i/>
              </w:rPr>
              <w:t xml:space="preserve"> Act 1973</w:t>
            </w:r>
          </w:p>
        </w:tc>
        <w:tc>
          <w:tcPr>
            <w:tcW w:w="1418" w:type="dxa"/>
          </w:tcPr>
          <w:p>
            <w:pPr>
              <w:pStyle w:val="yTableNAm"/>
              <w:tabs>
                <w:tab w:val="clear" w:pos="567"/>
              </w:tabs>
              <w:ind w:right="510"/>
              <w:jc w:val="right"/>
            </w:pPr>
            <w:r>
              <w:t>24</w:t>
            </w:r>
          </w:p>
        </w:tc>
      </w:tr>
      <w:tr>
        <w:tc>
          <w:tcPr>
            <w:tcW w:w="5812" w:type="dxa"/>
          </w:tcPr>
          <w:p>
            <w:pPr>
              <w:pStyle w:val="yTableNAm"/>
              <w:tabs>
                <w:tab w:val="right" w:pos="2765"/>
                <w:tab w:val="left" w:pos="3053"/>
              </w:tabs>
              <w:spacing w:line="260" w:lineRule="atLeast"/>
              <w:ind w:left="3050" w:hanging="3050"/>
            </w:pPr>
            <w:r>
              <w:rPr>
                <w:i/>
                <w:iCs/>
              </w:rPr>
              <w:t>Pawnbrokers and Second</w:t>
            </w:r>
            <w:r>
              <w:rPr>
                <w:i/>
                <w:iCs/>
              </w:rPr>
              <w:noBreakHyphen/>
              <w:t>hand Dealers Act 1994</w:t>
            </w:r>
          </w:p>
        </w:tc>
        <w:tc>
          <w:tcPr>
            <w:tcW w:w="1418" w:type="dxa"/>
          </w:tcPr>
          <w:p>
            <w:pPr>
              <w:pStyle w:val="yTableNAm"/>
              <w:tabs>
                <w:tab w:val="clear" w:pos="567"/>
              </w:tabs>
              <w:ind w:right="510"/>
              <w:jc w:val="right"/>
            </w:pPr>
          </w:p>
        </w:tc>
      </w:tr>
      <w:tr>
        <w:tc>
          <w:tcPr>
            <w:tcW w:w="5812" w:type="dxa"/>
          </w:tcPr>
          <w:p>
            <w:pPr>
              <w:pStyle w:val="yTableNAm"/>
              <w:tabs>
                <w:tab w:val="right" w:pos="2765"/>
                <w:tab w:val="left" w:pos="3053"/>
              </w:tabs>
              <w:spacing w:line="260" w:lineRule="atLeast"/>
              <w:ind w:left="3050" w:hanging="3050"/>
            </w:pPr>
            <w:smartTag w:uri="urn:schemas-microsoft-com:office:smarttags" w:element="City">
              <w:smartTag w:uri="urn:schemas-microsoft-com:office:smarttags" w:element="place">
                <w:r>
                  <w:rPr>
                    <w:i/>
                  </w:rPr>
                  <w:t>Perth</w:t>
                </w:r>
              </w:smartTag>
            </w:smartTag>
            <w:r>
              <w:rPr>
                <w:i/>
              </w:rPr>
              <w:t xml:space="preserve"> Market Act 1926</w:t>
            </w:r>
          </w:p>
        </w:tc>
        <w:tc>
          <w:tcPr>
            <w:tcW w:w="1418" w:type="dxa"/>
          </w:tcPr>
          <w:p>
            <w:pPr>
              <w:pStyle w:val="yTableNAm"/>
              <w:tabs>
                <w:tab w:val="clear" w:pos="567"/>
              </w:tabs>
              <w:ind w:right="510"/>
              <w:jc w:val="right"/>
            </w:pPr>
            <w:r>
              <w:t>13B</w:t>
            </w:r>
          </w:p>
        </w:tc>
      </w:tr>
      <w:tr>
        <w:tc>
          <w:tcPr>
            <w:tcW w:w="5812" w:type="dxa"/>
          </w:tcPr>
          <w:p>
            <w:pPr>
              <w:pStyle w:val="yTableNAm"/>
              <w:rPr>
                <w:i/>
              </w:rPr>
            </w:pPr>
            <w:smartTag w:uri="urn:schemas-microsoft-com:office:smarttags" w:element="City">
              <w:smartTag w:uri="urn:schemas-microsoft-com:office:smarttags" w:element="place">
                <w:r>
                  <w:rPr>
                    <w:i/>
                  </w:rPr>
                  <w:t>Perth</w:t>
                </w:r>
              </w:smartTag>
            </w:smartTag>
            <w:r>
              <w:rPr>
                <w:i/>
              </w:rPr>
              <w:t xml:space="preserve"> Parking Management Act 1999</w:t>
            </w:r>
          </w:p>
        </w:tc>
        <w:tc>
          <w:tcPr>
            <w:tcW w:w="1418" w:type="dxa"/>
          </w:tcPr>
          <w:p>
            <w:pPr>
              <w:pStyle w:val="yTableNAm"/>
              <w:tabs>
                <w:tab w:val="clear" w:pos="567"/>
              </w:tabs>
              <w:ind w:right="510"/>
              <w:jc w:val="right"/>
            </w:pPr>
          </w:p>
        </w:tc>
      </w:tr>
      <w:tr>
        <w:tc>
          <w:tcPr>
            <w:tcW w:w="5812" w:type="dxa"/>
          </w:tcPr>
          <w:p>
            <w:pPr>
              <w:pStyle w:val="yTableNAm"/>
              <w:rPr>
                <w:i/>
              </w:rPr>
            </w:pPr>
            <w:r>
              <w:rPr>
                <w:i/>
              </w:rPr>
              <w:t>Petroleum Products Pricing Act 1983</w:t>
            </w:r>
          </w:p>
        </w:tc>
        <w:tc>
          <w:tcPr>
            <w:tcW w:w="1418" w:type="dxa"/>
          </w:tcPr>
          <w:p>
            <w:pPr>
              <w:pStyle w:val="yTableNAm"/>
              <w:tabs>
                <w:tab w:val="clear" w:pos="567"/>
              </w:tabs>
              <w:ind w:right="510"/>
              <w:jc w:val="right"/>
            </w:pPr>
          </w:p>
        </w:tc>
      </w:tr>
      <w:tr>
        <w:tc>
          <w:tcPr>
            <w:tcW w:w="5812" w:type="dxa"/>
          </w:tcPr>
          <w:p>
            <w:pPr>
              <w:pStyle w:val="yTableNAm"/>
              <w:rPr>
                <w:i/>
              </w:rPr>
            </w:pPr>
            <w:r>
              <w:rPr>
                <w:i/>
              </w:rPr>
              <w:t>Planning and Development Act 2005</w:t>
            </w:r>
          </w:p>
        </w:tc>
        <w:tc>
          <w:tcPr>
            <w:tcW w:w="1418" w:type="dxa"/>
          </w:tcPr>
          <w:p>
            <w:pPr>
              <w:pStyle w:val="yTableNAm"/>
              <w:tabs>
                <w:tab w:val="clear" w:pos="567"/>
              </w:tabs>
              <w:ind w:right="510"/>
              <w:jc w:val="right"/>
            </w:pPr>
          </w:p>
        </w:tc>
      </w:tr>
      <w:tr>
        <w:trPr>
          <w:ins w:id="59" w:author="Master Repository Process" w:date="2021-08-28T08:15:00Z"/>
        </w:trPr>
        <w:tc>
          <w:tcPr>
            <w:tcW w:w="5812" w:type="dxa"/>
          </w:tcPr>
          <w:p>
            <w:pPr>
              <w:pStyle w:val="yTableNAm"/>
              <w:rPr>
                <w:ins w:id="60" w:author="Master Repository Process" w:date="2021-08-28T08:15:00Z"/>
                <w:i/>
              </w:rPr>
            </w:pPr>
            <w:ins w:id="61" w:author="Master Repository Process" w:date="2021-08-28T08:15:00Z">
              <w:r>
                <w:rPr>
                  <w:i/>
                  <w:szCs w:val="22"/>
                </w:rPr>
                <w:t>Plumbers Licensing Act 1995</w:t>
              </w:r>
            </w:ins>
          </w:p>
        </w:tc>
        <w:tc>
          <w:tcPr>
            <w:tcW w:w="1418" w:type="dxa"/>
          </w:tcPr>
          <w:p>
            <w:pPr>
              <w:pStyle w:val="yTableNAm"/>
              <w:tabs>
                <w:tab w:val="clear" w:pos="567"/>
              </w:tabs>
              <w:ind w:right="510"/>
              <w:jc w:val="right"/>
              <w:rPr>
                <w:ins w:id="62" w:author="Master Repository Process" w:date="2021-08-28T08:15:00Z"/>
              </w:rPr>
            </w:pPr>
          </w:p>
        </w:tc>
      </w:tr>
      <w:tr>
        <w:tc>
          <w:tcPr>
            <w:tcW w:w="5812" w:type="dxa"/>
          </w:tcPr>
          <w:p>
            <w:pPr>
              <w:pStyle w:val="yTableNAm"/>
              <w:rPr>
                <w:i/>
              </w:rPr>
            </w:pPr>
            <w:r>
              <w:rPr>
                <w:i/>
              </w:rPr>
              <w:t>Port Authorities Act 1999</w:t>
            </w:r>
          </w:p>
        </w:tc>
        <w:tc>
          <w:tcPr>
            <w:tcW w:w="1418" w:type="dxa"/>
          </w:tcPr>
          <w:p>
            <w:pPr>
              <w:pStyle w:val="yTableNAm"/>
              <w:tabs>
                <w:tab w:val="clear" w:pos="567"/>
              </w:tabs>
              <w:ind w:right="510"/>
              <w:jc w:val="right"/>
            </w:pPr>
          </w:p>
        </w:tc>
      </w:tr>
      <w:tr>
        <w:tc>
          <w:tcPr>
            <w:tcW w:w="5812" w:type="dxa"/>
          </w:tcPr>
          <w:p>
            <w:pPr>
              <w:pStyle w:val="yTableNAm"/>
              <w:rPr>
                <w:i/>
              </w:rPr>
            </w:pPr>
            <w:r>
              <w:rPr>
                <w:i/>
              </w:rPr>
              <w:t>Public Transport Authority Act 2003</w:t>
            </w:r>
          </w:p>
        </w:tc>
        <w:tc>
          <w:tcPr>
            <w:tcW w:w="1418" w:type="dxa"/>
          </w:tcPr>
          <w:p>
            <w:pPr>
              <w:pStyle w:val="yTableNAm"/>
              <w:tabs>
                <w:tab w:val="clear" w:pos="567"/>
              </w:tabs>
              <w:ind w:right="510"/>
              <w:jc w:val="right"/>
            </w:pPr>
          </w:p>
        </w:tc>
      </w:tr>
      <w:tr>
        <w:tc>
          <w:tcPr>
            <w:tcW w:w="5812" w:type="dxa"/>
          </w:tcPr>
          <w:p>
            <w:pPr>
              <w:pStyle w:val="yTableNAm"/>
            </w:pPr>
            <w:r>
              <w:rPr>
                <w:i/>
              </w:rPr>
              <w:t>Queen Elizabeth II Medical Centre Act 1966</w:t>
            </w:r>
          </w:p>
        </w:tc>
        <w:tc>
          <w:tcPr>
            <w:tcW w:w="1418" w:type="dxa"/>
          </w:tcPr>
          <w:p>
            <w:pPr>
              <w:pStyle w:val="yTableNAm"/>
              <w:tabs>
                <w:tab w:val="clear" w:pos="567"/>
              </w:tabs>
              <w:ind w:right="510"/>
              <w:jc w:val="right"/>
            </w:pPr>
            <w:r>
              <w:t>20</w:t>
            </w:r>
          </w:p>
        </w:tc>
      </w:tr>
      <w:tr>
        <w:tc>
          <w:tcPr>
            <w:tcW w:w="5812" w:type="dxa"/>
          </w:tcPr>
          <w:p>
            <w:pPr>
              <w:pStyle w:val="yTableNAm"/>
              <w:rPr>
                <w:i/>
              </w:rPr>
            </w:pPr>
            <w:r>
              <w:rPr>
                <w:i/>
              </w:rPr>
              <w:t>Real Estate and Business Agents Act 1978</w:t>
            </w:r>
          </w:p>
        </w:tc>
        <w:tc>
          <w:tcPr>
            <w:tcW w:w="1418" w:type="dxa"/>
          </w:tcPr>
          <w:p>
            <w:pPr>
              <w:pStyle w:val="yTableNAm"/>
              <w:tabs>
                <w:tab w:val="clear" w:pos="567"/>
              </w:tabs>
              <w:ind w:right="510"/>
              <w:jc w:val="right"/>
            </w:pPr>
          </w:p>
        </w:tc>
      </w:tr>
      <w:tr>
        <w:tc>
          <w:tcPr>
            <w:tcW w:w="5812" w:type="dxa"/>
          </w:tcPr>
          <w:p>
            <w:pPr>
              <w:pStyle w:val="yTableNAm"/>
              <w:rPr>
                <w:i/>
              </w:rPr>
            </w:pPr>
            <w:r>
              <w:rPr>
                <w:i/>
              </w:rPr>
              <w:t>Residential Tenancies Act 1987</w:t>
            </w:r>
          </w:p>
        </w:tc>
        <w:tc>
          <w:tcPr>
            <w:tcW w:w="1418" w:type="dxa"/>
          </w:tcPr>
          <w:p>
            <w:pPr>
              <w:pStyle w:val="yTableNAm"/>
              <w:tabs>
                <w:tab w:val="clear" w:pos="567"/>
              </w:tabs>
              <w:ind w:right="510"/>
              <w:jc w:val="right"/>
            </w:pPr>
          </w:p>
        </w:tc>
      </w:tr>
      <w:tr>
        <w:tc>
          <w:tcPr>
            <w:tcW w:w="5812" w:type="dxa"/>
          </w:tcPr>
          <w:p>
            <w:pPr>
              <w:pStyle w:val="yTableNAm"/>
              <w:rPr>
                <w:i/>
              </w:rPr>
            </w:pPr>
            <w:r>
              <w:rPr>
                <w:i/>
              </w:rPr>
              <w:t>Retail Trading Hours Act 1987</w:t>
            </w:r>
          </w:p>
        </w:tc>
        <w:tc>
          <w:tcPr>
            <w:tcW w:w="1418" w:type="dxa"/>
          </w:tcPr>
          <w:p>
            <w:pPr>
              <w:pStyle w:val="yTableNAm"/>
              <w:tabs>
                <w:tab w:val="clear" w:pos="567"/>
              </w:tabs>
              <w:ind w:right="510"/>
              <w:jc w:val="right"/>
            </w:pPr>
          </w:p>
        </w:tc>
      </w:tr>
      <w:tr>
        <w:tc>
          <w:tcPr>
            <w:tcW w:w="5812" w:type="dxa"/>
          </w:tcPr>
          <w:p>
            <w:pPr>
              <w:pStyle w:val="yTableNAm"/>
              <w:rPr>
                <w:i/>
              </w:rPr>
            </w:pPr>
            <w:r>
              <w:rPr>
                <w:i/>
              </w:rPr>
              <w:t>Rights in Water and Irrigation Act 1914</w:t>
            </w:r>
          </w:p>
        </w:tc>
        <w:tc>
          <w:tcPr>
            <w:tcW w:w="1418" w:type="dxa"/>
          </w:tcPr>
          <w:p>
            <w:pPr>
              <w:pStyle w:val="yTableNAm"/>
              <w:tabs>
                <w:tab w:val="clear" w:pos="567"/>
              </w:tabs>
              <w:ind w:right="510"/>
              <w:jc w:val="right"/>
            </w:pPr>
          </w:p>
        </w:tc>
      </w:tr>
      <w:tr>
        <w:tc>
          <w:tcPr>
            <w:tcW w:w="5812" w:type="dxa"/>
          </w:tcPr>
          <w:p>
            <w:pPr>
              <w:pStyle w:val="yTableNAm"/>
            </w:pPr>
            <w:r>
              <w:rPr>
                <w:i/>
              </w:rPr>
              <w:t>Road Traffic Act 1974</w:t>
            </w:r>
          </w:p>
        </w:tc>
        <w:tc>
          <w:tcPr>
            <w:tcW w:w="1418" w:type="dxa"/>
          </w:tcPr>
          <w:p>
            <w:pPr>
              <w:pStyle w:val="yTableNAm"/>
              <w:tabs>
                <w:tab w:val="clear" w:pos="567"/>
              </w:tabs>
              <w:ind w:right="510"/>
              <w:jc w:val="right"/>
            </w:pPr>
            <w:r>
              <w:t>102</w:t>
            </w:r>
          </w:p>
        </w:tc>
      </w:tr>
      <w:tr>
        <w:tc>
          <w:tcPr>
            <w:tcW w:w="5812" w:type="dxa"/>
          </w:tcPr>
          <w:p>
            <w:pPr>
              <w:pStyle w:val="yTableNAm"/>
              <w:rPr>
                <w:i/>
              </w:rPr>
            </w:pP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Authority Act 1987</w:t>
            </w:r>
          </w:p>
        </w:tc>
        <w:tc>
          <w:tcPr>
            <w:tcW w:w="1418" w:type="dxa"/>
          </w:tcPr>
          <w:p>
            <w:pPr>
              <w:pStyle w:val="yTableNAm"/>
              <w:tabs>
                <w:tab w:val="clear" w:pos="567"/>
              </w:tabs>
              <w:ind w:right="510"/>
              <w:jc w:val="right"/>
            </w:pPr>
          </w:p>
        </w:tc>
      </w:tr>
      <w:tr>
        <w:tc>
          <w:tcPr>
            <w:tcW w:w="5812" w:type="dxa"/>
          </w:tcPr>
          <w:p>
            <w:pPr>
              <w:pStyle w:val="yTableNAm"/>
              <w:rPr>
                <w:i/>
              </w:rPr>
            </w:pPr>
            <w:r>
              <w:rPr>
                <w:i/>
              </w:rPr>
              <w:t>Settlement Agents Act 1981</w:t>
            </w:r>
          </w:p>
        </w:tc>
        <w:tc>
          <w:tcPr>
            <w:tcW w:w="1418" w:type="dxa"/>
          </w:tcPr>
          <w:p>
            <w:pPr>
              <w:pStyle w:val="yTableNAm"/>
              <w:tabs>
                <w:tab w:val="clear" w:pos="567"/>
              </w:tabs>
              <w:ind w:right="510"/>
              <w:jc w:val="right"/>
            </w:pPr>
          </w:p>
        </w:tc>
      </w:tr>
      <w:tr>
        <w:tc>
          <w:tcPr>
            <w:tcW w:w="5812" w:type="dxa"/>
          </w:tcPr>
          <w:p>
            <w:pPr>
              <w:pStyle w:val="yTableNAm"/>
              <w:rPr>
                <w:i/>
              </w:rPr>
            </w:pPr>
            <w:r>
              <w:rPr>
                <w:i/>
              </w:rPr>
              <w:t>Street Collections (Regulation) Act 1940</w:t>
            </w:r>
          </w:p>
        </w:tc>
        <w:tc>
          <w:tcPr>
            <w:tcW w:w="1418" w:type="dxa"/>
          </w:tcPr>
          <w:p>
            <w:pPr>
              <w:pStyle w:val="yTableNAm"/>
              <w:tabs>
                <w:tab w:val="clear" w:pos="567"/>
              </w:tabs>
              <w:ind w:right="510"/>
              <w:jc w:val="right"/>
            </w:pPr>
          </w:p>
        </w:tc>
      </w:tr>
      <w:tr>
        <w:tc>
          <w:tcPr>
            <w:tcW w:w="5812" w:type="dxa"/>
          </w:tcPr>
          <w:p>
            <w:pPr>
              <w:pStyle w:val="yTableNAm"/>
              <w:rPr>
                <w:i/>
              </w:rPr>
            </w:pPr>
            <w:r>
              <w:rPr>
                <w:i/>
              </w:rPr>
              <w:t>Sunday Entertainments Act 1979</w:t>
            </w:r>
          </w:p>
        </w:tc>
        <w:tc>
          <w:tcPr>
            <w:tcW w:w="1418" w:type="dxa"/>
          </w:tcPr>
          <w:p>
            <w:pPr>
              <w:pStyle w:val="yTableNAm"/>
              <w:tabs>
                <w:tab w:val="clear" w:pos="567"/>
              </w:tabs>
              <w:ind w:right="510"/>
              <w:jc w:val="right"/>
            </w:pPr>
          </w:p>
        </w:tc>
      </w:tr>
      <w:tr>
        <w:tc>
          <w:tcPr>
            <w:tcW w:w="5812" w:type="dxa"/>
          </w:tcPr>
          <w:p>
            <w:pPr>
              <w:pStyle w:val="yTableNAm"/>
              <w:rPr>
                <w:i/>
              </w:rPr>
            </w:pPr>
            <w:r>
              <w:rPr>
                <w:i/>
              </w:rPr>
              <w:t>Swan and Canning Rivers Management Act 2006</w:t>
            </w:r>
          </w:p>
        </w:tc>
        <w:tc>
          <w:tcPr>
            <w:tcW w:w="1418" w:type="dxa"/>
          </w:tcPr>
          <w:p>
            <w:pPr>
              <w:pStyle w:val="yTableNAm"/>
              <w:tabs>
                <w:tab w:val="clear" w:pos="567"/>
              </w:tabs>
              <w:ind w:right="510"/>
              <w:jc w:val="right"/>
            </w:pPr>
          </w:p>
        </w:tc>
      </w:tr>
      <w:tr>
        <w:tc>
          <w:tcPr>
            <w:tcW w:w="5812" w:type="dxa"/>
          </w:tcPr>
          <w:p>
            <w:pPr>
              <w:pStyle w:val="yTableNAm"/>
            </w:pPr>
            <w:r>
              <w:rPr>
                <w:i/>
              </w:rPr>
              <w:t>Taxi Act 1994</w:t>
            </w:r>
          </w:p>
        </w:tc>
        <w:tc>
          <w:tcPr>
            <w:tcW w:w="1418" w:type="dxa"/>
          </w:tcPr>
          <w:p>
            <w:pPr>
              <w:pStyle w:val="yTableNAm"/>
              <w:tabs>
                <w:tab w:val="clear" w:pos="567"/>
              </w:tabs>
              <w:ind w:right="510"/>
              <w:jc w:val="right"/>
            </w:pPr>
            <w:r>
              <w:t>39</w:t>
            </w:r>
          </w:p>
        </w:tc>
      </w:tr>
      <w:tr>
        <w:tc>
          <w:tcPr>
            <w:tcW w:w="5812" w:type="dxa"/>
          </w:tcPr>
          <w:p>
            <w:pPr>
              <w:pStyle w:val="yTableNAm"/>
              <w:rPr>
                <w:i/>
              </w:rPr>
            </w:pPr>
            <w:r>
              <w:rPr>
                <w:i/>
              </w:rPr>
              <w:t>Tobacco Products Control Act 2006</w:t>
            </w:r>
          </w:p>
        </w:tc>
        <w:tc>
          <w:tcPr>
            <w:tcW w:w="1418" w:type="dxa"/>
          </w:tcPr>
          <w:p>
            <w:pPr>
              <w:pStyle w:val="yTableNAm"/>
              <w:tabs>
                <w:tab w:val="clear" w:pos="567"/>
              </w:tabs>
              <w:ind w:right="510"/>
              <w:jc w:val="right"/>
            </w:pPr>
          </w:p>
        </w:tc>
      </w:tr>
      <w:tr>
        <w:tc>
          <w:tcPr>
            <w:tcW w:w="5812" w:type="dxa"/>
          </w:tcPr>
          <w:p>
            <w:pPr>
              <w:pStyle w:val="yTableNAm"/>
              <w:tabs>
                <w:tab w:val="right" w:pos="2765"/>
                <w:tab w:val="left" w:pos="3053"/>
              </w:tabs>
              <w:spacing w:line="260" w:lineRule="atLeast"/>
              <w:ind w:left="3050" w:hanging="3050"/>
              <w:rPr>
                <w:highlight w:val="yellow"/>
              </w:rPr>
            </w:pPr>
            <w:r>
              <w:rPr>
                <w:i/>
              </w:rPr>
              <w:t>Transport Co</w:t>
            </w:r>
            <w:r>
              <w:rPr>
                <w:i/>
              </w:rPr>
              <w:noBreakHyphen/>
              <w:t>ordination Act 1966</w:t>
            </w:r>
          </w:p>
        </w:tc>
        <w:tc>
          <w:tcPr>
            <w:tcW w:w="1418" w:type="dxa"/>
          </w:tcPr>
          <w:p>
            <w:pPr>
              <w:pStyle w:val="yTableNAm"/>
              <w:tabs>
                <w:tab w:val="clear" w:pos="567"/>
              </w:tabs>
              <w:ind w:right="510"/>
              <w:jc w:val="right"/>
            </w:pPr>
            <w:r>
              <w:t>58A</w:t>
            </w:r>
          </w:p>
        </w:tc>
      </w:tr>
      <w:tr>
        <w:tc>
          <w:tcPr>
            <w:tcW w:w="5812" w:type="dxa"/>
          </w:tcPr>
          <w:p>
            <w:pPr>
              <w:pStyle w:val="yTableNAm"/>
              <w:rPr>
                <w:i/>
              </w:rPr>
            </w:pPr>
            <w:r>
              <w:rPr>
                <w:i/>
              </w:rPr>
              <w:t>Travel Agents Act 1985</w:t>
            </w:r>
          </w:p>
        </w:tc>
        <w:tc>
          <w:tcPr>
            <w:tcW w:w="1418" w:type="dxa"/>
          </w:tcPr>
          <w:p>
            <w:pPr>
              <w:pStyle w:val="yTableNAm"/>
              <w:tabs>
                <w:tab w:val="clear" w:pos="567"/>
              </w:tabs>
              <w:ind w:right="510"/>
              <w:jc w:val="right"/>
            </w:pPr>
          </w:p>
        </w:tc>
      </w:tr>
      <w:tr>
        <w:tc>
          <w:tcPr>
            <w:tcW w:w="5812" w:type="dxa"/>
          </w:tcPr>
          <w:p>
            <w:pPr>
              <w:pStyle w:val="yTableNAm"/>
            </w:pPr>
            <w:smartTag w:uri="urn:schemas-microsoft-com:office:smarttags" w:element="place">
              <w:smartTag w:uri="urn:schemas-microsoft-com:office:smarttags" w:element="PlaceType">
                <w:r>
                  <w:rPr>
                    <w:i/>
                  </w:rPr>
                  <w:t>University</w:t>
                </w:r>
              </w:smartTag>
              <w:r>
                <w:rPr>
                  <w:i/>
                </w:rPr>
                <w:t xml:space="preserve"> of </w:t>
              </w:r>
              <w:smartTag w:uri="urn:schemas-microsoft-com:office:smarttags" w:element="PlaceName">
                <w:r>
                  <w:rPr>
                    <w:i/>
                  </w:rPr>
                  <w:t>Western Australia</w:t>
                </w:r>
              </w:smartTag>
            </w:smartTag>
            <w:r>
              <w:rPr>
                <w:i/>
              </w:rPr>
              <w:t xml:space="preserve"> Act 1911</w:t>
            </w:r>
          </w:p>
        </w:tc>
        <w:tc>
          <w:tcPr>
            <w:tcW w:w="1418" w:type="dxa"/>
          </w:tcPr>
          <w:p>
            <w:pPr>
              <w:pStyle w:val="yTableNAm"/>
              <w:tabs>
                <w:tab w:val="clear" w:pos="567"/>
              </w:tabs>
              <w:ind w:right="510"/>
              <w:jc w:val="right"/>
            </w:pPr>
            <w:r>
              <w:t>16A</w:t>
            </w:r>
          </w:p>
        </w:tc>
      </w:tr>
      <w:tr>
        <w:tc>
          <w:tcPr>
            <w:tcW w:w="5812" w:type="dxa"/>
          </w:tcPr>
          <w:p>
            <w:pPr>
              <w:pStyle w:val="yTableNAm"/>
            </w:pPr>
            <w:r>
              <w:rPr>
                <w:i/>
              </w:rPr>
              <w:t>Water Agencies (Powers) Act 1984</w:t>
            </w:r>
          </w:p>
        </w:tc>
        <w:tc>
          <w:tcPr>
            <w:tcW w:w="1418" w:type="dxa"/>
          </w:tcPr>
          <w:p>
            <w:pPr>
              <w:pStyle w:val="yTableNAm"/>
              <w:tabs>
                <w:tab w:val="clear" w:pos="567"/>
              </w:tabs>
              <w:ind w:right="510"/>
              <w:jc w:val="right"/>
            </w:pPr>
            <w:r>
              <w:t>103</w:t>
            </w:r>
          </w:p>
        </w:tc>
      </w:tr>
      <w:tr>
        <w:tc>
          <w:tcPr>
            <w:tcW w:w="5812" w:type="dxa"/>
          </w:tcPr>
          <w:p>
            <w:pPr>
              <w:pStyle w:val="yTableNAm"/>
              <w:rPr>
                <w:i/>
              </w:rPr>
            </w:pPr>
            <w:r>
              <w:rPr>
                <w:i/>
                <w:szCs w:val="22"/>
              </w:rPr>
              <w:t>Water Services Act 2012</w:t>
            </w:r>
          </w:p>
        </w:tc>
        <w:tc>
          <w:tcPr>
            <w:tcW w:w="1418" w:type="dxa"/>
          </w:tcPr>
          <w:p>
            <w:pPr>
              <w:pStyle w:val="yTableNAm"/>
              <w:tabs>
                <w:tab w:val="clear" w:pos="567"/>
              </w:tabs>
              <w:ind w:right="510"/>
              <w:jc w:val="right"/>
            </w:pPr>
          </w:p>
        </w:tc>
      </w:tr>
      <w:tr>
        <w:tc>
          <w:tcPr>
            <w:tcW w:w="5812" w:type="dxa"/>
          </w:tcPr>
          <w:p>
            <w:pPr>
              <w:pStyle w:val="yTableNAm"/>
              <w:rPr>
                <w:i/>
              </w:rPr>
            </w:pPr>
            <w:r>
              <w:rPr>
                <w:i/>
              </w:rPr>
              <w:t>Waterways Conservation Act 1976</w:t>
            </w:r>
          </w:p>
        </w:tc>
        <w:tc>
          <w:tcPr>
            <w:tcW w:w="1418" w:type="dxa"/>
          </w:tcPr>
          <w:p>
            <w:pPr>
              <w:pStyle w:val="yTableNAm"/>
              <w:tabs>
                <w:tab w:val="clear" w:pos="567"/>
              </w:tabs>
              <w:ind w:right="510"/>
              <w:jc w:val="right"/>
            </w:pPr>
          </w:p>
        </w:tc>
      </w:tr>
      <w:tr>
        <w:tc>
          <w:tcPr>
            <w:tcW w:w="5812" w:type="dxa"/>
          </w:tcPr>
          <w:p>
            <w:pPr>
              <w:pStyle w:val="yTableNAm"/>
            </w:pPr>
            <w:r>
              <w:rPr>
                <w:i/>
              </w:rPr>
              <w:t>Western Australian Marine Act 1982</w:t>
            </w:r>
          </w:p>
        </w:tc>
        <w:tc>
          <w:tcPr>
            <w:tcW w:w="1418" w:type="dxa"/>
          </w:tcPr>
          <w:p>
            <w:pPr>
              <w:pStyle w:val="yTableNAm"/>
              <w:tabs>
                <w:tab w:val="clear" w:pos="567"/>
              </w:tabs>
              <w:ind w:right="510"/>
              <w:jc w:val="right"/>
            </w:pPr>
            <w:r>
              <w:t>132</w:t>
            </w:r>
          </w:p>
        </w:tc>
      </w:tr>
      <w:tr>
        <w:tc>
          <w:tcPr>
            <w:tcW w:w="5812" w:type="dxa"/>
          </w:tcPr>
          <w:p>
            <w:pPr>
              <w:pStyle w:val="yTableNAm"/>
              <w:rPr>
                <w:i/>
              </w:rPr>
            </w:pPr>
            <w:r>
              <w:rPr>
                <w:i/>
              </w:rPr>
              <w:t>Western Australian Meat Industry Authority Act 1976</w:t>
            </w:r>
          </w:p>
        </w:tc>
        <w:tc>
          <w:tcPr>
            <w:tcW w:w="1418" w:type="dxa"/>
          </w:tcPr>
          <w:p>
            <w:pPr>
              <w:pStyle w:val="yTableNAm"/>
              <w:tabs>
                <w:tab w:val="clear" w:pos="567"/>
              </w:tabs>
              <w:ind w:right="510"/>
              <w:jc w:val="right"/>
            </w:pPr>
          </w:p>
        </w:tc>
      </w:tr>
      <w:tr>
        <w:tc>
          <w:tcPr>
            <w:tcW w:w="5812" w:type="dxa"/>
          </w:tcPr>
          <w:p>
            <w:pPr>
              <w:pStyle w:val="yTableNAm"/>
              <w:rPr>
                <w:i/>
              </w:rPr>
            </w:pPr>
            <w:r>
              <w:rPr>
                <w:i/>
              </w:rPr>
              <w:t>Zoological Parks Authority Act 2001</w:t>
            </w:r>
          </w:p>
        </w:tc>
        <w:tc>
          <w:tcPr>
            <w:tcW w:w="1418" w:type="dxa"/>
          </w:tcPr>
          <w:p>
            <w:pPr>
              <w:pStyle w:val="yTableNAm"/>
              <w:tabs>
                <w:tab w:val="clear" w:pos="567"/>
              </w:tabs>
              <w:ind w:right="510"/>
              <w:jc w:val="right"/>
            </w:pPr>
          </w:p>
        </w:tc>
      </w:tr>
    </w:tbl>
    <w:p>
      <w:pPr>
        <w:pStyle w:val="yFootnotesection"/>
      </w:pPr>
      <w:r>
        <w:tab/>
        <w:t>[Schedule 1 amended in Gazette 30 Jun 1995 p. 2637 and 2643; 19 Jul 1996 p. 3458; 1 Aug 1997 p. 4394; 23 Jan 1998 p. 408; 8 Dec 1998 p. 6574; 2 Jul 1999 p. 2919; 31 Dec 1999 p. 7076; 27 Aug 2002 p. 4354; 12 Dec 2003 p. 5037; 4 Jun 2004 p. 1933; 13 May 2005 p. 2080; 14 Jul 2006 p. 2564; 18 May 2007 p. 2257; 11 Mar 2008 p. 818</w:t>
      </w:r>
      <w:r>
        <w:noBreakHyphen/>
        <w:t>19; 23 Jun 2009 p. 2466; 29 Jan 2010 p. 200; 25 Jun 2010 p. 2869; 17 Sep 2010 p. 4759; 17 Jun 2011 p. 2169; 13 Dec 2011 p. 5282; 16 Mar 2012 p. 1256; 23 Mar 2012 p. 1370; 8 Jun 2012 p. 2386; 5 Feb 2013 p. 836; 10 May 2013 p. 1937; 20 Aug 2013 p. 3884</w:t>
      </w:r>
      <w:ins w:id="63" w:author="Master Repository Process" w:date="2021-08-28T08:15:00Z">
        <w:r>
          <w:t>; 20 Jun 2014 p. 2026</w:t>
        </w:r>
      </w:ins>
      <w:r>
        <w:t>.]</w:t>
      </w:r>
    </w:p>
    <w:p>
      <w:pPr>
        <w:pStyle w:val="yScheduleHeading"/>
      </w:pPr>
      <w:bookmarkStart w:id="64" w:name="_Toc391017387"/>
      <w:bookmarkStart w:id="65" w:name="_Toc377549581"/>
      <w:r>
        <w:rPr>
          <w:rStyle w:val="CharSchNo"/>
        </w:rPr>
        <w:t>Schedule 2</w:t>
      </w:r>
      <w:r>
        <w:t> — </w:t>
      </w:r>
      <w:r>
        <w:rPr>
          <w:rStyle w:val="CharSchText"/>
        </w:rPr>
        <w:t>Enforcement fees</w:t>
      </w:r>
      <w:bookmarkEnd w:id="64"/>
      <w:bookmarkEnd w:id="65"/>
    </w:p>
    <w:p>
      <w:pPr>
        <w:pStyle w:val="yShoulderClause"/>
      </w:pPr>
      <w:r>
        <w:t>[r. 9]</w:t>
      </w:r>
    </w:p>
    <w:p>
      <w:pPr>
        <w:pStyle w:val="yFootnoteheading"/>
        <w:spacing w:before="100"/>
      </w:pPr>
      <w:r>
        <w:tab/>
        <w:t>[Heading inserted in Gazette 13 May 2005 p. 2080.]</w:t>
      </w:r>
    </w:p>
    <w:p>
      <w:pPr>
        <w:pStyle w:val="yHeading3"/>
        <w:spacing w:before="200" w:after="60"/>
      </w:pPr>
      <w:bookmarkStart w:id="66" w:name="_Toc391017388"/>
      <w:bookmarkStart w:id="67" w:name="_Toc377549582"/>
      <w:r>
        <w:rPr>
          <w:rStyle w:val="CharSDivNo"/>
        </w:rPr>
        <w:t>Division 1</w:t>
      </w:r>
      <w:r>
        <w:rPr>
          <w:b w:val="0"/>
        </w:rPr>
        <w:t> — </w:t>
      </w:r>
      <w:r>
        <w:rPr>
          <w:rStyle w:val="CharSDivText"/>
        </w:rPr>
        <w:t>Enforcement fees for Part 3 of the Act</w:t>
      </w:r>
      <w:bookmarkEnd w:id="66"/>
      <w:bookmarkEnd w:id="67"/>
    </w:p>
    <w:tbl>
      <w:tblPr>
        <w:tblW w:w="0" w:type="auto"/>
        <w:tblInd w:w="142" w:type="dxa"/>
        <w:tblLayout w:type="fixed"/>
        <w:tblCellMar>
          <w:left w:w="142" w:type="dxa"/>
          <w:right w:w="142" w:type="dxa"/>
        </w:tblCellMar>
        <w:tblLook w:val="0000" w:firstRow="0" w:lastRow="0" w:firstColumn="0" w:lastColumn="0" w:noHBand="0" w:noVBand="0"/>
      </w:tblPr>
      <w:tblGrid>
        <w:gridCol w:w="709"/>
        <w:gridCol w:w="5387"/>
        <w:gridCol w:w="992"/>
      </w:tblGrid>
      <w:tr>
        <w:tc>
          <w:tcPr>
            <w:tcW w:w="709" w:type="dxa"/>
          </w:tcPr>
          <w:p>
            <w:pPr>
              <w:pStyle w:val="yTableNAm"/>
              <w:tabs>
                <w:tab w:val="right" w:pos="2765"/>
                <w:tab w:val="left" w:pos="3053"/>
                <w:tab w:val="right" w:leader="dot" w:pos="5670"/>
              </w:tabs>
              <w:spacing w:before="100" w:line="260" w:lineRule="atLeast"/>
              <w:ind w:left="595" w:hanging="595"/>
              <w:rPr>
                <w:szCs w:val="22"/>
              </w:rPr>
            </w:pPr>
            <w:r>
              <w:rPr>
                <w:szCs w:val="22"/>
              </w:rPr>
              <w:t>1.</w:t>
            </w:r>
          </w:p>
        </w:tc>
        <w:tc>
          <w:tcPr>
            <w:tcW w:w="5387" w:type="dxa"/>
          </w:tcPr>
          <w:p>
            <w:pPr>
              <w:pStyle w:val="yTableNAm"/>
              <w:tabs>
                <w:tab w:val="right" w:leader="dot" w:pos="5670"/>
              </w:tabs>
              <w:spacing w:before="100"/>
              <w:rPr>
                <w:szCs w:val="22"/>
              </w:rPr>
            </w:pPr>
            <w:r>
              <w:rPr>
                <w:szCs w:val="22"/>
              </w:rPr>
              <w:t>Fee for issuing a final demand ...........................................</w:t>
            </w:r>
          </w:p>
          <w:p>
            <w:pPr>
              <w:pStyle w:val="yTableNAm"/>
              <w:tabs>
                <w:tab w:val="right" w:leader="dot" w:pos="5670"/>
              </w:tabs>
              <w:spacing w:before="100"/>
              <w:rPr>
                <w:szCs w:val="22"/>
              </w:rPr>
            </w:pPr>
            <w:r>
              <w:rPr>
                <w:szCs w:val="22"/>
              </w:rPr>
              <w:t>(To be imposed when the final demand is issued.)</w:t>
            </w:r>
          </w:p>
        </w:tc>
        <w:tc>
          <w:tcPr>
            <w:tcW w:w="992" w:type="dxa"/>
            <w:noWrap/>
            <w:tcMar>
              <w:left w:w="85" w:type="dxa"/>
              <w:right w:w="85" w:type="dxa"/>
            </w:tcMar>
          </w:tcPr>
          <w:p>
            <w:pPr>
              <w:pStyle w:val="yTableNAm"/>
              <w:tabs>
                <w:tab w:val="right" w:leader="dot" w:pos="5814"/>
              </w:tabs>
              <w:spacing w:before="100"/>
            </w:pPr>
            <w:r>
              <w:t>$13.50</w:t>
            </w:r>
          </w:p>
        </w:tc>
      </w:tr>
      <w:tr>
        <w:tc>
          <w:tcPr>
            <w:tcW w:w="709" w:type="dxa"/>
          </w:tcPr>
          <w:p>
            <w:pPr>
              <w:pStyle w:val="yTableNAm"/>
              <w:tabs>
                <w:tab w:val="right" w:leader="dot" w:pos="5670"/>
              </w:tabs>
              <w:spacing w:before="100"/>
              <w:ind w:left="595" w:hanging="595"/>
              <w:rPr>
                <w:szCs w:val="22"/>
              </w:rPr>
            </w:pPr>
            <w:r>
              <w:rPr>
                <w:szCs w:val="22"/>
              </w:rPr>
              <w:t>2.</w:t>
            </w:r>
          </w:p>
        </w:tc>
        <w:tc>
          <w:tcPr>
            <w:tcW w:w="5387" w:type="dxa"/>
          </w:tcPr>
          <w:p>
            <w:pPr>
              <w:pStyle w:val="yTableNAm"/>
              <w:tabs>
                <w:tab w:val="right" w:leader="dot" w:pos="5670"/>
              </w:tabs>
              <w:spacing w:before="100"/>
              <w:rPr>
                <w:szCs w:val="22"/>
              </w:rPr>
            </w:pPr>
            <w:r>
              <w:rPr>
                <w:szCs w:val="22"/>
              </w:rPr>
              <w:t>Fee for preparing an enforcement certificate in relation to an infringement notice, for each infringement notice ........</w:t>
            </w:r>
          </w:p>
          <w:p>
            <w:pPr>
              <w:pStyle w:val="yTableNAm"/>
              <w:tabs>
                <w:tab w:val="right" w:leader="dot" w:pos="5670"/>
              </w:tabs>
              <w:spacing w:before="100"/>
              <w:rPr>
                <w:szCs w:val="22"/>
              </w:rPr>
            </w:pPr>
            <w:r>
              <w:rPr>
                <w:szCs w:val="22"/>
              </w:rPr>
              <w:t>(To be imposed when the infringement notice is registered.)</w:t>
            </w:r>
          </w:p>
        </w:tc>
        <w:tc>
          <w:tcPr>
            <w:tcW w:w="992" w:type="dxa"/>
            <w:noWrap/>
            <w:tcMar>
              <w:left w:w="85" w:type="dxa"/>
              <w:right w:w="85" w:type="dxa"/>
            </w:tcMar>
          </w:tcPr>
          <w:p>
            <w:pPr>
              <w:pStyle w:val="yTableNAm"/>
              <w:tabs>
                <w:tab w:val="right" w:leader="dot" w:pos="5814"/>
              </w:tabs>
              <w:spacing w:before="100"/>
            </w:pPr>
            <w:r>
              <w:br/>
              <w:t>$11.50</w:t>
            </w:r>
          </w:p>
        </w:tc>
      </w:tr>
      <w:tr>
        <w:tc>
          <w:tcPr>
            <w:tcW w:w="709" w:type="dxa"/>
          </w:tcPr>
          <w:p>
            <w:pPr>
              <w:pStyle w:val="yTableNAm"/>
              <w:tabs>
                <w:tab w:val="right" w:leader="dot" w:pos="5670"/>
              </w:tabs>
              <w:spacing w:before="100"/>
              <w:ind w:left="595" w:hanging="595"/>
              <w:rPr>
                <w:szCs w:val="22"/>
              </w:rPr>
            </w:pPr>
            <w:r>
              <w:rPr>
                <w:szCs w:val="22"/>
              </w:rPr>
              <w:t>3.</w:t>
            </w:r>
          </w:p>
        </w:tc>
        <w:tc>
          <w:tcPr>
            <w:tcW w:w="5387" w:type="dxa"/>
          </w:tcPr>
          <w:p>
            <w:pPr>
              <w:pStyle w:val="yTableNAm"/>
              <w:tabs>
                <w:tab w:val="right" w:leader="dot" w:pos="5670"/>
              </w:tabs>
              <w:spacing w:before="100"/>
              <w:rPr>
                <w:szCs w:val="22"/>
              </w:rPr>
            </w:pPr>
            <w:r>
              <w:rPr>
                <w:szCs w:val="22"/>
              </w:rPr>
              <w:t>Fee for registering an infringement notice with the Registry ..............................................................................</w:t>
            </w:r>
          </w:p>
          <w:p>
            <w:pPr>
              <w:pStyle w:val="yTableNAm"/>
              <w:tabs>
                <w:tab w:val="right" w:leader="dot" w:pos="5670"/>
              </w:tabs>
              <w:spacing w:before="100"/>
              <w:rPr>
                <w:szCs w:val="22"/>
              </w:rPr>
            </w:pPr>
            <w:r>
              <w:rPr>
                <w:szCs w:val="22"/>
              </w:rPr>
              <w:t>(To be imposed when the notice is registered.)</w:t>
            </w:r>
          </w:p>
        </w:tc>
        <w:tc>
          <w:tcPr>
            <w:tcW w:w="992" w:type="dxa"/>
            <w:noWrap/>
            <w:tcMar>
              <w:left w:w="85" w:type="dxa"/>
              <w:right w:w="85" w:type="dxa"/>
            </w:tcMar>
          </w:tcPr>
          <w:p>
            <w:pPr>
              <w:pStyle w:val="yTableNAm"/>
              <w:tabs>
                <w:tab w:val="right" w:leader="dot" w:pos="5814"/>
              </w:tabs>
              <w:spacing w:before="100"/>
            </w:pPr>
            <w:r>
              <w:br/>
              <w:t>$43.00</w:t>
            </w:r>
          </w:p>
        </w:tc>
      </w:tr>
      <w:tr>
        <w:tc>
          <w:tcPr>
            <w:tcW w:w="709" w:type="dxa"/>
          </w:tcPr>
          <w:p>
            <w:pPr>
              <w:spacing w:before="100"/>
              <w:rPr>
                <w:sz w:val="22"/>
                <w:szCs w:val="22"/>
              </w:rPr>
            </w:pPr>
            <w:r>
              <w:rPr>
                <w:sz w:val="22"/>
                <w:szCs w:val="22"/>
              </w:rPr>
              <w:t>4.</w:t>
            </w:r>
          </w:p>
        </w:tc>
        <w:tc>
          <w:tcPr>
            <w:tcW w:w="5387" w:type="dxa"/>
          </w:tcPr>
          <w:p>
            <w:pPr>
              <w:spacing w:before="100"/>
              <w:rPr>
                <w:sz w:val="22"/>
                <w:szCs w:val="22"/>
              </w:rPr>
            </w:pPr>
            <w:r>
              <w:rPr>
                <w:sz w:val="22"/>
                <w:szCs w:val="22"/>
              </w:rPr>
              <w:t>Fee for issuing a notice of intention to enforce .................</w:t>
            </w:r>
          </w:p>
          <w:p>
            <w:pPr>
              <w:pStyle w:val="yTableNAm"/>
              <w:tabs>
                <w:tab w:val="right" w:leader="dot" w:pos="5670"/>
              </w:tabs>
              <w:spacing w:before="100"/>
              <w:rPr>
                <w:szCs w:val="22"/>
              </w:rPr>
            </w:pPr>
            <w:r>
              <w:rPr>
                <w:szCs w:val="22"/>
              </w:rPr>
              <w:t>(To be imposed when a licence suspension order is made or when an enforcement warrant is issued, but not twice.)</w:t>
            </w:r>
          </w:p>
        </w:tc>
        <w:tc>
          <w:tcPr>
            <w:tcW w:w="992" w:type="dxa"/>
            <w:noWrap/>
            <w:tcMar>
              <w:left w:w="85" w:type="dxa"/>
              <w:right w:w="85" w:type="dxa"/>
            </w:tcMar>
          </w:tcPr>
          <w:p>
            <w:pPr>
              <w:pStyle w:val="yTableNAm"/>
              <w:tabs>
                <w:tab w:val="right" w:leader="dot" w:pos="5814"/>
              </w:tabs>
              <w:spacing w:before="100"/>
            </w:pPr>
            <w:r>
              <w:t>$28.50</w:t>
            </w:r>
          </w:p>
        </w:tc>
      </w:tr>
      <w:tr>
        <w:tc>
          <w:tcPr>
            <w:tcW w:w="709" w:type="dxa"/>
          </w:tcPr>
          <w:p>
            <w:pPr>
              <w:spacing w:before="100"/>
              <w:rPr>
                <w:szCs w:val="22"/>
              </w:rPr>
            </w:pPr>
            <w:r>
              <w:rPr>
                <w:sz w:val="22"/>
                <w:szCs w:val="22"/>
              </w:rPr>
              <w:t>5.</w:t>
            </w:r>
          </w:p>
        </w:tc>
        <w:tc>
          <w:tcPr>
            <w:tcW w:w="5387" w:type="dxa"/>
          </w:tcPr>
          <w:p>
            <w:pPr>
              <w:spacing w:before="100"/>
              <w:rPr>
                <w:sz w:val="22"/>
                <w:szCs w:val="22"/>
              </w:rPr>
            </w:pPr>
            <w:r>
              <w:rPr>
                <w:sz w:val="22"/>
                <w:szCs w:val="22"/>
              </w:rPr>
              <w:t>Fee for issuing an enforcement warrant .............................</w:t>
            </w:r>
          </w:p>
          <w:p>
            <w:pPr>
              <w:pStyle w:val="yTableNAm"/>
              <w:tabs>
                <w:tab w:val="right" w:leader="dot" w:pos="5670"/>
              </w:tabs>
              <w:spacing w:before="100"/>
              <w:rPr>
                <w:szCs w:val="22"/>
              </w:rPr>
            </w:pPr>
            <w:r>
              <w:rPr>
                <w:szCs w:val="22"/>
              </w:rPr>
              <w:t>(To be imposed when the warrant is issued.)</w:t>
            </w:r>
          </w:p>
        </w:tc>
        <w:tc>
          <w:tcPr>
            <w:tcW w:w="992" w:type="dxa"/>
            <w:noWrap/>
            <w:tcMar>
              <w:left w:w="85" w:type="dxa"/>
              <w:right w:w="85" w:type="dxa"/>
            </w:tcMar>
          </w:tcPr>
          <w:p>
            <w:pPr>
              <w:pStyle w:val="yTableNAm"/>
              <w:tabs>
                <w:tab w:val="right" w:leader="dot" w:pos="5814"/>
              </w:tabs>
              <w:spacing w:before="100"/>
            </w:pPr>
            <w:r>
              <w:t>$134.00</w:t>
            </w:r>
          </w:p>
        </w:tc>
      </w:tr>
    </w:tbl>
    <w:p>
      <w:pPr>
        <w:pStyle w:val="yFootnotesection"/>
        <w:tabs>
          <w:tab w:val="right" w:leader="dot" w:pos="5814"/>
        </w:tabs>
      </w:pPr>
      <w:r>
        <w:tab/>
        <w:t>[Division 1 inserted in Gazette 13 May 2005 p. 2080; amended in Gazette 23 Jun 2006 p. 2191; 26 Jun 2007 p. 3032; 20 Aug 2013 p. 3885.]</w:t>
      </w:r>
    </w:p>
    <w:p>
      <w:pPr>
        <w:pStyle w:val="yHeading3"/>
        <w:tabs>
          <w:tab w:val="right" w:leader="dot" w:pos="5814"/>
        </w:tabs>
        <w:spacing w:before="200" w:after="80"/>
      </w:pPr>
      <w:bookmarkStart w:id="68" w:name="_Toc391017389"/>
      <w:bookmarkStart w:id="69" w:name="_Toc377549583"/>
      <w:r>
        <w:rPr>
          <w:rStyle w:val="CharSDivNo"/>
        </w:rPr>
        <w:t>Division 2</w:t>
      </w:r>
      <w:r>
        <w:rPr>
          <w:b w:val="0"/>
        </w:rPr>
        <w:t> — </w:t>
      </w:r>
      <w:r>
        <w:rPr>
          <w:rStyle w:val="CharSDivText"/>
        </w:rPr>
        <w:t>Enforcement fees for Part 4 of the Act</w:t>
      </w:r>
      <w:bookmarkEnd w:id="68"/>
      <w:bookmarkEnd w:id="69"/>
    </w:p>
    <w:tbl>
      <w:tblPr>
        <w:tblW w:w="0" w:type="auto"/>
        <w:tblInd w:w="142" w:type="dxa"/>
        <w:tblLayout w:type="fixed"/>
        <w:tblCellMar>
          <w:left w:w="142" w:type="dxa"/>
          <w:right w:w="142" w:type="dxa"/>
        </w:tblCellMar>
        <w:tblLook w:val="0000" w:firstRow="0" w:lastRow="0" w:firstColumn="0" w:lastColumn="0" w:noHBand="0" w:noVBand="0"/>
      </w:tblPr>
      <w:tblGrid>
        <w:gridCol w:w="703"/>
        <w:gridCol w:w="5393"/>
        <w:gridCol w:w="992"/>
      </w:tblGrid>
      <w:tr>
        <w:tc>
          <w:tcPr>
            <w:tcW w:w="703" w:type="dxa"/>
          </w:tcPr>
          <w:p>
            <w:pPr>
              <w:spacing w:before="100"/>
              <w:rPr>
                <w:sz w:val="22"/>
                <w:szCs w:val="22"/>
              </w:rPr>
            </w:pPr>
            <w:r>
              <w:rPr>
                <w:sz w:val="22"/>
                <w:szCs w:val="22"/>
              </w:rPr>
              <w:t>1.</w:t>
            </w:r>
          </w:p>
        </w:tc>
        <w:tc>
          <w:tcPr>
            <w:tcW w:w="5393" w:type="dxa"/>
          </w:tcPr>
          <w:p>
            <w:pPr>
              <w:spacing w:before="100"/>
              <w:rPr>
                <w:sz w:val="22"/>
                <w:szCs w:val="22"/>
              </w:rPr>
            </w:pPr>
            <w:r>
              <w:rPr>
                <w:sz w:val="22"/>
                <w:szCs w:val="22"/>
              </w:rPr>
              <w:t>Fee for issuing a notice of intention to enforce .................</w:t>
            </w:r>
          </w:p>
          <w:p>
            <w:pPr>
              <w:pStyle w:val="yTableNAm"/>
              <w:tabs>
                <w:tab w:val="right" w:leader="dot" w:pos="5670"/>
              </w:tabs>
              <w:spacing w:before="100"/>
              <w:rPr>
                <w:szCs w:val="22"/>
              </w:rPr>
            </w:pPr>
            <w:r>
              <w:rPr>
                <w:szCs w:val="22"/>
              </w:rPr>
              <w:t>(To be imposed when a licence suspension order is made or when an enforcement warrant is issued, but not twice.)</w:t>
            </w:r>
          </w:p>
        </w:tc>
        <w:tc>
          <w:tcPr>
            <w:tcW w:w="992" w:type="dxa"/>
            <w:noWrap/>
            <w:tcMar>
              <w:left w:w="85" w:type="dxa"/>
              <w:right w:w="85" w:type="dxa"/>
            </w:tcMar>
          </w:tcPr>
          <w:p>
            <w:pPr>
              <w:pStyle w:val="yTable"/>
              <w:tabs>
                <w:tab w:val="right" w:leader="dot" w:pos="5814"/>
              </w:tabs>
              <w:spacing w:before="100"/>
              <w:ind w:left="23" w:right="-125" w:hanging="23"/>
              <w:rPr>
                <w:szCs w:val="22"/>
              </w:rPr>
            </w:pPr>
            <w:r>
              <w:rPr>
                <w:szCs w:val="22"/>
              </w:rPr>
              <w:t>$28.50</w:t>
            </w:r>
          </w:p>
        </w:tc>
      </w:tr>
      <w:tr>
        <w:tc>
          <w:tcPr>
            <w:tcW w:w="703" w:type="dxa"/>
          </w:tcPr>
          <w:p>
            <w:pPr>
              <w:spacing w:before="100"/>
              <w:rPr>
                <w:sz w:val="22"/>
                <w:szCs w:val="22"/>
              </w:rPr>
            </w:pPr>
            <w:r>
              <w:rPr>
                <w:sz w:val="22"/>
                <w:szCs w:val="22"/>
              </w:rPr>
              <w:t>2.</w:t>
            </w:r>
          </w:p>
        </w:tc>
        <w:tc>
          <w:tcPr>
            <w:tcW w:w="5393" w:type="dxa"/>
          </w:tcPr>
          <w:p>
            <w:pPr>
              <w:spacing w:before="100"/>
              <w:rPr>
                <w:sz w:val="22"/>
                <w:szCs w:val="22"/>
              </w:rPr>
            </w:pPr>
            <w:r>
              <w:rPr>
                <w:sz w:val="22"/>
                <w:szCs w:val="22"/>
              </w:rPr>
              <w:t>Fee for issuing an enforcement warrant .............................</w:t>
            </w:r>
          </w:p>
          <w:p>
            <w:pPr>
              <w:spacing w:before="100"/>
              <w:rPr>
                <w:sz w:val="22"/>
                <w:szCs w:val="22"/>
              </w:rPr>
            </w:pPr>
            <w:r>
              <w:rPr>
                <w:sz w:val="22"/>
                <w:szCs w:val="22"/>
              </w:rPr>
              <w:t>(To be imposed when the warrant is issued.)</w:t>
            </w:r>
          </w:p>
        </w:tc>
        <w:tc>
          <w:tcPr>
            <w:tcW w:w="992" w:type="dxa"/>
            <w:noWrap/>
            <w:tcMar>
              <w:left w:w="85" w:type="dxa"/>
              <w:right w:w="85" w:type="dxa"/>
            </w:tcMar>
          </w:tcPr>
          <w:p>
            <w:pPr>
              <w:pStyle w:val="yTable"/>
              <w:tabs>
                <w:tab w:val="right" w:leader="dot" w:pos="5814"/>
              </w:tabs>
              <w:spacing w:before="100"/>
              <w:ind w:left="23" w:right="-125" w:hanging="23"/>
              <w:rPr>
                <w:szCs w:val="22"/>
              </w:rPr>
            </w:pPr>
            <w:r>
              <w:rPr>
                <w:szCs w:val="22"/>
              </w:rPr>
              <w:t>$134.00</w:t>
            </w:r>
          </w:p>
        </w:tc>
      </w:tr>
    </w:tbl>
    <w:p>
      <w:pPr>
        <w:pStyle w:val="yFootnotesection"/>
      </w:pPr>
      <w:r>
        <w:tab/>
        <w:t>[Division 2 inserted in Gazette 13 May 2005 p. 2080; amended in Gazette 23 Jun 2006 p. 2191; 26 Jun 2007 p. 3032; 20 Aug 2013 p. 3885.]</w:t>
      </w:r>
    </w:p>
    <w:p>
      <w:pPr>
        <w:pStyle w:val="yHeading3"/>
        <w:spacing w:after="60"/>
      </w:pPr>
      <w:bookmarkStart w:id="70" w:name="_Toc391017390"/>
      <w:bookmarkStart w:id="71" w:name="_Toc377549584"/>
      <w:r>
        <w:rPr>
          <w:rStyle w:val="CharSDivNo"/>
        </w:rPr>
        <w:t>Division 3</w:t>
      </w:r>
      <w:r>
        <w:rPr>
          <w:b w:val="0"/>
        </w:rPr>
        <w:t> — </w:t>
      </w:r>
      <w:r>
        <w:rPr>
          <w:rStyle w:val="CharSDivText"/>
        </w:rPr>
        <w:t>Enforcement fees for Part 7 of the Act</w:t>
      </w:r>
      <w:bookmarkEnd w:id="70"/>
      <w:bookmarkEnd w:id="71"/>
    </w:p>
    <w:tbl>
      <w:tblPr>
        <w:tblW w:w="0" w:type="auto"/>
        <w:tblInd w:w="142" w:type="dxa"/>
        <w:tblLayout w:type="fixed"/>
        <w:tblCellMar>
          <w:left w:w="142" w:type="dxa"/>
          <w:right w:w="142" w:type="dxa"/>
        </w:tblCellMar>
        <w:tblLook w:val="0000" w:firstRow="0" w:lastRow="0" w:firstColumn="0" w:lastColumn="0" w:noHBand="0" w:noVBand="0"/>
      </w:tblPr>
      <w:tblGrid>
        <w:gridCol w:w="5954"/>
        <w:gridCol w:w="1134"/>
        <w:gridCol w:w="29"/>
      </w:tblGrid>
      <w:tr>
        <w:trPr>
          <w:gridAfter w:val="1"/>
          <w:wAfter w:w="29" w:type="dxa"/>
        </w:trPr>
        <w:tc>
          <w:tcPr>
            <w:tcW w:w="5954" w:type="dxa"/>
          </w:tcPr>
          <w:p>
            <w:pPr>
              <w:pStyle w:val="yTableNAm"/>
              <w:keepNext/>
              <w:tabs>
                <w:tab w:val="clear" w:pos="567"/>
                <w:tab w:val="right" w:leader="dot" w:pos="5644"/>
              </w:tabs>
              <w:ind w:left="709" w:hanging="709"/>
            </w:pPr>
            <w:r>
              <w:t>1.</w:t>
            </w:r>
            <w:r>
              <w:tab/>
              <w:t xml:space="preserve">Fee for attending the </w:t>
            </w:r>
            <w:smartTag w:uri="urn:schemas-microsoft-com:office:smarttags" w:element="Street">
              <w:r>
                <w:t>Magistrates Court</w:t>
              </w:r>
            </w:smartTag>
            <w:r>
              <w:t xml:space="preserve"> in connection with proceedings to examine a person under section 69, for each hour or part of an hour </w:t>
            </w:r>
            <w:r>
              <w:tab/>
            </w:r>
          </w:p>
        </w:tc>
        <w:tc>
          <w:tcPr>
            <w:tcW w:w="1134" w:type="dxa"/>
          </w:tcPr>
          <w:p>
            <w:pPr>
              <w:pStyle w:val="yTable"/>
              <w:keepNext/>
              <w:spacing w:before="120" w:after="40"/>
            </w:pPr>
            <w:r>
              <w:br/>
            </w:r>
            <w:r>
              <w:br/>
              <w:t>$59.50</w:t>
            </w:r>
          </w:p>
        </w:tc>
      </w:tr>
      <w:tr>
        <w:trPr>
          <w:gridAfter w:val="1"/>
          <w:wAfter w:w="29" w:type="dxa"/>
        </w:trPr>
        <w:tc>
          <w:tcPr>
            <w:tcW w:w="5954" w:type="dxa"/>
          </w:tcPr>
          <w:p>
            <w:pPr>
              <w:pStyle w:val="yTableNAm"/>
              <w:keepNext/>
              <w:tabs>
                <w:tab w:val="clear" w:pos="567"/>
                <w:tab w:val="right" w:leader="dot" w:pos="5644"/>
              </w:tabs>
              <w:ind w:left="709" w:hanging="709"/>
            </w:pPr>
            <w:r>
              <w:rPr>
                <w:snapToGrid w:val="0"/>
              </w:rPr>
              <w:t>2.</w:t>
            </w:r>
            <w:r>
              <w:rPr>
                <w:snapToGrid w:val="0"/>
              </w:rPr>
              <w:tab/>
              <w:t>The actual amounts disbursed in connection with seizing, moving, storing, securing, protecting and insuring property (including amounts disbursed for the keeping of animals) are prescribed as enforcement fees.</w:t>
            </w:r>
          </w:p>
        </w:tc>
        <w:tc>
          <w:tcPr>
            <w:tcW w:w="1134" w:type="dxa"/>
          </w:tcPr>
          <w:p>
            <w:pPr>
              <w:pStyle w:val="yTable"/>
              <w:spacing w:before="120" w:after="40"/>
              <w:ind w:left="567" w:hanging="567"/>
            </w:pPr>
          </w:p>
        </w:tc>
      </w:tr>
      <w:tr>
        <w:trPr>
          <w:gridAfter w:val="1"/>
          <w:wAfter w:w="29" w:type="dxa"/>
        </w:trPr>
        <w:tc>
          <w:tcPr>
            <w:tcW w:w="5954" w:type="dxa"/>
          </w:tcPr>
          <w:p>
            <w:pPr>
              <w:pStyle w:val="yTableNAm"/>
              <w:keepNext/>
              <w:tabs>
                <w:tab w:val="clear" w:pos="567"/>
                <w:tab w:val="right" w:leader="dot" w:pos="5644"/>
              </w:tabs>
              <w:ind w:left="709" w:hanging="709"/>
            </w:pPr>
            <w:r>
              <w:t>3.</w:t>
            </w:r>
            <w:r>
              <w:tab/>
              <w:t xml:space="preserve">Fee for inspecting personal property under seizure </w:t>
            </w:r>
            <w:r>
              <w:tab/>
            </w:r>
          </w:p>
        </w:tc>
        <w:tc>
          <w:tcPr>
            <w:tcW w:w="1134" w:type="dxa"/>
          </w:tcPr>
          <w:p>
            <w:pPr>
              <w:pStyle w:val="yTable"/>
              <w:spacing w:before="120" w:after="40"/>
              <w:ind w:left="567" w:hanging="567"/>
            </w:pPr>
            <w:r>
              <w:t>$40.00</w:t>
            </w:r>
          </w:p>
        </w:tc>
      </w:tr>
      <w:tr>
        <w:trPr>
          <w:gridAfter w:val="1"/>
          <w:wAfter w:w="29" w:type="dxa"/>
        </w:trPr>
        <w:tc>
          <w:tcPr>
            <w:tcW w:w="5954" w:type="dxa"/>
          </w:tcPr>
          <w:p>
            <w:pPr>
              <w:pStyle w:val="yTableNAm"/>
              <w:keepNext/>
              <w:tabs>
                <w:tab w:val="clear" w:pos="567"/>
                <w:tab w:val="right" w:leader="dot" w:pos="5644"/>
              </w:tabs>
              <w:ind w:left="709" w:hanging="709"/>
            </w:pPr>
            <w:r>
              <w:t>4.</w:t>
            </w:r>
            <w:r>
              <w:tab/>
              <w:t xml:space="preserve">Fee for lodging a memorial under section 89 </w:t>
            </w:r>
            <w:r>
              <w:tab/>
            </w:r>
          </w:p>
        </w:tc>
        <w:tc>
          <w:tcPr>
            <w:tcW w:w="1134" w:type="dxa"/>
          </w:tcPr>
          <w:p>
            <w:pPr>
              <w:pStyle w:val="yTable"/>
              <w:spacing w:before="120" w:after="40"/>
              <w:ind w:left="567" w:hanging="567"/>
            </w:pPr>
            <w:r>
              <w:t>$43.00</w:t>
            </w:r>
          </w:p>
        </w:tc>
      </w:tr>
      <w:tr>
        <w:trPr>
          <w:gridAfter w:val="1"/>
          <w:wAfter w:w="29" w:type="dxa"/>
        </w:trPr>
        <w:tc>
          <w:tcPr>
            <w:tcW w:w="5954" w:type="dxa"/>
          </w:tcPr>
          <w:p>
            <w:pPr>
              <w:pStyle w:val="yTableNAm"/>
              <w:keepNext/>
              <w:tabs>
                <w:tab w:val="clear" w:pos="567"/>
                <w:tab w:val="right" w:leader="dot" w:pos="5644"/>
              </w:tabs>
              <w:ind w:left="709" w:hanging="709"/>
            </w:pPr>
            <w:r>
              <w:t>5.</w:t>
            </w:r>
            <w:r>
              <w:tab/>
              <w:t xml:space="preserve">Fee for lodging a withdrawal of memorial under section 90 </w:t>
            </w:r>
            <w:r>
              <w:tab/>
            </w:r>
          </w:p>
        </w:tc>
        <w:tc>
          <w:tcPr>
            <w:tcW w:w="1134" w:type="dxa"/>
          </w:tcPr>
          <w:p>
            <w:pPr>
              <w:pStyle w:val="yTable"/>
              <w:spacing w:before="120" w:after="40"/>
            </w:pPr>
            <w:r>
              <w:br/>
              <w:t>$28.50</w:t>
            </w:r>
          </w:p>
        </w:tc>
      </w:tr>
      <w:tr>
        <w:trPr>
          <w:gridAfter w:val="1"/>
          <w:wAfter w:w="29" w:type="dxa"/>
          <w:cantSplit/>
        </w:trPr>
        <w:tc>
          <w:tcPr>
            <w:tcW w:w="5954" w:type="dxa"/>
          </w:tcPr>
          <w:p>
            <w:pPr>
              <w:pStyle w:val="yTableNAm"/>
              <w:keepNext/>
              <w:tabs>
                <w:tab w:val="clear" w:pos="567"/>
                <w:tab w:val="right" w:leader="dot" w:pos="5644"/>
              </w:tabs>
              <w:ind w:left="709" w:hanging="709"/>
            </w:pPr>
            <w:r>
              <w:rPr>
                <w:snapToGrid w:val="0"/>
              </w:rPr>
              <w:t>6.</w:t>
            </w:r>
            <w:r>
              <w:rPr>
                <w:snapToGrid w:val="0"/>
              </w:rPr>
              <w:tab/>
              <w:t>The actual amounts disbursed for the purpose of valuing any personal property or land, or for searches of titles and other records, are prescribed as enforcement fees.</w:t>
            </w:r>
          </w:p>
        </w:tc>
        <w:tc>
          <w:tcPr>
            <w:tcW w:w="1134" w:type="dxa"/>
          </w:tcPr>
          <w:p>
            <w:pPr>
              <w:pStyle w:val="yTable"/>
              <w:spacing w:before="120" w:after="40"/>
            </w:pPr>
          </w:p>
        </w:tc>
      </w:tr>
      <w:tr>
        <w:trPr>
          <w:gridAfter w:val="1"/>
          <w:wAfter w:w="29" w:type="dxa"/>
        </w:trPr>
        <w:tc>
          <w:tcPr>
            <w:tcW w:w="5954" w:type="dxa"/>
          </w:tcPr>
          <w:p>
            <w:pPr>
              <w:pStyle w:val="yTableNAm"/>
              <w:keepNext/>
              <w:tabs>
                <w:tab w:val="clear" w:pos="567"/>
                <w:tab w:val="right" w:leader="dot" w:pos="5644"/>
              </w:tabs>
              <w:ind w:left="709" w:hanging="709"/>
            </w:pPr>
            <w:r>
              <w:rPr>
                <w:snapToGrid w:val="0"/>
              </w:rPr>
              <w:t>7.</w:t>
            </w:r>
            <w:r>
              <w:rPr>
                <w:snapToGrid w:val="0"/>
              </w:rPr>
              <w:tab/>
              <w:t>The actual amounts disbursed for advertising, and otherwise in connection with the arranging of, any intended sale of personal property or land are prescribed as enforcement fees.</w:t>
            </w:r>
          </w:p>
        </w:tc>
        <w:tc>
          <w:tcPr>
            <w:tcW w:w="1134" w:type="dxa"/>
          </w:tcPr>
          <w:p>
            <w:pPr>
              <w:pStyle w:val="yTable"/>
              <w:spacing w:before="120" w:after="40"/>
            </w:pPr>
          </w:p>
        </w:tc>
      </w:tr>
      <w:tr>
        <w:tblPrEx>
          <w:tblCellMar>
            <w:left w:w="113" w:type="dxa"/>
            <w:right w:w="113" w:type="dxa"/>
          </w:tblCellMar>
        </w:tblPrEx>
        <w:tc>
          <w:tcPr>
            <w:tcW w:w="5954" w:type="dxa"/>
          </w:tcPr>
          <w:p>
            <w:pPr>
              <w:pStyle w:val="yTableNAm"/>
              <w:keepNext/>
              <w:tabs>
                <w:tab w:val="clear" w:pos="567"/>
                <w:tab w:val="right" w:leader="dot" w:pos="5644"/>
              </w:tabs>
              <w:ind w:left="709" w:hanging="709"/>
            </w:pPr>
            <w:r>
              <w:t>8.</w:t>
            </w:r>
            <w:r>
              <w:tab/>
              <w:t xml:space="preserve">Fee for arranging a sale of personal property or land, including preparing advertisements and conditions of sale, but excluding disbursements, not exceeding </w:t>
            </w:r>
            <w:r>
              <w:tab/>
            </w:r>
          </w:p>
        </w:tc>
        <w:tc>
          <w:tcPr>
            <w:tcW w:w="1134" w:type="dxa"/>
            <w:gridSpan w:val="2"/>
          </w:tcPr>
          <w:p>
            <w:pPr>
              <w:pStyle w:val="yTable"/>
              <w:spacing w:before="120" w:after="40"/>
            </w:pPr>
            <w:r>
              <w:br/>
            </w:r>
            <w:r>
              <w:br/>
              <w:t>$141.00</w:t>
            </w:r>
          </w:p>
        </w:tc>
      </w:tr>
      <w:tr>
        <w:tblPrEx>
          <w:tblCellMar>
            <w:left w:w="113" w:type="dxa"/>
            <w:right w:w="113" w:type="dxa"/>
          </w:tblCellMar>
        </w:tblPrEx>
        <w:tc>
          <w:tcPr>
            <w:tcW w:w="5954" w:type="dxa"/>
          </w:tcPr>
          <w:p>
            <w:pPr>
              <w:pStyle w:val="yTableNAm"/>
              <w:keepNext/>
              <w:tabs>
                <w:tab w:val="clear" w:pos="567"/>
                <w:tab w:val="right" w:leader="dot" w:pos="5644"/>
              </w:tabs>
              <w:ind w:left="709" w:hanging="709"/>
            </w:pPr>
            <w:r>
              <w:rPr>
                <w:snapToGrid w:val="0"/>
              </w:rPr>
              <w:t>9.</w:t>
            </w:r>
            <w:r>
              <w:rPr>
                <w:snapToGrid w:val="0"/>
              </w:rPr>
              <w:tab/>
              <w:t>The actual amounts disbursed in connection with a sale of personal property or land (including settlement costs) are prescribed as enforcement fees.</w:t>
            </w:r>
          </w:p>
        </w:tc>
        <w:tc>
          <w:tcPr>
            <w:tcW w:w="1134" w:type="dxa"/>
            <w:gridSpan w:val="2"/>
          </w:tcPr>
          <w:p>
            <w:pPr>
              <w:pStyle w:val="yTable"/>
              <w:spacing w:before="120" w:after="40"/>
            </w:pPr>
          </w:p>
        </w:tc>
      </w:tr>
      <w:tr>
        <w:tblPrEx>
          <w:tblCellMar>
            <w:left w:w="113" w:type="dxa"/>
            <w:right w:w="113" w:type="dxa"/>
          </w:tblCellMar>
        </w:tblPrEx>
        <w:tc>
          <w:tcPr>
            <w:tcW w:w="5954" w:type="dxa"/>
          </w:tcPr>
          <w:p>
            <w:pPr>
              <w:pStyle w:val="yTableNAm"/>
              <w:keepNext/>
              <w:tabs>
                <w:tab w:val="clear" w:pos="567"/>
                <w:tab w:val="right" w:leader="dot" w:pos="5644"/>
              </w:tabs>
              <w:ind w:left="709" w:hanging="709"/>
            </w:pPr>
            <w:r>
              <w:t>10.</w:t>
            </w:r>
            <w:r>
              <w:tab/>
              <w:t xml:space="preserve">Fee for attending a sale of personal property or land </w:t>
            </w:r>
            <w:r>
              <w:tab/>
            </w:r>
          </w:p>
        </w:tc>
        <w:tc>
          <w:tcPr>
            <w:tcW w:w="1134" w:type="dxa"/>
            <w:gridSpan w:val="2"/>
          </w:tcPr>
          <w:p>
            <w:pPr>
              <w:pStyle w:val="yTable"/>
              <w:spacing w:before="120" w:after="40"/>
            </w:pPr>
            <w:r>
              <w:t>$63.50</w:t>
            </w:r>
          </w:p>
        </w:tc>
      </w:tr>
      <w:tr>
        <w:tblPrEx>
          <w:tblCellMar>
            <w:left w:w="113" w:type="dxa"/>
            <w:right w:w="113" w:type="dxa"/>
          </w:tblCellMar>
        </w:tblPrEx>
        <w:tc>
          <w:tcPr>
            <w:tcW w:w="5954" w:type="dxa"/>
          </w:tcPr>
          <w:p>
            <w:pPr>
              <w:pStyle w:val="yTableNAm"/>
              <w:keepNext/>
              <w:tabs>
                <w:tab w:val="clear" w:pos="567"/>
                <w:tab w:val="right" w:leader="dot" w:pos="5644"/>
              </w:tabs>
              <w:ind w:left="709" w:hanging="709"/>
            </w:pPr>
            <w:r>
              <w:t>11.</w:t>
            </w:r>
            <w:r>
              <w:tab/>
              <w:t>Fee for preparing and executing a transfer of land sold</w:t>
            </w:r>
            <w:r>
              <w:tab/>
            </w:r>
          </w:p>
        </w:tc>
        <w:tc>
          <w:tcPr>
            <w:tcW w:w="1134" w:type="dxa"/>
            <w:gridSpan w:val="2"/>
          </w:tcPr>
          <w:p>
            <w:pPr>
              <w:pStyle w:val="yTable"/>
              <w:spacing w:before="120" w:after="40"/>
            </w:pPr>
            <w:r>
              <w:t>$141.00</w:t>
            </w:r>
          </w:p>
        </w:tc>
      </w:tr>
      <w:tr>
        <w:tblPrEx>
          <w:tblCellMar>
            <w:left w:w="113" w:type="dxa"/>
            <w:right w:w="113" w:type="dxa"/>
          </w:tblCellMar>
        </w:tblPrEx>
        <w:tc>
          <w:tcPr>
            <w:tcW w:w="5954" w:type="dxa"/>
          </w:tcPr>
          <w:p>
            <w:pPr>
              <w:pStyle w:val="yTableNAm"/>
              <w:keepNext/>
              <w:tabs>
                <w:tab w:val="clear" w:pos="567"/>
                <w:tab w:val="right" w:leader="dot" w:pos="5644"/>
              </w:tabs>
              <w:ind w:left="709" w:hanging="709"/>
            </w:pPr>
            <w:r>
              <w:t>12.</w:t>
            </w:r>
            <w:r>
              <w:tab/>
              <w:t xml:space="preserve">Fee for attending a court in connection with interpleader proceedings, for each half hour or part of a half hour </w:t>
            </w:r>
            <w:r>
              <w:tab/>
            </w:r>
          </w:p>
        </w:tc>
        <w:tc>
          <w:tcPr>
            <w:tcW w:w="1134" w:type="dxa"/>
            <w:gridSpan w:val="2"/>
          </w:tcPr>
          <w:p>
            <w:pPr>
              <w:pStyle w:val="yTable"/>
              <w:spacing w:before="120" w:after="40"/>
            </w:pPr>
            <w:r>
              <w:br/>
              <w:t>$20.00</w:t>
            </w:r>
          </w:p>
        </w:tc>
      </w:tr>
      <w:tr>
        <w:tblPrEx>
          <w:tblCellMar>
            <w:left w:w="113" w:type="dxa"/>
            <w:right w:w="113" w:type="dxa"/>
          </w:tblCellMar>
        </w:tblPrEx>
        <w:trPr>
          <w:cantSplit/>
        </w:trPr>
        <w:tc>
          <w:tcPr>
            <w:tcW w:w="5954" w:type="dxa"/>
          </w:tcPr>
          <w:p>
            <w:pPr>
              <w:pStyle w:val="yTableNAm"/>
              <w:keepNext/>
              <w:tabs>
                <w:tab w:val="clear" w:pos="567"/>
                <w:tab w:val="right" w:leader="dot" w:pos="5644"/>
              </w:tabs>
              <w:ind w:left="709" w:hanging="709"/>
              <w:rPr>
                <w:snapToGrid w:val="0"/>
              </w:rPr>
            </w:pPr>
            <w:r>
              <w:rPr>
                <w:snapToGrid w:val="0"/>
              </w:rPr>
              <w:t>13.</w:t>
            </w:r>
            <w:r>
              <w:rPr>
                <w:snapToGrid w:val="0"/>
              </w:rPr>
              <w:tab/>
              <w:t xml:space="preserve">If the Sheriff or a delegate of the Sheriff is necessarily put to extra trouble and expense in connection with executing </w:t>
            </w:r>
            <w:r>
              <w:rPr>
                <w:szCs w:val="22"/>
              </w:rPr>
              <w:t>an enforcement warrant</w:t>
            </w:r>
            <w:r>
              <w:rPr>
                <w:snapToGrid w:val="0"/>
              </w:rPr>
              <w:t xml:space="preserve"> or is required to do anything not provided for in this Division, the Sheriff may set an amount or an additional amount (as the case may be) and that amount is prescribed as an enforcement fee.</w:t>
            </w:r>
          </w:p>
          <w:p>
            <w:pPr>
              <w:pStyle w:val="yTableNAm"/>
              <w:keepNext/>
              <w:tabs>
                <w:tab w:val="clear" w:pos="567"/>
                <w:tab w:val="right" w:leader="dot" w:pos="5644"/>
              </w:tabs>
              <w:ind w:left="709" w:hanging="709"/>
            </w:pPr>
            <w:r>
              <w:rPr>
                <w:snapToGrid w:val="0"/>
              </w:rPr>
              <w:tab/>
              <w:t xml:space="preserve">If under this item the Sheriff sets an amount for travelling expenses, the amount is not to exceed the rate per kilometre, one way, that is prescribed as a travelling fee for the service of documents in the </w:t>
            </w:r>
            <w:smartTag w:uri="urn:schemas-microsoft-com:office:smarttags" w:element="Street">
              <w:smartTag w:uri="urn:schemas-microsoft-com:office:smarttags" w:element="address">
                <w:r>
                  <w:rPr>
                    <w:i/>
                    <w:snapToGrid w:val="0"/>
                  </w:rPr>
                  <w:t>Magistrates Court</w:t>
                </w:r>
              </w:smartTag>
            </w:smartTag>
            <w:r>
              <w:rPr>
                <w:i/>
                <w:snapToGrid w:val="0"/>
              </w:rPr>
              <w:t xml:space="preserve"> (Fees) Regulations 2005.</w:t>
            </w:r>
          </w:p>
        </w:tc>
        <w:tc>
          <w:tcPr>
            <w:tcW w:w="1134" w:type="dxa"/>
            <w:gridSpan w:val="2"/>
          </w:tcPr>
          <w:p>
            <w:pPr>
              <w:pStyle w:val="yTable"/>
              <w:spacing w:after="40"/>
            </w:pPr>
          </w:p>
        </w:tc>
      </w:tr>
    </w:tbl>
    <w:p>
      <w:pPr>
        <w:pStyle w:val="yFootnotesection"/>
      </w:pPr>
      <w:r>
        <w:tab/>
        <w:t>[Division 3 inserted in Gazette 13 May 2005 p. 2080</w:t>
      </w:r>
      <w:r>
        <w:noBreakHyphen/>
        <w:t>1; amended in Gazette 23 Jun 2006 p. 2192; 26 Jun 2007 p. 3032; 20 Aug 2013 p. 3885.]</w:t>
      </w:r>
    </w:p>
    <w:p>
      <w:pPr>
        <w:sectPr>
          <w:headerReference w:type="even" r:id="rId22"/>
          <w:headerReference w:type="default" r:id="rId23"/>
          <w:headerReference w:type="first" r:id="rId24"/>
          <w:pgSz w:w="11906" w:h="16838" w:code="9"/>
          <w:pgMar w:top="2376" w:right="2405" w:bottom="3542" w:left="2405" w:header="706" w:footer="3380" w:gutter="0"/>
          <w:cols w:space="720"/>
          <w:noEndnote/>
          <w:docGrid w:linePitch="326"/>
        </w:sectPr>
      </w:pPr>
    </w:p>
    <w:p>
      <w:pPr>
        <w:pStyle w:val="yScheduleHeading"/>
      </w:pPr>
      <w:bookmarkStart w:id="72" w:name="_Toc391017391"/>
      <w:bookmarkStart w:id="73" w:name="_Toc377549585"/>
      <w:r>
        <w:rPr>
          <w:rStyle w:val="CharSchNo"/>
        </w:rPr>
        <w:t>Schedule 3</w:t>
      </w:r>
      <w:r>
        <w:rPr>
          <w:rStyle w:val="CharSDivNo"/>
        </w:rPr>
        <w:t> </w:t>
      </w:r>
      <w:r>
        <w:t>—</w:t>
      </w:r>
      <w:r>
        <w:rPr>
          <w:rStyle w:val="CharSDivText"/>
        </w:rPr>
        <w:t> </w:t>
      </w:r>
      <w:r>
        <w:rPr>
          <w:rStyle w:val="CharSchText"/>
        </w:rPr>
        <w:t>Forms</w:t>
      </w:r>
      <w:bookmarkEnd w:id="72"/>
      <w:bookmarkEnd w:id="73"/>
    </w:p>
    <w:p>
      <w:pPr>
        <w:pStyle w:val="yShoulderClause"/>
      </w:pPr>
      <w:r>
        <w:t>[r. 12]</w:t>
      </w:r>
    </w:p>
    <w:p>
      <w:pPr>
        <w:pStyle w:val="yFootnoteheading"/>
        <w:spacing w:before="40"/>
      </w:pPr>
      <w:r>
        <w:tab/>
        <w:t>[Heading inserted in Gazette 13 May 2005 p. 2081.]</w:t>
      </w:r>
    </w:p>
    <w:p>
      <w:pPr>
        <w:pStyle w:val="yHeading5"/>
        <w:spacing w:before="160"/>
      </w:pPr>
      <w:bookmarkStart w:id="74" w:name="_Toc391017392"/>
      <w:bookmarkStart w:id="75" w:name="_Toc377549586"/>
      <w:r>
        <w:rPr>
          <w:rStyle w:val="CharSClsNo"/>
        </w:rPr>
        <w:t>1</w:t>
      </w:r>
      <w:r>
        <w:t>.</w:t>
      </w:r>
      <w:r>
        <w:tab/>
        <w:t>Notice of withdrawal for the purposes of Act s. 22</w:t>
      </w:r>
      <w:bookmarkEnd w:id="74"/>
      <w:bookmarkEnd w:id="75"/>
    </w:p>
    <w:p>
      <w:pPr>
        <w:pStyle w:val="ySubsection"/>
        <w:ind w:left="0" w:firstLine="0"/>
        <w:jc w:val="center"/>
      </w:pPr>
      <w:r>
        <w:tab/>
      </w:r>
      <w:r>
        <w:rPr>
          <w:i/>
        </w:rPr>
        <w:t xml:space="preserve">Fines, </w:t>
      </w:r>
      <w:r>
        <w:rPr>
          <w:i/>
          <w:snapToGrid w:val="0"/>
        </w:rPr>
        <w:t>Penalties</w:t>
      </w:r>
      <w:r>
        <w:rPr>
          <w:i/>
        </w:rPr>
        <w:t xml:space="preserve"> and Infringement Notices Enforcement Act 1994</w:t>
      </w:r>
    </w:p>
    <w:p>
      <w:pPr>
        <w:pStyle w:val="ySubsection"/>
        <w:spacing w:before="0" w:after="40"/>
        <w:ind w:left="0" w:firstLine="0"/>
        <w:jc w:val="center"/>
      </w:pPr>
      <w:r>
        <w:t>[</w:t>
      </w:r>
      <w:r>
        <w:rPr>
          <w:snapToGrid w:val="0"/>
        </w:rPr>
        <w:t>Section</w:t>
      </w:r>
      <w:r>
        <w:t> 22]</w:t>
      </w:r>
    </w:p>
    <w:tbl>
      <w:tblPr>
        <w:tblW w:w="0" w:type="auto"/>
        <w:tblLayout w:type="fixed"/>
        <w:tblLook w:val="0000" w:firstRow="0" w:lastRow="0" w:firstColumn="0" w:lastColumn="0" w:noHBand="0" w:noVBand="0"/>
      </w:tblPr>
      <w:tblGrid>
        <w:gridCol w:w="4361"/>
        <w:gridCol w:w="2872"/>
      </w:tblGrid>
      <w:tr>
        <w:tc>
          <w:tcPr>
            <w:tcW w:w="7233" w:type="dxa"/>
            <w:gridSpan w:val="2"/>
          </w:tcPr>
          <w:p>
            <w:pPr>
              <w:pStyle w:val="yTableNAm"/>
            </w:pPr>
            <w:r>
              <w:t>NOTICE OF WITHDRAWAL OF PROCEEDINGS UNDER PART 3</w:t>
            </w:r>
          </w:p>
        </w:tc>
      </w:tr>
      <w:tr>
        <w:tc>
          <w:tcPr>
            <w:tcW w:w="7233" w:type="dxa"/>
            <w:gridSpan w:val="2"/>
          </w:tcPr>
          <w:p>
            <w:pPr>
              <w:pStyle w:val="yTableNAm"/>
              <w:rPr>
                <w:b/>
              </w:rPr>
            </w:pPr>
            <w:r>
              <w:rPr>
                <w:b/>
              </w:rPr>
              <w:t>To:</w:t>
            </w:r>
          </w:p>
          <w:p>
            <w:pPr>
              <w:pStyle w:val="yTableNAm"/>
            </w:pPr>
            <w:r>
              <w:rPr>
                <w:b/>
              </w:rPr>
              <w:t>Alleged offender</w:t>
            </w:r>
            <w:r>
              <w:t xml:space="preserve"> ................................................................................................</w:t>
            </w:r>
          </w:p>
          <w:p>
            <w:pPr>
              <w:pStyle w:val="yTableNAm"/>
            </w:pPr>
            <w:r>
              <w:rPr>
                <w:b/>
              </w:rPr>
              <w:t>Address</w:t>
            </w:r>
            <w:r>
              <w:t xml:space="preserve"> ..............................................................................................................</w:t>
            </w:r>
          </w:p>
          <w:p>
            <w:pPr>
              <w:pStyle w:val="yTableNAm"/>
            </w:pPr>
            <w:r>
              <w:t>.............................................................................................................................</w:t>
            </w:r>
          </w:p>
          <w:p>
            <w:pPr>
              <w:pStyle w:val="yTableNAm"/>
            </w:pPr>
            <w:r>
              <w:t>.............................................................................................................................</w:t>
            </w:r>
          </w:p>
          <w:p>
            <w:pPr>
              <w:pStyle w:val="yTableNAm"/>
            </w:pPr>
            <w:r>
              <w:rPr>
                <w:b/>
              </w:rPr>
              <w:t>Copy to:</w:t>
            </w:r>
            <w:r>
              <w:t xml:space="preserve"> Registrar of Fines Enforcement Registry</w:t>
            </w:r>
          </w:p>
        </w:tc>
      </w:tr>
      <w:tr>
        <w:tc>
          <w:tcPr>
            <w:tcW w:w="7233" w:type="dxa"/>
            <w:gridSpan w:val="2"/>
          </w:tcPr>
          <w:p>
            <w:pPr>
              <w:pStyle w:val="yTableNAm"/>
              <w:rPr>
                <w:b/>
              </w:rPr>
            </w:pPr>
            <w:r>
              <w:rPr>
                <w:b/>
              </w:rPr>
              <w:t>Details of infringement notice and alleged offence</w:t>
            </w:r>
          </w:p>
        </w:tc>
      </w:tr>
      <w:tr>
        <w:trPr>
          <w:trHeight w:val="1890"/>
        </w:trPr>
        <w:tc>
          <w:tcPr>
            <w:tcW w:w="7233" w:type="dxa"/>
            <w:gridSpan w:val="2"/>
            <w:tcBorders>
              <w:bottom w:val="nil"/>
            </w:tcBorders>
          </w:tcPr>
          <w:p>
            <w:pPr>
              <w:pStyle w:val="yTableNAm"/>
              <w:rPr>
                <w:snapToGrid w:val="0"/>
              </w:rPr>
            </w:pPr>
            <w:r>
              <w:rPr>
                <w:snapToGrid w:val="0"/>
              </w:rPr>
              <w:t>Prosecuting authority: ........................................................................................</w:t>
            </w:r>
          </w:p>
          <w:p>
            <w:pPr>
              <w:pStyle w:val="yTableNAm"/>
              <w:rPr>
                <w:snapToGrid w:val="0"/>
              </w:rPr>
            </w:pPr>
            <w:r>
              <w:rPr>
                <w:snapToGrid w:val="0"/>
              </w:rPr>
              <w:t>Number of notice: ...............................................................................................</w:t>
            </w:r>
          </w:p>
          <w:p>
            <w:pPr>
              <w:pStyle w:val="yTableNAm"/>
              <w:rPr>
                <w:snapToGrid w:val="0"/>
              </w:rPr>
            </w:pPr>
            <w:r>
              <w:rPr>
                <w:snapToGrid w:val="0"/>
              </w:rPr>
              <w:t>Date of issue: .....................................  Time of issue: .......................................</w:t>
            </w:r>
          </w:p>
          <w:p>
            <w:pPr>
              <w:pStyle w:val="yTableNAm"/>
              <w:rPr>
                <w:snapToGrid w:val="0"/>
              </w:rPr>
            </w:pPr>
            <w:r>
              <w:rPr>
                <w:snapToGrid w:val="0"/>
              </w:rPr>
              <w:t>Alleged offence: .................................................................................................</w:t>
            </w:r>
          </w:p>
          <w:p>
            <w:pPr>
              <w:pStyle w:val="yTableNAm"/>
              <w:rPr>
                <w:snapToGrid w:val="0"/>
              </w:rPr>
            </w:pPr>
            <w:r>
              <w:rPr>
                <w:snapToGrid w:val="0"/>
              </w:rPr>
              <w:t>.............................................................................................................................</w:t>
            </w:r>
          </w:p>
          <w:p>
            <w:pPr>
              <w:pStyle w:val="yTableNAm"/>
              <w:rPr>
                <w:snapToGrid w:val="0"/>
              </w:rPr>
            </w:pPr>
            <w:r>
              <w:rPr>
                <w:snapToGrid w:val="0"/>
              </w:rPr>
              <w:t>.............................................................................................................................</w:t>
            </w:r>
          </w:p>
        </w:tc>
      </w:tr>
      <w:tr>
        <w:tc>
          <w:tcPr>
            <w:tcW w:w="7233" w:type="dxa"/>
            <w:gridSpan w:val="2"/>
          </w:tcPr>
          <w:p>
            <w:pPr>
              <w:pStyle w:val="yTableNAm"/>
              <w:rPr>
                <w:b/>
              </w:rPr>
            </w:pPr>
            <w:r>
              <w:rPr>
                <w:b/>
              </w:rPr>
              <w:t>Fines Enforcement Registry details</w:t>
            </w:r>
          </w:p>
        </w:tc>
      </w:tr>
      <w:tr>
        <w:tc>
          <w:tcPr>
            <w:tcW w:w="7233" w:type="dxa"/>
            <w:gridSpan w:val="2"/>
          </w:tcPr>
          <w:p>
            <w:pPr>
              <w:pStyle w:val="yTableNAm"/>
            </w:pPr>
            <w:r>
              <w:t>FER case no.: ...........................</w:t>
            </w:r>
          </w:p>
        </w:tc>
      </w:tr>
      <w:tr>
        <w:tc>
          <w:tcPr>
            <w:tcW w:w="7233" w:type="dxa"/>
            <w:gridSpan w:val="2"/>
          </w:tcPr>
          <w:p>
            <w:pPr>
              <w:pStyle w:val="yTableNAm"/>
              <w:rPr>
                <w:snapToGrid w:val="0"/>
              </w:rPr>
            </w:pPr>
            <w:r>
              <w:rPr>
                <w:snapToGrid w:val="0"/>
              </w:rPr>
              <w:t xml:space="preserve">Take notice that the above prosecuting authority hereby withdraws proceedings under the </w:t>
            </w:r>
            <w:r>
              <w:rPr>
                <w:i/>
                <w:snapToGrid w:val="0"/>
              </w:rPr>
              <w:t>Fines, Penalties and Infringement Notices Enforcement Act 1994</w:t>
            </w:r>
            <w:r>
              <w:rPr>
                <w:snapToGrid w:val="0"/>
              </w:rPr>
              <w:t xml:space="preserve"> </w:t>
            </w:r>
            <w:r>
              <w:t>section 22 in</w:t>
            </w:r>
            <w:r>
              <w:rPr>
                <w:snapToGrid w:val="0"/>
              </w:rPr>
              <w:t xml:space="preserve"> relation to the infringement notice issued for the above offence.</w:t>
            </w:r>
          </w:p>
        </w:tc>
      </w:tr>
      <w:tr>
        <w:trPr>
          <w:cantSplit/>
          <w:trHeight w:val="630"/>
        </w:trPr>
        <w:tc>
          <w:tcPr>
            <w:tcW w:w="4361" w:type="dxa"/>
            <w:tcBorders>
              <w:bottom w:val="nil"/>
            </w:tcBorders>
            <w:vAlign w:val="center"/>
          </w:tcPr>
          <w:p>
            <w:pPr>
              <w:pStyle w:val="yTableNAm"/>
            </w:pPr>
          </w:p>
          <w:p>
            <w:pPr>
              <w:pStyle w:val="yTableNAm"/>
              <w:jc w:val="center"/>
            </w:pPr>
            <w:r>
              <w:t>....................................................................</w:t>
            </w:r>
            <w:r>
              <w:br/>
              <w:t>Prosecuting officer</w:t>
            </w:r>
          </w:p>
        </w:tc>
        <w:tc>
          <w:tcPr>
            <w:tcW w:w="2872" w:type="dxa"/>
            <w:tcBorders>
              <w:bottom w:val="nil"/>
            </w:tcBorders>
            <w:vAlign w:val="center"/>
          </w:tcPr>
          <w:p>
            <w:pPr>
              <w:pStyle w:val="yTableNAm"/>
            </w:pPr>
          </w:p>
          <w:p>
            <w:pPr>
              <w:pStyle w:val="yTableNAm"/>
              <w:jc w:val="center"/>
            </w:pPr>
            <w:r>
              <w:t>.......................................</w:t>
            </w:r>
            <w:r>
              <w:br/>
              <w:t>Date</w:t>
            </w:r>
          </w:p>
        </w:tc>
      </w:tr>
    </w:tbl>
    <w:p>
      <w:pPr>
        <w:pStyle w:val="yFootnotesection"/>
      </w:pPr>
      <w:r>
        <w:tab/>
        <w:t>[Form 1 inserted in Gazette 20 Aug 2013 p. 3886.]</w:t>
      </w:r>
    </w:p>
    <w:p>
      <w:pPr>
        <w:pStyle w:val="yHeading5"/>
      </w:pPr>
      <w:bookmarkStart w:id="76" w:name="_Toc391017393"/>
      <w:bookmarkStart w:id="77" w:name="_Toc377549587"/>
      <w:r>
        <w:rPr>
          <w:rStyle w:val="CharSClsNo"/>
        </w:rPr>
        <w:t>2</w:t>
      </w:r>
      <w:r>
        <w:t>.</w:t>
      </w:r>
      <w:r>
        <w:tab/>
        <w:t>Enforcement warrant for the purposes of Act s. 21A and 45 (and Part 5)</w:t>
      </w:r>
      <w:bookmarkEnd w:id="76"/>
      <w:bookmarkEnd w:id="77"/>
    </w:p>
    <w:p>
      <w:pPr>
        <w:pStyle w:val="ySubsection"/>
        <w:ind w:left="0" w:firstLine="0"/>
        <w:jc w:val="center"/>
      </w:pPr>
      <w:r>
        <w:tab/>
      </w:r>
      <w:r>
        <w:rPr>
          <w:i/>
        </w:rPr>
        <w:t>Fines, Penalties and Infringement Notices Enforcement Act 1994</w:t>
      </w:r>
    </w:p>
    <w:p>
      <w:pPr>
        <w:pStyle w:val="ySubsection"/>
        <w:spacing w:before="0" w:after="120"/>
        <w:ind w:left="0" w:firstLine="0"/>
        <w:jc w:val="center"/>
      </w:pPr>
      <w:r>
        <w:t xml:space="preserve">[Sections 21A and 45 </w:t>
      </w:r>
      <w:r>
        <w:rPr>
          <w:snapToGrid w:val="0"/>
        </w:rPr>
        <w:t>and</w:t>
      </w:r>
      <w:r>
        <w:t xml:space="preserve"> Part 5]</w:t>
      </w:r>
    </w:p>
    <w:tbl>
      <w:tblPr>
        <w:tblW w:w="0" w:type="auto"/>
        <w:tblInd w:w="120" w:type="dxa"/>
        <w:tblLayout w:type="fixed"/>
        <w:tblCellMar>
          <w:left w:w="120" w:type="dxa"/>
          <w:right w:w="120" w:type="dxa"/>
        </w:tblCellMar>
        <w:tblLook w:val="0000" w:firstRow="0" w:lastRow="0" w:firstColumn="0" w:lastColumn="0" w:noHBand="0" w:noVBand="0"/>
      </w:tblPr>
      <w:tblGrid>
        <w:gridCol w:w="1134"/>
        <w:gridCol w:w="405"/>
        <w:gridCol w:w="1438"/>
        <w:gridCol w:w="1134"/>
        <w:gridCol w:w="425"/>
        <w:gridCol w:w="567"/>
        <w:gridCol w:w="2022"/>
      </w:tblGrid>
      <w:tr>
        <w:tc>
          <w:tcPr>
            <w:tcW w:w="2977" w:type="dxa"/>
            <w:gridSpan w:val="3"/>
          </w:tcPr>
          <w:p>
            <w:pPr>
              <w:pStyle w:val="yTableNAm"/>
              <w:rPr>
                <w:sz w:val="20"/>
              </w:rPr>
            </w:pPr>
            <w:r>
              <w:rPr>
                <w:sz w:val="20"/>
              </w:rPr>
              <w:t>Magistrates Court</w:t>
            </w:r>
            <w:r>
              <w:rPr>
                <w:sz w:val="20"/>
              </w:rPr>
              <w:br/>
              <w:t>Fines Enforcement Registry</w:t>
            </w:r>
          </w:p>
        </w:tc>
        <w:tc>
          <w:tcPr>
            <w:tcW w:w="2126" w:type="dxa"/>
            <w:gridSpan w:val="3"/>
            <w:tcBorders>
              <w:right w:val="single" w:sz="4" w:space="0" w:color="auto"/>
            </w:tcBorders>
          </w:tcPr>
          <w:p>
            <w:pPr>
              <w:pStyle w:val="yTableNAm"/>
              <w:rPr>
                <w:spacing w:val="-2"/>
              </w:rPr>
            </w:pPr>
            <w:r>
              <w:rPr>
                <w:spacing w:val="-2"/>
              </w:rPr>
              <w:br/>
            </w:r>
          </w:p>
        </w:tc>
        <w:tc>
          <w:tcPr>
            <w:tcW w:w="2022" w:type="dxa"/>
            <w:tcBorders>
              <w:top w:val="single" w:sz="4" w:space="0" w:color="auto"/>
              <w:left w:val="single" w:sz="4" w:space="0" w:color="auto"/>
              <w:bottom w:val="single" w:sz="4" w:space="0" w:color="auto"/>
              <w:right w:val="single" w:sz="4" w:space="0" w:color="auto"/>
            </w:tcBorders>
          </w:tcPr>
          <w:p>
            <w:pPr>
              <w:pStyle w:val="yTableNAm"/>
              <w:rPr>
                <w:sz w:val="20"/>
              </w:rPr>
            </w:pPr>
            <w:r>
              <w:rPr>
                <w:sz w:val="20"/>
              </w:rPr>
              <w:t>Warrant no.</w:t>
            </w:r>
          </w:p>
          <w:p>
            <w:pPr>
              <w:pStyle w:val="yTableNAm"/>
              <w:rPr>
                <w:sz w:val="20"/>
              </w:rPr>
            </w:pPr>
            <w:r>
              <w:rPr>
                <w:sz w:val="20"/>
              </w:rPr>
              <w:t>ACN.</w:t>
            </w:r>
          </w:p>
          <w:p>
            <w:pPr>
              <w:pStyle w:val="yTableNAm"/>
            </w:pPr>
            <w:r>
              <w:rPr>
                <w:sz w:val="20"/>
              </w:rPr>
              <w:t>Case no.</w:t>
            </w:r>
          </w:p>
        </w:tc>
      </w:tr>
      <w:tr>
        <w:trPr>
          <w:cantSplit/>
        </w:trPr>
        <w:tc>
          <w:tcPr>
            <w:tcW w:w="1539" w:type="dxa"/>
            <w:gridSpan w:val="2"/>
          </w:tcPr>
          <w:p>
            <w:pPr>
              <w:pStyle w:val="yTableNAm"/>
              <w:rPr>
                <w:spacing w:val="-2"/>
                <w:sz w:val="2"/>
                <w:szCs w:val="2"/>
              </w:rPr>
            </w:pPr>
          </w:p>
        </w:tc>
        <w:tc>
          <w:tcPr>
            <w:tcW w:w="3564" w:type="dxa"/>
            <w:gridSpan w:val="4"/>
          </w:tcPr>
          <w:p>
            <w:pPr>
              <w:pStyle w:val="yTableNAm"/>
              <w:keepNext/>
              <w:keepLines/>
              <w:pageBreakBefore/>
              <w:widowControl w:val="0"/>
              <w:rPr>
                <w:spacing w:val="-2"/>
                <w:sz w:val="2"/>
                <w:szCs w:val="2"/>
              </w:rPr>
            </w:pPr>
          </w:p>
        </w:tc>
        <w:tc>
          <w:tcPr>
            <w:tcW w:w="2022" w:type="dxa"/>
            <w:tcBorders>
              <w:top w:val="single" w:sz="4" w:space="0" w:color="auto"/>
            </w:tcBorders>
          </w:tcPr>
          <w:p>
            <w:pPr>
              <w:pStyle w:val="yTableNAm"/>
              <w:rPr>
                <w:spacing w:val="-2"/>
                <w:sz w:val="2"/>
                <w:szCs w:val="2"/>
              </w:rPr>
            </w:pPr>
          </w:p>
        </w:tc>
      </w:tr>
      <w:tr>
        <w:trPr>
          <w:cantSplit/>
        </w:trPr>
        <w:tc>
          <w:tcPr>
            <w:tcW w:w="1539" w:type="dxa"/>
            <w:gridSpan w:val="2"/>
            <w:tcBorders>
              <w:bottom w:val="single" w:sz="4" w:space="0" w:color="auto"/>
            </w:tcBorders>
          </w:tcPr>
          <w:p>
            <w:pPr>
              <w:pStyle w:val="yTableNAm"/>
              <w:rPr>
                <w:spacing w:val="-2"/>
                <w:sz w:val="14"/>
              </w:rPr>
            </w:pPr>
          </w:p>
        </w:tc>
        <w:tc>
          <w:tcPr>
            <w:tcW w:w="3564" w:type="dxa"/>
            <w:gridSpan w:val="4"/>
            <w:tcBorders>
              <w:bottom w:val="single" w:sz="4" w:space="0" w:color="auto"/>
            </w:tcBorders>
          </w:tcPr>
          <w:p>
            <w:pPr>
              <w:pStyle w:val="yTableNAm"/>
              <w:keepNext/>
              <w:keepLines/>
              <w:pageBreakBefore/>
              <w:widowControl w:val="0"/>
              <w:rPr>
                <w:b/>
                <w:spacing w:val="-2"/>
              </w:rPr>
            </w:pPr>
            <w:r>
              <w:rPr>
                <w:b/>
                <w:spacing w:val="-2"/>
              </w:rPr>
              <w:t>ENFORCEMENT WARRANT</w:t>
            </w:r>
          </w:p>
          <w:p>
            <w:pPr>
              <w:pStyle w:val="yTableNAm"/>
              <w:keepNext/>
              <w:keepLines/>
              <w:pageBreakBefore/>
              <w:widowControl w:val="0"/>
              <w:jc w:val="center"/>
              <w:rPr>
                <w:spacing w:val="-2"/>
                <w:sz w:val="20"/>
              </w:rPr>
            </w:pPr>
            <w:r>
              <w:rPr>
                <w:spacing w:val="-2"/>
                <w:sz w:val="20"/>
              </w:rPr>
              <w:t>To: The Sheriff of Western Australia</w:t>
            </w:r>
          </w:p>
        </w:tc>
        <w:tc>
          <w:tcPr>
            <w:tcW w:w="2022" w:type="dxa"/>
            <w:tcBorders>
              <w:bottom w:val="single" w:sz="4" w:space="0" w:color="auto"/>
            </w:tcBorders>
          </w:tcPr>
          <w:p>
            <w:pPr>
              <w:pStyle w:val="yTableNAm"/>
              <w:rPr>
                <w:spacing w:val="-2"/>
                <w:sz w:val="17"/>
              </w:rPr>
            </w:pPr>
          </w:p>
        </w:tc>
      </w:tr>
      <w:tr>
        <w:tc>
          <w:tcPr>
            <w:tcW w:w="1134" w:type="dxa"/>
            <w:tcBorders>
              <w:top w:val="single" w:sz="4" w:space="0" w:color="auto"/>
              <w:left w:val="single" w:sz="4" w:space="0" w:color="auto"/>
              <w:bottom w:val="single" w:sz="4" w:space="0" w:color="auto"/>
              <w:right w:val="single" w:sz="4" w:space="0" w:color="auto"/>
            </w:tcBorders>
            <w:vAlign w:val="center"/>
          </w:tcPr>
          <w:p>
            <w:pPr>
              <w:pStyle w:val="yTableNAm"/>
              <w:rPr>
                <w:b/>
                <w:sz w:val="20"/>
              </w:rPr>
            </w:pPr>
            <w:r>
              <w:rPr>
                <w:b/>
                <w:sz w:val="20"/>
              </w:rPr>
              <w:t>Debtor</w:t>
            </w:r>
          </w:p>
        </w:tc>
        <w:tc>
          <w:tcPr>
            <w:tcW w:w="5991" w:type="dxa"/>
            <w:gridSpan w:val="6"/>
            <w:tcBorders>
              <w:top w:val="single" w:sz="4" w:space="0" w:color="auto"/>
              <w:left w:val="single" w:sz="4" w:space="0" w:color="auto"/>
              <w:bottom w:val="single" w:sz="4" w:space="0" w:color="auto"/>
              <w:right w:val="single" w:sz="4" w:space="0" w:color="auto"/>
            </w:tcBorders>
          </w:tcPr>
          <w:p>
            <w:pPr>
              <w:pStyle w:val="yTableNAm"/>
              <w:rPr>
                <w:sz w:val="20"/>
              </w:rPr>
            </w:pPr>
            <w:r>
              <w:rPr>
                <w:sz w:val="20"/>
              </w:rPr>
              <w:t>Name:</w:t>
            </w:r>
          </w:p>
          <w:p>
            <w:pPr>
              <w:pStyle w:val="yTableNAm"/>
              <w:rPr>
                <w:sz w:val="20"/>
              </w:rPr>
            </w:pPr>
            <w:r>
              <w:rPr>
                <w:sz w:val="20"/>
              </w:rPr>
              <w:t>Address:</w:t>
            </w:r>
          </w:p>
          <w:p>
            <w:pPr>
              <w:pStyle w:val="yTableNAm"/>
              <w:rPr>
                <w:sz w:val="20"/>
              </w:rPr>
            </w:pPr>
            <w:r>
              <w:rPr>
                <w:sz w:val="20"/>
              </w:rPr>
              <w:t>Date of Birth:</w:t>
            </w:r>
          </w:p>
          <w:p>
            <w:pPr>
              <w:pStyle w:val="yTableNAm"/>
              <w:rPr>
                <w:sz w:val="20"/>
              </w:rPr>
            </w:pPr>
            <w:r>
              <w:rPr>
                <w:sz w:val="20"/>
              </w:rPr>
              <w:t xml:space="preserve">MDL no.: </w:t>
            </w:r>
            <w:r>
              <w:rPr>
                <w:sz w:val="20"/>
              </w:rPr>
              <w:tab/>
            </w:r>
            <w:r>
              <w:rPr>
                <w:sz w:val="20"/>
              </w:rPr>
              <w:tab/>
              <w:t>MVL no.:</w:t>
            </w:r>
          </w:p>
        </w:tc>
      </w:tr>
      <w:tr>
        <w:trPr>
          <w:cantSplit/>
        </w:trPr>
        <w:tc>
          <w:tcPr>
            <w:tcW w:w="1134" w:type="dxa"/>
            <w:tcBorders>
              <w:top w:val="single" w:sz="4" w:space="0" w:color="auto"/>
              <w:left w:val="single" w:sz="4" w:space="0" w:color="auto"/>
              <w:bottom w:val="single" w:sz="4" w:space="0" w:color="auto"/>
              <w:right w:val="single" w:sz="4" w:space="0" w:color="auto"/>
            </w:tcBorders>
            <w:vAlign w:val="center"/>
          </w:tcPr>
          <w:p>
            <w:pPr>
              <w:pStyle w:val="yTableNAm"/>
              <w:rPr>
                <w:b/>
                <w:sz w:val="20"/>
              </w:rPr>
            </w:pPr>
            <w:r>
              <w:rPr>
                <w:b/>
                <w:sz w:val="20"/>
              </w:rPr>
              <w:t>Case details</w:t>
            </w:r>
          </w:p>
          <w:p>
            <w:pPr>
              <w:pStyle w:val="yTableNAm"/>
              <w:rPr>
                <w:i/>
                <w:sz w:val="20"/>
                <w:highlight w:val="cyan"/>
              </w:rPr>
            </w:pPr>
            <w:r>
              <w:rPr>
                <w:sz w:val="20"/>
              </w:rPr>
              <w:t>[</w:t>
            </w:r>
            <w:r>
              <w:rPr>
                <w:i/>
                <w:sz w:val="20"/>
              </w:rPr>
              <w:t>Complete relevant details only</w:t>
            </w:r>
            <w:r>
              <w:rPr>
                <w:sz w:val="20"/>
              </w:rPr>
              <w:t>]</w:t>
            </w:r>
          </w:p>
        </w:tc>
        <w:tc>
          <w:tcPr>
            <w:tcW w:w="2977" w:type="dxa"/>
            <w:gridSpan w:val="3"/>
            <w:tcBorders>
              <w:top w:val="single" w:sz="4" w:space="0" w:color="auto"/>
              <w:left w:val="single" w:sz="4" w:space="0" w:color="auto"/>
              <w:bottom w:val="single" w:sz="4" w:space="0" w:color="auto"/>
              <w:right w:val="single" w:sz="4" w:space="0" w:color="auto"/>
            </w:tcBorders>
          </w:tcPr>
          <w:p>
            <w:pPr>
              <w:pStyle w:val="yTableNAm"/>
              <w:rPr>
                <w:b/>
                <w:sz w:val="20"/>
              </w:rPr>
            </w:pPr>
            <w:r>
              <w:rPr>
                <w:b/>
                <w:sz w:val="20"/>
              </w:rPr>
              <w:t>For enforcement warrant issued under s. 21A</w:t>
            </w:r>
          </w:p>
          <w:p>
            <w:pPr>
              <w:pStyle w:val="yTableNAm"/>
              <w:spacing w:before="60"/>
              <w:rPr>
                <w:sz w:val="20"/>
              </w:rPr>
            </w:pPr>
            <w:r>
              <w:rPr>
                <w:sz w:val="20"/>
              </w:rPr>
              <w:t>Prosecuting authority:</w:t>
            </w:r>
          </w:p>
          <w:p>
            <w:pPr>
              <w:pStyle w:val="yTableNAm"/>
              <w:spacing w:before="60"/>
              <w:rPr>
                <w:sz w:val="20"/>
              </w:rPr>
            </w:pPr>
            <w:r>
              <w:rPr>
                <w:sz w:val="20"/>
              </w:rPr>
              <w:t>Infringement notice no.:</w:t>
            </w:r>
          </w:p>
          <w:p>
            <w:pPr>
              <w:pStyle w:val="yTableNAm"/>
              <w:spacing w:before="60"/>
              <w:rPr>
                <w:sz w:val="20"/>
              </w:rPr>
            </w:pPr>
            <w:r>
              <w:rPr>
                <w:sz w:val="20"/>
              </w:rPr>
              <w:t>Alleged offence:</w:t>
            </w:r>
          </w:p>
          <w:p>
            <w:pPr>
              <w:pStyle w:val="yTableNAm"/>
              <w:spacing w:before="60"/>
              <w:rPr>
                <w:sz w:val="20"/>
              </w:rPr>
            </w:pPr>
            <w:r>
              <w:rPr>
                <w:sz w:val="20"/>
              </w:rPr>
              <w:t>Place of alleged offence:</w:t>
            </w:r>
          </w:p>
          <w:p>
            <w:pPr>
              <w:pStyle w:val="yTableNAm"/>
              <w:spacing w:before="60"/>
              <w:rPr>
                <w:sz w:val="20"/>
              </w:rPr>
            </w:pPr>
            <w:r>
              <w:rPr>
                <w:sz w:val="20"/>
              </w:rPr>
              <w:t>Date of alleged offence:</w:t>
            </w:r>
          </w:p>
        </w:tc>
        <w:tc>
          <w:tcPr>
            <w:tcW w:w="3014" w:type="dxa"/>
            <w:gridSpan w:val="3"/>
            <w:tcBorders>
              <w:top w:val="single" w:sz="4" w:space="0" w:color="auto"/>
              <w:left w:val="single" w:sz="4" w:space="0" w:color="auto"/>
              <w:bottom w:val="single" w:sz="4" w:space="0" w:color="auto"/>
              <w:right w:val="single" w:sz="4" w:space="0" w:color="auto"/>
            </w:tcBorders>
          </w:tcPr>
          <w:p>
            <w:pPr>
              <w:pStyle w:val="yTableNAm"/>
              <w:rPr>
                <w:b/>
                <w:sz w:val="20"/>
              </w:rPr>
            </w:pPr>
            <w:r>
              <w:rPr>
                <w:b/>
                <w:sz w:val="20"/>
              </w:rPr>
              <w:t>For enforcement warrant issued under s. 45</w:t>
            </w:r>
          </w:p>
          <w:p>
            <w:pPr>
              <w:pStyle w:val="yTableNAm"/>
              <w:spacing w:before="60"/>
              <w:rPr>
                <w:sz w:val="20"/>
              </w:rPr>
            </w:pPr>
            <w:r>
              <w:rPr>
                <w:sz w:val="20"/>
              </w:rPr>
              <w:t>Court:</w:t>
            </w:r>
          </w:p>
          <w:p>
            <w:pPr>
              <w:pStyle w:val="yTableNAm"/>
              <w:spacing w:before="60"/>
              <w:rPr>
                <w:sz w:val="20"/>
              </w:rPr>
            </w:pPr>
            <w:r>
              <w:rPr>
                <w:sz w:val="20"/>
              </w:rPr>
              <w:t>Nature of court order:</w:t>
            </w:r>
          </w:p>
          <w:p>
            <w:pPr>
              <w:pStyle w:val="yTableNAm"/>
              <w:spacing w:before="60"/>
              <w:rPr>
                <w:sz w:val="20"/>
              </w:rPr>
            </w:pPr>
            <w:r>
              <w:rPr>
                <w:sz w:val="20"/>
              </w:rPr>
              <w:t>Date of court order:</w:t>
            </w:r>
          </w:p>
          <w:p>
            <w:pPr>
              <w:pStyle w:val="yTableNAm"/>
              <w:spacing w:before="60"/>
              <w:rPr>
                <w:sz w:val="20"/>
              </w:rPr>
            </w:pPr>
            <w:r>
              <w:rPr>
                <w:sz w:val="20"/>
              </w:rPr>
              <w:t>Charge no.:</w:t>
            </w:r>
          </w:p>
          <w:p>
            <w:pPr>
              <w:pStyle w:val="yTableNAm"/>
              <w:spacing w:before="60"/>
              <w:rPr>
                <w:sz w:val="20"/>
              </w:rPr>
            </w:pPr>
            <w:r>
              <w:rPr>
                <w:sz w:val="20"/>
              </w:rPr>
              <w:t>Offence:</w:t>
            </w:r>
          </w:p>
          <w:p>
            <w:pPr>
              <w:pStyle w:val="yTableNAm"/>
              <w:spacing w:before="60"/>
              <w:rPr>
                <w:sz w:val="20"/>
              </w:rPr>
            </w:pPr>
            <w:r>
              <w:rPr>
                <w:sz w:val="20"/>
              </w:rPr>
              <w:t>Date of offence:</w:t>
            </w:r>
          </w:p>
        </w:tc>
      </w:tr>
      <w:tr>
        <w:tc>
          <w:tcPr>
            <w:tcW w:w="1134" w:type="dxa"/>
            <w:tcBorders>
              <w:top w:val="single" w:sz="4" w:space="0" w:color="auto"/>
              <w:left w:val="single" w:sz="4" w:space="0" w:color="auto"/>
              <w:bottom w:val="single" w:sz="4" w:space="0" w:color="auto"/>
              <w:right w:val="single" w:sz="4" w:space="0" w:color="auto"/>
            </w:tcBorders>
            <w:vAlign w:val="center"/>
          </w:tcPr>
          <w:p>
            <w:pPr>
              <w:pStyle w:val="yTableNAm"/>
              <w:rPr>
                <w:b/>
                <w:sz w:val="20"/>
              </w:rPr>
            </w:pPr>
            <w:r>
              <w:rPr>
                <w:b/>
                <w:sz w:val="20"/>
              </w:rPr>
              <w:t>Amount owed</w:t>
            </w:r>
          </w:p>
        </w:tc>
        <w:tc>
          <w:tcPr>
            <w:tcW w:w="3402" w:type="dxa"/>
            <w:gridSpan w:val="4"/>
            <w:tcBorders>
              <w:top w:val="single" w:sz="4" w:space="0" w:color="auto"/>
              <w:left w:val="single" w:sz="4" w:space="0" w:color="auto"/>
              <w:bottom w:val="single" w:sz="4" w:space="0" w:color="auto"/>
              <w:right w:val="single" w:sz="4" w:space="0" w:color="auto"/>
            </w:tcBorders>
          </w:tcPr>
          <w:p>
            <w:pPr>
              <w:pStyle w:val="yTableNAm"/>
              <w:spacing w:before="60"/>
              <w:rPr>
                <w:sz w:val="20"/>
              </w:rPr>
            </w:pPr>
            <w:r>
              <w:rPr>
                <w:sz w:val="20"/>
              </w:rPr>
              <w:t>Modified penalty OR fine/forfeited amount:</w:t>
            </w:r>
          </w:p>
          <w:p>
            <w:pPr>
              <w:pStyle w:val="yTableNAm"/>
              <w:spacing w:before="60"/>
              <w:rPr>
                <w:sz w:val="20"/>
              </w:rPr>
            </w:pPr>
            <w:r>
              <w:rPr>
                <w:sz w:val="20"/>
              </w:rPr>
              <w:t>Costs:</w:t>
            </w:r>
          </w:p>
          <w:p>
            <w:pPr>
              <w:pStyle w:val="yTableNAm"/>
              <w:spacing w:before="60"/>
              <w:rPr>
                <w:sz w:val="20"/>
              </w:rPr>
            </w:pPr>
            <w:r>
              <w:rPr>
                <w:sz w:val="20"/>
              </w:rPr>
              <w:t>Enforcement fees under Part 3 or 4:</w:t>
            </w:r>
          </w:p>
          <w:p>
            <w:pPr>
              <w:pStyle w:val="yTableNAm"/>
              <w:spacing w:before="60"/>
              <w:rPr>
                <w:sz w:val="20"/>
              </w:rPr>
            </w:pPr>
            <w:r>
              <w:rPr>
                <w:sz w:val="20"/>
              </w:rPr>
              <w:t>Sub</w:t>
            </w:r>
            <w:r>
              <w:rPr>
                <w:sz w:val="20"/>
              </w:rPr>
              <w:noBreakHyphen/>
              <w:t>total:</w:t>
            </w:r>
          </w:p>
          <w:p>
            <w:pPr>
              <w:pStyle w:val="yTableNAm"/>
              <w:spacing w:before="60"/>
              <w:rPr>
                <w:sz w:val="20"/>
              </w:rPr>
            </w:pPr>
            <w:r>
              <w:rPr>
                <w:sz w:val="20"/>
              </w:rPr>
              <w:t>Less amount paid:</w:t>
            </w:r>
          </w:p>
          <w:p>
            <w:pPr>
              <w:pStyle w:val="yTableNAm"/>
              <w:spacing w:before="60"/>
              <w:rPr>
                <w:sz w:val="20"/>
              </w:rPr>
            </w:pPr>
            <w:r>
              <w:rPr>
                <w:sz w:val="20"/>
              </w:rPr>
              <w:t>AMOUNT OWED:</w:t>
            </w:r>
          </w:p>
        </w:tc>
        <w:tc>
          <w:tcPr>
            <w:tcW w:w="2589"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20"/>
              </w:rPr>
            </w:pPr>
            <w:r>
              <w:rPr>
                <w:sz w:val="20"/>
              </w:rPr>
              <w:br/>
            </w:r>
          </w:p>
          <w:p>
            <w:pPr>
              <w:pStyle w:val="yTableNAm"/>
              <w:spacing w:before="60"/>
              <w:rPr>
                <w:sz w:val="20"/>
              </w:rPr>
            </w:pPr>
            <w:r>
              <w:rPr>
                <w:sz w:val="20"/>
              </w:rPr>
              <w:t>+</w:t>
            </w:r>
          </w:p>
          <w:p>
            <w:pPr>
              <w:pStyle w:val="yTableNAm"/>
              <w:spacing w:before="60"/>
              <w:rPr>
                <w:sz w:val="20"/>
              </w:rPr>
            </w:pPr>
            <w:r>
              <w:rPr>
                <w:sz w:val="20"/>
              </w:rPr>
              <w:t>+</w:t>
            </w:r>
          </w:p>
          <w:p>
            <w:pPr>
              <w:pStyle w:val="yTableNAm"/>
              <w:spacing w:before="60"/>
              <w:rPr>
                <w:sz w:val="20"/>
              </w:rPr>
            </w:pPr>
            <w:r>
              <w:rPr>
                <w:sz w:val="20"/>
              </w:rPr>
              <w:t>=</w:t>
            </w:r>
          </w:p>
          <w:p>
            <w:pPr>
              <w:pStyle w:val="yTableNAm"/>
              <w:spacing w:before="60"/>
              <w:rPr>
                <w:sz w:val="20"/>
              </w:rPr>
            </w:pPr>
            <w:r>
              <w:rPr>
                <w:sz w:val="20"/>
              </w:rPr>
              <w:t>–</w:t>
            </w:r>
          </w:p>
          <w:p>
            <w:pPr>
              <w:pStyle w:val="yTableNAm"/>
              <w:spacing w:before="60"/>
              <w:rPr>
                <w:sz w:val="20"/>
              </w:rPr>
            </w:pPr>
            <w:r>
              <w:rPr>
                <w:sz w:val="20"/>
              </w:rPr>
              <w:t>=</w:t>
            </w:r>
          </w:p>
        </w:tc>
      </w:tr>
    </w:tbl>
    <w:p>
      <w:pPr>
        <w:pStyle w:val="zySubsection"/>
        <w:ind w:left="0" w:firstLine="0"/>
        <w:rPr>
          <w:sz w:val="18"/>
        </w:rPr>
      </w:pPr>
      <w:r>
        <w:rPr>
          <w:sz w:val="18"/>
        </w:rPr>
        <w:t>The above infringement notice or court order has been registered with the Fines Enforcement Registry for enforcement. As a result, the debtor is required to pay the AMOUNT OWED, which to date is unpaid.</w:t>
      </w:r>
    </w:p>
    <w:p>
      <w:pPr>
        <w:pStyle w:val="zySubsection"/>
        <w:keepLines/>
        <w:ind w:left="0" w:firstLine="0"/>
        <w:rPr>
          <w:sz w:val="18"/>
        </w:rPr>
      </w:pPr>
      <w:r>
        <w:rPr>
          <w:sz w:val="18"/>
        </w:rPr>
        <w:t>You are authorised by this warrant to do the following: affix a warning notice to any vehicle licensed in the name of the debtor, immobilise any vehicle licensed in the name of the debtor, remove number plates from the any vehicle licensed in the name of the debtor, seize and sell so much of the debtor’s personal property and land as is necessary to recover the amount owed and enforcement fees in connection with the execution of this warrant, enter places for the purposes of exercising those powers.</w:t>
      </w:r>
    </w:p>
    <w:p>
      <w:pPr>
        <w:pStyle w:val="zySubsection"/>
        <w:ind w:left="0" w:firstLine="0"/>
        <w:jc w:val="both"/>
        <w:rPr>
          <w:sz w:val="18"/>
        </w:rPr>
      </w:pPr>
      <w:r>
        <w:rPr>
          <w:sz w:val="18"/>
        </w:rPr>
        <w:t xml:space="preserve">This warrant must be executed in accordance with the </w:t>
      </w:r>
      <w:r>
        <w:rPr>
          <w:i/>
          <w:sz w:val="18"/>
        </w:rPr>
        <w:t>Fines, Penalties and Infringement Notices Enforcement Act 1994</w:t>
      </w:r>
      <w:r>
        <w:rPr>
          <w:sz w:val="18"/>
        </w:rPr>
        <w:t>.</w:t>
      </w:r>
    </w:p>
    <w:p>
      <w:pPr>
        <w:pStyle w:val="zytable"/>
        <w:spacing w:before="0"/>
        <w:rPr>
          <w:b/>
          <w:sz w:val="18"/>
          <w:szCs w:val="18"/>
        </w:rPr>
      </w:pPr>
      <w:r>
        <w:rPr>
          <w:b/>
          <w:sz w:val="18"/>
          <w:szCs w:val="18"/>
        </w:rPr>
        <w:br/>
        <w:t>....................................................</w:t>
      </w:r>
      <w:r>
        <w:rPr>
          <w:b/>
          <w:sz w:val="18"/>
          <w:szCs w:val="18"/>
        </w:rPr>
        <w:tab/>
      </w:r>
      <w:r>
        <w:rPr>
          <w:b/>
          <w:sz w:val="18"/>
          <w:szCs w:val="18"/>
        </w:rPr>
        <w:tab/>
        <w:t>..............</w:t>
      </w:r>
      <w:r>
        <w:rPr>
          <w:b/>
          <w:sz w:val="18"/>
          <w:szCs w:val="18"/>
        </w:rPr>
        <w:br/>
      </w:r>
      <w:r>
        <w:rPr>
          <w:b/>
          <w:sz w:val="18"/>
          <w:szCs w:val="18"/>
        </w:rPr>
        <w:tab/>
        <w:t>REGISTRAR</w:t>
      </w:r>
      <w:r>
        <w:rPr>
          <w:b/>
          <w:sz w:val="18"/>
          <w:szCs w:val="18"/>
        </w:rPr>
        <w:tab/>
      </w:r>
      <w:r>
        <w:rPr>
          <w:b/>
          <w:sz w:val="18"/>
          <w:szCs w:val="18"/>
        </w:rPr>
        <w:tab/>
      </w:r>
      <w:r>
        <w:rPr>
          <w:b/>
          <w:sz w:val="18"/>
          <w:szCs w:val="18"/>
        </w:rPr>
        <w:tab/>
      </w:r>
      <w:r>
        <w:rPr>
          <w:b/>
          <w:sz w:val="18"/>
          <w:szCs w:val="18"/>
        </w:rPr>
        <w:tab/>
        <w:t>DATE</w:t>
      </w:r>
    </w:p>
    <w:p>
      <w:pPr>
        <w:pStyle w:val="yFootnotesection"/>
      </w:pPr>
      <w:r>
        <w:tab/>
        <w:t>[Form 2 inserted in Gazette 20 Aug 2013 p. 3887-8.]</w:t>
      </w:r>
    </w:p>
    <w:p>
      <w:pPr>
        <w:pStyle w:val="yHeading5"/>
        <w:pageBreakBefore/>
        <w:rPr>
          <w:snapToGrid w:val="0"/>
        </w:rPr>
      </w:pPr>
      <w:bookmarkStart w:id="78" w:name="_Toc391017394"/>
      <w:bookmarkStart w:id="79" w:name="_Toc377549588"/>
      <w:r>
        <w:rPr>
          <w:rStyle w:val="CharSClsNo"/>
        </w:rPr>
        <w:t>3</w:t>
      </w:r>
      <w:r>
        <w:rPr>
          <w:snapToGrid w:val="0"/>
        </w:rPr>
        <w:t>.</w:t>
      </w:r>
      <w:r>
        <w:rPr>
          <w:snapToGrid w:val="0"/>
        </w:rPr>
        <w:tab/>
        <w:t xml:space="preserve">Warrant of commitment for the purposes of Act s. 53 (and </w:t>
      </w:r>
      <w:r>
        <w:t>Part 5</w:t>
      </w:r>
      <w:r>
        <w:rPr>
          <w:snapToGrid w:val="0"/>
        </w:rPr>
        <w:t>)</w:t>
      </w:r>
      <w:bookmarkEnd w:id="78"/>
      <w:bookmarkEnd w:id="79"/>
    </w:p>
    <w:p>
      <w:pPr>
        <w:pStyle w:val="ySubsection"/>
        <w:keepNext/>
        <w:ind w:left="0" w:firstLine="0"/>
        <w:jc w:val="center"/>
        <w:rPr>
          <w:i/>
          <w:snapToGrid w:val="0"/>
        </w:rPr>
      </w:pPr>
      <w:r>
        <w:rPr>
          <w:i/>
          <w:snapToGrid w:val="0"/>
        </w:rPr>
        <w:t>Fines, Penalties and Infringement Notices Enforcement Act 1994</w:t>
      </w:r>
    </w:p>
    <w:p>
      <w:pPr>
        <w:pStyle w:val="ySubsection"/>
        <w:spacing w:before="0" w:after="120"/>
        <w:jc w:val="center"/>
        <w:rPr>
          <w:snapToGrid w:val="0"/>
        </w:rPr>
      </w:pPr>
      <w:r>
        <w:rPr>
          <w:snapToGrid w:val="0"/>
        </w:rPr>
        <w:t>[Section 53 (&amp; Part 5)]</w:t>
      </w:r>
    </w:p>
    <w:tbl>
      <w:tblPr>
        <w:tblW w:w="0" w:type="auto"/>
        <w:tblInd w:w="120" w:type="dxa"/>
        <w:tblLayout w:type="fixed"/>
        <w:tblCellMar>
          <w:left w:w="120" w:type="dxa"/>
          <w:right w:w="120" w:type="dxa"/>
        </w:tblCellMar>
        <w:tblLook w:val="0000" w:firstRow="0" w:lastRow="0" w:firstColumn="0" w:lastColumn="0" w:noHBand="0" w:noVBand="0"/>
      </w:tblPr>
      <w:tblGrid>
        <w:gridCol w:w="1653"/>
        <w:gridCol w:w="3762"/>
        <w:gridCol w:w="1653"/>
      </w:tblGrid>
      <w:tr>
        <w:tc>
          <w:tcPr>
            <w:tcW w:w="1653" w:type="dxa"/>
          </w:tcPr>
          <w:p>
            <w:pPr>
              <w:pStyle w:val="yTable"/>
              <w:spacing w:before="120"/>
              <w:rPr>
                <w:sz w:val="14"/>
              </w:rPr>
            </w:pPr>
            <w:r>
              <w:rPr>
                <w:sz w:val="14"/>
              </w:rPr>
              <w:t xml:space="preserve">The </w:t>
            </w:r>
            <w:smartTag w:uri="urn:schemas-microsoft-com:office:smarttags" w:element="Street">
              <w:smartTag w:uri="urn:schemas-microsoft-com:office:smarttags" w:element="address">
                <w:r>
                  <w:rPr>
                    <w:sz w:val="14"/>
                  </w:rPr>
                  <w:t>Magistrates Court</w:t>
                </w:r>
              </w:smartTag>
            </w:smartTag>
          </w:p>
        </w:tc>
        <w:tc>
          <w:tcPr>
            <w:tcW w:w="3762" w:type="dxa"/>
          </w:tcPr>
          <w:p>
            <w:pPr>
              <w:pStyle w:val="yTable"/>
              <w:spacing w:before="180"/>
              <w:jc w:val="center"/>
              <w:rPr>
                <w:spacing w:val="-2"/>
              </w:rPr>
            </w:pPr>
            <w:r>
              <w:rPr>
                <w:b/>
                <w:spacing w:val="-2"/>
              </w:rPr>
              <w:t>WARRANT OF COMMITMENT</w:t>
            </w:r>
          </w:p>
        </w:tc>
        <w:tc>
          <w:tcPr>
            <w:tcW w:w="1653" w:type="dxa"/>
            <w:tcBorders>
              <w:top w:val="single" w:sz="7" w:space="0" w:color="auto"/>
              <w:left w:val="single" w:sz="7" w:space="0" w:color="auto"/>
              <w:right w:val="single" w:sz="7" w:space="0" w:color="auto"/>
            </w:tcBorders>
          </w:tcPr>
          <w:p>
            <w:pPr>
              <w:pStyle w:val="yTable"/>
              <w:rPr>
                <w:sz w:val="14"/>
              </w:rPr>
            </w:pPr>
            <w:r>
              <w:rPr>
                <w:sz w:val="14"/>
              </w:rPr>
              <w:t>Warrant No.</w:t>
            </w:r>
          </w:p>
          <w:p>
            <w:pPr>
              <w:pStyle w:val="yTable"/>
              <w:rPr>
                <w:sz w:val="14"/>
              </w:rPr>
            </w:pPr>
            <w:r>
              <w:rPr>
                <w:sz w:val="14"/>
              </w:rPr>
              <w:t>Period of Imprisonment</w:t>
            </w:r>
          </w:p>
          <w:p>
            <w:pPr>
              <w:pStyle w:val="yTable"/>
              <w:spacing w:before="0"/>
              <w:rPr>
                <w:sz w:val="14"/>
              </w:rPr>
            </w:pPr>
            <w:r>
              <w:rPr>
                <w:sz w:val="14"/>
              </w:rPr>
              <w:t> </w:t>
            </w:r>
            <w:r>
              <w:rPr>
                <w:sz w:val="14"/>
              </w:rPr>
              <w:t> </w:t>
            </w:r>
            <w:r>
              <w:rPr>
                <w:sz w:val="14"/>
              </w:rPr>
              <w:t> </w:t>
            </w:r>
            <w:r>
              <w:rPr>
                <w:sz w:val="14"/>
              </w:rPr>
              <w:t> </w:t>
            </w:r>
            <w:r>
              <w:rPr>
                <w:sz w:val="14"/>
              </w:rPr>
              <w:t>Days Conc.</w:t>
            </w:r>
          </w:p>
        </w:tc>
      </w:tr>
      <w:tr>
        <w:tc>
          <w:tcPr>
            <w:tcW w:w="1653" w:type="dxa"/>
          </w:tcPr>
          <w:p>
            <w:pPr>
              <w:pStyle w:val="yTable"/>
              <w:rPr>
                <w:sz w:val="14"/>
              </w:rPr>
            </w:pPr>
            <w:r>
              <w:rPr>
                <w:sz w:val="14"/>
              </w:rPr>
              <w:t>Fines Enforcement Registry</w:t>
            </w:r>
          </w:p>
        </w:tc>
        <w:tc>
          <w:tcPr>
            <w:tcW w:w="3762" w:type="dxa"/>
          </w:tcPr>
          <w:p>
            <w:pPr>
              <w:pStyle w:val="yTable"/>
              <w:rPr>
                <w:sz w:val="12"/>
              </w:rPr>
            </w:pPr>
          </w:p>
        </w:tc>
        <w:tc>
          <w:tcPr>
            <w:tcW w:w="1653" w:type="dxa"/>
            <w:tcBorders>
              <w:top w:val="single" w:sz="7" w:space="0" w:color="auto"/>
            </w:tcBorders>
          </w:tcPr>
          <w:p>
            <w:pPr>
              <w:pStyle w:val="yTable"/>
              <w:rPr>
                <w:sz w:val="12"/>
              </w:rPr>
            </w:pPr>
          </w:p>
        </w:tc>
      </w:tr>
    </w:tbl>
    <w:p>
      <w:pPr>
        <w:pStyle w:val="yTable"/>
        <w:tabs>
          <w:tab w:val="left" w:pos="2268"/>
          <w:tab w:val="left" w:pos="3119"/>
        </w:tabs>
        <w:rPr>
          <w:snapToGrid w:val="0"/>
          <w:sz w:val="14"/>
        </w:rPr>
      </w:pPr>
      <w:r>
        <w:rPr>
          <w:snapToGrid w:val="0"/>
          <w:sz w:val="14"/>
        </w:rPr>
        <w:tab/>
        <w:t>To:</w:t>
      </w:r>
      <w:r>
        <w:rPr>
          <w:snapToGrid w:val="0"/>
          <w:sz w:val="14"/>
        </w:rPr>
        <w:tab/>
        <w:t>All members of the Police Force of Western Australia</w:t>
      </w:r>
    </w:p>
    <w:p>
      <w:pPr>
        <w:pStyle w:val="yTable"/>
        <w:tabs>
          <w:tab w:val="left" w:pos="2268"/>
          <w:tab w:val="left" w:pos="3119"/>
        </w:tabs>
        <w:spacing w:before="0"/>
        <w:rPr>
          <w:snapToGrid w:val="0"/>
          <w:sz w:val="14"/>
        </w:rPr>
      </w:pPr>
      <w:r>
        <w:rPr>
          <w:snapToGrid w:val="0"/>
          <w:sz w:val="14"/>
        </w:rPr>
        <w:tab/>
      </w:r>
      <w:r>
        <w:rPr>
          <w:snapToGrid w:val="0"/>
          <w:sz w:val="14"/>
        </w:rPr>
        <w:tab/>
        <w:t xml:space="preserve">The chief executive officer appointed under the </w:t>
      </w:r>
      <w:r>
        <w:rPr>
          <w:i/>
          <w:snapToGrid w:val="0"/>
          <w:sz w:val="14"/>
        </w:rPr>
        <w:t>Prisons Act 1981</w:t>
      </w:r>
    </w:p>
    <w:p>
      <w:pPr>
        <w:pStyle w:val="yTable"/>
        <w:tabs>
          <w:tab w:val="left" w:pos="2268"/>
          <w:tab w:val="left" w:pos="3119"/>
        </w:tabs>
        <w:spacing w:before="0"/>
        <w:rPr>
          <w:snapToGrid w:val="0"/>
          <w:sz w:val="14"/>
        </w:rPr>
      </w:pPr>
    </w:p>
    <w:tbl>
      <w:tblPr>
        <w:tblW w:w="0" w:type="auto"/>
        <w:tblInd w:w="120" w:type="dxa"/>
        <w:tblLayout w:type="fixed"/>
        <w:tblCellMar>
          <w:left w:w="120" w:type="dxa"/>
          <w:right w:w="120" w:type="dxa"/>
        </w:tblCellMar>
        <w:tblLook w:val="0000" w:firstRow="0" w:lastRow="0" w:firstColumn="0" w:lastColumn="0" w:noHBand="0" w:noVBand="0"/>
      </w:tblPr>
      <w:tblGrid>
        <w:gridCol w:w="1782"/>
        <w:gridCol w:w="5286"/>
      </w:tblGrid>
      <w:tr>
        <w:tc>
          <w:tcPr>
            <w:tcW w:w="1782" w:type="dxa"/>
          </w:tcPr>
          <w:p>
            <w:pPr>
              <w:pStyle w:val="yTable"/>
            </w:pPr>
          </w:p>
        </w:tc>
        <w:tc>
          <w:tcPr>
            <w:tcW w:w="5286" w:type="dxa"/>
            <w:tcBorders>
              <w:top w:val="single" w:sz="7" w:space="0" w:color="auto"/>
              <w:left w:val="single" w:sz="7" w:space="0" w:color="auto"/>
              <w:right w:val="double" w:sz="7" w:space="0" w:color="auto"/>
            </w:tcBorders>
          </w:tcPr>
          <w:p>
            <w:pPr>
              <w:pStyle w:val="yTable"/>
              <w:rPr>
                <w:spacing w:val="-2"/>
                <w:sz w:val="16"/>
              </w:rPr>
            </w:pPr>
            <w:r>
              <w:rPr>
                <w:b/>
                <w:spacing w:val="-2"/>
                <w:sz w:val="16"/>
              </w:rPr>
              <w:t>CASE NO.</w:t>
            </w:r>
          </w:p>
        </w:tc>
      </w:tr>
      <w:tr>
        <w:tc>
          <w:tcPr>
            <w:tcW w:w="1782" w:type="dxa"/>
            <w:tcBorders>
              <w:top w:val="single" w:sz="7" w:space="0" w:color="auto"/>
              <w:left w:val="single" w:sz="7" w:space="0" w:color="auto"/>
            </w:tcBorders>
          </w:tcPr>
          <w:p>
            <w:pPr>
              <w:pStyle w:val="yTable"/>
              <w:rPr>
                <w:spacing w:val="-2"/>
                <w:sz w:val="16"/>
              </w:rPr>
            </w:pPr>
          </w:p>
          <w:p>
            <w:pPr>
              <w:pStyle w:val="yTable"/>
              <w:rPr>
                <w:spacing w:val="-2"/>
                <w:sz w:val="16"/>
              </w:rPr>
            </w:pPr>
            <w:r>
              <w:rPr>
                <w:spacing w:val="-2"/>
                <w:sz w:val="16"/>
              </w:rPr>
              <w:t>Offender or liable person’s details</w:t>
            </w:r>
          </w:p>
        </w:tc>
        <w:tc>
          <w:tcPr>
            <w:tcW w:w="5286" w:type="dxa"/>
            <w:tcBorders>
              <w:top w:val="double" w:sz="7" w:space="0" w:color="auto"/>
              <w:left w:val="single" w:sz="7" w:space="0" w:color="auto"/>
              <w:right w:val="double" w:sz="7" w:space="0" w:color="auto"/>
            </w:tcBorders>
          </w:tcPr>
          <w:p>
            <w:pPr>
              <w:pStyle w:val="yTable"/>
              <w:tabs>
                <w:tab w:val="left" w:pos="3402"/>
              </w:tabs>
              <w:rPr>
                <w:spacing w:val="-2"/>
                <w:sz w:val="16"/>
              </w:rPr>
            </w:pPr>
            <w:r>
              <w:rPr>
                <w:spacing w:val="-2"/>
                <w:sz w:val="16"/>
              </w:rPr>
              <w:t>Name:</w:t>
            </w:r>
          </w:p>
          <w:p>
            <w:pPr>
              <w:pStyle w:val="yTable"/>
              <w:tabs>
                <w:tab w:val="left" w:pos="3402"/>
              </w:tabs>
              <w:rPr>
                <w:spacing w:val="-2"/>
                <w:sz w:val="16"/>
              </w:rPr>
            </w:pPr>
            <w:r>
              <w:rPr>
                <w:spacing w:val="-2"/>
                <w:sz w:val="16"/>
              </w:rPr>
              <w:t>Address:</w:t>
            </w:r>
          </w:p>
          <w:p>
            <w:pPr>
              <w:pStyle w:val="yTable"/>
              <w:tabs>
                <w:tab w:val="left" w:pos="3402"/>
              </w:tabs>
              <w:rPr>
                <w:spacing w:val="-2"/>
                <w:sz w:val="16"/>
              </w:rPr>
            </w:pPr>
          </w:p>
          <w:p>
            <w:pPr>
              <w:pStyle w:val="yTable"/>
              <w:tabs>
                <w:tab w:val="left" w:pos="3402"/>
              </w:tabs>
              <w:rPr>
                <w:spacing w:val="-2"/>
                <w:sz w:val="16"/>
              </w:rPr>
            </w:pPr>
            <w:r>
              <w:rPr>
                <w:spacing w:val="-2"/>
                <w:sz w:val="16"/>
              </w:rPr>
              <w:t>Date of Birth:</w:t>
            </w:r>
          </w:p>
          <w:p>
            <w:pPr>
              <w:pStyle w:val="yTable"/>
              <w:tabs>
                <w:tab w:val="left" w:pos="2351"/>
              </w:tabs>
              <w:rPr>
                <w:spacing w:val="-2"/>
                <w:sz w:val="16"/>
              </w:rPr>
            </w:pPr>
            <w:r>
              <w:rPr>
                <w:spacing w:val="-2"/>
                <w:sz w:val="16"/>
              </w:rPr>
              <w:t xml:space="preserve">MDL No.:  </w:t>
            </w:r>
            <w:r>
              <w:rPr>
                <w:spacing w:val="-2"/>
                <w:sz w:val="16"/>
              </w:rPr>
              <w:tab/>
              <w:t>MVL No.:</w:t>
            </w:r>
          </w:p>
        </w:tc>
      </w:tr>
      <w:tr>
        <w:tc>
          <w:tcPr>
            <w:tcW w:w="1782" w:type="dxa"/>
            <w:tcBorders>
              <w:top w:val="double" w:sz="7" w:space="0" w:color="auto"/>
              <w:left w:val="single" w:sz="7" w:space="0" w:color="auto"/>
            </w:tcBorders>
          </w:tcPr>
          <w:p>
            <w:pPr>
              <w:pStyle w:val="yTable"/>
              <w:rPr>
                <w:spacing w:val="-2"/>
                <w:sz w:val="16"/>
              </w:rPr>
            </w:pPr>
          </w:p>
          <w:p>
            <w:pPr>
              <w:pStyle w:val="yTable"/>
              <w:rPr>
                <w:spacing w:val="-2"/>
                <w:sz w:val="16"/>
              </w:rPr>
            </w:pPr>
          </w:p>
          <w:p>
            <w:pPr>
              <w:pStyle w:val="yTable"/>
              <w:rPr>
                <w:spacing w:val="-2"/>
                <w:sz w:val="16"/>
              </w:rPr>
            </w:pPr>
            <w:r>
              <w:rPr>
                <w:spacing w:val="-2"/>
                <w:sz w:val="16"/>
              </w:rPr>
              <w:t>Case details</w:t>
            </w:r>
          </w:p>
        </w:tc>
        <w:tc>
          <w:tcPr>
            <w:tcW w:w="5286" w:type="dxa"/>
            <w:tcBorders>
              <w:top w:val="double" w:sz="7" w:space="0" w:color="auto"/>
              <w:left w:val="single" w:sz="7" w:space="0" w:color="auto"/>
              <w:right w:val="double" w:sz="7" w:space="0" w:color="auto"/>
            </w:tcBorders>
          </w:tcPr>
          <w:p>
            <w:pPr>
              <w:pStyle w:val="yTable"/>
              <w:tabs>
                <w:tab w:val="left" w:pos="3402"/>
              </w:tabs>
              <w:rPr>
                <w:spacing w:val="-2"/>
                <w:sz w:val="16"/>
              </w:rPr>
            </w:pPr>
            <w:r>
              <w:rPr>
                <w:spacing w:val="-2"/>
                <w:sz w:val="16"/>
              </w:rPr>
              <w:t>Court:</w:t>
            </w:r>
          </w:p>
          <w:p>
            <w:pPr>
              <w:pStyle w:val="yTable"/>
              <w:tabs>
                <w:tab w:val="left" w:pos="2351"/>
              </w:tabs>
              <w:rPr>
                <w:spacing w:val="-2"/>
                <w:sz w:val="16"/>
              </w:rPr>
            </w:pPr>
            <w:r>
              <w:rPr>
                <w:spacing w:val="-2"/>
                <w:sz w:val="16"/>
              </w:rPr>
              <w:t xml:space="preserve">Date: </w:t>
            </w:r>
            <w:r>
              <w:rPr>
                <w:spacing w:val="-2"/>
                <w:sz w:val="16"/>
              </w:rPr>
              <w:tab/>
              <w:t>Charge No:</w:t>
            </w:r>
          </w:p>
          <w:p>
            <w:pPr>
              <w:pStyle w:val="yTable"/>
              <w:tabs>
                <w:tab w:val="left" w:pos="3402"/>
              </w:tabs>
              <w:rPr>
                <w:spacing w:val="-2"/>
                <w:sz w:val="16"/>
              </w:rPr>
            </w:pPr>
            <w:r>
              <w:rPr>
                <w:spacing w:val="-2"/>
                <w:sz w:val="16"/>
              </w:rPr>
              <w:t>Prosecuting Authority:</w:t>
            </w:r>
          </w:p>
          <w:p>
            <w:pPr>
              <w:pStyle w:val="yTable"/>
              <w:tabs>
                <w:tab w:val="left" w:pos="3402"/>
              </w:tabs>
              <w:rPr>
                <w:spacing w:val="-2"/>
                <w:sz w:val="16"/>
              </w:rPr>
            </w:pPr>
          </w:p>
          <w:p>
            <w:pPr>
              <w:pStyle w:val="yTable"/>
              <w:tabs>
                <w:tab w:val="left" w:pos="3402"/>
              </w:tabs>
              <w:rPr>
                <w:spacing w:val="-2"/>
                <w:sz w:val="16"/>
              </w:rPr>
            </w:pPr>
            <w:r>
              <w:rPr>
                <w:spacing w:val="-2"/>
                <w:sz w:val="16"/>
              </w:rPr>
              <w:t>Offence date/time:</w:t>
            </w:r>
          </w:p>
          <w:p>
            <w:pPr>
              <w:pStyle w:val="yTable"/>
              <w:tabs>
                <w:tab w:val="left" w:pos="3402"/>
              </w:tabs>
              <w:rPr>
                <w:spacing w:val="-2"/>
                <w:sz w:val="16"/>
              </w:rPr>
            </w:pPr>
            <w:r>
              <w:rPr>
                <w:spacing w:val="-2"/>
                <w:sz w:val="16"/>
              </w:rPr>
              <w:t>Description:</w:t>
            </w:r>
          </w:p>
          <w:p>
            <w:pPr>
              <w:pStyle w:val="yTable"/>
              <w:tabs>
                <w:tab w:val="left" w:pos="3402"/>
              </w:tabs>
              <w:rPr>
                <w:spacing w:val="-2"/>
                <w:sz w:val="16"/>
              </w:rPr>
            </w:pPr>
          </w:p>
        </w:tc>
      </w:tr>
      <w:tr>
        <w:tc>
          <w:tcPr>
            <w:tcW w:w="1782" w:type="dxa"/>
            <w:tcBorders>
              <w:top w:val="double" w:sz="7" w:space="0" w:color="auto"/>
              <w:left w:val="single" w:sz="7" w:space="0" w:color="auto"/>
              <w:bottom w:val="single" w:sz="7" w:space="0" w:color="auto"/>
            </w:tcBorders>
          </w:tcPr>
          <w:p>
            <w:pPr>
              <w:pStyle w:val="yTable"/>
              <w:rPr>
                <w:spacing w:val="-2"/>
                <w:sz w:val="16"/>
              </w:rPr>
            </w:pPr>
          </w:p>
          <w:p>
            <w:pPr>
              <w:pStyle w:val="yTable"/>
              <w:rPr>
                <w:spacing w:val="-2"/>
                <w:sz w:val="16"/>
              </w:rPr>
            </w:pPr>
          </w:p>
          <w:p>
            <w:pPr>
              <w:pStyle w:val="yTable"/>
              <w:rPr>
                <w:spacing w:val="-2"/>
                <w:sz w:val="16"/>
              </w:rPr>
            </w:pPr>
          </w:p>
          <w:p>
            <w:pPr>
              <w:pStyle w:val="yTable"/>
              <w:rPr>
                <w:spacing w:val="-2"/>
                <w:sz w:val="16"/>
              </w:rPr>
            </w:pPr>
            <w:r>
              <w:rPr>
                <w:spacing w:val="-2"/>
                <w:sz w:val="16"/>
              </w:rPr>
              <w:t>Amount owed</w:t>
            </w:r>
          </w:p>
        </w:tc>
        <w:tc>
          <w:tcPr>
            <w:tcW w:w="5286" w:type="dxa"/>
            <w:tcBorders>
              <w:top w:val="double" w:sz="7" w:space="0" w:color="auto"/>
              <w:left w:val="single" w:sz="7" w:space="0" w:color="auto"/>
              <w:bottom w:val="single" w:sz="7" w:space="0" w:color="auto"/>
              <w:right w:val="double" w:sz="7" w:space="0" w:color="auto"/>
            </w:tcBorders>
          </w:tcPr>
          <w:p>
            <w:pPr>
              <w:pStyle w:val="yTable"/>
              <w:rPr>
                <w:spacing w:val="-2"/>
                <w:sz w:val="16"/>
              </w:rPr>
            </w:pPr>
            <w:r>
              <w:rPr>
                <w:spacing w:val="-2"/>
                <w:sz w:val="16"/>
              </w:rPr>
              <w:t>Fine/Amount forfeited:</w:t>
            </w:r>
          </w:p>
          <w:p>
            <w:pPr>
              <w:pStyle w:val="yTable"/>
              <w:rPr>
                <w:spacing w:val="-2"/>
                <w:sz w:val="16"/>
              </w:rPr>
            </w:pPr>
            <w:r>
              <w:rPr>
                <w:spacing w:val="-2"/>
                <w:sz w:val="16"/>
              </w:rPr>
              <w:t>Costs:</w:t>
            </w:r>
          </w:p>
          <w:p>
            <w:pPr>
              <w:pStyle w:val="yTable"/>
              <w:rPr>
                <w:spacing w:val="-2"/>
                <w:sz w:val="16"/>
              </w:rPr>
            </w:pPr>
            <w:r>
              <w:rPr>
                <w:spacing w:val="-2"/>
                <w:sz w:val="16"/>
              </w:rPr>
              <w:t>Enforcement fee:</w:t>
            </w:r>
          </w:p>
          <w:p>
            <w:pPr>
              <w:pStyle w:val="yTable"/>
              <w:rPr>
                <w:spacing w:val="-2"/>
                <w:sz w:val="16"/>
              </w:rPr>
            </w:pPr>
          </w:p>
          <w:p>
            <w:pPr>
              <w:pStyle w:val="yTable"/>
              <w:rPr>
                <w:spacing w:val="-2"/>
                <w:sz w:val="16"/>
              </w:rPr>
            </w:pPr>
            <w:r>
              <w:rPr>
                <w:spacing w:val="-2"/>
                <w:sz w:val="16"/>
              </w:rPr>
              <w:t>Sub</w:t>
            </w:r>
            <w:r>
              <w:rPr>
                <w:spacing w:val="-2"/>
                <w:sz w:val="16"/>
              </w:rPr>
              <w:noBreakHyphen/>
              <w:t>total:</w:t>
            </w:r>
          </w:p>
          <w:p>
            <w:pPr>
              <w:pStyle w:val="yTable"/>
              <w:rPr>
                <w:spacing w:val="-2"/>
                <w:sz w:val="16"/>
              </w:rPr>
            </w:pPr>
            <w:r>
              <w:rPr>
                <w:spacing w:val="-2"/>
                <w:sz w:val="16"/>
              </w:rPr>
              <w:t>Less amount paid:</w:t>
            </w:r>
          </w:p>
          <w:p>
            <w:pPr>
              <w:pStyle w:val="yTable"/>
              <w:rPr>
                <w:spacing w:val="-2"/>
                <w:sz w:val="16"/>
              </w:rPr>
            </w:pPr>
          </w:p>
          <w:p>
            <w:pPr>
              <w:pStyle w:val="yTable"/>
              <w:rPr>
                <w:spacing w:val="-2"/>
                <w:sz w:val="16"/>
              </w:rPr>
            </w:pPr>
            <w:r>
              <w:rPr>
                <w:spacing w:val="-2"/>
                <w:sz w:val="16"/>
              </w:rPr>
              <w:t>TOTAL AMOUNT OWED:</w:t>
            </w:r>
          </w:p>
        </w:tc>
      </w:tr>
    </w:tbl>
    <w:p>
      <w:pPr>
        <w:pStyle w:val="yTable"/>
        <w:rPr>
          <w:snapToGrid w:val="0"/>
        </w:rPr>
      </w:pPr>
      <w:r>
        <w:rPr>
          <w:snapToGrid w:val="0"/>
        </w:rPr>
        <w:t>The above court made the above order and the matter has been registered with this Registry for enforcement. To date, the above enforcement fees have been imposed. As a result the offender/liable person is required to pay the AMOUNT OWED which to date is unpaid.</w:t>
      </w:r>
    </w:p>
    <w:p>
      <w:pPr>
        <w:pStyle w:val="yTable"/>
        <w:rPr>
          <w:snapToGrid w:val="0"/>
        </w:rPr>
      </w:pPr>
      <w:r>
        <w:rPr>
          <w:snapToGrid w:val="0"/>
        </w:rPr>
        <w:t xml:space="preserve">Under section 53 of the </w:t>
      </w:r>
      <w:r>
        <w:rPr>
          <w:i/>
          <w:snapToGrid w:val="0"/>
        </w:rPr>
        <w:t>Fines, Penalties and Infringement Notices Enforcement Act 1994</w:t>
      </w:r>
      <w:r>
        <w:rPr>
          <w:snapToGrid w:val="0"/>
        </w:rPr>
        <w:t xml:space="preserve"> the offender/liable person is to be imprisoned for the above period, subject to that section.</w:t>
      </w:r>
    </w:p>
    <w:p>
      <w:pPr>
        <w:pStyle w:val="yTable"/>
        <w:rPr>
          <w:snapToGrid w:val="0"/>
        </w:rPr>
      </w:pPr>
      <w:r>
        <w:rPr>
          <w:snapToGrid w:val="0"/>
        </w:rPr>
        <w:t xml:space="preserve">YOU ARE AUTHORISED AND COMMANDED BY THIS WARRANT to arrest the offender and to imprison him or her for the period specified above, subject to section 53 of the </w:t>
      </w:r>
      <w:r>
        <w:rPr>
          <w:i/>
          <w:snapToGrid w:val="0"/>
        </w:rPr>
        <w:t>Fines, Penalties and Infringement Notices Enforcement Act 1994</w:t>
      </w:r>
      <w:r>
        <w:rPr>
          <w:snapToGrid w:val="0"/>
        </w:rPr>
        <w:t xml:space="preserve">. The period of imprisonment is </w:t>
      </w:r>
      <w:r>
        <w:t>CONCURRENT with</w:t>
      </w:r>
      <w:r>
        <w:rPr>
          <w:snapToGrid w:val="0"/>
        </w:rPr>
        <w:t xml:space="preserve"> any term or period of imprisonment that the offender has to serve.</w:t>
      </w:r>
    </w:p>
    <w:p>
      <w:pPr>
        <w:pStyle w:val="yTable"/>
        <w:rPr>
          <w:snapToGrid w:val="0"/>
        </w:rPr>
      </w:pPr>
    </w:p>
    <w:p>
      <w:pPr>
        <w:pStyle w:val="yTable"/>
        <w:pBdr>
          <w:bottom w:val="single" w:sz="4" w:space="1" w:color="auto"/>
        </w:pBdr>
        <w:tabs>
          <w:tab w:val="left" w:pos="1134"/>
          <w:tab w:val="left" w:pos="5103"/>
        </w:tabs>
        <w:rPr>
          <w:b/>
          <w:snapToGrid w:val="0"/>
        </w:rPr>
      </w:pPr>
      <w:r>
        <w:rPr>
          <w:b/>
          <w:snapToGrid w:val="0"/>
        </w:rPr>
        <w:tab/>
        <w:t>REGISTRAR</w:t>
      </w:r>
      <w:r>
        <w:rPr>
          <w:b/>
          <w:snapToGrid w:val="0"/>
        </w:rPr>
        <w:tab/>
        <w:t xml:space="preserve">DATE </w:t>
      </w:r>
    </w:p>
    <w:tbl>
      <w:tblPr>
        <w:tblW w:w="0" w:type="auto"/>
        <w:tblInd w:w="120" w:type="dxa"/>
        <w:tblLayout w:type="fixed"/>
        <w:tblCellMar>
          <w:left w:w="120" w:type="dxa"/>
          <w:right w:w="120" w:type="dxa"/>
        </w:tblCellMar>
        <w:tblLook w:val="0000" w:firstRow="0" w:lastRow="0" w:firstColumn="0" w:lastColumn="0" w:noHBand="0" w:noVBand="0"/>
      </w:tblPr>
      <w:tblGrid>
        <w:gridCol w:w="1857"/>
        <w:gridCol w:w="408"/>
        <w:gridCol w:w="67"/>
        <w:gridCol w:w="2283"/>
        <w:gridCol w:w="475"/>
        <w:gridCol w:w="13"/>
        <w:gridCol w:w="1693"/>
      </w:tblGrid>
      <w:tr>
        <w:tc>
          <w:tcPr>
            <w:tcW w:w="1857" w:type="dxa"/>
          </w:tcPr>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spacing w:after="54"/>
              <w:jc w:val="center"/>
              <w:rPr>
                <w:sz w:val="14"/>
              </w:rPr>
            </w:pPr>
          </w:p>
          <w:p>
            <w:pPr>
              <w:tabs>
                <w:tab w:val="left" w:pos="0"/>
                <w:tab w:val="left" w:pos="6797"/>
                <w:tab w:val="left" w:pos="7362"/>
                <w:tab w:val="left" w:pos="7929"/>
                <w:tab w:val="left" w:pos="8496"/>
              </w:tabs>
              <w:suppressAutoHyphens/>
              <w:spacing w:after="54"/>
              <w:jc w:val="center"/>
              <w:rPr>
                <w:rFonts w:ascii="New Century Schoolbook" w:hAnsi="New Century Schoolbook"/>
                <w:spacing w:val="-1"/>
                <w:sz w:val="14"/>
              </w:rPr>
            </w:pPr>
            <w:r>
              <w:rPr>
                <w:sz w:val="14"/>
              </w:rPr>
              <w:t>PAYMENT DETAILS</w:t>
            </w:r>
          </w:p>
        </w:tc>
        <w:tc>
          <w:tcPr>
            <w:tcW w:w="475" w:type="dxa"/>
            <w:gridSpan w:val="2"/>
          </w:tcPr>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spacing w:before="90" w:after="54"/>
              <w:rPr>
                <w:rFonts w:ascii="New Century Schoolbook" w:hAnsi="New Century Schoolbook"/>
                <w:spacing w:val="-1"/>
                <w:sz w:val="14"/>
              </w:rPr>
            </w:pPr>
          </w:p>
        </w:tc>
        <w:tc>
          <w:tcPr>
            <w:tcW w:w="2283" w:type="dxa"/>
          </w:tcPr>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spacing w:before="60"/>
              <w:jc w:val="center"/>
              <w:rPr>
                <w:spacing w:val="-1"/>
                <w:sz w:val="14"/>
              </w:rPr>
            </w:pPr>
            <w:r>
              <w:rPr>
                <w:spacing w:val="-1"/>
                <w:sz w:val="14"/>
              </w:rPr>
              <w:t>DETAILS OF</w:t>
            </w:r>
          </w:p>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jc w:val="center"/>
              <w:rPr>
                <w:rFonts w:ascii="New Century Schoolbook" w:hAnsi="New Century Schoolbook"/>
                <w:spacing w:val="-1"/>
                <w:sz w:val="14"/>
              </w:rPr>
            </w:pPr>
            <w:r>
              <w:rPr>
                <w:spacing w:val="-1"/>
                <w:sz w:val="14"/>
              </w:rPr>
              <w:t>EXECUTION OR SATISFACTION</w:t>
            </w:r>
          </w:p>
        </w:tc>
        <w:tc>
          <w:tcPr>
            <w:tcW w:w="475" w:type="dxa"/>
          </w:tcPr>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spacing w:before="90" w:after="54"/>
              <w:rPr>
                <w:rFonts w:ascii="New Century Schoolbook" w:hAnsi="New Century Schoolbook"/>
                <w:spacing w:val="-1"/>
                <w:sz w:val="14"/>
              </w:rPr>
            </w:pPr>
          </w:p>
        </w:tc>
        <w:tc>
          <w:tcPr>
            <w:tcW w:w="1706" w:type="dxa"/>
            <w:gridSpan w:val="2"/>
          </w:tcPr>
          <w:p>
            <w:pPr>
              <w:tabs>
                <w:tab w:val="left" w:pos="0"/>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spacing w:before="60"/>
              <w:rPr>
                <w:spacing w:val="-1"/>
                <w:sz w:val="14"/>
              </w:rPr>
            </w:pPr>
          </w:p>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rPr>
                <w:rFonts w:ascii="New Century Schoolbook" w:hAnsi="New Century Schoolbook"/>
                <w:spacing w:val="-1"/>
                <w:sz w:val="14"/>
              </w:rPr>
            </w:pPr>
            <w:r>
              <w:rPr>
                <w:spacing w:val="-1"/>
                <w:sz w:val="14"/>
              </w:rPr>
              <w:t>OFFICER’S DETAILS</w:t>
            </w:r>
          </w:p>
        </w:tc>
      </w:tr>
      <w:tr>
        <w:trPr>
          <w:cantSplit/>
        </w:trPr>
        <w:tc>
          <w:tcPr>
            <w:tcW w:w="2265" w:type="dxa"/>
            <w:gridSpan w:val="2"/>
          </w:tcPr>
          <w:p>
            <w:pPr>
              <w:pStyle w:val="yTable"/>
              <w:jc w:val="center"/>
              <w:rPr>
                <w:sz w:val="14"/>
              </w:rPr>
            </w:pPr>
          </w:p>
        </w:tc>
        <w:tc>
          <w:tcPr>
            <w:tcW w:w="2838" w:type="dxa"/>
            <w:gridSpan w:val="4"/>
          </w:tcPr>
          <w:p>
            <w:pPr>
              <w:pStyle w:val="yTable"/>
              <w:jc w:val="center"/>
              <w:rPr>
                <w:sz w:val="14"/>
              </w:rPr>
            </w:pPr>
          </w:p>
        </w:tc>
        <w:tc>
          <w:tcPr>
            <w:tcW w:w="1693" w:type="dxa"/>
          </w:tcPr>
          <w:p>
            <w:pPr>
              <w:pStyle w:val="yTable"/>
              <w:jc w:val="center"/>
              <w:rPr>
                <w:sz w:val="14"/>
              </w:rPr>
            </w:pPr>
          </w:p>
        </w:tc>
      </w:tr>
      <w:tr>
        <w:tc>
          <w:tcPr>
            <w:tcW w:w="1857" w:type="dxa"/>
            <w:tcBorders>
              <w:top w:val="single" w:sz="7" w:space="0" w:color="auto"/>
              <w:left w:val="single" w:sz="7" w:space="0" w:color="auto"/>
              <w:bottom w:val="single" w:sz="7" w:space="0" w:color="auto"/>
            </w:tcBorders>
          </w:tcPr>
          <w:p>
            <w:pPr>
              <w:pStyle w:val="yTable"/>
              <w:rPr>
                <w:sz w:val="14"/>
              </w:rPr>
            </w:pPr>
            <w:r>
              <w:rPr>
                <w:sz w:val="14"/>
              </w:rPr>
              <w:t>Payment Type:</w:t>
            </w:r>
          </w:p>
          <w:p>
            <w:pPr>
              <w:pStyle w:val="yTable"/>
              <w:spacing w:before="0"/>
              <w:rPr>
                <w:sz w:val="14"/>
              </w:rPr>
            </w:pPr>
            <w:r>
              <w:rPr>
                <w:sz w:val="14"/>
              </w:rPr>
              <w:t>Reference No:</w:t>
            </w:r>
          </w:p>
          <w:p>
            <w:pPr>
              <w:pStyle w:val="yTable"/>
              <w:spacing w:before="0"/>
              <w:rPr>
                <w:sz w:val="14"/>
              </w:rPr>
            </w:pPr>
            <w:r>
              <w:rPr>
                <w:sz w:val="14"/>
              </w:rPr>
              <w:t>Gen. Receipt No:</w:t>
            </w:r>
          </w:p>
          <w:p>
            <w:pPr>
              <w:pStyle w:val="yTable"/>
              <w:spacing w:before="0"/>
              <w:rPr>
                <w:sz w:val="14"/>
              </w:rPr>
            </w:pPr>
          </w:p>
          <w:p>
            <w:pPr>
              <w:pStyle w:val="yTable"/>
              <w:spacing w:before="0"/>
              <w:rPr>
                <w:sz w:val="14"/>
              </w:rPr>
            </w:pPr>
            <w:r>
              <w:rPr>
                <w:sz w:val="14"/>
              </w:rPr>
              <w:t>Payment Amount:</w:t>
            </w:r>
          </w:p>
        </w:tc>
        <w:tc>
          <w:tcPr>
            <w:tcW w:w="475" w:type="dxa"/>
            <w:gridSpan w:val="2"/>
            <w:tcBorders>
              <w:left w:val="single" w:sz="7" w:space="0" w:color="auto"/>
            </w:tcBorders>
          </w:tcPr>
          <w:p>
            <w:pPr>
              <w:pStyle w:val="yTable"/>
              <w:spacing w:before="0"/>
              <w:rPr>
                <w:sz w:val="14"/>
              </w:rPr>
            </w:pPr>
          </w:p>
        </w:tc>
        <w:tc>
          <w:tcPr>
            <w:tcW w:w="2283" w:type="dxa"/>
            <w:tcBorders>
              <w:top w:val="single" w:sz="7" w:space="0" w:color="auto"/>
              <w:left w:val="single" w:sz="7" w:space="0" w:color="auto"/>
              <w:bottom w:val="single" w:sz="7" w:space="0" w:color="auto"/>
            </w:tcBorders>
          </w:tcPr>
          <w:p>
            <w:pPr>
              <w:pStyle w:val="yTable"/>
              <w:rPr>
                <w:sz w:val="14"/>
              </w:rPr>
            </w:pPr>
            <w:r>
              <w:rPr>
                <w:sz w:val="14"/>
              </w:rPr>
              <w:t>Amount Paid</w:t>
            </w:r>
          </w:p>
          <w:p>
            <w:pPr>
              <w:pStyle w:val="yTable"/>
              <w:spacing w:before="0"/>
              <w:rPr>
                <w:sz w:val="14"/>
              </w:rPr>
            </w:pPr>
            <w:r>
              <w:rPr>
                <w:sz w:val="14"/>
              </w:rPr>
              <w:t> </w:t>
            </w:r>
            <w:r>
              <w:rPr>
                <w:sz w:val="14"/>
              </w:rPr>
              <w:t>on Demand:</w:t>
            </w:r>
          </w:p>
          <w:p>
            <w:pPr>
              <w:pStyle w:val="yTable"/>
              <w:spacing w:before="0"/>
              <w:rPr>
                <w:sz w:val="14"/>
              </w:rPr>
            </w:pPr>
            <w:r>
              <w:rPr>
                <w:sz w:val="14"/>
              </w:rPr>
              <w:t>Arrested at:</w:t>
            </w:r>
          </w:p>
          <w:p>
            <w:pPr>
              <w:pStyle w:val="yTable"/>
              <w:spacing w:before="0"/>
              <w:rPr>
                <w:sz w:val="14"/>
              </w:rPr>
            </w:pPr>
            <w:r>
              <w:rPr>
                <w:sz w:val="14"/>
              </w:rPr>
              <w:t>CWB Advised:</w:t>
            </w:r>
          </w:p>
          <w:p>
            <w:pPr>
              <w:pStyle w:val="yTable"/>
              <w:spacing w:before="0"/>
              <w:rPr>
                <w:sz w:val="14"/>
              </w:rPr>
            </w:pPr>
            <w:r>
              <w:rPr>
                <w:sz w:val="14"/>
              </w:rPr>
              <w:t>HRS            /          /</w:t>
            </w:r>
          </w:p>
        </w:tc>
        <w:tc>
          <w:tcPr>
            <w:tcW w:w="475" w:type="dxa"/>
            <w:tcBorders>
              <w:left w:val="single" w:sz="7" w:space="0" w:color="auto"/>
            </w:tcBorders>
          </w:tcPr>
          <w:p>
            <w:pPr>
              <w:pStyle w:val="yTable"/>
              <w:spacing w:before="0"/>
              <w:rPr>
                <w:sz w:val="14"/>
              </w:rPr>
            </w:pPr>
          </w:p>
        </w:tc>
        <w:tc>
          <w:tcPr>
            <w:tcW w:w="1706" w:type="dxa"/>
            <w:gridSpan w:val="2"/>
            <w:tcBorders>
              <w:top w:val="single" w:sz="7" w:space="0" w:color="auto"/>
              <w:left w:val="single" w:sz="7" w:space="0" w:color="auto"/>
              <w:bottom w:val="single" w:sz="7" w:space="0" w:color="auto"/>
              <w:right w:val="single" w:sz="7" w:space="0" w:color="auto"/>
            </w:tcBorders>
          </w:tcPr>
          <w:p>
            <w:pPr>
              <w:pStyle w:val="yTable"/>
              <w:rPr>
                <w:sz w:val="14"/>
              </w:rPr>
            </w:pPr>
            <w:r>
              <w:rPr>
                <w:sz w:val="14"/>
              </w:rPr>
              <w:t>Name:</w:t>
            </w:r>
          </w:p>
          <w:p>
            <w:pPr>
              <w:pStyle w:val="yTable"/>
              <w:spacing w:before="0"/>
              <w:rPr>
                <w:sz w:val="14"/>
              </w:rPr>
            </w:pPr>
            <w:r>
              <w:rPr>
                <w:sz w:val="14"/>
              </w:rPr>
              <w:t>No:</w:t>
            </w:r>
          </w:p>
          <w:p>
            <w:pPr>
              <w:pStyle w:val="yTable"/>
              <w:spacing w:before="0"/>
              <w:rPr>
                <w:sz w:val="14"/>
              </w:rPr>
            </w:pPr>
            <w:r>
              <w:rPr>
                <w:sz w:val="14"/>
              </w:rPr>
              <w:t>Station:</w:t>
            </w:r>
          </w:p>
          <w:p>
            <w:pPr>
              <w:pStyle w:val="yTable"/>
              <w:spacing w:before="0"/>
              <w:rPr>
                <w:sz w:val="14"/>
              </w:rPr>
            </w:pPr>
          </w:p>
          <w:p>
            <w:pPr>
              <w:pStyle w:val="yTable"/>
              <w:spacing w:before="0"/>
              <w:rPr>
                <w:sz w:val="14"/>
              </w:rPr>
            </w:pPr>
            <w:r>
              <w:rPr>
                <w:sz w:val="14"/>
              </w:rPr>
              <w:t>Date:</w:t>
            </w:r>
          </w:p>
        </w:tc>
      </w:tr>
    </w:tbl>
    <w:p>
      <w:pPr>
        <w:pStyle w:val="yFootnotesection"/>
        <w:spacing w:before="240" w:after="1680"/>
      </w:pPr>
      <w:r>
        <w:tab/>
        <w:t>[Form 3 inserted in Gazette 30 Jun 1995 p. 2639; amended in Gazette 13 May 2005 p. 2082; 4 Jul 2008 p. 3171.]</w:t>
      </w:r>
    </w:p>
    <w:p>
      <w:pPr>
        <w:pStyle w:val="yHeading5"/>
        <w:rPr>
          <w:snapToGrid w:val="0"/>
        </w:rPr>
      </w:pPr>
      <w:bookmarkStart w:id="80" w:name="_Toc391017395"/>
      <w:bookmarkStart w:id="81" w:name="_Toc377549589"/>
      <w:r>
        <w:rPr>
          <w:rStyle w:val="CharSClsNo"/>
        </w:rPr>
        <w:t>4</w:t>
      </w:r>
      <w:r>
        <w:rPr>
          <w:snapToGrid w:val="0"/>
        </w:rPr>
        <w:t>.</w:t>
      </w:r>
      <w:r>
        <w:rPr>
          <w:snapToGrid w:val="0"/>
        </w:rPr>
        <w:tab/>
        <w:t>Enforcement warrant for the purposes of Act s. 61</w:t>
      </w:r>
      <w:bookmarkEnd w:id="80"/>
      <w:bookmarkEnd w:id="81"/>
    </w:p>
    <w:p>
      <w:pPr>
        <w:pStyle w:val="ySubsection"/>
        <w:keepNext/>
        <w:spacing w:before="80"/>
        <w:ind w:left="0" w:firstLine="0"/>
        <w:jc w:val="center"/>
        <w:rPr>
          <w:i/>
          <w:snapToGrid w:val="0"/>
        </w:rPr>
      </w:pPr>
      <w:r>
        <w:rPr>
          <w:i/>
          <w:snapToGrid w:val="0"/>
        </w:rPr>
        <w:t>Fines, Penalties and Infringement Notices Enforcement Act 1994</w:t>
      </w:r>
    </w:p>
    <w:p>
      <w:pPr>
        <w:pStyle w:val="ySubsection"/>
        <w:keepNext/>
        <w:spacing w:before="0" w:after="60"/>
        <w:jc w:val="center"/>
        <w:rPr>
          <w:snapToGrid w:val="0"/>
        </w:rPr>
      </w:pPr>
      <w:r>
        <w:rPr>
          <w:snapToGrid w:val="0"/>
        </w:rPr>
        <w:t>[Section 61]</w:t>
      </w:r>
    </w:p>
    <w:tbl>
      <w:tblPr>
        <w:tblW w:w="0" w:type="auto"/>
        <w:tblInd w:w="120" w:type="dxa"/>
        <w:tblLayout w:type="fixed"/>
        <w:tblCellMar>
          <w:left w:w="120" w:type="dxa"/>
          <w:right w:w="120" w:type="dxa"/>
        </w:tblCellMar>
        <w:tblLook w:val="0000" w:firstRow="0" w:lastRow="0" w:firstColumn="0" w:lastColumn="0" w:noHBand="0" w:noVBand="0"/>
      </w:tblPr>
      <w:tblGrid>
        <w:gridCol w:w="1539"/>
        <w:gridCol w:w="3477"/>
        <w:gridCol w:w="2052"/>
      </w:tblGrid>
      <w:tr>
        <w:tc>
          <w:tcPr>
            <w:tcW w:w="1539" w:type="dxa"/>
          </w:tcPr>
          <w:p>
            <w:pPr>
              <w:pStyle w:val="yTable"/>
              <w:keepNext/>
              <w:rPr>
                <w:sz w:val="14"/>
              </w:rPr>
            </w:pPr>
            <w:r>
              <w:rPr>
                <w:sz w:val="14"/>
              </w:rPr>
              <w:t xml:space="preserve">The </w:t>
            </w:r>
            <w:smartTag w:uri="urn:schemas-microsoft-com:office:smarttags" w:element="Street">
              <w:smartTag w:uri="urn:schemas-microsoft-com:office:smarttags" w:element="address">
                <w:r>
                  <w:rPr>
                    <w:sz w:val="14"/>
                  </w:rPr>
                  <w:t>Magistrates Court</w:t>
                </w:r>
              </w:smartTag>
            </w:smartTag>
          </w:p>
        </w:tc>
        <w:tc>
          <w:tcPr>
            <w:tcW w:w="3477" w:type="dxa"/>
          </w:tcPr>
          <w:p>
            <w:pPr>
              <w:pStyle w:val="yTable"/>
              <w:keepNext/>
              <w:jc w:val="center"/>
            </w:pPr>
          </w:p>
          <w:p>
            <w:pPr>
              <w:pStyle w:val="yTable"/>
              <w:keepNext/>
              <w:spacing w:before="120"/>
              <w:jc w:val="center"/>
              <w:rPr>
                <w:spacing w:val="-2"/>
              </w:rPr>
            </w:pPr>
            <w:r>
              <w:rPr>
                <w:b/>
                <w:spacing w:val="-2"/>
              </w:rPr>
              <w:t>ENFORCEMENT WARRANT</w:t>
            </w:r>
          </w:p>
        </w:tc>
        <w:tc>
          <w:tcPr>
            <w:tcW w:w="2052" w:type="dxa"/>
            <w:tcBorders>
              <w:top w:val="single" w:sz="7" w:space="0" w:color="auto"/>
              <w:left w:val="single" w:sz="7" w:space="0" w:color="auto"/>
              <w:right w:val="single" w:sz="7" w:space="0" w:color="auto"/>
            </w:tcBorders>
          </w:tcPr>
          <w:p>
            <w:pPr>
              <w:pStyle w:val="yTable"/>
              <w:keepNext/>
              <w:rPr>
                <w:sz w:val="14"/>
              </w:rPr>
            </w:pPr>
            <w:r>
              <w:rPr>
                <w:sz w:val="14"/>
              </w:rPr>
              <w:t>Warrant No.</w:t>
            </w:r>
          </w:p>
          <w:p>
            <w:pPr>
              <w:pStyle w:val="yTable"/>
              <w:keepNext/>
              <w:rPr>
                <w:sz w:val="14"/>
              </w:rPr>
            </w:pPr>
            <w:r>
              <w:rPr>
                <w:sz w:val="14"/>
              </w:rPr>
              <w:t>ACN No.</w:t>
            </w:r>
          </w:p>
          <w:p>
            <w:pPr>
              <w:pStyle w:val="yTable"/>
              <w:keepNext/>
              <w:rPr>
                <w:sz w:val="14"/>
              </w:rPr>
            </w:pPr>
            <w:r>
              <w:rPr>
                <w:sz w:val="14"/>
              </w:rPr>
              <w:t>Case No.</w:t>
            </w:r>
          </w:p>
        </w:tc>
      </w:tr>
      <w:tr>
        <w:tc>
          <w:tcPr>
            <w:tcW w:w="1539" w:type="dxa"/>
          </w:tcPr>
          <w:p>
            <w:pPr>
              <w:pStyle w:val="yTable"/>
              <w:keepNext/>
              <w:rPr>
                <w:sz w:val="14"/>
              </w:rPr>
            </w:pPr>
            <w:r>
              <w:rPr>
                <w:sz w:val="14"/>
              </w:rPr>
              <w:t>Fines Enforcement Registry</w:t>
            </w:r>
          </w:p>
        </w:tc>
        <w:tc>
          <w:tcPr>
            <w:tcW w:w="3477" w:type="dxa"/>
          </w:tcPr>
          <w:p>
            <w:pPr>
              <w:pStyle w:val="yTable"/>
              <w:keepNext/>
              <w:rPr>
                <w:snapToGrid w:val="0"/>
                <w:sz w:val="14"/>
              </w:rPr>
            </w:pPr>
          </w:p>
          <w:p>
            <w:pPr>
              <w:pStyle w:val="yTable"/>
              <w:keepNext/>
            </w:pPr>
            <w:r>
              <w:rPr>
                <w:snapToGrid w:val="0"/>
                <w:sz w:val="14"/>
              </w:rPr>
              <w:t>To:</w:t>
            </w:r>
            <w:r>
              <w:rPr>
                <w:snapToGrid w:val="0"/>
                <w:sz w:val="14"/>
              </w:rPr>
              <w:tab/>
              <w:t>The Sheriff of Western Australia</w:t>
            </w:r>
          </w:p>
        </w:tc>
        <w:tc>
          <w:tcPr>
            <w:tcW w:w="2052" w:type="dxa"/>
            <w:tcBorders>
              <w:top w:val="single" w:sz="7" w:space="0" w:color="auto"/>
            </w:tcBorders>
          </w:tcPr>
          <w:p>
            <w:pPr>
              <w:pStyle w:val="yTable"/>
              <w:keepNext/>
            </w:pPr>
          </w:p>
        </w:tc>
      </w:tr>
    </w:tbl>
    <w:p>
      <w:pPr>
        <w:pStyle w:val="yTable"/>
        <w:keepNext/>
        <w:tabs>
          <w:tab w:val="left" w:pos="2268"/>
          <w:tab w:val="left" w:pos="3119"/>
        </w:tabs>
        <w:rPr>
          <w:snapToGrid w:val="0"/>
          <w:sz w:val="14"/>
        </w:rPr>
      </w:pPr>
    </w:p>
    <w:tbl>
      <w:tblPr>
        <w:tblW w:w="0" w:type="auto"/>
        <w:tblInd w:w="120" w:type="dxa"/>
        <w:tblLayout w:type="fixed"/>
        <w:tblCellMar>
          <w:left w:w="120" w:type="dxa"/>
          <w:right w:w="120" w:type="dxa"/>
        </w:tblCellMar>
        <w:tblLook w:val="0000" w:firstRow="0" w:lastRow="0" w:firstColumn="0" w:lastColumn="0" w:noHBand="0" w:noVBand="0"/>
      </w:tblPr>
      <w:tblGrid>
        <w:gridCol w:w="1782"/>
        <w:gridCol w:w="2484"/>
        <w:gridCol w:w="2802"/>
      </w:tblGrid>
      <w:tr>
        <w:tc>
          <w:tcPr>
            <w:tcW w:w="1782" w:type="dxa"/>
            <w:tcBorders>
              <w:top w:val="single" w:sz="7" w:space="0" w:color="auto"/>
              <w:left w:val="single" w:sz="7" w:space="0" w:color="auto"/>
            </w:tcBorders>
          </w:tcPr>
          <w:p>
            <w:pPr>
              <w:pStyle w:val="yTable"/>
              <w:keepNext/>
              <w:spacing w:before="120"/>
              <w:rPr>
                <w:sz w:val="14"/>
              </w:rPr>
            </w:pPr>
            <w:r>
              <w:rPr>
                <w:sz w:val="14"/>
              </w:rPr>
              <w:t>Offender’s</w:t>
            </w:r>
          </w:p>
          <w:p>
            <w:pPr>
              <w:pStyle w:val="yTable"/>
              <w:keepNext/>
              <w:spacing w:before="0"/>
              <w:rPr>
                <w:sz w:val="14"/>
              </w:rPr>
            </w:pPr>
            <w:r>
              <w:rPr>
                <w:sz w:val="14"/>
              </w:rPr>
              <w:t>details</w:t>
            </w:r>
          </w:p>
        </w:tc>
        <w:tc>
          <w:tcPr>
            <w:tcW w:w="5286" w:type="dxa"/>
            <w:gridSpan w:val="2"/>
            <w:tcBorders>
              <w:top w:val="single" w:sz="7" w:space="0" w:color="auto"/>
              <w:left w:val="single" w:sz="7" w:space="0" w:color="auto"/>
              <w:right w:val="single" w:sz="7" w:space="0" w:color="auto"/>
            </w:tcBorders>
          </w:tcPr>
          <w:p>
            <w:pPr>
              <w:pStyle w:val="yTable"/>
              <w:keepNext/>
              <w:rPr>
                <w:sz w:val="14"/>
              </w:rPr>
            </w:pPr>
            <w:r>
              <w:rPr>
                <w:sz w:val="14"/>
              </w:rPr>
              <w:t>Name:</w:t>
            </w:r>
          </w:p>
          <w:p>
            <w:pPr>
              <w:pStyle w:val="yTable"/>
              <w:keepNext/>
              <w:spacing w:before="40"/>
              <w:rPr>
                <w:sz w:val="14"/>
              </w:rPr>
            </w:pPr>
            <w:r>
              <w:rPr>
                <w:sz w:val="14"/>
              </w:rPr>
              <w:t>Address:</w:t>
            </w:r>
          </w:p>
          <w:p>
            <w:pPr>
              <w:pStyle w:val="yTable"/>
              <w:keepNext/>
              <w:spacing w:before="40"/>
              <w:rPr>
                <w:sz w:val="14"/>
              </w:rPr>
            </w:pPr>
            <w:r>
              <w:rPr>
                <w:sz w:val="14"/>
              </w:rPr>
              <w:t>A.C.N.:</w:t>
            </w:r>
          </w:p>
        </w:tc>
      </w:tr>
      <w:tr>
        <w:tc>
          <w:tcPr>
            <w:tcW w:w="1782" w:type="dxa"/>
            <w:tcBorders>
              <w:top w:val="double" w:sz="7" w:space="0" w:color="auto"/>
              <w:left w:val="single" w:sz="7" w:space="0" w:color="auto"/>
            </w:tcBorders>
          </w:tcPr>
          <w:p>
            <w:pPr>
              <w:pStyle w:val="yTable"/>
              <w:keepNext/>
              <w:rPr>
                <w:sz w:val="14"/>
              </w:rPr>
            </w:pPr>
          </w:p>
          <w:p>
            <w:pPr>
              <w:pStyle w:val="yTable"/>
              <w:keepNext/>
              <w:rPr>
                <w:sz w:val="14"/>
              </w:rPr>
            </w:pPr>
          </w:p>
          <w:p>
            <w:pPr>
              <w:pStyle w:val="yTable"/>
              <w:keepNext/>
              <w:rPr>
                <w:sz w:val="14"/>
              </w:rPr>
            </w:pPr>
            <w:r>
              <w:rPr>
                <w:sz w:val="14"/>
              </w:rPr>
              <w:t>Case details</w:t>
            </w:r>
          </w:p>
        </w:tc>
        <w:tc>
          <w:tcPr>
            <w:tcW w:w="5286" w:type="dxa"/>
            <w:gridSpan w:val="2"/>
            <w:tcBorders>
              <w:top w:val="double" w:sz="7" w:space="0" w:color="auto"/>
              <w:left w:val="single" w:sz="7" w:space="0" w:color="auto"/>
              <w:right w:val="single" w:sz="7" w:space="0" w:color="auto"/>
            </w:tcBorders>
          </w:tcPr>
          <w:p>
            <w:pPr>
              <w:pStyle w:val="yTable"/>
              <w:keepNext/>
              <w:rPr>
                <w:sz w:val="14"/>
              </w:rPr>
            </w:pPr>
            <w:r>
              <w:rPr>
                <w:sz w:val="14"/>
              </w:rPr>
              <w:t>Reciprocating Court:</w:t>
            </w:r>
          </w:p>
          <w:p>
            <w:pPr>
              <w:pStyle w:val="yTable"/>
              <w:keepNext/>
              <w:spacing w:before="40"/>
              <w:rPr>
                <w:sz w:val="14"/>
              </w:rPr>
            </w:pPr>
            <w:r>
              <w:rPr>
                <w:sz w:val="14"/>
              </w:rPr>
              <w:t>Location of Reciprocating Court:</w:t>
            </w:r>
          </w:p>
          <w:p>
            <w:pPr>
              <w:pStyle w:val="yTable"/>
              <w:keepNext/>
              <w:spacing w:before="40"/>
              <w:rPr>
                <w:sz w:val="14"/>
              </w:rPr>
            </w:pPr>
            <w:r>
              <w:rPr>
                <w:sz w:val="14"/>
              </w:rPr>
              <w:t>Date of Order:</w:t>
            </w:r>
          </w:p>
          <w:p>
            <w:pPr>
              <w:pStyle w:val="yTable"/>
              <w:keepNext/>
              <w:spacing w:before="40" w:after="60"/>
              <w:rPr>
                <w:sz w:val="14"/>
              </w:rPr>
            </w:pPr>
            <w:r>
              <w:rPr>
                <w:sz w:val="14"/>
              </w:rPr>
              <w:t>Nature of Court Order:</w:t>
            </w:r>
          </w:p>
          <w:p>
            <w:pPr>
              <w:pStyle w:val="yTable"/>
              <w:keepNext/>
              <w:rPr>
                <w:sz w:val="14"/>
              </w:rPr>
            </w:pPr>
            <w:r>
              <w:rPr>
                <w:sz w:val="14"/>
              </w:rPr>
              <w:t>Date of Offence:</w:t>
            </w:r>
          </w:p>
          <w:p>
            <w:pPr>
              <w:pStyle w:val="yTable"/>
              <w:keepNext/>
              <w:spacing w:before="40" w:after="60"/>
              <w:rPr>
                <w:sz w:val="14"/>
              </w:rPr>
            </w:pPr>
            <w:r>
              <w:rPr>
                <w:sz w:val="14"/>
              </w:rPr>
              <w:t>Offence:</w:t>
            </w:r>
          </w:p>
        </w:tc>
      </w:tr>
      <w:tr>
        <w:tc>
          <w:tcPr>
            <w:tcW w:w="1782" w:type="dxa"/>
            <w:tcBorders>
              <w:top w:val="double" w:sz="7" w:space="0" w:color="auto"/>
              <w:left w:val="single" w:sz="7" w:space="0" w:color="auto"/>
              <w:bottom w:val="single" w:sz="7" w:space="0" w:color="auto"/>
            </w:tcBorders>
          </w:tcPr>
          <w:p>
            <w:pPr>
              <w:pStyle w:val="yTable"/>
              <w:keepNext/>
              <w:rPr>
                <w:sz w:val="14"/>
              </w:rPr>
            </w:pPr>
          </w:p>
          <w:p>
            <w:pPr>
              <w:pStyle w:val="yTable"/>
              <w:keepNext/>
              <w:rPr>
                <w:sz w:val="14"/>
              </w:rPr>
            </w:pPr>
          </w:p>
          <w:p>
            <w:pPr>
              <w:pStyle w:val="yTable"/>
              <w:keepNext/>
              <w:rPr>
                <w:sz w:val="14"/>
              </w:rPr>
            </w:pPr>
            <w:r>
              <w:rPr>
                <w:sz w:val="14"/>
              </w:rPr>
              <w:t>Amount</w:t>
            </w:r>
          </w:p>
          <w:p>
            <w:pPr>
              <w:pStyle w:val="yTable"/>
              <w:keepNext/>
              <w:spacing w:before="0"/>
              <w:rPr>
                <w:sz w:val="14"/>
              </w:rPr>
            </w:pPr>
            <w:r>
              <w:rPr>
                <w:sz w:val="14"/>
              </w:rPr>
              <w:t>outstanding</w:t>
            </w:r>
          </w:p>
        </w:tc>
        <w:tc>
          <w:tcPr>
            <w:tcW w:w="2484" w:type="dxa"/>
            <w:tcBorders>
              <w:top w:val="double" w:sz="7" w:space="0" w:color="auto"/>
              <w:left w:val="single" w:sz="7" w:space="0" w:color="auto"/>
              <w:bottom w:val="single" w:sz="7" w:space="0" w:color="auto"/>
            </w:tcBorders>
          </w:tcPr>
          <w:p>
            <w:pPr>
              <w:pStyle w:val="yTable"/>
              <w:keepNext/>
              <w:rPr>
                <w:sz w:val="14"/>
              </w:rPr>
            </w:pPr>
            <w:r>
              <w:rPr>
                <w:sz w:val="14"/>
              </w:rPr>
              <w:t>Fine/forfeited amount:</w:t>
            </w:r>
          </w:p>
          <w:p>
            <w:pPr>
              <w:pStyle w:val="yTable"/>
              <w:keepNext/>
              <w:spacing w:before="40"/>
              <w:rPr>
                <w:sz w:val="14"/>
              </w:rPr>
            </w:pPr>
            <w:r>
              <w:rPr>
                <w:sz w:val="14"/>
              </w:rPr>
              <w:t>Costs:</w:t>
            </w:r>
          </w:p>
          <w:p>
            <w:pPr>
              <w:pStyle w:val="yTable"/>
              <w:keepNext/>
              <w:spacing w:before="40" w:after="60"/>
              <w:rPr>
                <w:sz w:val="14"/>
              </w:rPr>
            </w:pPr>
            <w:r>
              <w:rPr>
                <w:sz w:val="14"/>
              </w:rPr>
              <w:t>Enforcement fee:</w:t>
            </w:r>
          </w:p>
          <w:p>
            <w:pPr>
              <w:pStyle w:val="yTable"/>
              <w:keepNext/>
              <w:rPr>
                <w:sz w:val="14"/>
              </w:rPr>
            </w:pPr>
            <w:r>
              <w:rPr>
                <w:sz w:val="14"/>
              </w:rPr>
              <w:t>Sub</w:t>
            </w:r>
            <w:r>
              <w:rPr>
                <w:sz w:val="14"/>
              </w:rPr>
              <w:noBreakHyphen/>
              <w:t>total:</w:t>
            </w:r>
          </w:p>
          <w:p>
            <w:pPr>
              <w:pStyle w:val="yTable"/>
              <w:keepNext/>
              <w:spacing w:before="40" w:after="60"/>
              <w:rPr>
                <w:sz w:val="14"/>
              </w:rPr>
            </w:pPr>
            <w:r>
              <w:rPr>
                <w:sz w:val="14"/>
              </w:rPr>
              <w:t>Less amount paid:</w:t>
            </w:r>
          </w:p>
          <w:p>
            <w:pPr>
              <w:pStyle w:val="yTable"/>
              <w:keepNext/>
              <w:rPr>
                <w:sz w:val="14"/>
              </w:rPr>
            </w:pPr>
            <w:r>
              <w:rPr>
                <w:sz w:val="14"/>
              </w:rPr>
              <w:t>AMOUNT OUTSTANDING:</w:t>
            </w:r>
          </w:p>
        </w:tc>
        <w:tc>
          <w:tcPr>
            <w:tcW w:w="2802" w:type="dxa"/>
            <w:tcBorders>
              <w:top w:val="double" w:sz="7" w:space="0" w:color="auto"/>
              <w:left w:val="single" w:sz="7" w:space="0" w:color="auto"/>
              <w:bottom w:val="single" w:sz="7" w:space="0" w:color="auto"/>
              <w:right w:val="single" w:sz="7" w:space="0" w:color="auto"/>
            </w:tcBorders>
          </w:tcPr>
          <w:p>
            <w:pPr>
              <w:pStyle w:val="yTable"/>
              <w:keepNext/>
              <w:rPr>
                <w:sz w:val="14"/>
              </w:rPr>
            </w:pPr>
          </w:p>
          <w:p>
            <w:pPr>
              <w:pStyle w:val="yTable"/>
              <w:keepNext/>
              <w:spacing w:before="40"/>
              <w:rPr>
                <w:sz w:val="14"/>
              </w:rPr>
            </w:pPr>
            <w:r>
              <w:rPr>
                <w:sz w:val="14"/>
              </w:rPr>
              <w:t>+</w:t>
            </w:r>
          </w:p>
          <w:p>
            <w:pPr>
              <w:pStyle w:val="yTable"/>
              <w:keepNext/>
              <w:spacing w:before="40" w:after="60"/>
              <w:rPr>
                <w:sz w:val="14"/>
              </w:rPr>
            </w:pPr>
            <w:r>
              <w:rPr>
                <w:sz w:val="14"/>
              </w:rPr>
              <w:t>+</w:t>
            </w:r>
          </w:p>
          <w:p>
            <w:pPr>
              <w:pStyle w:val="yTable"/>
              <w:keepNext/>
              <w:rPr>
                <w:sz w:val="14"/>
              </w:rPr>
            </w:pPr>
            <w:r>
              <w:rPr>
                <w:sz w:val="14"/>
              </w:rPr>
              <w:t>=</w:t>
            </w:r>
          </w:p>
          <w:p>
            <w:pPr>
              <w:pStyle w:val="yTable"/>
              <w:keepNext/>
              <w:spacing w:before="40" w:after="60"/>
              <w:rPr>
                <w:sz w:val="14"/>
              </w:rPr>
            </w:pPr>
            <w:r>
              <w:rPr>
                <w:sz w:val="14"/>
              </w:rPr>
              <w:t>—</w:t>
            </w:r>
          </w:p>
          <w:p>
            <w:pPr>
              <w:pStyle w:val="yTable"/>
              <w:keepNext/>
              <w:rPr>
                <w:sz w:val="14"/>
              </w:rPr>
            </w:pPr>
            <w:r>
              <w:rPr>
                <w:sz w:val="14"/>
              </w:rPr>
              <w:t>=</w:t>
            </w:r>
          </w:p>
        </w:tc>
      </w:tr>
    </w:tbl>
    <w:p>
      <w:pPr>
        <w:pStyle w:val="yTable"/>
        <w:spacing w:before="240"/>
        <w:rPr>
          <w:snapToGrid w:val="0"/>
          <w:sz w:val="18"/>
        </w:rPr>
      </w:pPr>
      <w:r>
        <w:rPr>
          <w:snapToGrid w:val="0"/>
          <w:sz w:val="18"/>
        </w:rPr>
        <w:t>The above reciprocating court made the above order and the matter has been registered with this Registry for enforcement. To date, the above enforcement fees have been imposed. As a result the offender is required to pay the AMOUNT OUTSTANDING which to date is unpaid.</w:t>
      </w:r>
    </w:p>
    <w:p>
      <w:pPr>
        <w:pStyle w:val="yTable"/>
        <w:spacing w:before="160"/>
        <w:rPr>
          <w:snapToGrid w:val="0"/>
          <w:sz w:val="18"/>
        </w:rPr>
      </w:pPr>
      <w:r>
        <w:rPr>
          <w:snapToGrid w:val="0"/>
          <w:sz w:val="18"/>
        </w:rPr>
        <w:t>YOU ARE AUTHORISED AND COMMANDED BY THIS WARRANT to seize and sell so much of the offender’s property and land as is necessary to recover the amount outstanding and the enforcement fees in connection with the execution of this warrant.</w:t>
      </w:r>
    </w:p>
    <w:p>
      <w:pPr>
        <w:pStyle w:val="yTable"/>
        <w:rPr>
          <w:snapToGrid w:val="0"/>
        </w:rPr>
      </w:pPr>
      <w:r>
        <w:rPr>
          <w:snapToGrid w:val="0"/>
          <w:sz w:val="18"/>
        </w:rPr>
        <w:t xml:space="preserve">This warrant must be executed in accordance with the </w:t>
      </w:r>
      <w:r>
        <w:rPr>
          <w:i/>
          <w:snapToGrid w:val="0"/>
          <w:sz w:val="18"/>
        </w:rPr>
        <w:t>Fines, Penalties and Infringement Notices Enforcement Act 1994</w:t>
      </w:r>
      <w:r>
        <w:rPr>
          <w:snapToGrid w:val="0"/>
          <w:sz w:val="18"/>
        </w:rPr>
        <w:t>.</w:t>
      </w:r>
    </w:p>
    <w:p>
      <w:pPr>
        <w:pStyle w:val="yTable"/>
        <w:rPr>
          <w:snapToGrid w:val="0"/>
        </w:rPr>
      </w:pPr>
    </w:p>
    <w:p>
      <w:pPr>
        <w:pStyle w:val="yTable"/>
        <w:pBdr>
          <w:bottom w:val="single" w:sz="4" w:space="1" w:color="auto"/>
        </w:pBdr>
        <w:tabs>
          <w:tab w:val="left" w:pos="1134"/>
          <w:tab w:val="left" w:pos="5103"/>
        </w:tabs>
        <w:rPr>
          <w:b/>
          <w:snapToGrid w:val="0"/>
        </w:rPr>
      </w:pPr>
      <w:r>
        <w:rPr>
          <w:b/>
          <w:snapToGrid w:val="0"/>
        </w:rPr>
        <w:tab/>
        <w:t>REGISTRAR</w:t>
      </w:r>
      <w:r>
        <w:rPr>
          <w:b/>
          <w:snapToGrid w:val="0"/>
        </w:rPr>
        <w:tab/>
        <w:t>DATE</w:t>
      </w:r>
    </w:p>
    <w:p>
      <w:pPr>
        <w:pStyle w:val="yFootnotesection"/>
      </w:pPr>
      <w:r>
        <w:tab/>
        <w:t>[Form 4 inserted in Gazette 30 Jun 1995 p. 2640; amended in Gazette 13 May 2005 p. 2082; 20 Aug 2013 p. 3888.]</w:t>
      </w:r>
    </w:p>
    <w:p>
      <w:pPr>
        <w:pStyle w:val="CentredBaseLine"/>
        <w:jc w:val="center"/>
      </w:pPr>
      <w:r>
        <w:t>__________________</w:t>
      </w:r>
    </w:p>
    <w:p>
      <w:pPr>
        <w:pStyle w:val="yEdnotesection"/>
        <w:spacing w:before="160"/>
      </w:pPr>
      <w:r>
        <w:t>[Form 5 deleted in Gazette 30 Jun 1995 p. 2638.]</w:t>
      </w:r>
    </w:p>
    <w:p>
      <w:pPr>
        <w:pStyle w:val="yEdnotesection"/>
      </w:pPr>
      <w:r>
        <w:t>[Form 6 deleted in Gazette 20 Aug 2013 p. 3888.]</w:t>
      </w:r>
    </w:p>
    <w:p>
      <w:pPr>
        <w:pStyle w:val="yHeading5"/>
      </w:pPr>
      <w:bookmarkStart w:id="82" w:name="_Toc391017396"/>
      <w:bookmarkStart w:id="83" w:name="_Toc377549590"/>
      <w:r>
        <w:rPr>
          <w:rStyle w:val="CharSClsNo"/>
        </w:rPr>
        <w:t>6A</w:t>
      </w:r>
      <w:r>
        <w:t>.</w:t>
      </w:r>
      <w:r>
        <w:tab/>
        <w:t>Memorial of land for the purposes of Act s. 89(2)</w:t>
      </w:r>
      <w:bookmarkEnd w:id="82"/>
      <w:bookmarkEnd w:id="83"/>
    </w:p>
    <w:p>
      <w:pPr>
        <w:pStyle w:val="ySubsection"/>
        <w:spacing w:before="60"/>
        <w:ind w:left="0" w:firstLine="0"/>
        <w:jc w:val="center"/>
        <w:rPr>
          <w:i/>
        </w:rPr>
      </w:pPr>
      <w:r>
        <w:rPr>
          <w:i/>
        </w:rPr>
        <w:t>Fines, Penalties and Infringement Notices Enforcement Act 1994</w:t>
      </w:r>
    </w:p>
    <w:p>
      <w:pPr>
        <w:pStyle w:val="ySubsection"/>
        <w:spacing w:before="0"/>
        <w:jc w:val="center"/>
      </w:pPr>
      <w:r>
        <w:t>[Section 89]</w:t>
      </w:r>
    </w:p>
    <w:p>
      <w:pPr>
        <w:pStyle w:val="ySubsection"/>
        <w:spacing w:before="60"/>
      </w:pPr>
      <w:r>
        <w:t>To:</w:t>
      </w:r>
      <w:r>
        <w:tab/>
      </w:r>
      <w:r>
        <w:tab/>
        <w:t>Registrar of Titles/</w:t>
      </w:r>
    </w:p>
    <w:p>
      <w:pPr>
        <w:pStyle w:val="ySubsection"/>
        <w:spacing w:before="0"/>
      </w:pPr>
      <w:r>
        <w:tab/>
      </w:r>
      <w:r>
        <w:tab/>
        <w:t>Registrar of Deeds and Transfers</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679"/>
        <w:gridCol w:w="260"/>
        <w:gridCol w:w="1083"/>
        <w:gridCol w:w="246"/>
        <w:gridCol w:w="37"/>
        <w:gridCol w:w="814"/>
        <w:gridCol w:w="269"/>
        <w:gridCol w:w="284"/>
        <w:gridCol w:w="1185"/>
      </w:tblGrid>
      <w:tr>
        <w:tc>
          <w:tcPr>
            <w:tcW w:w="5387" w:type="dxa"/>
            <w:gridSpan w:val="7"/>
          </w:tcPr>
          <w:p>
            <w:pPr>
              <w:pStyle w:val="yTable"/>
            </w:pPr>
          </w:p>
        </w:tc>
        <w:tc>
          <w:tcPr>
            <w:tcW w:w="1738" w:type="dxa"/>
            <w:gridSpan w:val="3"/>
            <w:tcBorders>
              <w:top w:val="single" w:sz="12" w:space="0" w:color="auto"/>
              <w:left w:val="single" w:sz="12" w:space="0" w:color="auto"/>
              <w:bottom w:val="single" w:sz="12" w:space="0" w:color="auto"/>
              <w:right w:val="single" w:sz="12" w:space="0" w:color="auto"/>
            </w:tcBorders>
          </w:tcPr>
          <w:p>
            <w:pPr>
              <w:pStyle w:val="yTable"/>
            </w:pPr>
            <w:r>
              <w:t>Sheriff’s Office</w:t>
            </w:r>
          </w:p>
          <w:p>
            <w:pPr>
              <w:pStyle w:val="yTable"/>
            </w:pPr>
            <w:r>
              <w:t>Warrant No.</w:t>
            </w:r>
          </w:p>
        </w:tc>
      </w:tr>
      <w:tr>
        <w:tc>
          <w:tcPr>
            <w:tcW w:w="2268" w:type="dxa"/>
          </w:tcPr>
          <w:p>
            <w:pPr>
              <w:pStyle w:val="yTable"/>
              <w:rPr>
                <w:sz w:val="14"/>
              </w:rPr>
            </w:pPr>
            <w:r>
              <w:rPr>
                <w:sz w:val="14"/>
              </w:rPr>
              <w:t xml:space="preserve">The </w:t>
            </w:r>
            <w:smartTag w:uri="urn:schemas-microsoft-com:office:smarttags" w:element="Street">
              <w:smartTag w:uri="urn:schemas-microsoft-com:office:smarttags" w:element="address">
                <w:r>
                  <w:rPr>
                    <w:sz w:val="14"/>
                  </w:rPr>
                  <w:t>Magistrates Court</w:t>
                </w:r>
              </w:smartTag>
            </w:smartTag>
          </w:p>
        </w:tc>
        <w:tc>
          <w:tcPr>
            <w:tcW w:w="2268" w:type="dxa"/>
            <w:gridSpan w:val="4"/>
          </w:tcPr>
          <w:p>
            <w:pPr>
              <w:pStyle w:val="yTable"/>
              <w:rPr>
                <w:spacing w:val="-2"/>
              </w:rPr>
            </w:pPr>
            <w:r>
              <w:rPr>
                <w:b/>
                <w:spacing w:val="-2"/>
              </w:rPr>
              <w:t>MEMORIAL</w:t>
            </w:r>
          </w:p>
        </w:tc>
        <w:tc>
          <w:tcPr>
            <w:tcW w:w="2589" w:type="dxa"/>
            <w:gridSpan w:val="5"/>
          </w:tcPr>
          <w:p>
            <w:pPr>
              <w:pStyle w:val="yTable"/>
              <w:rPr>
                <w:spacing w:val="-2"/>
              </w:rPr>
            </w:pPr>
          </w:p>
        </w:tc>
      </w:tr>
      <w:tr>
        <w:tc>
          <w:tcPr>
            <w:tcW w:w="2268" w:type="dxa"/>
          </w:tcPr>
          <w:p>
            <w:pPr>
              <w:pStyle w:val="yTable"/>
              <w:rPr>
                <w:sz w:val="14"/>
              </w:rPr>
            </w:pPr>
            <w:r>
              <w:rPr>
                <w:sz w:val="14"/>
              </w:rPr>
              <w:t>Fines Enforcement</w:t>
            </w:r>
          </w:p>
          <w:p>
            <w:pPr>
              <w:pStyle w:val="yTable"/>
              <w:spacing w:before="0"/>
              <w:rPr>
                <w:sz w:val="14"/>
              </w:rPr>
            </w:pPr>
            <w:r>
              <w:rPr>
                <w:sz w:val="14"/>
              </w:rPr>
              <w:t>Registry</w:t>
            </w:r>
          </w:p>
        </w:tc>
        <w:tc>
          <w:tcPr>
            <w:tcW w:w="2268" w:type="dxa"/>
            <w:gridSpan w:val="4"/>
          </w:tcPr>
          <w:p>
            <w:pPr>
              <w:pStyle w:val="yTable"/>
            </w:pPr>
          </w:p>
          <w:p>
            <w:pPr>
              <w:pStyle w:val="yTable"/>
            </w:pPr>
          </w:p>
        </w:tc>
        <w:tc>
          <w:tcPr>
            <w:tcW w:w="2589" w:type="dxa"/>
            <w:gridSpan w:val="5"/>
          </w:tcPr>
          <w:p>
            <w:pPr>
              <w:pStyle w:val="yTable"/>
            </w:pPr>
          </w:p>
        </w:tc>
      </w:tr>
      <w:tr>
        <w:tc>
          <w:tcPr>
            <w:tcW w:w="2947" w:type="dxa"/>
            <w:gridSpan w:val="2"/>
          </w:tcPr>
          <w:p>
            <w:pPr>
              <w:pStyle w:val="yTable"/>
              <w:spacing w:before="120"/>
              <w:rPr>
                <w:sz w:val="14"/>
              </w:rPr>
            </w:pPr>
            <w:r>
              <w:rPr>
                <w:sz w:val="14"/>
              </w:rPr>
              <w:t>Description of land</w:t>
            </w:r>
          </w:p>
        </w:tc>
        <w:tc>
          <w:tcPr>
            <w:tcW w:w="260" w:type="dxa"/>
          </w:tcPr>
          <w:p>
            <w:pPr>
              <w:pStyle w:val="yTable"/>
              <w:rPr>
                <w:sz w:val="14"/>
              </w:rPr>
            </w:pPr>
          </w:p>
        </w:tc>
        <w:tc>
          <w:tcPr>
            <w:tcW w:w="1083" w:type="dxa"/>
          </w:tcPr>
          <w:p>
            <w:pPr>
              <w:pStyle w:val="yTable"/>
              <w:spacing w:before="120"/>
              <w:jc w:val="center"/>
              <w:rPr>
                <w:sz w:val="14"/>
              </w:rPr>
            </w:pPr>
            <w:r>
              <w:rPr>
                <w:sz w:val="14"/>
              </w:rPr>
              <w:t>Extent</w:t>
            </w:r>
          </w:p>
        </w:tc>
        <w:tc>
          <w:tcPr>
            <w:tcW w:w="283" w:type="dxa"/>
            <w:gridSpan w:val="2"/>
          </w:tcPr>
          <w:p>
            <w:pPr>
              <w:pStyle w:val="yTable"/>
              <w:rPr>
                <w:sz w:val="14"/>
              </w:rPr>
            </w:pPr>
          </w:p>
        </w:tc>
        <w:tc>
          <w:tcPr>
            <w:tcW w:w="1083" w:type="dxa"/>
            <w:gridSpan w:val="2"/>
          </w:tcPr>
          <w:p>
            <w:pPr>
              <w:pStyle w:val="yTable"/>
              <w:spacing w:before="120"/>
              <w:jc w:val="center"/>
              <w:rPr>
                <w:sz w:val="14"/>
              </w:rPr>
            </w:pPr>
            <w:r>
              <w:rPr>
                <w:sz w:val="14"/>
              </w:rPr>
              <w:t>Volume</w:t>
            </w:r>
          </w:p>
        </w:tc>
        <w:tc>
          <w:tcPr>
            <w:tcW w:w="284" w:type="dxa"/>
          </w:tcPr>
          <w:p>
            <w:pPr>
              <w:pStyle w:val="yTable"/>
              <w:rPr>
                <w:sz w:val="14"/>
              </w:rPr>
            </w:pPr>
          </w:p>
        </w:tc>
        <w:tc>
          <w:tcPr>
            <w:tcW w:w="1083" w:type="dxa"/>
          </w:tcPr>
          <w:p>
            <w:pPr>
              <w:pStyle w:val="yTable"/>
              <w:spacing w:before="120"/>
              <w:jc w:val="center"/>
              <w:rPr>
                <w:sz w:val="14"/>
              </w:rPr>
            </w:pPr>
            <w:r>
              <w:rPr>
                <w:sz w:val="14"/>
              </w:rPr>
              <w:t>Folio</w:t>
            </w:r>
          </w:p>
        </w:tc>
      </w:tr>
      <w:tr>
        <w:tc>
          <w:tcPr>
            <w:tcW w:w="2947" w:type="dxa"/>
            <w:gridSpan w:val="2"/>
            <w:tcBorders>
              <w:top w:val="single" w:sz="12" w:space="0" w:color="auto"/>
              <w:left w:val="single" w:sz="12" w:space="0" w:color="auto"/>
              <w:bottom w:val="single" w:sz="12" w:space="0" w:color="auto"/>
              <w:right w:val="single" w:sz="12" w:space="0" w:color="auto"/>
            </w:tcBorders>
          </w:tcPr>
          <w:p>
            <w:pPr>
              <w:pStyle w:val="yTable"/>
              <w:rPr>
                <w:sz w:val="14"/>
              </w:rPr>
            </w:pPr>
          </w:p>
          <w:p>
            <w:pPr>
              <w:pStyle w:val="yTable"/>
              <w:rPr>
                <w:sz w:val="14"/>
              </w:rPr>
            </w:pPr>
          </w:p>
        </w:tc>
        <w:tc>
          <w:tcPr>
            <w:tcW w:w="260" w:type="dxa"/>
            <w:tcBorders>
              <w:left w:val="nil"/>
            </w:tcBorders>
          </w:tcPr>
          <w:p>
            <w:pPr>
              <w:pStyle w:val="yTable"/>
              <w:rPr>
                <w:sz w:val="14"/>
              </w:rPr>
            </w:pPr>
          </w:p>
        </w:tc>
        <w:tc>
          <w:tcPr>
            <w:tcW w:w="1083" w:type="dxa"/>
            <w:tcBorders>
              <w:top w:val="single" w:sz="12" w:space="0" w:color="auto"/>
              <w:left w:val="single" w:sz="12" w:space="0" w:color="auto"/>
              <w:bottom w:val="single" w:sz="12" w:space="0" w:color="auto"/>
              <w:right w:val="single" w:sz="12" w:space="0" w:color="auto"/>
            </w:tcBorders>
          </w:tcPr>
          <w:p>
            <w:pPr>
              <w:pStyle w:val="yTable"/>
              <w:rPr>
                <w:sz w:val="14"/>
              </w:rPr>
            </w:pPr>
          </w:p>
        </w:tc>
        <w:tc>
          <w:tcPr>
            <w:tcW w:w="283" w:type="dxa"/>
            <w:gridSpan w:val="2"/>
            <w:tcBorders>
              <w:left w:val="nil"/>
            </w:tcBorders>
          </w:tcPr>
          <w:p>
            <w:pPr>
              <w:pStyle w:val="yTable"/>
              <w:rPr>
                <w:sz w:val="14"/>
              </w:rPr>
            </w:pPr>
          </w:p>
        </w:tc>
        <w:tc>
          <w:tcPr>
            <w:tcW w:w="1083" w:type="dxa"/>
            <w:gridSpan w:val="2"/>
            <w:tcBorders>
              <w:top w:val="single" w:sz="12" w:space="0" w:color="auto"/>
              <w:left w:val="single" w:sz="12" w:space="0" w:color="auto"/>
              <w:bottom w:val="single" w:sz="12" w:space="0" w:color="auto"/>
              <w:right w:val="single" w:sz="12" w:space="0" w:color="auto"/>
            </w:tcBorders>
          </w:tcPr>
          <w:p>
            <w:pPr>
              <w:pStyle w:val="yTable"/>
              <w:rPr>
                <w:sz w:val="14"/>
              </w:rPr>
            </w:pPr>
          </w:p>
        </w:tc>
        <w:tc>
          <w:tcPr>
            <w:tcW w:w="284" w:type="dxa"/>
            <w:tcBorders>
              <w:left w:val="nil"/>
            </w:tcBorders>
          </w:tcPr>
          <w:p>
            <w:pPr>
              <w:pStyle w:val="yTable"/>
              <w:rPr>
                <w:sz w:val="14"/>
              </w:rPr>
            </w:pPr>
          </w:p>
        </w:tc>
        <w:tc>
          <w:tcPr>
            <w:tcW w:w="1083" w:type="dxa"/>
            <w:tcBorders>
              <w:top w:val="single" w:sz="12" w:space="0" w:color="auto"/>
              <w:left w:val="single" w:sz="12" w:space="0" w:color="auto"/>
              <w:bottom w:val="single" w:sz="12" w:space="0" w:color="auto"/>
              <w:right w:val="single" w:sz="12" w:space="0" w:color="auto"/>
            </w:tcBorders>
          </w:tcPr>
          <w:p>
            <w:pPr>
              <w:pStyle w:val="yTable"/>
              <w:rPr>
                <w:sz w:val="14"/>
              </w:rPr>
            </w:pPr>
          </w:p>
        </w:tc>
      </w:tr>
      <w:tr>
        <w:tc>
          <w:tcPr>
            <w:tcW w:w="7125" w:type="dxa"/>
            <w:gridSpan w:val="10"/>
          </w:tcPr>
          <w:p>
            <w:pPr>
              <w:pStyle w:val="yTable"/>
              <w:spacing w:before="120"/>
              <w:rPr>
                <w:sz w:val="14"/>
              </w:rPr>
            </w:pPr>
            <w:r>
              <w:rPr>
                <w:sz w:val="14"/>
              </w:rPr>
              <w:t>Registered proprietor of land</w:t>
            </w:r>
          </w:p>
        </w:tc>
      </w:tr>
      <w:tr>
        <w:tc>
          <w:tcPr>
            <w:tcW w:w="7125" w:type="dxa"/>
            <w:gridSpan w:val="10"/>
            <w:tcBorders>
              <w:top w:val="single" w:sz="12" w:space="0" w:color="auto"/>
              <w:left w:val="single" w:sz="12" w:space="0" w:color="auto"/>
              <w:bottom w:val="single" w:sz="12" w:space="0" w:color="auto"/>
              <w:right w:val="single" w:sz="12" w:space="0" w:color="auto"/>
            </w:tcBorders>
          </w:tcPr>
          <w:p>
            <w:pPr>
              <w:pStyle w:val="yTable"/>
              <w:rPr>
                <w:sz w:val="14"/>
              </w:rPr>
            </w:pPr>
          </w:p>
          <w:p>
            <w:pPr>
              <w:pStyle w:val="yTable"/>
              <w:rPr>
                <w:sz w:val="14"/>
              </w:rPr>
            </w:pPr>
          </w:p>
          <w:p>
            <w:pPr>
              <w:pStyle w:val="yTable"/>
              <w:rPr>
                <w:sz w:val="14"/>
              </w:rPr>
            </w:pPr>
          </w:p>
          <w:p>
            <w:pPr>
              <w:pStyle w:val="yTable"/>
              <w:rPr>
                <w:sz w:val="14"/>
              </w:rPr>
            </w:pPr>
          </w:p>
        </w:tc>
      </w:tr>
    </w:tbl>
    <w:p>
      <w:pPr>
        <w:pStyle w:val="yTable"/>
        <w:rPr>
          <w:sz w:val="14"/>
        </w:rPr>
      </w:pPr>
    </w:p>
    <w:tbl>
      <w:tblPr>
        <w:tblW w:w="0" w:type="auto"/>
        <w:tblInd w:w="120" w:type="dxa"/>
        <w:tblLayout w:type="fixed"/>
        <w:tblCellMar>
          <w:left w:w="120" w:type="dxa"/>
          <w:right w:w="120" w:type="dxa"/>
        </w:tblCellMar>
        <w:tblLook w:val="0000" w:firstRow="0" w:lastRow="0" w:firstColumn="0" w:lastColumn="0" w:noHBand="0" w:noVBand="0"/>
      </w:tblPr>
      <w:tblGrid>
        <w:gridCol w:w="2268"/>
        <w:gridCol w:w="2410"/>
        <w:gridCol w:w="2447"/>
      </w:tblGrid>
      <w:tr>
        <w:tc>
          <w:tcPr>
            <w:tcW w:w="2268" w:type="dxa"/>
            <w:tcBorders>
              <w:top w:val="single" w:sz="12" w:space="0" w:color="auto"/>
              <w:left w:val="single" w:sz="12" w:space="0" w:color="auto"/>
              <w:bottom w:val="single" w:sz="12" w:space="0" w:color="auto"/>
              <w:right w:val="single" w:sz="12" w:space="0" w:color="auto"/>
            </w:tcBorders>
          </w:tcPr>
          <w:p>
            <w:pPr>
              <w:pStyle w:val="yTable"/>
              <w:spacing w:before="0"/>
              <w:rPr>
                <w:sz w:val="14"/>
              </w:rPr>
            </w:pPr>
            <w:r>
              <w:rPr>
                <w:sz w:val="14"/>
              </w:rPr>
              <w:t>Amount owed</w:t>
            </w:r>
          </w:p>
          <w:p>
            <w:pPr>
              <w:pStyle w:val="yTable"/>
              <w:rPr>
                <w:sz w:val="14"/>
              </w:rPr>
            </w:pPr>
          </w:p>
          <w:p>
            <w:pPr>
              <w:pStyle w:val="yTable"/>
              <w:rPr>
                <w:sz w:val="14"/>
              </w:rPr>
            </w:pPr>
            <w:r>
              <w:rPr>
                <w:sz w:val="14"/>
              </w:rPr>
              <w:t>$</w:t>
            </w:r>
          </w:p>
        </w:tc>
        <w:tc>
          <w:tcPr>
            <w:tcW w:w="2410" w:type="dxa"/>
            <w:tcBorders>
              <w:left w:val="nil"/>
            </w:tcBorders>
          </w:tcPr>
          <w:p>
            <w:pPr>
              <w:pStyle w:val="yTable"/>
              <w:rPr>
                <w:sz w:val="14"/>
              </w:rPr>
            </w:pPr>
          </w:p>
        </w:tc>
        <w:tc>
          <w:tcPr>
            <w:tcW w:w="2447" w:type="dxa"/>
            <w:tcBorders>
              <w:top w:val="single" w:sz="12" w:space="0" w:color="auto"/>
              <w:left w:val="single" w:sz="12" w:space="0" w:color="auto"/>
              <w:bottom w:val="single" w:sz="12" w:space="0" w:color="auto"/>
              <w:right w:val="single" w:sz="12" w:space="0" w:color="auto"/>
            </w:tcBorders>
          </w:tcPr>
          <w:p>
            <w:pPr>
              <w:pStyle w:val="yTable"/>
              <w:spacing w:before="0"/>
              <w:rPr>
                <w:sz w:val="14"/>
              </w:rPr>
            </w:pPr>
            <w:r>
              <w:rPr>
                <w:sz w:val="14"/>
              </w:rPr>
              <w:t>Enforcement fees</w:t>
            </w:r>
          </w:p>
          <w:p>
            <w:pPr>
              <w:pStyle w:val="yTable"/>
              <w:rPr>
                <w:sz w:val="14"/>
              </w:rPr>
            </w:pPr>
          </w:p>
          <w:p>
            <w:pPr>
              <w:pStyle w:val="yTable"/>
              <w:rPr>
                <w:sz w:val="14"/>
              </w:rPr>
            </w:pPr>
            <w:r>
              <w:rPr>
                <w:sz w:val="14"/>
              </w:rPr>
              <w:t>$</w:t>
            </w:r>
          </w:p>
        </w:tc>
      </w:tr>
    </w:tbl>
    <w:p>
      <w:pPr>
        <w:pStyle w:val="yTable"/>
        <w:rPr>
          <w:spacing w:val="-2"/>
          <w:sz w:val="14"/>
        </w:rPr>
      </w:pPr>
    </w:p>
    <w:p>
      <w:pPr>
        <w:pStyle w:val="yTable"/>
      </w:pPr>
      <w:r>
        <w:t xml:space="preserve">This Memorial is lodged in respect of the land described above, together with a copy of the Warrant, in accordance with section 89 of the </w:t>
      </w:r>
      <w:r>
        <w:rPr>
          <w:i/>
        </w:rPr>
        <w:t>Fines, Penalties and Infringement Notices Enforcement Act 1994</w:t>
      </w:r>
      <w:r>
        <w:t>.</w:t>
      </w:r>
    </w:p>
    <w:p>
      <w:pPr>
        <w:pStyle w:val="yTable"/>
        <w:rPr>
          <w:sz w:val="14"/>
        </w:rPr>
      </w:pPr>
    </w:p>
    <w:tbl>
      <w:tblPr>
        <w:tblW w:w="0" w:type="auto"/>
        <w:tblInd w:w="120" w:type="dxa"/>
        <w:tblBorders>
          <w:top w:val="single" w:sz="12" w:space="0" w:color="auto"/>
          <w:left w:val="single" w:sz="12" w:space="0" w:color="auto"/>
          <w:bottom w:val="single" w:sz="12" w:space="0" w:color="auto"/>
          <w:right w:val="single" w:sz="12" w:space="0" w:color="auto"/>
        </w:tblBorders>
        <w:tblLayout w:type="fixed"/>
        <w:tblCellMar>
          <w:left w:w="120" w:type="dxa"/>
          <w:right w:w="120" w:type="dxa"/>
        </w:tblCellMar>
        <w:tblLook w:val="0000" w:firstRow="0" w:lastRow="0" w:firstColumn="0" w:lastColumn="0" w:noHBand="0" w:noVBand="0"/>
      </w:tblPr>
      <w:tblGrid>
        <w:gridCol w:w="7125"/>
      </w:tblGrid>
      <w:tr>
        <w:tc>
          <w:tcPr>
            <w:tcW w:w="7125" w:type="dxa"/>
          </w:tcPr>
          <w:p>
            <w:pPr>
              <w:pStyle w:val="yTable"/>
              <w:tabs>
                <w:tab w:val="left" w:pos="2268"/>
                <w:tab w:val="left" w:pos="5670"/>
              </w:tabs>
              <w:spacing w:before="120" w:after="120"/>
            </w:pPr>
            <w:r>
              <w:t xml:space="preserve">Dated this </w:t>
            </w:r>
            <w:r>
              <w:tab/>
              <w:t xml:space="preserve"> day of </w:t>
            </w:r>
            <w:r>
              <w:tab/>
              <w:t xml:space="preserve"> 20 </w:t>
            </w:r>
          </w:p>
        </w:tc>
      </w:tr>
    </w:tbl>
    <w:p>
      <w:pPr>
        <w:pStyle w:val="yTable"/>
        <w:rPr>
          <w:sz w:val="14"/>
        </w:rPr>
      </w:pPr>
    </w:p>
    <w:tbl>
      <w:tblPr>
        <w:tblW w:w="0" w:type="auto"/>
        <w:tblInd w:w="120" w:type="dxa"/>
        <w:tblLayout w:type="fixed"/>
        <w:tblCellMar>
          <w:left w:w="120" w:type="dxa"/>
          <w:right w:w="120" w:type="dxa"/>
        </w:tblCellMar>
        <w:tblLook w:val="0000" w:firstRow="0" w:lastRow="0" w:firstColumn="0" w:lastColumn="0" w:noHBand="0" w:noVBand="0"/>
      </w:tblPr>
      <w:tblGrid>
        <w:gridCol w:w="1825"/>
        <w:gridCol w:w="4979"/>
      </w:tblGrid>
      <w:tr>
        <w:tc>
          <w:tcPr>
            <w:tcW w:w="1825" w:type="dxa"/>
            <w:tcBorders>
              <w:top w:val="single" w:sz="12" w:space="0" w:color="auto"/>
              <w:left w:val="single" w:sz="12" w:space="0" w:color="auto"/>
              <w:bottom w:val="single" w:sz="12" w:space="0" w:color="auto"/>
              <w:right w:val="single" w:sz="12" w:space="0" w:color="auto"/>
            </w:tcBorders>
          </w:tcPr>
          <w:p>
            <w:pPr>
              <w:pStyle w:val="yTable"/>
              <w:spacing w:before="120"/>
              <w:jc w:val="center"/>
            </w:pPr>
          </w:p>
          <w:p>
            <w:pPr>
              <w:pStyle w:val="yTable"/>
              <w:spacing w:before="0"/>
              <w:jc w:val="center"/>
            </w:pPr>
            <w:r>
              <w:t>............................</w:t>
            </w:r>
          </w:p>
          <w:p>
            <w:pPr>
              <w:pStyle w:val="yTable"/>
              <w:spacing w:before="0"/>
              <w:jc w:val="center"/>
            </w:pPr>
            <w:r>
              <w:t>Sheriff</w:t>
            </w:r>
          </w:p>
        </w:tc>
        <w:tc>
          <w:tcPr>
            <w:tcW w:w="4979" w:type="dxa"/>
            <w:tcBorders>
              <w:left w:val="nil"/>
            </w:tcBorders>
          </w:tcPr>
          <w:p>
            <w:pPr>
              <w:pStyle w:val="yTable"/>
            </w:pPr>
          </w:p>
        </w:tc>
      </w:tr>
    </w:tbl>
    <w:p>
      <w:pPr>
        <w:pStyle w:val="yFootnotesection"/>
      </w:pPr>
      <w:r>
        <w:tab/>
        <w:t>[Form 6A inserted in Gazette 30 Jun 1995 p. 2641; amended in Gazette 13 May 2005 p. 2082.]</w:t>
      </w:r>
    </w:p>
    <w:p>
      <w:pPr>
        <w:pStyle w:val="yHeading5"/>
      </w:pPr>
      <w:bookmarkStart w:id="84" w:name="_Toc391017397"/>
      <w:bookmarkStart w:id="85" w:name="_Toc377549591"/>
      <w:r>
        <w:rPr>
          <w:rStyle w:val="CharSClsNo"/>
        </w:rPr>
        <w:t>6B</w:t>
      </w:r>
      <w:r>
        <w:t>.</w:t>
      </w:r>
      <w:r>
        <w:tab/>
        <w:t>Withdrawal of memorial of land for the purposes of Act s. 90</w:t>
      </w:r>
      <w:bookmarkEnd w:id="84"/>
      <w:bookmarkEnd w:id="85"/>
    </w:p>
    <w:p>
      <w:pPr>
        <w:pStyle w:val="ySubsection"/>
        <w:keepNext/>
        <w:spacing w:before="80"/>
        <w:ind w:left="0" w:firstLine="0"/>
        <w:jc w:val="center"/>
        <w:rPr>
          <w:i/>
        </w:rPr>
      </w:pPr>
      <w:r>
        <w:rPr>
          <w:i/>
        </w:rPr>
        <w:t>Fines, Penalties and Infringement Notices Enforcement Act 1994</w:t>
      </w:r>
    </w:p>
    <w:p>
      <w:pPr>
        <w:pStyle w:val="ySubsection"/>
        <w:spacing w:before="0"/>
        <w:jc w:val="center"/>
      </w:pPr>
      <w:r>
        <w:t>[Section 90]</w:t>
      </w:r>
    </w:p>
    <w:p>
      <w:pPr>
        <w:pStyle w:val="ySubsection"/>
      </w:pPr>
      <w:r>
        <w:t>To:</w:t>
      </w:r>
      <w:r>
        <w:tab/>
      </w:r>
      <w:r>
        <w:tab/>
        <w:t>Registrar of Titles/</w:t>
      </w:r>
    </w:p>
    <w:p>
      <w:pPr>
        <w:pStyle w:val="ySubsection"/>
        <w:spacing w:before="0"/>
      </w:pPr>
      <w:r>
        <w:tab/>
      </w:r>
      <w:r>
        <w:tab/>
        <w:t>Registrar of Deeds and Transfers</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709"/>
        <w:gridCol w:w="284"/>
        <w:gridCol w:w="1083"/>
        <w:gridCol w:w="192"/>
        <w:gridCol w:w="91"/>
        <w:gridCol w:w="760"/>
        <w:gridCol w:w="323"/>
        <w:gridCol w:w="284"/>
        <w:gridCol w:w="1131"/>
      </w:tblGrid>
      <w:tr>
        <w:tc>
          <w:tcPr>
            <w:tcW w:w="5387" w:type="dxa"/>
            <w:gridSpan w:val="7"/>
          </w:tcPr>
          <w:p>
            <w:pPr>
              <w:pStyle w:val="yTable"/>
            </w:pPr>
          </w:p>
        </w:tc>
        <w:tc>
          <w:tcPr>
            <w:tcW w:w="1738" w:type="dxa"/>
            <w:gridSpan w:val="3"/>
            <w:tcBorders>
              <w:top w:val="single" w:sz="12" w:space="0" w:color="auto"/>
              <w:left w:val="single" w:sz="12" w:space="0" w:color="auto"/>
              <w:bottom w:val="single" w:sz="12" w:space="0" w:color="auto"/>
              <w:right w:val="single" w:sz="12" w:space="0" w:color="auto"/>
            </w:tcBorders>
          </w:tcPr>
          <w:p>
            <w:pPr>
              <w:pStyle w:val="yTable"/>
            </w:pPr>
            <w:r>
              <w:t>Sheriff’s Office</w:t>
            </w:r>
          </w:p>
          <w:p>
            <w:pPr>
              <w:pStyle w:val="yTable"/>
            </w:pPr>
            <w:r>
              <w:t>Warrant No.</w:t>
            </w:r>
          </w:p>
        </w:tc>
      </w:tr>
      <w:tr>
        <w:trPr>
          <w:cantSplit/>
        </w:trPr>
        <w:tc>
          <w:tcPr>
            <w:tcW w:w="2268" w:type="dxa"/>
          </w:tcPr>
          <w:p>
            <w:pPr>
              <w:pStyle w:val="yTable"/>
              <w:rPr>
                <w:sz w:val="14"/>
              </w:rPr>
            </w:pPr>
            <w:r>
              <w:rPr>
                <w:sz w:val="14"/>
              </w:rPr>
              <w:t xml:space="preserve">The </w:t>
            </w:r>
            <w:smartTag w:uri="urn:schemas-microsoft-com:office:smarttags" w:element="Street">
              <w:smartTag w:uri="urn:schemas-microsoft-com:office:smarttags" w:element="address">
                <w:r>
                  <w:rPr>
                    <w:sz w:val="14"/>
                  </w:rPr>
                  <w:t>Magistrates Court</w:t>
                </w:r>
              </w:smartTag>
            </w:smartTag>
          </w:p>
        </w:tc>
        <w:tc>
          <w:tcPr>
            <w:tcW w:w="4857" w:type="dxa"/>
            <w:gridSpan w:val="9"/>
          </w:tcPr>
          <w:p>
            <w:pPr>
              <w:pStyle w:val="yTable"/>
              <w:rPr>
                <w:spacing w:val="-2"/>
              </w:rPr>
            </w:pPr>
            <w:r>
              <w:rPr>
                <w:b/>
                <w:spacing w:val="-2"/>
              </w:rPr>
              <w:t>WITHDRAWAL OF MEMORIAL</w:t>
            </w:r>
          </w:p>
        </w:tc>
      </w:tr>
      <w:tr>
        <w:tc>
          <w:tcPr>
            <w:tcW w:w="2268" w:type="dxa"/>
          </w:tcPr>
          <w:p>
            <w:pPr>
              <w:pStyle w:val="yTable"/>
              <w:rPr>
                <w:sz w:val="14"/>
              </w:rPr>
            </w:pPr>
            <w:r>
              <w:rPr>
                <w:sz w:val="14"/>
              </w:rPr>
              <w:t>Fines Enforcement</w:t>
            </w:r>
          </w:p>
          <w:p>
            <w:pPr>
              <w:pStyle w:val="yTable"/>
              <w:spacing w:before="0" w:after="120"/>
              <w:rPr>
                <w:sz w:val="14"/>
              </w:rPr>
            </w:pPr>
            <w:r>
              <w:rPr>
                <w:sz w:val="14"/>
              </w:rPr>
              <w:t>Registry</w:t>
            </w:r>
          </w:p>
        </w:tc>
        <w:tc>
          <w:tcPr>
            <w:tcW w:w="2268" w:type="dxa"/>
            <w:gridSpan w:val="4"/>
          </w:tcPr>
          <w:p>
            <w:pPr>
              <w:pStyle w:val="yTable"/>
            </w:pPr>
          </w:p>
        </w:tc>
        <w:tc>
          <w:tcPr>
            <w:tcW w:w="2589" w:type="dxa"/>
            <w:gridSpan w:val="5"/>
          </w:tcPr>
          <w:p>
            <w:pPr>
              <w:pStyle w:val="yTable"/>
            </w:pPr>
          </w:p>
        </w:tc>
      </w:tr>
      <w:tr>
        <w:tc>
          <w:tcPr>
            <w:tcW w:w="2977" w:type="dxa"/>
            <w:gridSpan w:val="2"/>
          </w:tcPr>
          <w:p>
            <w:pPr>
              <w:pStyle w:val="yTable"/>
              <w:spacing w:before="120"/>
              <w:rPr>
                <w:sz w:val="14"/>
              </w:rPr>
            </w:pPr>
            <w:r>
              <w:rPr>
                <w:sz w:val="14"/>
              </w:rPr>
              <w:t>Description of land</w:t>
            </w:r>
          </w:p>
        </w:tc>
        <w:tc>
          <w:tcPr>
            <w:tcW w:w="284" w:type="dxa"/>
          </w:tcPr>
          <w:p>
            <w:pPr>
              <w:pStyle w:val="yTable"/>
              <w:rPr>
                <w:sz w:val="14"/>
              </w:rPr>
            </w:pPr>
          </w:p>
        </w:tc>
        <w:tc>
          <w:tcPr>
            <w:tcW w:w="1083" w:type="dxa"/>
          </w:tcPr>
          <w:p>
            <w:pPr>
              <w:pStyle w:val="yTable"/>
              <w:spacing w:before="120"/>
              <w:jc w:val="center"/>
              <w:rPr>
                <w:sz w:val="14"/>
              </w:rPr>
            </w:pPr>
            <w:r>
              <w:rPr>
                <w:sz w:val="14"/>
              </w:rPr>
              <w:t>Extent</w:t>
            </w:r>
          </w:p>
        </w:tc>
        <w:tc>
          <w:tcPr>
            <w:tcW w:w="283" w:type="dxa"/>
            <w:gridSpan w:val="2"/>
          </w:tcPr>
          <w:p>
            <w:pPr>
              <w:pStyle w:val="yTable"/>
              <w:rPr>
                <w:sz w:val="14"/>
              </w:rPr>
            </w:pPr>
          </w:p>
        </w:tc>
        <w:tc>
          <w:tcPr>
            <w:tcW w:w="1083" w:type="dxa"/>
            <w:gridSpan w:val="2"/>
          </w:tcPr>
          <w:p>
            <w:pPr>
              <w:pStyle w:val="yTable"/>
              <w:spacing w:before="120"/>
              <w:jc w:val="center"/>
              <w:rPr>
                <w:sz w:val="14"/>
              </w:rPr>
            </w:pPr>
            <w:r>
              <w:rPr>
                <w:sz w:val="14"/>
              </w:rPr>
              <w:t>Volume</w:t>
            </w:r>
          </w:p>
        </w:tc>
        <w:tc>
          <w:tcPr>
            <w:tcW w:w="284" w:type="dxa"/>
          </w:tcPr>
          <w:p>
            <w:pPr>
              <w:pStyle w:val="yTable"/>
              <w:rPr>
                <w:sz w:val="14"/>
              </w:rPr>
            </w:pPr>
          </w:p>
        </w:tc>
        <w:tc>
          <w:tcPr>
            <w:tcW w:w="1083" w:type="dxa"/>
          </w:tcPr>
          <w:p>
            <w:pPr>
              <w:pStyle w:val="yTable"/>
              <w:spacing w:before="120"/>
              <w:jc w:val="center"/>
              <w:rPr>
                <w:sz w:val="14"/>
              </w:rPr>
            </w:pPr>
            <w:r>
              <w:rPr>
                <w:sz w:val="14"/>
              </w:rPr>
              <w:t>Folio</w:t>
            </w:r>
          </w:p>
        </w:tc>
      </w:tr>
      <w:tr>
        <w:tc>
          <w:tcPr>
            <w:tcW w:w="2977" w:type="dxa"/>
            <w:gridSpan w:val="2"/>
            <w:tcBorders>
              <w:top w:val="single" w:sz="12" w:space="0" w:color="auto"/>
              <w:left w:val="single" w:sz="12" w:space="0" w:color="auto"/>
              <w:bottom w:val="single" w:sz="12" w:space="0" w:color="auto"/>
              <w:right w:val="single" w:sz="12" w:space="0" w:color="auto"/>
            </w:tcBorders>
          </w:tcPr>
          <w:p>
            <w:pPr>
              <w:pStyle w:val="yTable"/>
              <w:rPr>
                <w:sz w:val="14"/>
              </w:rPr>
            </w:pPr>
          </w:p>
          <w:p>
            <w:pPr>
              <w:pStyle w:val="yTable"/>
              <w:rPr>
                <w:sz w:val="14"/>
              </w:rPr>
            </w:pPr>
          </w:p>
        </w:tc>
        <w:tc>
          <w:tcPr>
            <w:tcW w:w="284" w:type="dxa"/>
            <w:tcBorders>
              <w:left w:val="nil"/>
            </w:tcBorders>
          </w:tcPr>
          <w:p>
            <w:pPr>
              <w:pStyle w:val="yTable"/>
              <w:rPr>
                <w:sz w:val="14"/>
              </w:rPr>
            </w:pPr>
          </w:p>
        </w:tc>
        <w:tc>
          <w:tcPr>
            <w:tcW w:w="1083" w:type="dxa"/>
            <w:tcBorders>
              <w:top w:val="single" w:sz="12" w:space="0" w:color="auto"/>
              <w:left w:val="single" w:sz="12" w:space="0" w:color="auto"/>
              <w:bottom w:val="single" w:sz="12" w:space="0" w:color="auto"/>
              <w:right w:val="single" w:sz="12" w:space="0" w:color="auto"/>
            </w:tcBorders>
          </w:tcPr>
          <w:p>
            <w:pPr>
              <w:pStyle w:val="yTable"/>
              <w:rPr>
                <w:sz w:val="14"/>
              </w:rPr>
            </w:pPr>
          </w:p>
        </w:tc>
        <w:tc>
          <w:tcPr>
            <w:tcW w:w="283" w:type="dxa"/>
            <w:gridSpan w:val="2"/>
            <w:tcBorders>
              <w:left w:val="nil"/>
            </w:tcBorders>
          </w:tcPr>
          <w:p>
            <w:pPr>
              <w:pStyle w:val="yTable"/>
              <w:rPr>
                <w:sz w:val="14"/>
              </w:rPr>
            </w:pPr>
          </w:p>
        </w:tc>
        <w:tc>
          <w:tcPr>
            <w:tcW w:w="1083" w:type="dxa"/>
            <w:gridSpan w:val="2"/>
            <w:tcBorders>
              <w:top w:val="single" w:sz="12" w:space="0" w:color="auto"/>
              <w:left w:val="single" w:sz="12" w:space="0" w:color="auto"/>
              <w:bottom w:val="single" w:sz="12" w:space="0" w:color="auto"/>
              <w:right w:val="single" w:sz="12" w:space="0" w:color="auto"/>
            </w:tcBorders>
          </w:tcPr>
          <w:p>
            <w:pPr>
              <w:pStyle w:val="yTable"/>
              <w:rPr>
                <w:sz w:val="14"/>
              </w:rPr>
            </w:pPr>
          </w:p>
        </w:tc>
        <w:tc>
          <w:tcPr>
            <w:tcW w:w="284" w:type="dxa"/>
            <w:tcBorders>
              <w:left w:val="nil"/>
            </w:tcBorders>
          </w:tcPr>
          <w:p>
            <w:pPr>
              <w:pStyle w:val="yTable"/>
              <w:rPr>
                <w:sz w:val="14"/>
              </w:rPr>
            </w:pPr>
          </w:p>
        </w:tc>
        <w:tc>
          <w:tcPr>
            <w:tcW w:w="1083" w:type="dxa"/>
            <w:tcBorders>
              <w:top w:val="single" w:sz="12" w:space="0" w:color="auto"/>
              <w:left w:val="single" w:sz="12" w:space="0" w:color="auto"/>
              <w:bottom w:val="single" w:sz="12" w:space="0" w:color="auto"/>
              <w:right w:val="single" w:sz="12" w:space="0" w:color="auto"/>
            </w:tcBorders>
          </w:tcPr>
          <w:p>
            <w:pPr>
              <w:pStyle w:val="yTable"/>
              <w:rPr>
                <w:sz w:val="14"/>
              </w:rPr>
            </w:pPr>
          </w:p>
        </w:tc>
      </w:tr>
      <w:tr>
        <w:tc>
          <w:tcPr>
            <w:tcW w:w="7125" w:type="dxa"/>
            <w:gridSpan w:val="10"/>
          </w:tcPr>
          <w:p>
            <w:pPr>
              <w:pStyle w:val="yTable"/>
              <w:spacing w:before="120"/>
              <w:rPr>
                <w:sz w:val="14"/>
              </w:rPr>
            </w:pPr>
            <w:r>
              <w:rPr>
                <w:sz w:val="14"/>
              </w:rPr>
              <w:t>Registered proprietor of land</w:t>
            </w:r>
          </w:p>
        </w:tc>
      </w:tr>
      <w:tr>
        <w:tc>
          <w:tcPr>
            <w:tcW w:w="7125" w:type="dxa"/>
            <w:gridSpan w:val="10"/>
            <w:tcBorders>
              <w:top w:val="single" w:sz="12" w:space="0" w:color="auto"/>
              <w:left w:val="single" w:sz="12" w:space="0" w:color="auto"/>
              <w:bottom w:val="single" w:sz="12" w:space="0" w:color="auto"/>
              <w:right w:val="single" w:sz="12" w:space="0" w:color="auto"/>
            </w:tcBorders>
          </w:tcPr>
          <w:p>
            <w:pPr>
              <w:pStyle w:val="yTable"/>
              <w:rPr>
                <w:sz w:val="14"/>
              </w:rPr>
            </w:pPr>
          </w:p>
          <w:p>
            <w:pPr>
              <w:pStyle w:val="yTable"/>
              <w:rPr>
                <w:sz w:val="14"/>
              </w:rPr>
            </w:pPr>
          </w:p>
          <w:p>
            <w:pPr>
              <w:pStyle w:val="yTable"/>
              <w:rPr>
                <w:sz w:val="14"/>
              </w:rPr>
            </w:pPr>
          </w:p>
          <w:p>
            <w:pPr>
              <w:pStyle w:val="yTable"/>
              <w:rPr>
                <w:sz w:val="14"/>
              </w:rPr>
            </w:pPr>
          </w:p>
        </w:tc>
      </w:tr>
    </w:tbl>
    <w:p>
      <w:pPr>
        <w:pStyle w:val="yTable"/>
      </w:pPr>
      <w:r>
        <w:t xml:space="preserve">The following Memorial(s) in relation to the land described above are cancelled, in accordance with section 90 of the </w:t>
      </w:r>
      <w:r>
        <w:rPr>
          <w:i/>
        </w:rPr>
        <w:t>Fines, Penalties and Infringement Notices Enforcement Act 1994</w:t>
      </w:r>
      <w:r>
        <w:t>.</w:t>
      </w:r>
    </w:p>
    <w:tbl>
      <w:tblPr>
        <w:tblW w:w="0" w:type="auto"/>
        <w:tblInd w:w="120" w:type="dxa"/>
        <w:tblLayout w:type="fixed"/>
        <w:tblCellMar>
          <w:left w:w="120" w:type="dxa"/>
          <w:right w:w="120" w:type="dxa"/>
        </w:tblCellMar>
        <w:tblLook w:val="0000" w:firstRow="0" w:lastRow="0" w:firstColumn="0" w:lastColumn="0" w:noHBand="0" w:noVBand="0"/>
      </w:tblPr>
      <w:tblGrid>
        <w:gridCol w:w="7125"/>
      </w:tblGrid>
      <w:tr>
        <w:tc>
          <w:tcPr>
            <w:tcW w:w="7125" w:type="dxa"/>
          </w:tcPr>
          <w:p>
            <w:pPr>
              <w:pStyle w:val="yTable"/>
              <w:spacing w:before="120"/>
              <w:rPr>
                <w:sz w:val="14"/>
              </w:rPr>
            </w:pPr>
            <w:r>
              <w:rPr>
                <w:sz w:val="14"/>
              </w:rPr>
              <w:t>Memorial</w:t>
            </w:r>
            <w:r>
              <w:rPr>
                <w:sz w:val="14"/>
              </w:rPr>
              <w:tab/>
            </w:r>
            <w:r>
              <w:rPr>
                <w:sz w:val="14"/>
              </w:rPr>
              <w:tab/>
              <w:t>Number</w:t>
            </w:r>
          </w:p>
        </w:tc>
      </w:tr>
      <w:tr>
        <w:trPr>
          <w:cantSplit/>
          <w:trHeight w:val="690"/>
        </w:trPr>
        <w:tc>
          <w:tcPr>
            <w:tcW w:w="7125" w:type="dxa"/>
            <w:tcBorders>
              <w:top w:val="single" w:sz="12" w:space="0" w:color="auto"/>
              <w:left w:val="single" w:sz="12" w:space="0" w:color="auto"/>
              <w:bottom w:val="single" w:sz="12" w:space="0" w:color="auto"/>
              <w:right w:val="single" w:sz="12" w:space="0" w:color="auto"/>
            </w:tcBorders>
          </w:tcPr>
          <w:p>
            <w:pPr>
              <w:pStyle w:val="yTable"/>
              <w:rPr>
                <w:sz w:val="14"/>
              </w:rPr>
            </w:pPr>
          </w:p>
          <w:p>
            <w:pPr>
              <w:pStyle w:val="yTable"/>
              <w:rPr>
                <w:sz w:val="14"/>
              </w:rPr>
            </w:pPr>
          </w:p>
          <w:p>
            <w:pPr>
              <w:pStyle w:val="yTable"/>
              <w:rPr>
                <w:sz w:val="14"/>
              </w:rPr>
            </w:pPr>
          </w:p>
          <w:p>
            <w:pPr>
              <w:pStyle w:val="yTable"/>
              <w:rPr>
                <w:sz w:val="14"/>
              </w:rPr>
            </w:pPr>
          </w:p>
        </w:tc>
      </w:tr>
    </w:tbl>
    <w:p>
      <w:pPr>
        <w:pStyle w:val="yTable"/>
        <w:rPr>
          <w:sz w:val="14"/>
        </w:rPr>
      </w:pPr>
    </w:p>
    <w:tbl>
      <w:tblPr>
        <w:tblW w:w="0" w:type="auto"/>
        <w:tblInd w:w="120" w:type="dxa"/>
        <w:tblBorders>
          <w:top w:val="single" w:sz="12" w:space="0" w:color="auto"/>
          <w:left w:val="single" w:sz="12" w:space="0" w:color="auto"/>
          <w:bottom w:val="single" w:sz="12" w:space="0" w:color="auto"/>
          <w:right w:val="single" w:sz="12" w:space="0" w:color="auto"/>
        </w:tblBorders>
        <w:tblLayout w:type="fixed"/>
        <w:tblCellMar>
          <w:left w:w="120" w:type="dxa"/>
          <w:right w:w="120" w:type="dxa"/>
        </w:tblCellMar>
        <w:tblLook w:val="0000" w:firstRow="0" w:lastRow="0" w:firstColumn="0" w:lastColumn="0" w:noHBand="0" w:noVBand="0"/>
      </w:tblPr>
      <w:tblGrid>
        <w:gridCol w:w="7125"/>
      </w:tblGrid>
      <w:tr>
        <w:tc>
          <w:tcPr>
            <w:tcW w:w="7125" w:type="dxa"/>
          </w:tcPr>
          <w:p>
            <w:pPr>
              <w:pStyle w:val="yTable"/>
              <w:tabs>
                <w:tab w:val="left" w:pos="1701"/>
                <w:tab w:val="left" w:pos="5103"/>
              </w:tabs>
              <w:spacing w:before="120" w:after="120"/>
            </w:pPr>
            <w:r>
              <w:t xml:space="preserve">Dated this </w:t>
            </w:r>
            <w:r>
              <w:tab/>
              <w:t xml:space="preserve"> day of </w:t>
            </w:r>
            <w:r>
              <w:tab/>
              <w:t xml:space="preserve"> 20 </w:t>
            </w:r>
          </w:p>
        </w:tc>
      </w:tr>
    </w:tbl>
    <w:p>
      <w:pPr>
        <w:pStyle w:val="yTable"/>
        <w:rPr>
          <w:sz w:val="14"/>
        </w:rPr>
      </w:pPr>
    </w:p>
    <w:tbl>
      <w:tblPr>
        <w:tblW w:w="0" w:type="auto"/>
        <w:tblInd w:w="120" w:type="dxa"/>
        <w:tblLayout w:type="fixed"/>
        <w:tblCellMar>
          <w:left w:w="120" w:type="dxa"/>
          <w:right w:w="120" w:type="dxa"/>
        </w:tblCellMar>
        <w:tblLook w:val="0000" w:firstRow="0" w:lastRow="0" w:firstColumn="0" w:lastColumn="0" w:noHBand="0" w:noVBand="0"/>
      </w:tblPr>
      <w:tblGrid>
        <w:gridCol w:w="1825"/>
        <w:gridCol w:w="5300"/>
      </w:tblGrid>
      <w:tr>
        <w:tc>
          <w:tcPr>
            <w:tcW w:w="1825" w:type="dxa"/>
            <w:tcBorders>
              <w:top w:val="single" w:sz="12" w:space="0" w:color="auto"/>
              <w:left w:val="single" w:sz="12" w:space="0" w:color="auto"/>
              <w:bottom w:val="single" w:sz="12" w:space="0" w:color="auto"/>
              <w:right w:val="single" w:sz="12" w:space="0" w:color="auto"/>
            </w:tcBorders>
          </w:tcPr>
          <w:p>
            <w:pPr>
              <w:pStyle w:val="yTable"/>
              <w:spacing w:before="160"/>
              <w:jc w:val="center"/>
            </w:pPr>
            <w:r>
              <w:t>............................</w:t>
            </w:r>
          </w:p>
          <w:p>
            <w:pPr>
              <w:pStyle w:val="yTable"/>
              <w:keepNext/>
              <w:spacing w:before="0"/>
              <w:jc w:val="center"/>
              <w:rPr>
                <w:sz w:val="14"/>
              </w:rPr>
            </w:pPr>
            <w:r>
              <w:t>Sheriff</w:t>
            </w:r>
          </w:p>
        </w:tc>
        <w:tc>
          <w:tcPr>
            <w:tcW w:w="5300" w:type="dxa"/>
            <w:tcBorders>
              <w:left w:val="nil"/>
            </w:tcBorders>
          </w:tcPr>
          <w:p>
            <w:pPr>
              <w:pStyle w:val="yTable"/>
              <w:keepNext/>
            </w:pPr>
          </w:p>
        </w:tc>
      </w:tr>
    </w:tbl>
    <w:p>
      <w:pPr>
        <w:pStyle w:val="yFootnotesection"/>
      </w:pPr>
      <w:r>
        <w:tab/>
        <w:t>[Form 6B inserted in Gazette 30 Jun 1995 p. 2642; amended in Gazette 13 May 2005 p. 2082.]</w:t>
      </w:r>
    </w:p>
    <w:p>
      <w:pPr>
        <w:pStyle w:val="CentredBaseLine"/>
        <w:spacing w:before="0"/>
        <w:jc w:val="center"/>
      </w:pPr>
      <w:r>
        <w:t>____________</w:t>
      </w:r>
    </w:p>
    <w:p>
      <w:pPr>
        <w:pStyle w:val="yEdnotesection"/>
      </w:pPr>
      <w:r>
        <w:t xml:space="preserve">[Form 7 deleted in Gazette </w:t>
      </w:r>
      <w:r>
        <w:rPr>
          <w:snapToGrid/>
        </w:rPr>
        <w:t>4 Oct 1996 p. 5233.</w:t>
      </w:r>
      <w:r>
        <w:t>]</w:t>
      </w:r>
    </w:p>
    <w:p>
      <w:pPr>
        <w:pStyle w:val="yHeading5"/>
      </w:pPr>
      <w:bookmarkStart w:id="86" w:name="_Toc391017398"/>
      <w:bookmarkStart w:id="87" w:name="_Toc377549592"/>
      <w:r>
        <w:rPr>
          <w:rStyle w:val="CharSClsNo"/>
        </w:rPr>
        <w:t>8</w:t>
      </w:r>
      <w:r>
        <w:t>.</w:t>
      </w:r>
      <w:r>
        <w:tab/>
        <w:t>Certificate under Act s. 101C(1) (Part 3 proceedings)</w:t>
      </w:r>
      <w:bookmarkEnd w:id="86"/>
      <w:bookmarkEnd w:id="87"/>
    </w:p>
    <w:p>
      <w:pPr>
        <w:pStyle w:val="ySubsection"/>
        <w:jc w:val="center"/>
      </w:pPr>
      <w:r>
        <w:rPr>
          <w:i/>
        </w:rPr>
        <w:t>Fines, Penalties and Infringement Notices Enforcement Act 1994</w:t>
      </w:r>
    </w:p>
    <w:p>
      <w:pPr>
        <w:pStyle w:val="ySubsection"/>
        <w:spacing w:before="0"/>
        <w:jc w:val="center"/>
      </w:pPr>
      <w:r>
        <w:t>[Section 101C(1)]</w:t>
      </w:r>
    </w:p>
    <w:p>
      <w:pPr>
        <w:pStyle w:val="yMiscellaneousHeading"/>
        <w:rPr>
          <w:b/>
        </w:rPr>
      </w:pPr>
      <w:r>
        <w:rPr>
          <w:b/>
        </w:rPr>
        <w:t>CERTIFICATE AS TO LICENCE SUSPENSION ORDER</w:t>
      </w:r>
    </w:p>
    <w:p>
      <w:pPr>
        <w:pStyle w:val="ySubsection"/>
      </w:pPr>
      <w:r>
        <w:t>Alleged offender:</w:t>
      </w:r>
    </w:p>
    <w:p>
      <w:pPr>
        <w:pStyle w:val="ySubsection"/>
      </w:pPr>
      <w:r>
        <w:t>Address:</w:t>
      </w:r>
    </w:p>
    <w:p>
      <w:pPr>
        <w:pStyle w:val="ySubsection"/>
        <w:tabs>
          <w:tab w:val="clear" w:pos="595"/>
          <w:tab w:val="clear" w:pos="879"/>
        </w:tabs>
        <w:ind w:left="0" w:firstLine="0"/>
      </w:pPr>
      <w:r>
        <w:t>In relation to this alleged offender the following matters are certified as being true and correct:</w:t>
      </w:r>
    </w:p>
    <w:p>
      <w:pPr>
        <w:pStyle w:val="yMiscellaneousBody"/>
      </w:pPr>
      <w:r>
        <w:t>[</w:t>
      </w:r>
      <w:r>
        <w:rPr>
          <w:i/>
        </w:rPr>
        <w:t>Strike out any that do not apply</w:t>
      </w:r>
      <w:r>
        <w:t>.]</w:t>
      </w:r>
    </w:p>
    <w:p>
      <w:pPr>
        <w:pStyle w:val="ySubsection"/>
        <w:tabs>
          <w:tab w:val="clear" w:pos="595"/>
        </w:tabs>
      </w:pPr>
      <w:r>
        <w:t>1.</w:t>
      </w:r>
      <w:r>
        <w:tab/>
        <w:t>On [</w:t>
      </w:r>
      <w:r>
        <w:rPr>
          <w:i/>
        </w:rPr>
        <w:t>date</w:t>
      </w:r>
      <w:r>
        <w:t>] an infringement notice was issued by [</w:t>
      </w:r>
      <w:r>
        <w:rPr>
          <w:i/>
        </w:rPr>
        <w:t>prosecuting authority</w:t>
      </w:r>
      <w:r>
        <w:t>] to the alleged offender for the alleged offence of [</w:t>
      </w:r>
      <w:r>
        <w:rPr>
          <w:i/>
        </w:rPr>
        <w:t>description of alleged offence</w:t>
      </w:r>
      <w:r>
        <w:t>].</w:t>
      </w:r>
    </w:p>
    <w:p>
      <w:pPr>
        <w:pStyle w:val="ySubsection"/>
        <w:tabs>
          <w:tab w:val="clear" w:pos="595"/>
        </w:tabs>
      </w:pPr>
      <w:r>
        <w:tab/>
        <w:t>The modified penalty on the infringement notice is [</w:t>
      </w:r>
      <w:r>
        <w:rPr>
          <w:i/>
        </w:rPr>
        <w:t>$</w:t>
      </w:r>
      <w:r>
        <w:t>].</w:t>
      </w:r>
    </w:p>
    <w:p>
      <w:pPr>
        <w:pStyle w:val="ySubsection"/>
        <w:tabs>
          <w:tab w:val="clear" w:pos="595"/>
        </w:tabs>
      </w:pPr>
      <w:r>
        <w:t>2.</w:t>
      </w:r>
      <w:r>
        <w:tab/>
        <w:t>On [</w:t>
      </w:r>
      <w:r>
        <w:rPr>
          <w:i/>
        </w:rPr>
        <w:t>date</w:t>
      </w:r>
      <w:r>
        <w:t>] the infringement notice was registered under Part 3 of the Act with the Fines Enforcement Registry for enforcement and was allocated case number [</w:t>
      </w:r>
      <w:r>
        <w:rPr>
          <w:i/>
        </w:rPr>
        <w:t>no.</w:t>
      </w:r>
      <w:r>
        <w:t>].</w:t>
      </w:r>
    </w:p>
    <w:p>
      <w:pPr>
        <w:pStyle w:val="ySubsection"/>
        <w:tabs>
          <w:tab w:val="clear" w:pos="595"/>
        </w:tabs>
      </w:pPr>
      <w:r>
        <w:t>3.</w:t>
      </w:r>
      <w:r>
        <w:tab/>
        <w:t>An order to pay or elect was issued under section 17 of the Act and was served on the alleged offender by [</w:t>
      </w:r>
      <w:r>
        <w:rPr>
          <w:i/>
        </w:rPr>
        <w:t>details of service</w:t>
      </w:r>
      <w:r>
        <w:t>].</w:t>
      </w:r>
    </w:p>
    <w:p>
      <w:pPr>
        <w:pStyle w:val="ySubsection"/>
        <w:tabs>
          <w:tab w:val="clear" w:pos="595"/>
        </w:tabs>
      </w:pPr>
      <w:r>
        <w:t>4.</w:t>
      </w:r>
      <w:r>
        <w:tab/>
        <w:t>A notice of intention to enforce was issued under section 18 of the Act and was served on the alleged offender by [</w:t>
      </w:r>
      <w:r>
        <w:rPr>
          <w:i/>
        </w:rPr>
        <w:t>details of service</w:t>
      </w:r>
      <w:r>
        <w:t>].</w:t>
      </w:r>
    </w:p>
    <w:p>
      <w:pPr>
        <w:pStyle w:val="ySubsection"/>
        <w:tabs>
          <w:tab w:val="clear" w:pos="595"/>
        </w:tabs>
      </w:pPr>
      <w:r>
        <w:t>5.</w:t>
      </w:r>
      <w:r>
        <w:tab/>
        <w:t>A licence suspension order suspending the alleged offender’s:</w:t>
      </w:r>
    </w:p>
    <w:p>
      <w:pPr>
        <w:pStyle w:val="ySubsection"/>
      </w:pPr>
      <w:r>
        <w:tab/>
      </w:r>
      <w:r>
        <w:tab/>
      </w:r>
      <w:r>
        <w:sym w:font="Wingdings" w:char="F072"/>
      </w:r>
      <w:r>
        <w:t xml:space="preserve">  driver’s licence number [</w:t>
      </w:r>
      <w:r>
        <w:rPr>
          <w:i/>
        </w:rPr>
        <w:t>no.</w:t>
      </w:r>
      <w:r>
        <w:t>]</w:t>
      </w:r>
    </w:p>
    <w:p>
      <w:pPr>
        <w:pStyle w:val="ySubsection"/>
      </w:pPr>
      <w:r>
        <w:tab/>
      </w:r>
      <w:r>
        <w:tab/>
      </w:r>
      <w:r>
        <w:sym w:font="Wingdings" w:char="F072"/>
      </w:r>
      <w:r>
        <w:t xml:space="preserve">  vehicle licence for the vehicle registered number [</w:t>
      </w:r>
      <w:r>
        <w:rPr>
          <w:i/>
        </w:rPr>
        <w:t>no.</w:t>
      </w:r>
      <w:r>
        <w:t>]</w:t>
      </w:r>
    </w:p>
    <w:p>
      <w:pPr>
        <w:pStyle w:val="ySubsection"/>
        <w:tabs>
          <w:tab w:val="clear" w:pos="595"/>
        </w:tabs>
      </w:pPr>
      <w:r>
        <w:tab/>
        <w:t>was made at [</w:t>
      </w:r>
      <w:r>
        <w:rPr>
          <w:i/>
        </w:rPr>
        <w:t>time</w:t>
      </w:r>
      <w:r>
        <w:t>] on [</w:t>
      </w:r>
      <w:r>
        <w:rPr>
          <w:i/>
        </w:rPr>
        <w:t>date</w:t>
      </w:r>
      <w:r>
        <w:t>] under section 19 of the Act.</w:t>
      </w:r>
    </w:p>
    <w:p>
      <w:pPr>
        <w:pStyle w:val="ySubsection"/>
        <w:tabs>
          <w:tab w:val="clear" w:pos="595"/>
        </w:tabs>
      </w:pPr>
      <w:r>
        <w:t>6.</w:t>
      </w:r>
      <w:r>
        <w:tab/>
        <w:t>A notice confirming licence suspension was issued under section 19 of the Act and was served on the alleged offender by [</w:t>
      </w:r>
      <w:r>
        <w:rPr>
          <w:i/>
        </w:rPr>
        <w:t>details of service</w:t>
      </w:r>
      <w:r>
        <w:t>].</w:t>
      </w:r>
    </w:p>
    <w:p>
      <w:pPr>
        <w:pStyle w:val="ySubsection"/>
        <w:keepNext/>
        <w:tabs>
          <w:tab w:val="clear" w:pos="595"/>
        </w:tabs>
      </w:pPr>
      <w:r>
        <w:t>7.</w:t>
      </w:r>
      <w:r>
        <w:tab/>
        <w:t>As at the time of issuing this certificate the licence suspension order has not been cancelled.</w:t>
      </w:r>
    </w:p>
    <w:p>
      <w:pPr>
        <w:pStyle w:val="ySubsection"/>
        <w:tabs>
          <w:tab w:val="clear" w:pos="595"/>
        </w:tabs>
      </w:pPr>
      <w:r>
        <w:tab/>
        <w:t>OR</w:t>
      </w:r>
    </w:p>
    <w:p>
      <w:pPr>
        <w:pStyle w:val="ySubsection"/>
        <w:tabs>
          <w:tab w:val="clear" w:pos="595"/>
        </w:tabs>
      </w:pPr>
      <w:r>
        <w:tab/>
        <w:t>The licence suspension order was cancelled at [</w:t>
      </w:r>
      <w:r>
        <w:rPr>
          <w:i/>
        </w:rPr>
        <w:t>time</w:t>
      </w:r>
      <w:r>
        <w:t>] on [</w:t>
      </w:r>
      <w:r>
        <w:rPr>
          <w:i/>
        </w:rPr>
        <w:t>date</w:t>
      </w:r>
      <w:r>
        <w:t>].</w:t>
      </w:r>
    </w:p>
    <w:p>
      <w:pPr>
        <w:pStyle w:val="ySubsection"/>
        <w:tabs>
          <w:tab w:val="clear" w:pos="595"/>
          <w:tab w:val="clear" w:pos="879"/>
          <w:tab w:val="left" w:pos="4536"/>
        </w:tabs>
        <w:ind w:left="0" w:firstLine="0"/>
      </w:pPr>
      <w:r>
        <w:t>Date of this certificate:</w:t>
      </w:r>
      <w:r>
        <w:tab/>
        <w:t>Time:</w:t>
      </w:r>
    </w:p>
    <w:p>
      <w:pPr>
        <w:pStyle w:val="ySubsection"/>
      </w:pPr>
      <w:r>
        <w:t>[</w:t>
      </w:r>
      <w:r>
        <w:rPr>
          <w:i/>
        </w:rPr>
        <w:t>Signature</w:t>
      </w:r>
      <w:r>
        <w:t>]</w:t>
      </w:r>
    </w:p>
    <w:p>
      <w:pPr>
        <w:pStyle w:val="ySubsection"/>
      </w:pPr>
      <w:r>
        <w:t>REGISTRAR</w:t>
      </w:r>
    </w:p>
    <w:p>
      <w:pPr>
        <w:pStyle w:val="yFootnotesection"/>
      </w:pPr>
      <w:r>
        <w:tab/>
        <w:t>[Form 8 inserted in Gazette 20 Aug 2013 p. 3889-90.]</w:t>
      </w:r>
    </w:p>
    <w:p>
      <w:pPr>
        <w:pStyle w:val="yHeading5"/>
        <w:pageBreakBefore/>
      </w:pPr>
      <w:bookmarkStart w:id="88" w:name="_Toc391017399"/>
      <w:bookmarkStart w:id="89" w:name="_Toc377549593"/>
      <w:r>
        <w:rPr>
          <w:rStyle w:val="CharSClsNo"/>
        </w:rPr>
        <w:t>9</w:t>
      </w:r>
      <w:r>
        <w:t>.</w:t>
      </w:r>
      <w:r>
        <w:tab/>
        <w:t>Certificate under Act s. 101C(1) (Part 4 proceedings)</w:t>
      </w:r>
      <w:bookmarkEnd w:id="88"/>
      <w:bookmarkEnd w:id="89"/>
    </w:p>
    <w:p>
      <w:pPr>
        <w:pStyle w:val="ySubsection"/>
        <w:jc w:val="center"/>
      </w:pPr>
      <w:r>
        <w:rPr>
          <w:i/>
        </w:rPr>
        <w:t>Fines, Penalties and Infringement Notices Enforcement Act 1994</w:t>
      </w:r>
    </w:p>
    <w:p>
      <w:pPr>
        <w:pStyle w:val="ySubsection"/>
        <w:spacing w:before="0"/>
        <w:jc w:val="center"/>
      </w:pPr>
      <w:r>
        <w:t>[Section 101C(1)]</w:t>
      </w:r>
    </w:p>
    <w:p>
      <w:pPr>
        <w:pStyle w:val="yMiscellaneousHeading"/>
        <w:rPr>
          <w:b/>
        </w:rPr>
      </w:pPr>
      <w:r>
        <w:rPr>
          <w:b/>
        </w:rPr>
        <w:t>CERTIFICATE AS TO LICENCE SUSPENSION ORDER</w:t>
      </w:r>
    </w:p>
    <w:p>
      <w:pPr>
        <w:pStyle w:val="ySubsection"/>
        <w:spacing w:before="120"/>
      </w:pPr>
      <w:r>
        <w:t>Offender:</w:t>
      </w:r>
    </w:p>
    <w:p>
      <w:pPr>
        <w:pStyle w:val="ySubsection"/>
        <w:spacing w:before="120"/>
      </w:pPr>
      <w:r>
        <w:t>Address:</w:t>
      </w:r>
    </w:p>
    <w:p>
      <w:pPr>
        <w:pStyle w:val="ySubsection"/>
        <w:tabs>
          <w:tab w:val="clear" w:pos="595"/>
          <w:tab w:val="clear" w:pos="879"/>
        </w:tabs>
        <w:spacing w:before="120"/>
        <w:ind w:left="0" w:firstLine="0"/>
      </w:pPr>
      <w:r>
        <w:t>In relation to this offender the following matters are certified as being true and correct:</w:t>
      </w:r>
    </w:p>
    <w:p>
      <w:pPr>
        <w:pStyle w:val="yMiscellaneousBody"/>
        <w:spacing w:before="120"/>
      </w:pPr>
      <w:r>
        <w:t>[</w:t>
      </w:r>
      <w:r>
        <w:rPr>
          <w:i/>
        </w:rPr>
        <w:t>Strike out any that do not apply.</w:t>
      </w:r>
      <w:r>
        <w:t>]</w:t>
      </w:r>
    </w:p>
    <w:p>
      <w:pPr>
        <w:pStyle w:val="ySubsection"/>
        <w:tabs>
          <w:tab w:val="clear" w:pos="595"/>
        </w:tabs>
        <w:spacing w:before="120"/>
      </w:pPr>
      <w:r>
        <w:t>1.</w:t>
      </w:r>
      <w:r>
        <w:tab/>
        <w:t>On [</w:t>
      </w:r>
      <w:r>
        <w:rPr>
          <w:i/>
        </w:rPr>
        <w:t>date</w:t>
      </w:r>
      <w:r>
        <w:t>] the [</w:t>
      </w:r>
      <w:r>
        <w:rPr>
          <w:i/>
        </w:rPr>
        <w:t>court</w:t>
      </w:r>
      <w:r>
        <w:t>] at [</w:t>
      </w:r>
      <w:r>
        <w:rPr>
          <w:i/>
        </w:rPr>
        <w:t>place</w:t>
      </w:r>
      <w:r>
        <w:t>] imposed a fine on the offender for the offence of [</w:t>
      </w:r>
      <w:r>
        <w:rPr>
          <w:i/>
        </w:rPr>
        <w:t>description of offence</w:t>
      </w:r>
      <w:r>
        <w:t>].</w:t>
      </w:r>
    </w:p>
    <w:p>
      <w:pPr>
        <w:pStyle w:val="ySubsection"/>
        <w:tabs>
          <w:tab w:val="clear" w:pos="595"/>
        </w:tabs>
      </w:pPr>
      <w:r>
        <w:tab/>
        <w:t>The amount of the fine (as defined in section 28(1) of the Act) is [</w:t>
      </w:r>
      <w:r>
        <w:rPr>
          <w:i/>
        </w:rPr>
        <w:t>$</w:t>
      </w:r>
      <w:r>
        <w:t>].</w:t>
      </w:r>
    </w:p>
    <w:p>
      <w:pPr>
        <w:pStyle w:val="ySubsection"/>
        <w:tabs>
          <w:tab w:val="clear" w:pos="595"/>
        </w:tabs>
        <w:spacing w:before="120"/>
      </w:pPr>
      <w:r>
        <w:t>2.</w:t>
      </w:r>
      <w:r>
        <w:tab/>
        <w:t>On [</w:t>
      </w:r>
      <w:r>
        <w:rPr>
          <w:i/>
        </w:rPr>
        <w:t>date</w:t>
      </w:r>
      <w:r>
        <w:t>] the fine was registered under Part 4 of the Act with the Fines Enforcement Registry for enforcement and was allocated case number [</w:t>
      </w:r>
      <w:r>
        <w:rPr>
          <w:i/>
        </w:rPr>
        <w:t>no.</w:t>
      </w:r>
      <w:r>
        <w:t>].</w:t>
      </w:r>
    </w:p>
    <w:p>
      <w:pPr>
        <w:pStyle w:val="ySubsection"/>
        <w:tabs>
          <w:tab w:val="clear" w:pos="595"/>
        </w:tabs>
        <w:spacing w:before="120"/>
      </w:pPr>
      <w:r>
        <w:t>3.</w:t>
      </w:r>
      <w:r>
        <w:tab/>
        <w:t>A notice of intention to enforce was issued under section 42 of the Act and was served on the offender by [</w:t>
      </w:r>
      <w:r>
        <w:rPr>
          <w:i/>
        </w:rPr>
        <w:t>details of service</w:t>
      </w:r>
      <w:r>
        <w:t>].</w:t>
      </w:r>
    </w:p>
    <w:p>
      <w:pPr>
        <w:pStyle w:val="ySubsection"/>
        <w:tabs>
          <w:tab w:val="clear" w:pos="595"/>
        </w:tabs>
        <w:spacing w:before="120"/>
      </w:pPr>
      <w:r>
        <w:t>4.</w:t>
      </w:r>
      <w:r>
        <w:tab/>
        <w:t>A licence suspension order suspending the offender’s:</w:t>
      </w:r>
    </w:p>
    <w:p>
      <w:pPr>
        <w:pStyle w:val="ySubsection"/>
      </w:pPr>
      <w:r>
        <w:tab/>
      </w:r>
      <w:r>
        <w:tab/>
      </w:r>
      <w:r>
        <w:sym w:font="Wingdings" w:char="F072"/>
      </w:r>
      <w:r>
        <w:t xml:space="preserve">  driver’s licence number [</w:t>
      </w:r>
      <w:r>
        <w:rPr>
          <w:i/>
        </w:rPr>
        <w:t>no.</w:t>
      </w:r>
      <w:r>
        <w:t>]</w:t>
      </w:r>
    </w:p>
    <w:p>
      <w:pPr>
        <w:pStyle w:val="ySubsection"/>
      </w:pPr>
      <w:r>
        <w:tab/>
      </w:r>
      <w:r>
        <w:tab/>
      </w:r>
      <w:r>
        <w:sym w:font="Wingdings" w:char="F072"/>
      </w:r>
      <w:r>
        <w:t xml:space="preserve">  vehicle licence for the vehicle registered number [</w:t>
      </w:r>
      <w:r>
        <w:rPr>
          <w:i/>
        </w:rPr>
        <w:t>no.</w:t>
      </w:r>
      <w:r>
        <w:t>]</w:t>
      </w:r>
    </w:p>
    <w:p>
      <w:pPr>
        <w:pStyle w:val="ySubsection"/>
        <w:tabs>
          <w:tab w:val="clear" w:pos="595"/>
        </w:tabs>
      </w:pPr>
      <w:r>
        <w:tab/>
        <w:t>was made at [</w:t>
      </w:r>
      <w:r>
        <w:rPr>
          <w:i/>
        </w:rPr>
        <w:t>time</w:t>
      </w:r>
      <w:r>
        <w:t>] on [</w:t>
      </w:r>
      <w:r>
        <w:rPr>
          <w:i/>
        </w:rPr>
        <w:t>date</w:t>
      </w:r>
      <w:r>
        <w:t>] under section 43 of the Act.</w:t>
      </w:r>
    </w:p>
    <w:p>
      <w:pPr>
        <w:pStyle w:val="ySubsection"/>
        <w:tabs>
          <w:tab w:val="clear" w:pos="595"/>
        </w:tabs>
      </w:pPr>
      <w:r>
        <w:t>5.</w:t>
      </w:r>
      <w:r>
        <w:tab/>
        <w:t>A notice confirming licence suspension was issued under section 43 of the Act and was served on the offender by [</w:t>
      </w:r>
      <w:r>
        <w:rPr>
          <w:i/>
        </w:rPr>
        <w:t>details of service</w:t>
      </w:r>
      <w:r>
        <w:t>].</w:t>
      </w:r>
    </w:p>
    <w:p>
      <w:pPr>
        <w:pStyle w:val="ySubsection"/>
        <w:tabs>
          <w:tab w:val="clear" w:pos="595"/>
        </w:tabs>
      </w:pPr>
      <w:r>
        <w:t>6.</w:t>
      </w:r>
      <w:r>
        <w:tab/>
        <w:t>As at the time of issuing this certificate the licence suspension order has not been cancelled.</w:t>
      </w:r>
    </w:p>
    <w:p>
      <w:pPr>
        <w:pStyle w:val="ySubsection"/>
        <w:keepNext/>
        <w:keepLines/>
        <w:tabs>
          <w:tab w:val="clear" w:pos="595"/>
        </w:tabs>
      </w:pPr>
      <w:r>
        <w:tab/>
        <w:t>OR</w:t>
      </w:r>
    </w:p>
    <w:p>
      <w:pPr>
        <w:pStyle w:val="ySubsection"/>
        <w:keepNext/>
        <w:keepLines/>
        <w:tabs>
          <w:tab w:val="clear" w:pos="595"/>
        </w:tabs>
      </w:pPr>
      <w:r>
        <w:tab/>
        <w:t>The licence suspension order was cancelled at [</w:t>
      </w:r>
      <w:r>
        <w:rPr>
          <w:i/>
        </w:rPr>
        <w:t>time</w:t>
      </w:r>
      <w:r>
        <w:t>] on [</w:t>
      </w:r>
      <w:r>
        <w:rPr>
          <w:i/>
        </w:rPr>
        <w:t>date</w:t>
      </w:r>
      <w:r>
        <w:t>].</w:t>
      </w:r>
    </w:p>
    <w:p>
      <w:pPr>
        <w:pStyle w:val="ySubsection"/>
        <w:keepNext/>
        <w:keepLines/>
        <w:tabs>
          <w:tab w:val="clear" w:pos="595"/>
          <w:tab w:val="clear" w:pos="879"/>
          <w:tab w:val="left" w:pos="4536"/>
        </w:tabs>
        <w:ind w:left="0" w:firstLine="0"/>
      </w:pPr>
      <w:r>
        <w:t>Date of this certificate:</w:t>
      </w:r>
      <w:r>
        <w:tab/>
        <w:t>Time:</w:t>
      </w:r>
    </w:p>
    <w:p>
      <w:pPr>
        <w:pStyle w:val="ySubsection"/>
      </w:pPr>
      <w:r>
        <w:t>[</w:t>
      </w:r>
      <w:r>
        <w:rPr>
          <w:i/>
        </w:rPr>
        <w:t>Signature</w:t>
      </w:r>
      <w:r>
        <w:t>]</w:t>
      </w:r>
    </w:p>
    <w:p>
      <w:pPr>
        <w:pStyle w:val="ySubsection"/>
      </w:pPr>
      <w:r>
        <w:t>REGISTRAR</w:t>
      </w:r>
    </w:p>
    <w:p>
      <w:pPr>
        <w:pStyle w:val="yFootnotesection"/>
      </w:pPr>
      <w:r>
        <w:tab/>
        <w:t>[Form 9 inserted in Gazette 20 Aug 2013 p. 3890-1.]</w:t>
      </w:r>
    </w:p>
    <w:p>
      <w:pPr>
        <w:pStyle w:val="yHeading5"/>
        <w:pageBreakBefore/>
      </w:pPr>
      <w:bookmarkStart w:id="90" w:name="_Toc391017400"/>
      <w:bookmarkStart w:id="91" w:name="_Toc377549594"/>
      <w:r>
        <w:rPr>
          <w:rStyle w:val="CharSClsNo"/>
        </w:rPr>
        <w:t>10</w:t>
      </w:r>
      <w:r>
        <w:t>.</w:t>
      </w:r>
      <w:r>
        <w:tab/>
        <w:t>Certificate under Act s. 101C(2A) (Part 3 proceedings)</w:t>
      </w:r>
      <w:bookmarkEnd w:id="90"/>
      <w:bookmarkEnd w:id="91"/>
    </w:p>
    <w:p>
      <w:pPr>
        <w:pStyle w:val="ySubsection"/>
        <w:jc w:val="center"/>
      </w:pPr>
      <w:r>
        <w:rPr>
          <w:i/>
        </w:rPr>
        <w:t>Fines, Penalties and Infringement Notices Enforcement Act 1994</w:t>
      </w:r>
    </w:p>
    <w:p>
      <w:pPr>
        <w:pStyle w:val="ySubsection"/>
        <w:spacing w:before="0"/>
        <w:jc w:val="center"/>
      </w:pPr>
      <w:r>
        <w:t>[Section 101C(2A)]</w:t>
      </w:r>
    </w:p>
    <w:p>
      <w:pPr>
        <w:pStyle w:val="yMiscellaneousHeading"/>
        <w:rPr>
          <w:b/>
        </w:rPr>
      </w:pPr>
      <w:r>
        <w:rPr>
          <w:b/>
        </w:rPr>
        <w:t>CERTIFICATE AS TO VEHICLE LICENCE SUSPENSION ORDER/ VEHICLE LICENCE CANCELLATION ORDER</w:t>
      </w:r>
    </w:p>
    <w:p>
      <w:pPr>
        <w:pStyle w:val="ySubsection"/>
      </w:pPr>
      <w:r>
        <w:t>Alleged offender:</w:t>
      </w:r>
    </w:p>
    <w:p>
      <w:pPr>
        <w:pStyle w:val="ySubsection"/>
      </w:pPr>
      <w:r>
        <w:t>Address:</w:t>
      </w:r>
    </w:p>
    <w:p>
      <w:pPr>
        <w:pStyle w:val="ySubsection"/>
        <w:tabs>
          <w:tab w:val="clear" w:pos="595"/>
          <w:tab w:val="clear" w:pos="879"/>
        </w:tabs>
        <w:ind w:left="0" w:firstLine="0"/>
      </w:pPr>
      <w:r>
        <w:t>In relation to this alleged offender the following matters are certified as being true and correct:</w:t>
      </w:r>
    </w:p>
    <w:p>
      <w:pPr>
        <w:pStyle w:val="yMiscellaneousBody"/>
      </w:pPr>
      <w:r>
        <w:t>[</w:t>
      </w:r>
      <w:r>
        <w:rPr>
          <w:i/>
        </w:rPr>
        <w:t>Strike out any that do not apply.</w:t>
      </w:r>
      <w:r>
        <w:t>]</w:t>
      </w:r>
    </w:p>
    <w:p>
      <w:pPr>
        <w:pStyle w:val="ySubsection"/>
        <w:tabs>
          <w:tab w:val="clear" w:pos="595"/>
        </w:tabs>
      </w:pPr>
      <w:r>
        <w:t>1.</w:t>
      </w:r>
      <w:r>
        <w:tab/>
        <w:t>On [</w:t>
      </w:r>
      <w:r>
        <w:rPr>
          <w:i/>
        </w:rPr>
        <w:t>date</w:t>
      </w:r>
      <w:r>
        <w:t>] an infringement notice was issued by [</w:t>
      </w:r>
      <w:r>
        <w:rPr>
          <w:i/>
        </w:rPr>
        <w:t>prosecuting authority</w:t>
      </w:r>
      <w:r>
        <w:t>] to the alleged offender for the alleged offence of [</w:t>
      </w:r>
      <w:r>
        <w:rPr>
          <w:i/>
        </w:rPr>
        <w:t>description of alleged offence</w:t>
      </w:r>
      <w:r>
        <w:t>].</w:t>
      </w:r>
    </w:p>
    <w:p>
      <w:pPr>
        <w:pStyle w:val="ySubsection"/>
        <w:tabs>
          <w:tab w:val="clear" w:pos="595"/>
        </w:tabs>
      </w:pPr>
      <w:r>
        <w:tab/>
        <w:t>The modified penalty on the infringement notice is [</w:t>
      </w:r>
      <w:r>
        <w:rPr>
          <w:i/>
        </w:rPr>
        <w:t>$</w:t>
      </w:r>
      <w:r>
        <w:t>].</w:t>
      </w:r>
    </w:p>
    <w:p>
      <w:pPr>
        <w:pStyle w:val="ySubsection"/>
        <w:tabs>
          <w:tab w:val="clear" w:pos="595"/>
        </w:tabs>
      </w:pPr>
      <w:r>
        <w:t>2.</w:t>
      </w:r>
      <w:r>
        <w:tab/>
        <w:t>On [</w:t>
      </w:r>
      <w:r>
        <w:rPr>
          <w:i/>
        </w:rPr>
        <w:t>date</w:t>
      </w:r>
      <w:r>
        <w:t>] the infringement notice was registered under Part 3 of the Act with the Fines Enforcement Registry for enforcement and was allocated case number [</w:t>
      </w:r>
      <w:r>
        <w:rPr>
          <w:i/>
        </w:rPr>
        <w:t>no.</w:t>
      </w:r>
      <w:r>
        <w:t>].</w:t>
      </w:r>
    </w:p>
    <w:p>
      <w:pPr>
        <w:pStyle w:val="ySubsection"/>
        <w:tabs>
          <w:tab w:val="clear" w:pos="595"/>
        </w:tabs>
      </w:pPr>
      <w:r>
        <w:t>3.</w:t>
      </w:r>
      <w:r>
        <w:tab/>
        <w:t>A vehicle licence suspension order suspending the alleged offender’s vehicle licence for the vehicle registered number [</w:t>
      </w:r>
      <w:r>
        <w:rPr>
          <w:i/>
        </w:rPr>
        <w:t>no.</w:t>
      </w:r>
      <w:r>
        <w:t>] was made on [</w:t>
      </w:r>
      <w:r>
        <w:rPr>
          <w:i/>
        </w:rPr>
        <w:t>date</w:t>
      </w:r>
      <w:r>
        <w:t>] under section 95G of the Act and took effect at [</w:t>
      </w:r>
      <w:r>
        <w:rPr>
          <w:i/>
        </w:rPr>
        <w:t>time</w:t>
      </w:r>
      <w:r>
        <w:t>] on that day. A notice confirming that the vehicle licence was suspended and that the alleged offender was disqualified from holding or obtaining a vehicle licence was affixed to the vehicle.</w:t>
      </w:r>
    </w:p>
    <w:p>
      <w:pPr>
        <w:pStyle w:val="ySubsection"/>
        <w:tabs>
          <w:tab w:val="clear" w:pos="595"/>
        </w:tabs>
      </w:pPr>
      <w:r>
        <w:t>4.</w:t>
      </w:r>
      <w:r>
        <w:tab/>
        <w:t>As at the time of issuing this certificate the vehicle licence suspension order has not been cancelled.</w:t>
      </w:r>
    </w:p>
    <w:p>
      <w:pPr>
        <w:pStyle w:val="ySubsection"/>
        <w:tabs>
          <w:tab w:val="clear" w:pos="595"/>
        </w:tabs>
      </w:pPr>
      <w:r>
        <w:tab/>
        <w:t>OR</w:t>
      </w:r>
    </w:p>
    <w:p>
      <w:pPr>
        <w:pStyle w:val="ySubsection"/>
        <w:tabs>
          <w:tab w:val="clear" w:pos="595"/>
        </w:tabs>
      </w:pPr>
      <w:r>
        <w:tab/>
        <w:t>The vehicle licence suspension order was cancelled at [</w:t>
      </w:r>
      <w:r>
        <w:rPr>
          <w:i/>
        </w:rPr>
        <w:t>time</w:t>
      </w:r>
      <w:r>
        <w:t>] on [</w:t>
      </w:r>
      <w:r>
        <w:rPr>
          <w:i/>
        </w:rPr>
        <w:t>date</w:t>
      </w:r>
      <w:r>
        <w:t>].</w:t>
      </w:r>
    </w:p>
    <w:p>
      <w:pPr>
        <w:pStyle w:val="ySubsection"/>
        <w:tabs>
          <w:tab w:val="clear" w:pos="595"/>
        </w:tabs>
      </w:pPr>
      <w:r>
        <w:t>5.</w:t>
      </w:r>
      <w:r>
        <w:tab/>
        <w:t>A vehicle licence cancellation order cancelling the alleged offender’s vehicle licence for the vehicle registered number [</w:t>
      </w:r>
      <w:r>
        <w:rPr>
          <w:i/>
        </w:rPr>
        <w:t>no.</w:t>
      </w:r>
      <w:r>
        <w:t>], and disqualifying the alleged offender from holding or obtaining a vehicle licence for that vehicle, was made under section 95J of the Act on [</w:t>
      </w:r>
      <w:r>
        <w:rPr>
          <w:i/>
        </w:rPr>
        <w:t>date</w:t>
      </w:r>
      <w:r>
        <w:t>] at [</w:t>
      </w:r>
      <w:r>
        <w:rPr>
          <w:i/>
        </w:rPr>
        <w:t>time</w:t>
      </w:r>
      <w:r>
        <w:t>].</w:t>
      </w:r>
    </w:p>
    <w:p>
      <w:pPr>
        <w:pStyle w:val="ySubsection"/>
        <w:tabs>
          <w:tab w:val="clear" w:pos="595"/>
        </w:tabs>
      </w:pPr>
      <w:r>
        <w:t>6.</w:t>
      </w:r>
      <w:r>
        <w:tab/>
        <w:t>A copy of the vehicle licence cancellation order was served on the alleged offender by [</w:t>
      </w:r>
      <w:r>
        <w:rPr>
          <w:i/>
        </w:rPr>
        <w:t>details of service</w:t>
      </w:r>
      <w:r>
        <w:t>].</w:t>
      </w:r>
    </w:p>
    <w:p>
      <w:pPr>
        <w:pStyle w:val="ySubsection"/>
        <w:tabs>
          <w:tab w:val="clear" w:pos="595"/>
        </w:tabs>
      </w:pPr>
      <w:r>
        <w:t>7.</w:t>
      </w:r>
      <w:r>
        <w:tab/>
        <w:t>As at the time of issuing this certificate the vehicle licence cancellation order has not been cancelled.</w:t>
      </w:r>
    </w:p>
    <w:p>
      <w:pPr>
        <w:pStyle w:val="ySubsection"/>
        <w:tabs>
          <w:tab w:val="clear" w:pos="595"/>
        </w:tabs>
      </w:pPr>
      <w:r>
        <w:tab/>
        <w:t>OR</w:t>
      </w:r>
    </w:p>
    <w:p>
      <w:pPr>
        <w:pStyle w:val="ySubsection"/>
        <w:tabs>
          <w:tab w:val="clear" w:pos="595"/>
        </w:tabs>
      </w:pPr>
      <w:r>
        <w:tab/>
        <w:t>The vehicle licence cancellation order was cancelled to the extent that it disqualifies the alleged offender from holding or obtaining a vehicle licence at [</w:t>
      </w:r>
      <w:r>
        <w:rPr>
          <w:i/>
        </w:rPr>
        <w:t>time</w:t>
      </w:r>
      <w:r>
        <w:t>] on [</w:t>
      </w:r>
      <w:r>
        <w:rPr>
          <w:i/>
        </w:rPr>
        <w:t>date</w:t>
      </w:r>
      <w:r>
        <w:t>].</w:t>
      </w:r>
    </w:p>
    <w:p>
      <w:pPr>
        <w:pStyle w:val="ySubsection"/>
        <w:tabs>
          <w:tab w:val="clear" w:pos="595"/>
          <w:tab w:val="clear" w:pos="879"/>
          <w:tab w:val="left" w:pos="4536"/>
        </w:tabs>
        <w:ind w:left="0" w:firstLine="0"/>
      </w:pPr>
      <w:r>
        <w:t>Date of this certificate:</w:t>
      </w:r>
      <w:r>
        <w:tab/>
        <w:t>Time:</w:t>
      </w:r>
    </w:p>
    <w:p>
      <w:pPr>
        <w:pStyle w:val="ySubsection"/>
      </w:pPr>
      <w:r>
        <w:t>[</w:t>
      </w:r>
      <w:r>
        <w:rPr>
          <w:i/>
        </w:rPr>
        <w:t>Signature</w:t>
      </w:r>
      <w:r>
        <w:t>]</w:t>
      </w:r>
    </w:p>
    <w:p>
      <w:pPr>
        <w:pStyle w:val="ySubsection"/>
        <w:rPr>
          <w:szCs w:val="22"/>
          <w:highlight w:val="cyan"/>
        </w:rPr>
      </w:pPr>
      <w:r>
        <w:t>SHERIFF</w:t>
      </w:r>
    </w:p>
    <w:p>
      <w:pPr>
        <w:pStyle w:val="yFootnotesection"/>
      </w:pPr>
      <w:r>
        <w:tab/>
        <w:t>[Form 10 inserted in Gazette 20 Aug 2013 p. 3891-2.]</w:t>
      </w:r>
    </w:p>
    <w:p>
      <w:pPr>
        <w:pStyle w:val="yHeading5"/>
        <w:pageBreakBefore/>
      </w:pPr>
      <w:bookmarkStart w:id="92" w:name="_Toc391017401"/>
      <w:bookmarkStart w:id="93" w:name="_Toc377549595"/>
      <w:r>
        <w:rPr>
          <w:rStyle w:val="CharSClsNo"/>
        </w:rPr>
        <w:t>11</w:t>
      </w:r>
      <w:r>
        <w:t>.</w:t>
      </w:r>
      <w:r>
        <w:tab/>
        <w:t>Certificate under Act s. 101C(2A) (Part 4 proceedings)</w:t>
      </w:r>
      <w:bookmarkEnd w:id="92"/>
      <w:bookmarkEnd w:id="93"/>
    </w:p>
    <w:p>
      <w:pPr>
        <w:pStyle w:val="ySubsection"/>
        <w:keepNext/>
        <w:jc w:val="center"/>
      </w:pPr>
      <w:r>
        <w:rPr>
          <w:i/>
        </w:rPr>
        <w:t>Fines, Penalties and Infringement Notices Enforcement Act 1994</w:t>
      </w:r>
    </w:p>
    <w:p>
      <w:pPr>
        <w:pStyle w:val="ySubsection"/>
        <w:keepNext/>
        <w:spacing w:before="0"/>
        <w:jc w:val="center"/>
      </w:pPr>
      <w:r>
        <w:t>[Section 101C(2A)]</w:t>
      </w:r>
    </w:p>
    <w:p>
      <w:pPr>
        <w:pStyle w:val="yMiscellaneousHeading"/>
        <w:rPr>
          <w:b/>
        </w:rPr>
      </w:pPr>
      <w:r>
        <w:rPr>
          <w:b/>
        </w:rPr>
        <w:t>CERTIFICATE AS TO VEHICLE LICENCE SUSPENSION ORDER/ VEHICLE LICENCE CANCELLATION ORDER</w:t>
      </w:r>
    </w:p>
    <w:p>
      <w:pPr>
        <w:pStyle w:val="ySubsection"/>
      </w:pPr>
      <w:r>
        <w:t>Offender:</w:t>
      </w:r>
    </w:p>
    <w:p>
      <w:pPr>
        <w:pStyle w:val="ySubsection"/>
      </w:pPr>
      <w:r>
        <w:t>Address:</w:t>
      </w:r>
    </w:p>
    <w:p>
      <w:pPr>
        <w:pStyle w:val="ySubsection"/>
        <w:tabs>
          <w:tab w:val="clear" w:pos="595"/>
          <w:tab w:val="clear" w:pos="879"/>
        </w:tabs>
        <w:ind w:left="0" w:firstLine="0"/>
      </w:pPr>
      <w:r>
        <w:t>In relation to this offender the following matters are certified as being true and correct:</w:t>
      </w:r>
    </w:p>
    <w:p>
      <w:pPr>
        <w:pStyle w:val="yMiscellaneousBody"/>
        <w:rPr>
          <w:i/>
        </w:rPr>
      </w:pPr>
      <w:r>
        <w:t>[</w:t>
      </w:r>
      <w:r>
        <w:rPr>
          <w:i/>
        </w:rPr>
        <w:t>Strike out any that do not apply.</w:t>
      </w:r>
      <w:r>
        <w:t>]</w:t>
      </w:r>
    </w:p>
    <w:p>
      <w:pPr>
        <w:pStyle w:val="ySubsection"/>
        <w:tabs>
          <w:tab w:val="clear" w:pos="595"/>
        </w:tabs>
      </w:pPr>
      <w:r>
        <w:t>1.</w:t>
      </w:r>
      <w:r>
        <w:tab/>
        <w:t>On [</w:t>
      </w:r>
      <w:r>
        <w:rPr>
          <w:i/>
        </w:rPr>
        <w:t>date</w:t>
      </w:r>
      <w:r>
        <w:t>] the [</w:t>
      </w:r>
      <w:r>
        <w:rPr>
          <w:i/>
        </w:rPr>
        <w:t>court</w:t>
      </w:r>
      <w:r>
        <w:t>] at [</w:t>
      </w:r>
      <w:r>
        <w:rPr>
          <w:i/>
        </w:rPr>
        <w:t>place</w:t>
      </w:r>
      <w:r>
        <w:t>] imposed a fine on the offender for the offence of [</w:t>
      </w:r>
      <w:r>
        <w:rPr>
          <w:i/>
        </w:rPr>
        <w:t>description of offence</w:t>
      </w:r>
      <w:r>
        <w:t>].</w:t>
      </w:r>
    </w:p>
    <w:p>
      <w:pPr>
        <w:pStyle w:val="ySubsection"/>
        <w:tabs>
          <w:tab w:val="clear" w:pos="595"/>
        </w:tabs>
      </w:pPr>
      <w:r>
        <w:tab/>
        <w:t>The amount of the fine (as defined in section 28(1) of the Act) is [</w:t>
      </w:r>
      <w:r>
        <w:rPr>
          <w:i/>
        </w:rPr>
        <w:t>$</w:t>
      </w:r>
      <w:r>
        <w:t>].</w:t>
      </w:r>
    </w:p>
    <w:p>
      <w:pPr>
        <w:pStyle w:val="ySubsection"/>
        <w:tabs>
          <w:tab w:val="clear" w:pos="595"/>
        </w:tabs>
      </w:pPr>
      <w:r>
        <w:t>2.</w:t>
      </w:r>
      <w:r>
        <w:tab/>
        <w:t>On [</w:t>
      </w:r>
      <w:r>
        <w:rPr>
          <w:i/>
        </w:rPr>
        <w:t>date</w:t>
      </w:r>
      <w:r>
        <w:t>] the fine was registered under Part 4 of the Act with the Fines Enforcement Registry for enforcement and was allocated case number [</w:t>
      </w:r>
      <w:r>
        <w:rPr>
          <w:i/>
        </w:rPr>
        <w:t>no.</w:t>
      </w:r>
      <w:r>
        <w:t>].</w:t>
      </w:r>
    </w:p>
    <w:p>
      <w:pPr>
        <w:pStyle w:val="ySubsection"/>
        <w:tabs>
          <w:tab w:val="clear" w:pos="595"/>
        </w:tabs>
      </w:pPr>
      <w:r>
        <w:t>3.</w:t>
      </w:r>
      <w:r>
        <w:tab/>
        <w:t>A vehicle licence suspension order suspending the offender’s vehicle licence for the vehicle registered number [</w:t>
      </w:r>
      <w:r>
        <w:rPr>
          <w:i/>
        </w:rPr>
        <w:t>no.</w:t>
      </w:r>
      <w:r>
        <w:t>] was made on [</w:t>
      </w:r>
      <w:r>
        <w:rPr>
          <w:i/>
        </w:rPr>
        <w:t>date</w:t>
      </w:r>
      <w:r>
        <w:t>] under section 95G of the Act and took effect at [</w:t>
      </w:r>
      <w:r>
        <w:rPr>
          <w:i/>
        </w:rPr>
        <w:t>time</w:t>
      </w:r>
      <w:r>
        <w:t>] on that day. A notice confirming that the vehicle licence was suspended and that the offender was disqualified from holding or obtaining a vehicle licence was affixed to the vehicle.</w:t>
      </w:r>
    </w:p>
    <w:p>
      <w:pPr>
        <w:pStyle w:val="ySubsection"/>
        <w:tabs>
          <w:tab w:val="clear" w:pos="595"/>
        </w:tabs>
      </w:pPr>
      <w:r>
        <w:t>4.</w:t>
      </w:r>
      <w:r>
        <w:tab/>
        <w:t>As at the time of issuing this certificate the vehicle licence suspension order has not been cancelled.</w:t>
      </w:r>
    </w:p>
    <w:p>
      <w:pPr>
        <w:pStyle w:val="ySubsection"/>
        <w:tabs>
          <w:tab w:val="clear" w:pos="595"/>
        </w:tabs>
      </w:pPr>
      <w:r>
        <w:tab/>
        <w:t>OR</w:t>
      </w:r>
    </w:p>
    <w:p>
      <w:pPr>
        <w:pStyle w:val="ySubsection"/>
        <w:tabs>
          <w:tab w:val="clear" w:pos="595"/>
        </w:tabs>
      </w:pPr>
      <w:r>
        <w:tab/>
        <w:t>The vehicle licence suspension order was cancelled at [</w:t>
      </w:r>
      <w:r>
        <w:rPr>
          <w:i/>
        </w:rPr>
        <w:t>time</w:t>
      </w:r>
      <w:r>
        <w:t>] on [</w:t>
      </w:r>
      <w:r>
        <w:rPr>
          <w:i/>
        </w:rPr>
        <w:t>date</w:t>
      </w:r>
      <w:r>
        <w:t>].</w:t>
      </w:r>
    </w:p>
    <w:p>
      <w:pPr>
        <w:pStyle w:val="ySubsection"/>
        <w:tabs>
          <w:tab w:val="clear" w:pos="595"/>
        </w:tabs>
      </w:pPr>
      <w:r>
        <w:t>5.</w:t>
      </w:r>
      <w:r>
        <w:tab/>
        <w:t>A vehicle licence cancellation order cancelling the alleged offender’s vehicle licence for the vehicle registered number [</w:t>
      </w:r>
      <w:r>
        <w:rPr>
          <w:i/>
        </w:rPr>
        <w:t>no.</w:t>
      </w:r>
      <w:r>
        <w:t>], and disqualifying the offender from holding or obtaining a vehicle licence for that vehicle, was made under section 95J of the Act on [</w:t>
      </w:r>
      <w:r>
        <w:rPr>
          <w:i/>
        </w:rPr>
        <w:t>date</w:t>
      </w:r>
      <w:r>
        <w:t>] at [</w:t>
      </w:r>
      <w:r>
        <w:rPr>
          <w:i/>
        </w:rPr>
        <w:t>time</w:t>
      </w:r>
      <w:r>
        <w:t>].</w:t>
      </w:r>
    </w:p>
    <w:p>
      <w:pPr>
        <w:pStyle w:val="ySubsection"/>
        <w:tabs>
          <w:tab w:val="clear" w:pos="595"/>
        </w:tabs>
      </w:pPr>
      <w:r>
        <w:t>6.</w:t>
      </w:r>
      <w:r>
        <w:tab/>
        <w:t>A copy of the vehicle licence cancellation order was served on the offender by [</w:t>
      </w:r>
      <w:r>
        <w:rPr>
          <w:i/>
        </w:rPr>
        <w:t>details of service</w:t>
      </w:r>
      <w:r>
        <w:t>].</w:t>
      </w:r>
    </w:p>
    <w:p>
      <w:pPr>
        <w:pStyle w:val="ySubsection"/>
        <w:tabs>
          <w:tab w:val="clear" w:pos="595"/>
        </w:tabs>
      </w:pPr>
      <w:r>
        <w:t>7.</w:t>
      </w:r>
      <w:r>
        <w:tab/>
        <w:t>As at the time of issuing this certificate the vehicle licence cancellation order has not been cancelled.</w:t>
      </w:r>
    </w:p>
    <w:p>
      <w:pPr>
        <w:pStyle w:val="ySubsection"/>
        <w:tabs>
          <w:tab w:val="clear" w:pos="595"/>
        </w:tabs>
      </w:pPr>
      <w:r>
        <w:tab/>
        <w:t>OR</w:t>
      </w:r>
    </w:p>
    <w:p>
      <w:pPr>
        <w:pStyle w:val="ySubsection"/>
        <w:tabs>
          <w:tab w:val="clear" w:pos="595"/>
        </w:tabs>
      </w:pPr>
      <w:r>
        <w:tab/>
        <w:t>The vehicle licence cancellation order was cancelled to the extent that it disqualifies the offender from holding or obtaining a vehicle licence at [</w:t>
      </w:r>
      <w:r>
        <w:rPr>
          <w:i/>
        </w:rPr>
        <w:t>time</w:t>
      </w:r>
      <w:r>
        <w:t>] on [</w:t>
      </w:r>
      <w:r>
        <w:rPr>
          <w:i/>
        </w:rPr>
        <w:t>date</w:t>
      </w:r>
      <w:r>
        <w:t>].</w:t>
      </w:r>
    </w:p>
    <w:p>
      <w:pPr>
        <w:pStyle w:val="ySubsection"/>
        <w:tabs>
          <w:tab w:val="clear" w:pos="595"/>
          <w:tab w:val="clear" w:pos="879"/>
          <w:tab w:val="left" w:pos="4536"/>
        </w:tabs>
        <w:ind w:left="0" w:firstLine="0"/>
      </w:pPr>
      <w:r>
        <w:t>Date of this certificate:</w:t>
      </w:r>
      <w:r>
        <w:tab/>
        <w:t>Time:</w:t>
      </w:r>
    </w:p>
    <w:p>
      <w:pPr>
        <w:pStyle w:val="ySubsection"/>
      </w:pPr>
      <w:r>
        <w:t>[</w:t>
      </w:r>
      <w:r>
        <w:rPr>
          <w:i/>
        </w:rPr>
        <w:t>Signature</w:t>
      </w:r>
      <w:r>
        <w:t>]</w:t>
      </w:r>
    </w:p>
    <w:p>
      <w:pPr>
        <w:pStyle w:val="ySubsection"/>
        <w:rPr>
          <w:szCs w:val="22"/>
        </w:rPr>
      </w:pPr>
      <w:r>
        <w:t>SHERIFF</w:t>
      </w:r>
    </w:p>
    <w:p>
      <w:pPr>
        <w:pStyle w:val="yFootnotesection"/>
      </w:pPr>
      <w:r>
        <w:tab/>
        <w:t>[Form 11 inserted in Gazette 20 Aug 2013 p. 3893-4.]</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6"/>
          <w:headerReference w:type="default" r:id="rId27"/>
          <w:pgSz w:w="11906" w:h="16838" w:code="9"/>
          <w:pgMar w:top="2376" w:right="2405" w:bottom="3542" w:left="2405" w:header="706" w:footer="3380" w:gutter="0"/>
          <w:cols w:space="720"/>
          <w:noEndnote/>
          <w:docGrid w:linePitch="326"/>
        </w:sectPr>
      </w:pPr>
    </w:p>
    <w:p>
      <w:pPr>
        <w:pStyle w:val="nHeading2"/>
        <w:pageBreakBefore/>
      </w:pPr>
      <w:bookmarkStart w:id="94" w:name="_Toc391017402"/>
      <w:bookmarkStart w:id="95" w:name="_Toc377549596"/>
      <w:r>
        <w:t>Notes</w:t>
      </w:r>
      <w:bookmarkEnd w:id="94"/>
      <w:bookmarkEnd w:id="95"/>
    </w:p>
    <w:p>
      <w:pPr>
        <w:pStyle w:val="nSubsection"/>
        <w:rPr>
          <w:snapToGrid w:val="0"/>
        </w:rPr>
      </w:pPr>
      <w:r>
        <w:rPr>
          <w:snapToGrid w:val="0"/>
          <w:vertAlign w:val="superscript"/>
        </w:rPr>
        <w:t>1</w:t>
      </w:r>
      <w:r>
        <w:rPr>
          <w:snapToGrid w:val="0"/>
        </w:rPr>
        <w:tab/>
        <w:t xml:space="preserve">This </w:t>
      </w:r>
      <w:del w:id="96" w:author="Master Repository Process" w:date="2021-08-28T08:15:00Z">
        <w:r>
          <w:rPr>
            <w:snapToGrid w:val="0"/>
          </w:rPr>
          <w:delText xml:space="preserve">reprint </w:delText>
        </w:r>
      </w:del>
      <w:r>
        <w:rPr>
          <w:snapToGrid w:val="0"/>
        </w:rPr>
        <w:t>is a compilation</w:t>
      </w:r>
      <w:del w:id="97" w:author="Master Repository Process" w:date="2021-08-28T08:15:00Z">
        <w:r>
          <w:rPr>
            <w:snapToGrid w:val="0"/>
          </w:rPr>
          <w:delText xml:space="preserve"> as at 6 December 2013</w:delText>
        </w:r>
      </w:del>
      <w:r>
        <w:rPr>
          <w:snapToGrid w:val="0"/>
        </w:rPr>
        <w:t xml:space="preserve"> of the </w:t>
      </w:r>
      <w:r>
        <w:rPr>
          <w:i/>
          <w:noProof/>
          <w:snapToGrid w:val="0"/>
        </w:rPr>
        <w:t>Fines, Penalties and Infringement Notices Enforcement Regulations 1994</w:t>
      </w:r>
      <w:r>
        <w:rPr>
          <w:snapToGrid w:val="0"/>
        </w:rPr>
        <w:t xml:space="preserve"> and includes the amendments made by the other written laws referred to in the following table.  The table also contains information about any reprint.</w:t>
      </w:r>
    </w:p>
    <w:p>
      <w:pPr>
        <w:pStyle w:val="nHeading3"/>
      </w:pPr>
      <w:bookmarkStart w:id="98" w:name="_Toc391017403"/>
      <w:bookmarkStart w:id="99" w:name="_Toc377549597"/>
      <w:r>
        <w:t>Compilation table</w:t>
      </w:r>
      <w:bookmarkEnd w:id="98"/>
      <w:bookmarkEnd w:id="99"/>
    </w:p>
    <w:tbl>
      <w:tblPr>
        <w:tblW w:w="0" w:type="auto"/>
        <w:tblInd w:w="56"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shd w:val="clear" w:color="auto" w:fill="auto"/>
          </w:tcPr>
          <w:p>
            <w:pPr>
              <w:pStyle w:val="nTable"/>
              <w:spacing w:after="40"/>
              <w:ind w:right="170"/>
              <w:rPr>
                <w:b/>
                <w:sz w:val="19"/>
              </w:rPr>
            </w:pPr>
            <w:r>
              <w:rPr>
                <w:b/>
                <w:sz w:val="19"/>
              </w:rPr>
              <w:t>Citation</w:t>
            </w:r>
          </w:p>
        </w:tc>
        <w:tc>
          <w:tcPr>
            <w:tcW w:w="1276" w:type="dxa"/>
            <w:tcBorders>
              <w:top w:val="single" w:sz="8" w:space="0" w:color="auto"/>
              <w:bottom w:val="single" w:sz="8" w:space="0" w:color="auto"/>
            </w:tcBorders>
            <w:shd w:val="clear" w:color="auto" w:fill="auto"/>
          </w:tcPr>
          <w:p>
            <w:pPr>
              <w:pStyle w:val="nTable"/>
              <w:spacing w:after="40"/>
              <w:rPr>
                <w:b/>
                <w:sz w:val="19"/>
              </w:rPr>
            </w:pPr>
            <w:r>
              <w:rPr>
                <w:b/>
                <w:sz w:val="19"/>
              </w:rPr>
              <w:t>Gazettal</w:t>
            </w:r>
          </w:p>
        </w:tc>
        <w:tc>
          <w:tcPr>
            <w:tcW w:w="2693"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rPr>
          <w:cantSplit/>
        </w:trPr>
        <w:tc>
          <w:tcPr>
            <w:tcW w:w="3118" w:type="dxa"/>
            <w:tcBorders>
              <w:top w:val="single" w:sz="8" w:space="0" w:color="auto"/>
            </w:tcBorders>
          </w:tcPr>
          <w:p>
            <w:pPr>
              <w:pStyle w:val="nTable"/>
              <w:spacing w:after="40"/>
              <w:ind w:right="170"/>
              <w:rPr>
                <w:sz w:val="19"/>
              </w:rPr>
            </w:pPr>
            <w:r>
              <w:rPr>
                <w:i/>
                <w:sz w:val="19"/>
              </w:rPr>
              <w:t>Fines, Penalties and Infringement Notices Enforcement Regulations 1994</w:t>
            </w:r>
          </w:p>
        </w:tc>
        <w:tc>
          <w:tcPr>
            <w:tcW w:w="1276" w:type="dxa"/>
            <w:tcBorders>
              <w:top w:val="single" w:sz="8" w:space="0" w:color="auto"/>
            </w:tcBorders>
          </w:tcPr>
          <w:p>
            <w:pPr>
              <w:pStyle w:val="nTable"/>
              <w:spacing w:after="40"/>
              <w:rPr>
                <w:sz w:val="19"/>
              </w:rPr>
            </w:pPr>
            <w:r>
              <w:rPr>
                <w:sz w:val="19"/>
              </w:rPr>
              <w:t>30 Dec 1994 p. 7232</w:t>
            </w:r>
            <w:r>
              <w:rPr>
                <w:sz w:val="19"/>
              </w:rPr>
              <w:noBreakHyphen/>
              <w:t>41</w:t>
            </w:r>
          </w:p>
        </w:tc>
        <w:tc>
          <w:tcPr>
            <w:tcW w:w="2693" w:type="dxa"/>
            <w:tcBorders>
              <w:top w:val="single" w:sz="8" w:space="0" w:color="auto"/>
            </w:tcBorders>
          </w:tcPr>
          <w:p>
            <w:pPr>
              <w:pStyle w:val="nTable"/>
              <w:spacing w:after="40"/>
              <w:rPr>
                <w:sz w:val="19"/>
              </w:rPr>
            </w:pPr>
            <w:r>
              <w:rPr>
                <w:sz w:val="19"/>
              </w:rPr>
              <w:t>1 Jan 1995 (see r. 2 and </w:t>
            </w:r>
            <w:r>
              <w:rPr>
                <w:i/>
                <w:sz w:val="19"/>
              </w:rPr>
              <w:t>Gazette</w:t>
            </w:r>
            <w:r>
              <w:rPr>
                <w:sz w:val="19"/>
              </w:rPr>
              <w:t xml:space="preserve"> 30 Dec 1992 p. 7211)</w:t>
            </w:r>
          </w:p>
        </w:tc>
      </w:tr>
      <w:tr>
        <w:trPr>
          <w:cantSplit/>
        </w:trPr>
        <w:tc>
          <w:tcPr>
            <w:tcW w:w="3118" w:type="dxa"/>
          </w:tcPr>
          <w:p>
            <w:pPr>
              <w:pStyle w:val="nTable"/>
              <w:spacing w:after="40"/>
              <w:ind w:right="170"/>
              <w:rPr>
                <w:sz w:val="19"/>
              </w:rPr>
            </w:pPr>
            <w:r>
              <w:rPr>
                <w:i/>
                <w:sz w:val="19"/>
              </w:rPr>
              <w:t>Fines, Penalties and Infringement Notices Enforcement Amendment Regulations 1995</w:t>
            </w:r>
          </w:p>
        </w:tc>
        <w:tc>
          <w:tcPr>
            <w:tcW w:w="1276" w:type="dxa"/>
          </w:tcPr>
          <w:p>
            <w:pPr>
              <w:pStyle w:val="nTable"/>
              <w:spacing w:after="40"/>
              <w:rPr>
                <w:sz w:val="19"/>
              </w:rPr>
            </w:pPr>
            <w:r>
              <w:rPr>
                <w:sz w:val="19"/>
              </w:rPr>
              <w:t>30 Jun 1995 p. 2636</w:t>
            </w:r>
            <w:r>
              <w:rPr>
                <w:sz w:val="19"/>
              </w:rPr>
              <w:noBreakHyphen/>
              <w:t>42</w:t>
            </w:r>
          </w:p>
        </w:tc>
        <w:tc>
          <w:tcPr>
            <w:tcW w:w="2693" w:type="dxa"/>
          </w:tcPr>
          <w:p>
            <w:pPr>
              <w:pStyle w:val="nTable"/>
              <w:spacing w:after="40"/>
              <w:rPr>
                <w:sz w:val="19"/>
              </w:rPr>
            </w:pPr>
            <w:r>
              <w:rPr>
                <w:sz w:val="19"/>
              </w:rPr>
              <w:t>30 Jun 1995</w:t>
            </w:r>
          </w:p>
        </w:tc>
      </w:tr>
      <w:tr>
        <w:trPr>
          <w:cantSplit/>
        </w:trPr>
        <w:tc>
          <w:tcPr>
            <w:tcW w:w="3118" w:type="dxa"/>
          </w:tcPr>
          <w:p>
            <w:pPr>
              <w:pStyle w:val="nTable"/>
              <w:spacing w:after="40"/>
              <w:ind w:right="170"/>
              <w:rPr>
                <w:sz w:val="19"/>
              </w:rPr>
            </w:pPr>
            <w:r>
              <w:rPr>
                <w:i/>
                <w:sz w:val="19"/>
              </w:rPr>
              <w:t>Fines, Penalties and Infringement Notices Enforcement Amendment Regulations (No. 2) 1995</w:t>
            </w:r>
          </w:p>
        </w:tc>
        <w:tc>
          <w:tcPr>
            <w:tcW w:w="1276" w:type="dxa"/>
          </w:tcPr>
          <w:p>
            <w:pPr>
              <w:pStyle w:val="nTable"/>
              <w:spacing w:after="40"/>
              <w:rPr>
                <w:sz w:val="19"/>
              </w:rPr>
            </w:pPr>
            <w:r>
              <w:rPr>
                <w:sz w:val="19"/>
              </w:rPr>
              <w:t>30 Jun 1995 p. 2643</w:t>
            </w:r>
          </w:p>
        </w:tc>
        <w:tc>
          <w:tcPr>
            <w:tcW w:w="2693" w:type="dxa"/>
          </w:tcPr>
          <w:p>
            <w:pPr>
              <w:pStyle w:val="nTable"/>
              <w:spacing w:after="40"/>
              <w:rPr>
                <w:sz w:val="19"/>
              </w:rPr>
            </w:pPr>
            <w:r>
              <w:rPr>
                <w:sz w:val="19"/>
              </w:rPr>
              <w:t xml:space="preserve">1 Oct 1995 (see r. 2 and </w:t>
            </w:r>
            <w:r>
              <w:rPr>
                <w:i/>
                <w:sz w:val="19"/>
              </w:rPr>
              <w:t>Gazette</w:t>
            </w:r>
            <w:r>
              <w:rPr>
                <w:sz w:val="19"/>
              </w:rPr>
              <w:t xml:space="preserve"> 29 Sep 1995 p. 4649)</w:t>
            </w:r>
          </w:p>
        </w:tc>
      </w:tr>
      <w:tr>
        <w:trPr>
          <w:cantSplit/>
        </w:trPr>
        <w:tc>
          <w:tcPr>
            <w:tcW w:w="3118" w:type="dxa"/>
          </w:tcPr>
          <w:p>
            <w:pPr>
              <w:pStyle w:val="nTable"/>
              <w:spacing w:after="40"/>
              <w:ind w:right="170"/>
              <w:rPr>
                <w:sz w:val="19"/>
              </w:rPr>
            </w:pPr>
            <w:r>
              <w:rPr>
                <w:i/>
                <w:sz w:val="19"/>
              </w:rPr>
              <w:t>Fines, Penalties and Infringement Notices Enforcement Amendment Regulations (No. 3) 1996</w:t>
            </w:r>
          </w:p>
        </w:tc>
        <w:tc>
          <w:tcPr>
            <w:tcW w:w="1276" w:type="dxa"/>
          </w:tcPr>
          <w:p>
            <w:pPr>
              <w:pStyle w:val="nTable"/>
              <w:spacing w:after="40"/>
              <w:rPr>
                <w:sz w:val="19"/>
              </w:rPr>
            </w:pPr>
            <w:r>
              <w:rPr>
                <w:sz w:val="19"/>
              </w:rPr>
              <w:t>25 Jun 1996 p. 2928</w:t>
            </w:r>
          </w:p>
        </w:tc>
        <w:tc>
          <w:tcPr>
            <w:tcW w:w="2693" w:type="dxa"/>
          </w:tcPr>
          <w:p>
            <w:pPr>
              <w:pStyle w:val="nTable"/>
              <w:spacing w:after="40"/>
              <w:rPr>
                <w:sz w:val="19"/>
              </w:rPr>
            </w:pPr>
            <w:r>
              <w:rPr>
                <w:sz w:val="19"/>
              </w:rPr>
              <w:t>1 Jul 1996 (see r. 2)</w:t>
            </w:r>
          </w:p>
        </w:tc>
      </w:tr>
      <w:tr>
        <w:trPr>
          <w:cantSplit/>
        </w:trPr>
        <w:tc>
          <w:tcPr>
            <w:tcW w:w="3118" w:type="dxa"/>
          </w:tcPr>
          <w:p>
            <w:pPr>
              <w:pStyle w:val="nTable"/>
              <w:spacing w:after="40"/>
              <w:ind w:right="170"/>
              <w:rPr>
                <w:sz w:val="19"/>
              </w:rPr>
            </w:pPr>
            <w:r>
              <w:rPr>
                <w:i/>
                <w:sz w:val="19"/>
              </w:rPr>
              <w:t>Fines, Penalties and Infringement Notices Enforcement Amendment Regulations (No. 2) 1996</w:t>
            </w:r>
          </w:p>
        </w:tc>
        <w:tc>
          <w:tcPr>
            <w:tcW w:w="1276" w:type="dxa"/>
          </w:tcPr>
          <w:p>
            <w:pPr>
              <w:pStyle w:val="nTable"/>
              <w:spacing w:after="40"/>
              <w:rPr>
                <w:sz w:val="19"/>
              </w:rPr>
            </w:pPr>
            <w:r>
              <w:rPr>
                <w:sz w:val="19"/>
              </w:rPr>
              <w:t>5 Jul 1996 p. 3226</w:t>
            </w:r>
            <w:r>
              <w:rPr>
                <w:sz w:val="19"/>
              </w:rPr>
              <w:noBreakHyphen/>
              <w:t>9</w:t>
            </w:r>
          </w:p>
        </w:tc>
        <w:tc>
          <w:tcPr>
            <w:tcW w:w="2693" w:type="dxa"/>
          </w:tcPr>
          <w:p>
            <w:pPr>
              <w:pStyle w:val="nTable"/>
              <w:spacing w:after="40"/>
              <w:rPr>
                <w:sz w:val="19"/>
              </w:rPr>
            </w:pPr>
            <w:r>
              <w:rPr>
                <w:sz w:val="19"/>
              </w:rPr>
              <w:t>5 Jul 1996</w:t>
            </w:r>
          </w:p>
        </w:tc>
      </w:tr>
      <w:tr>
        <w:trPr>
          <w:cantSplit/>
        </w:trPr>
        <w:tc>
          <w:tcPr>
            <w:tcW w:w="3118" w:type="dxa"/>
          </w:tcPr>
          <w:p>
            <w:pPr>
              <w:pStyle w:val="nTable"/>
              <w:spacing w:after="40"/>
              <w:ind w:right="170"/>
              <w:rPr>
                <w:sz w:val="19"/>
              </w:rPr>
            </w:pPr>
            <w:r>
              <w:rPr>
                <w:i/>
                <w:sz w:val="19"/>
              </w:rPr>
              <w:t>Fines, Penalties and Infringement Notices Enforcement Amendment Regulations 1996</w:t>
            </w:r>
          </w:p>
        </w:tc>
        <w:tc>
          <w:tcPr>
            <w:tcW w:w="1276" w:type="dxa"/>
          </w:tcPr>
          <w:p>
            <w:pPr>
              <w:pStyle w:val="nTable"/>
              <w:spacing w:after="40"/>
              <w:rPr>
                <w:sz w:val="19"/>
              </w:rPr>
            </w:pPr>
            <w:r>
              <w:rPr>
                <w:sz w:val="19"/>
              </w:rPr>
              <w:t>19 Jul 1996 p. 3457</w:t>
            </w:r>
            <w:r>
              <w:rPr>
                <w:sz w:val="19"/>
              </w:rPr>
              <w:noBreakHyphen/>
              <w:t>8</w:t>
            </w:r>
          </w:p>
        </w:tc>
        <w:tc>
          <w:tcPr>
            <w:tcW w:w="2693" w:type="dxa"/>
          </w:tcPr>
          <w:p>
            <w:pPr>
              <w:pStyle w:val="nTable"/>
              <w:spacing w:after="40"/>
              <w:rPr>
                <w:sz w:val="19"/>
              </w:rPr>
            </w:pPr>
            <w:r>
              <w:rPr>
                <w:sz w:val="19"/>
              </w:rPr>
              <w:t>19 Jul 1996</w:t>
            </w:r>
          </w:p>
        </w:tc>
      </w:tr>
      <w:tr>
        <w:trPr>
          <w:cantSplit/>
        </w:trPr>
        <w:tc>
          <w:tcPr>
            <w:tcW w:w="3118" w:type="dxa"/>
          </w:tcPr>
          <w:p>
            <w:pPr>
              <w:pStyle w:val="nTable"/>
              <w:spacing w:after="40"/>
              <w:ind w:right="170"/>
              <w:rPr>
                <w:sz w:val="19"/>
              </w:rPr>
            </w:pPr>
            <w:r>
              <w:rPr>
                <w:i/>
                <w:sz w:val="19"/>
              </w:rPr>
              <w:t>Fines, Penalties and Infringement Notices Enforcement Amendment Regulations (No. 4) 1996</w:t>
            </w:r>
          </w:p>
        </w:tc>
        <w:tc>
          <w:tcPr>
            <w:tcW w:w="1276" w:type="dxa"/>
          </w:tcPr>
          <w:p>
            <w:pPr>
              <w:pStyle w:val="nTable"/>
              <w:spacing w:after="40"/>
              <w:rPr>
                <w:sz w:val="19"/>
              </w:rPr>
            </w:pPr>
            <w:r>
              <w:rPr>
                <w:sz w:val="19"/>
              </w:rPr>
              <w:t>4 Oct 1996 p. 5233</w:t>
            </w:r>
          </w:p>
        </w:tc>
        <w:tc>
          <w:tcPr>
            <w:tcW w:w="2693" w:type="dxa"/>
          </w:tcPr>
          <w:p>
            <w:pPr>
              <w:pStyle w:val="nTable"/>
              <w:spacing w:after="40"/>
              <w:rPr>
                <w:sz w:val="19"/>
              </w:rPr>
            </w:pPr>
            <w:r>
              <w:rPr>
                <w:sz w:val="19"/>
              </w:rPr>
              <w:t xml:space="preserve">4 Nov 1996 (see r. 2 and </w:t>
            </w:r>
            <w:r>
              <w:rPr>
                <w:i/>
                <w:sz w:val="19"/>
              </w:rPr>
              <w:t>Gazette</w:t>
            </w:r>
            <w:r>
              <w:rPr>
                <w:sz w:val="19"/>
              </w:rPr>
              <w:t xml:space="preserve"> 25 Oct 1996 p. 5632)</w:t>
            </w:r>
          </w:p>
        </w:tc>
      </w:tr>
      <w:tr>
        <w:trPr>
          <w:cantSplit/>
        </w:trPr>
        <w:tc>
          <w:tcPr>
            <w:tcW w:w="3118" w:type="dxa"/>
          </w:tcPr>
          <w:p>
            <w:pPr>
              <w:pStyle w:val="nTable"/>
              <w:spacing w:after="40"/>
              <w:ind w:right="170"/>
              <w:rPr>
                <w:i/>
                <w:sz w:val="19"/>
              </w:rPr>
            </w:pPr>
            <w:r>
              <w:rPr>
                <w:i/>
                <w:sz w:val="19"/>
              </w:rPr>
              <w:t>Fines, Penalties and Infringement Notices Enforcement Amendment Regulations 1997</w:t>
            </w:r>
            <w:r>
              <w:rPr>
                <w:sz w:val="19"/>
                <w:vertAlign w:val="superscript"/>
              </w:rPr>
              <w:t> 6</w:t>
            </w:r>
          </w:p>
        </w:tc>
        <w:tc>
          <w:tcPr>
            <w:tcW w:w="1276" w:type="dxa"/>
          </w:tcPr>
          <w:p>
            <w:pPr>
              <w:pStyle w:val="nTable"/>
              <w:spacing w:after="40"/>
              <w:rPr>
                <w:sz w:val="19"/>
              </w:rPr>
            </w:pPr>
            <w:r>
              <w:rPr>
                <w:sz w:val="19"/>
              </w:rPr>
              <w:t>1 Aug 1997 p. 4394</w:t>
            </w:r>
          </w:p>
        </w:tc>
        <w:tc>
          <w:tcPr>
            <w:tcW w:w="2693" w:type="dxa"/>
          </w:tcPr>
          <w:p>
            <w:pPr>
              <w:pStyle w:val="nTable"/>
              <w:spacing w:after="40"/>
              <w:rPr>
                <w:sz w:val="19"/>
              </w:rPr>
            </w:pPr>
            <w:r>
              <w:rPr>
                <w:sz w:val="19"/>
              </w:rPr>
              <w:t>1 Aug 1997</w:t>
            </w:r>
          </w:p>
        </w:tc>
      </w:tr>
      <w:tr>
        <w:trPr>
          <w:cantSplit/>
        </w:trPr>
        <w:tc>
          <w:tcPr>
            <w:tcW w:w="3118" w:type="dxa"/>
          </w:tcPr>
          <w:p>
            <w:pPr>
              <w:pStyle w:val="nTable"/>
              <w:spacing w:after="40"/>
              <w:ind w:right="170"/>
              <w:rPr>
                <w:sz w:val="19"/>
              </w:rPr>
            </w:pPr>
            <w:r>
              <w:rPr>
                <w:i/>
                <w:sz w:val="19"/>
              </w:rPr>
              <w:t>Fines, Penalties and Infringement Notices Enforcement Amendment Regulations (No. 2) 1997</w:t>
            </w:r>
          </w:p>
        </w:tc>
        <w:tc>
          <w:tcPr>
            <w:tcW w:w="1276" w:type="dxa"/>
          </w:tcPr>
          <w:p>
            <w:pPr>
              <w:pStyle w:val="nTable"/>
              <w:spacing w:after="40"/>
              <w:rPr>
                <w:sz w:val="19"/>
              </w:rPr>
            </w:pPr>
            <w:r>
              <w:rPr>
                <w:sz w:val="19"/>
              </w:rPr>
              <w:t>23 Jan 1998 p. 408</w:t>
            </w:r>
          </w:p>
        </w:tc>
        <w:tc>
          <w:tcPr>
            <w:tcW w:w="2693" w:type="dxa"/>
          </w:tcPr>
          <w:p>
            <w:pPr>
              <w:pStyle w:val="nTable"/>
              <w:spacing w:after="40"/>
              <w:rPr>
                <w:sz w:val="19"/>
              </w:rPr>
            </w:pPr>
            <w:r>
              <w:rPr>
                <w:sz w:val="19"/>
              </w:rPr>
              <w:t>23 Jan 1998</w:t>
            </w:r>
          </w:p>
        </w:tc>
      </w:tr>
      <w:tr>
        <w:trPr>
          <w:cantSplit/>
        </w:trPr>
        <w:tc>
          <w:tcPr>
            <w:tcW w:w="3118" w:type="dxa"/>
          </w:tcPr>
          <w:p>
            <w:pPr>
              <w:pStyle w:val="nTable"/>
              <w:spacing w:after="40"/>
              <w:ind w:right="170"/>
              <w:rPr>
                <w:i/>
                <w:sz w:val="19"/>
              </w:rPr>
            </w:pPr>
            <w:r>
              <w:rPr>
                <w:i/>
                <w:sz w:val="19"/>
              </w:rPr>
              <w:t>Fines, Penalties and Infringement Notices Enforcement Amendment Regulations (No. 2) 1998</w:t>
            </w:r>
          </w:p>
        </w:tc>
        <w:tc>
          <w:tcPr>
            <w:tcW w:w="1276" w:type="dxa"/>
          </w:tcPr>
          <w:p>
            <w:pPr>
              <w:pStyle w:val="nTable"/>
              <w:spacing w:after="40"/>
              <w:rPr>
                <w:sz w:val="19"/>
              </w:rPr>
            </w:pPr>
            <w:r>
              <w:rPr>
                <w:sz w:val="19"/>
              </w:rPr>
              <w:t>28 Aug 1998 p. 4748</w:t>
            </w:r>
            <w:r>
              <w:rPr>
                <w:sz w:val="19"/>
              </w:rPr>
              <w:noBreakHyphen/>
              <w:t>9</w:t>
            </w:r>
          </w:p>
        </w:tc>
        <w:tc>
          <w:tcPr>
            <w:tcW w:w="2693" w:type="dxa"/>
          </w:tcPr>
          <w:p>
            <w:pPr>
              <w:pStyle w:val="nTable"/>
              <w:spacing w:after="40"/>
              <w:rPr>
                <w:sz w:val="19"/>
              </w:rPr>
            </w:pPr>
            <w:r>
              <w:rPr>
                <w:sz w:val="19"/>
              </w:rPr>
              <w:t>28 Aug 1998</w:t>
            </w:r>
          </w:p>
        </w:tc>
      </w:tr>
      <w:tr>
        <w:trPr>
          <w:cantSplit/>
        </w:trPr>
        <w:tc>
          <w:tcPr>
            <w:tcW w:w="3118" w:type="dxa"/>
          </w:tcPr>
          <w:p>
            <w:pPr>
              <w:pStyle w:val="nTable"/>
              <w:spacing w:after="40"/>
              <w:ind w:right="170"/>
              <w:rPr>
                <w:i/>
                <w:sz w:val="19"/>
              </w:rPr>
            </w:pPr>
            <w:r>
              <w:rPr>
                <w:i/>
                <w:sz w:val="19"/>
              </w:rPr>
              <w:t>Fines, Penalties and Infringement Notices Enforcement Amendment Regulations (No. 3) 1998</w:t>
            </w:r>
          </w:p>
        </w:tc>
        <w:tc>
          <w:tcPr>
            <w:tcW w:w="1276" w:type="dxa"/>
          </w:tcPr>
          <w:p>
            <w:pPr>
              <w:pStyle w:val="nTable"/>
              <w:spacing w:after="40"/>
              <w:rPr>
                <w:sz w:val="19"/>
              </w:rPr>
            </w:pPr>
            <w:r>
              <w:rPr>
                <w:sz w:val="19"/>
              </w:rPr>
              <w:t>8 Dec 1998 p. 6573</w:t>
            </w:r>
            <w:r>
              <w:rPr>
                <w:sz w:val="19"/>
              </w:rPr>
              <w:noBreakHyphen/>
              <w:t>4</w:t>
            </w:r>
          </w:p>
        </w:tc>
        <w:tc>
          <w:tcPr>
            <w:tcW w:w="2693" w:type="dxa"/>
          </w:tcPr>
          <w:p>
            <w:pPr>
              <w:pStyle w:val="nTable"/>
              <w:spacing w:after="40"/>
              <w:rPr>
                <w:sz w:val="19"/>
              </w:rPr>
            </w:pPr>
            <w:r>
              <w:rPr>
                <w:sz w:val="19"/>
              </w:rPr>
              <w:t>8 Dec 1998</w:t>
            </w:r>
          </w:p>
        </w:tc>
      </w:tr>
      <w:tr>
        <w:trPr>
          <w:cantSplit/>
        </w:trPr>
        <w:tc>
          <w:tcPr>
            <w:tcW w:w="3118" w:type="dxa"/>
          </w:tcPr>
          <w:p>
            <w:pPr>
              <w:pStyle w:val="nTable"/>
              <w:spacing w:after="40"/>
              <w:ind w:right="170"/>
              <w:rPr>
                <w:i/>
                <w:sz w:val="19"/>
              </w:rPr>
            </w:pPr>
            <w:r>
              <w:rPr>
                <w:i/>
                <w:sz w:val="19"/>
              </w:rPr>
              <w:t>Fines, Penalties and Infringement Notices Amendment Regulations 1999</w:t>
            </w:r>
          </w:p>
        </w:tc>
        <w:tc>
          <w:tcPr>
            <w:tcW w:w="1276" w:type="dxa"/>
          </w:tcPr>
          <w:p>
            <w:pPr>
              <w:pStyle w:val="nTable"/>
              <w:spacing w:after="40"/>
              <w:rPr>
                <w:sz w:val="19"/>
              </w:rPr>
            </w:pPr>
            <w:r>
              <w:rPr>
                <w:sz w:val="19"/>
              </w:rPr>
              <w:t>12 Mar 1999 p. 1162</w:t>
            </w:r>
            <w:r>
              <w:rPr>
                <w:sz w:val="19"/>
              </w:rPr>
              <w:noBreakHyphen/>
              <w:t>3</w:t>
            </w:r>
          </w:p>
        </w:tc>
        <w:tc>
          <w:tcPr>
            <w:tcW w:w="2693" w:type="dxa"/>
          </w:tcPr>
          <w:p>
            <w:pPr>
              <w:pStyle w:val="nTable"/>
              <w:spacing w:after="40"/>
              <w:rPr>
                <w:sz w:val="19"/>
              </w:rPr>
            </w:pPr>
            <w:r>
              <w:rPr>
                <w:sz w:val="19"/>
              </w:rPr>
              <w:t xml:space="preserve">12 Mar 1999 (see r. 2 and </w:t>
            </w:r>
            <w:r>
              <w:rPr>
                <w:i/>
                <w:sz w:val="19"/>
              </w:rPr>
              <w:t>Gazette</w:t>
            </w:r>
            <w:r>
              <w:rPr>
                <w:sz w:val="19"/>
              </w:rPr>
              <w:t xml:space="preserve"> 12 Mar 1999 p. 1162)</w:t>
            </w:r>
          </w:p>
        </w:tc>
      </w:tr>
      <w:tr>
        <w:trPr>
          <w:cantSplit/>
        </w:trPr>
        <w:tc>
          <w:tcPr>
            <w:tcW w:w="3118" w:type="dxa"/>
          </w:tcPr>
          <w:p>
            <w:pPr>
              <w:pStyle w:val="nTable"/>
              <w:spacing w:after="40"/>
              <w:ind w:right="170"/>
              <w:rPr>
                <w:i/>
                <w:sz w:val="19"/>
              </w:rPr>
            </w:pPr>
            <w:r>
              <w:rPr>
                <w:i/>
                <w:sz w:val="19"/>
              </w:rPr>
              <w:t>Fines, Penalties and Infringement Notices Enforcement Amendment Regulations (No. 2) 1999</w:t>
            </w:r>
          </w:p>
        </w:tc>
        <w:tc>
          <w:tcPr>
            <w:tcW w:w="1276" w:type="dxa"/>
          </w:tcPr>
          <w:p>
            <w:pPr>
              <w:pStyle w:val="nTable"/>
              <w:spacing w:after="40"/>
              <w:rPr>
                <w:sz w:val="19"/>
              </w:rPr>
            </w:pPr>
            <w:r>
              <w:rPr>
                <w:sz w:val="19"/>
              </w:rPr>
              <w:t>2 Jul 1999 p. 2919</w:t>
            </w:r>
          </w:p>
        </w:tc>
        <w:tc>
          <w:tcPr>
            <w:tcW w:w="2693" w:type="dxa"/>
          </w:tcPr>
          <w:p>
            <w:pPr>
              <w:pStyle w:val="nTable"/>
              <w:spacing w:after="40"/>
              <w:rPr>
                <w:sz w:val="19"/>
              </w:rPr>
            </w:pPr>
            <w:r>
              <w:rPr>
                <w:sz w:val="19"/>
              </w:rPr>
              <w:t>2 Jul 1999</w:t>
            </w:r>
          </w:p>
        </w:tc>
      </w:tr>
      <w:tr>
        <w:trPr>
          <w:cantSplit/>
        </w:trPr>
        <w:tc>
          <w:tcPr>
            <w:tcW w:w="7087" w:type="dxa"/>
            <w:gridSpan w:val="3"/>
          </w:tcPr>
          <w:p>
            <w:pPr>
              <w:pStyle w:val="nTable"/>
              <w:spacing w:after="40"/>
              <w:rPr>
                <w:sz w:val="19"/>
              </w:rPr>
            </w:pPr>
            <w:r>
              <w:rPr>
                <w:b/>
                <w:sz w:val="19"/>
              </w:rPr>
              <w:t xml:space="preserve">Reprint of the </w:t>
            </w:r>
            <w:r>
              <w:rPr>
                <w:b/>
                <w:i/>
                <w:sz w:val="19"/>
              </w:rPr>
              <w:t>Fines, Penalties and Infringement Notices Enforcement Regulations 1994</w:t>
            </w:r>
            <w:r>
              <w:rPr>
                <w:b/>
                <w:sz w:val="19"/>
              </w:rPr>
              <w:t xml:space="preserve"> as at 6 Aug 1999</w:t>
            </w:r>
            <w:r>
              <w:rPr>
                <w:sz w:val="19"/>
              </w:rPr>
              <w:t xml:space="preserve"> (includes amendments listed above)</w:t>
            </w:r>
          </w:p>
        </w:tc>
      </w:tr>
      <w:tr>
        <w:trPr>
          <w:cantSplit/>
        </w:trPr>
        <w:tc>
          <w:tcPr>
            <w:tcW w:w="3118" w:type="dxa"/>
          </w:tcPr>
          <w:p>
            <w:pPr>
              <w:pStyle w:val="nTable"/>
              <w:spacing w:after="40"/>
              <w:ind w:right="170"/>
              <w:rPr>
                <w:i/>
                <w:sz w:val="19"/>
              </w:rPr>
            </w:pPr>
            <w:r>
              <w:rPr>
                <w:i/>
                <w:sz w:val="19"/>
              </w:rPr>
              <w:t>Fines, Penalties and Infringement Notices Enforcement Amendment Regulations (No. 4) 1999</w:t>
            </w:r>
          </w:p>
        </w:tc>
        <w:tc>
          <w:tcPr>
            <w:tcW w:w="1276" w:type="dxa"/>
          </w:tcPr>
          <w:p>
            <w:pPr>
              <w:pStyle w:val="nTable"/>
              <w:spacing w:after="40"/>
              <w:rPr>
                <w:sz w:val="19"/>
              </w:rPr>
            </w:pPr>
            <w:r>
              <w:rPr>
                <w:sz w:val="19"/>
              </w:rPr>
              <w:t>31 Dec 1999 p. 7075</w:t>
            </w:r>
            <w:r>
              <w:rPr>
                <w:sz w:val="19"/>
              </w:rPr>
              <w:noBreakHyphen/>
              <w:t>6</w:t>
            </w:r>
          </w:p>
        </w:tc>
        <w:tc>
          <w:tcPr>
            <w:tcW w:w="2693" w:type="dxa"/>
          </w:tcPr>
          <w:p>
            <w:pPr>
              <w:pStyle w:val="nTable"/>
              <w:spacing w:after="40"/>
              <w:rPr>
                <w:sz w:val="19"/>
              </w:rPr>
            </w:pPr>
            <w:r>
              <w:rPr>
                <w:sz w:val="19"/>
              </w:rPr>
              <w:t>31 Dec 1999</w:t>
            </w:r>
          </w:p>
        </w:tc>
      </w:tr>
      <w:tr>
        <w:trPr>
          <w:cantSplit/>
        </w:trPr>
        <w:tc>
          <w:tcPr>
            <w:tcW w:w="3118" w:type="dxa"/>
          </w:tcPr>
          <w:p>
            <w:pPr>
              <w:pStyle w:val="nTable"/>
              <w:spacing w:after="40"/>
              <w:ind w:right="170"/>
              <w:rPr>
                <w:i/>
                <w:sz w:val="19"/>
              </w:rPr>
            </w:pPr>
            <w:r>
              <w:rPr>
                <w:i/>
                <w:sz w:val="19"/>
              </w:rPr>
              <w:t>Fines, Penalties and Infringement Notices Enforcement Amendment Regulations (No. 5) 1999</w:t>
            </w:r>
          </w:p>
        </w:tc>
        <w:tc>
          <w:tcPr>
            <w:tcW w:w="1276" w:type="dxa"/>
          </w:tcPr>
          <w:p>
            <w:pPr>
              <w:pStyle w:val="nTable"/>
              <w:spacing w:after="40"/>
              <w:rPr>
                <w:sz w:val="19"/>
              </w:rPr>
            </w:pPr>
            <w:r>
              <w:rPr>
                <w:sz w:val="19"/>
              </w:rPr>
              <w:t>31 Dec 1999 p. 7076</w:t>
            </w:r>
          </w:p>
        </w:tc>
        <w:tc>
          <w:tcPr>
            <w:tcW w:w="2693" w:type="dxa"/>
          </w:tcPr>
          <w:p>
            <w:pPr>
              <w:pStyle w:val="nTable"/>
              <w:spacing w:after="40"/>
              <w:rPr>
                <w:sz w:val="19"/>
              </w:rPr>
            </w:pPr>
            <w:r>
              <w:rPr>
                <w:sz w:val="19"/>
              </w:rPr>
              <w:t>31 Dec 1999</w:t>
            </w:r>
          </w:p>
        </w:tc>
      </w:tr>
      <w:tr>
        <w:trPr>
          <w:cantSplit/>
        </w:trPr>
        <w:tc>
          <w:tcPr>
            <w:tcW w:w="3118" w:type="dxa"/>
          </w:tcPr>
          <w:p>
            <w:pPr>
              <w:pStyle w:val="nTable"/>
              <w:spacing w:after="40"/>
              <w:ind w:right="170"/>
              <w:rPr>
                <w:i/>
                <w:sz w:val="19"/>
              </w:rPr>
            </w:pPr>
            <w:r>
              <w:rPr>
                <w:i/>
                <w:sz w:val="19"/>
              </w:rPr>
              <w:t>Fines, Penalties and Infringement Notices Enforcement Amendment Regulations 2000</w:t>
            </w:r>
          </w:p>
        </w:tc>
        <w:tc>
          <w:tcPr>
            <w:tcW w:w="1276" w:type="dxa"/>
          </w:tcPr>
          <w:p>
            <w:pPr>
              <w:pStyle w:val="nTable"/>
              <w:spacing w:after="40"/>
              <w:rPr>
                <w:sz w:val="19"/>
              </w:rPr>
            </w:pPr>
            <w:r>
              <w:rPr>
                <w:sz w:val="19"/>
              </w:rPr>
              <w:t>25 Aug 2000 p. 4907</w:t>
            </w:r>
            <w:r>
              <w:rPr>
                <w:sz w:val="19"/>
              </w:rPr>
              <w:noBreakHyphen/>
              <w:t>8</w:t>
            </w:r>
          </w:p>
        </w:tc>
        <w:tc>
          <w:tcPr>
            <w:tcW w:w="2693" w:type="dxa"/>
          </w:tcPr>
          <w:p>
            <w:pPr>
              <w:pStyle w:val="nTable"/>
              <w:spacing w:after="40"/>
              <w:rPr>
                <w:sz w:val="19"/>
              </w:rPr>
            </w:pPr>
            <w:r>
              <w:rPr>
                <w:sz w:val="19"/>
              </w:rPr>
              <w:t xml:space="preserve">25 Aug 2000 (see r. 2 and </w:t>
            </w:r>
            <w:r>
              <w:rPr>
                <w:i/>
                <w:sz w:val="19"/>
              </w:rPr>
              <w:t>Gazette</w:t>
            </w:r>
            <w:r>
              <w:rPr>
                <w:sz w:val="19"/>
              </w:rPr>
              <w:t xml:space="preserve"> 25 Aug 2000 p. 4903)</w:t>
            </w:r>
          </w:p>
        </w:tc>
      </w:tr>
      <w:tr>
        <w:trPr>
          <w:cantSplit/>
        </w:trPr>
        <w:tc>
          <w:tcPr>
            <w:tcW w:w="3118" w:type="dxa"/>
          </w:tcPr>
          <w:p>
            <w:pPr>
              <w:pStyle w:val="nTable"/>
              <w:spacing w:after="40"/>
              <w:ind w:right="170"/>
              <w:rPr>
                <w:i/>
                <w:sz w:val="19"/>
              </w:rPr>
            </w:pPr>
            <w:r>
              <w:rPr>
                <w:i/>
                <w:sz w:val="19"/>
              </w:rPr>
              <w:t>Fines, Penalties and Infringement Notices Enforcement Amendment Regulations 2001</w:t>
            </w:r>
          </w:p>
        </w:tc>
        <w:tc>
          <w:tcPr>
            <w:tcW w:w="1276" w:type="dxa"/>
          </w:tcPr>
          <w:p>
            <w:pPr>
              <w:pStyle w:val="nTable"/>
              <w:spacing w:after="40"/>
              <w:rPr>
                <w:sz w:val="19"/>
              </w:rPr>
            </w:pPr>
            <w:r>
              <w:rPr>
                <w:sz w:val="19"/>
              </w:rPr>
              <w:t>30 Jan 2001 p. 617</w:t>
            </w:r>
            <w:r>
              <w:rPr>
                <w:sz w:val="19"/>
              </w:rPr>
              <w:noBreakHyphen/>
              <w:t>18</w:t>
            </w:r>
          </w:p>
        </w:tc>
        <w:tc>
          <w:tcPr>
            <w:tcW w:w="2693" w:type="dxa"/>
          </w:tcPr>
          <w:p>
            <w:pPr>
              <w:pStyle w:val="nTable"/>
              <w:spacing w:after="40"/>
              <w:rPr>
                <w:i/>
                <w:sz w:val="19"/>
              </w:rPr>
            </w:pPr>
            <w:r>
              <w:rPr>
                <w:sz w:val="19"/>
              </w:rPr>
              <w:t xml:space="preserve">5 Feb 2001 (see r. 2 and </w:t>
            </w:r>
            <w:r>
              <w:rPr>
                <w:i/>
                <w:sz w:val="19"/>
              </w:rPr>
              <w:t xml:space="preserve">Gazette </w:t>
            </w:r>
            <w:r>
              <w:rPr>
                <w:sz w:val="19"/>
              </w:rPr>
              <w:t>30 Jan 2001 p. 615)</w:t>
            </w:r>
          </w:p>
        </w:tc>
      </w:tr>
      <w:tr>
        <w:trPr>
          <w:cantSplit/>
        </w:trPr>
        <w:tc>
          <w:tcPr>
            <w:tcW w:w="3118" w:type="dxa"/>
          </w:tcPr>
          <w:p>
            <w:pPr>
              <w:pStyle w:val="nTable"/>
              <w:spacing w:after="40"/>
              <w:ind w:right="170"/>
              <w:rPr>
                <w:i/>
                <w:sz w:val="19"/>
              </w:rPr>
            </w:pPr>
            <w:r>
              <w:rPr>
                <w:i/>
                <w:sz w:val="19"/>
              </w:rPr>
              <w:t>Fines, Penalties and Infringement Notices Enforcement Amendment Regulations 2002</w:t>
            </w:r>
          </w:p>
        </w:tc>
        <w:tc>
          <w:tcPr>
            <w:tcW w:w="1276" w:type="dxa"/>
          </w:tcPr>
          <w:p>
            <w:pPr>
              <w:pStyle w:val="nTable"/>
              <w:spacing w:after="40"/>
              <w:rPr>
                <w:sz w:val="19"/>
              </w:rPr>
            </w:pPr>
            <w:r>
              <w:rPr>
                <w:sz w:val="19"/>
              </w:rPr>
              <w:t>27 Aug 2002 p. 4353</w:t>
            </w:r>
            <w:r>
              <w:rPr>
                <w:sz w:val="19"/>
              </w:rPr>
              <w:noBreakHyphen/>
              <w:t>4</w:t>
            </w:r>
          </w:p>
        </w:tc>
        <w:tc>
          <w:tcPr>
            <w:tcW w:w="2693" w:type="dxa"/>
          </w:tcPr>
          <w:p>
            <w:pPr>
              <w:pStyle w:val="nTable"/>
              <w:spacing w:after="40"/>
              <w:rPr>
                <w:sz w:val="19"/>
              </w:rPr>
            </w:pPr>
            <w:r>
              <w:rPr>
                <w:sz w:val="19"/>
              </w:rPr>
              <w:t>27 Aug 2002</w:t>
            </w:r>
          </w:p>
        </w:tc>
      </w:tr>
      <w:tr>
        <w:trPr>
          <w:cantSplit/>
        </w:trPr>
        <w:tc>
          <w:tcPr>
            <w:tcW w:w="3118" w:type="dxa"/>
          </w:tcPr>
          <w:p>
            <w:pPr>
              <w:pStyle w:val="nTable"/>
              <w:spacing w:after="40"/>
              <w:ind w:right="170"/>
              <w:rPr>
                <w:i/>
                <w:sz w:val="19"/>
              </w:rPr>
            </w:pPr>
            <w:r>
              <w:rPr>
                <w:i/>
                <w:sz w:val="19"/>
              </w:rPr>
              <w:t>Fines, Penalties and Infringement Notices Enforcement Amendment Regulations 2003</w:t>
            </w:r>
          </w:p>
        </w:tc>
        <w:tc>
          <w:tcPr>
            <w:tcW w:w="1276" w:type="dxa"/>
          </w:tcPr>
          <w:p>
            <w:pPr>
              <w:pStyle w:val="nTable"/>
              <w:spacing w:after="40"/>
              <w:rPr>
                <w:sz w:val="19"/>
              </w:rPr>
            </w:pPr>
            <w:r>
              <w:rPr>
                <w:sz w:val="19"/>
              </w:rPr>
              <w:t>12 Dec 2003 p. 5036</w:t>
            </w:r>
            <w:r>
              <w:rPr>
                <w:sz w:val="19"/>
              </w:rPr>
              <w:noBreakHyphen/>
              <w:t>7</w:t>
            </w:r>
          </w:p>
        </w:tc>
        <w:tc>
          <w:tcPr>
            <w:tcW w:w="2693" w:type="dxa"/>
          </w:tcPr>
          <w:p>
            <w:pPr>
              <w:pStyle w:val="nTable"/>
              <w:spacing w:after="40"/>
              <w:rPr>
                <w:sz w:val="19"/>
              </w:rPr>
            </w:pPr>
            <w:r>
              <w:rPr>
                <w:sz w:val="19"/>
              </w:rPr>
              <w:t>12 Dec 2003</w:t>
            </w:r>
          </w:p>
        </w:tc>
      </w:tr>
      <w:tr>
        <w:trPr>
          <w:cantSplit/>
        </w:trPr>
        <w:tc>
          <w:tcPr>
            <w:tcW w:w="3118" w:type="dxa"/>
          </w:tcPr>
          <w:p>
            <w:pPr>
              <w:pStyle w:val="nTable"/>
              <w:spacing w:after="40"/>
              <w:ind w:right="170"/>
              <w:rPr>
                <w:i/>
                <w:sz w:val="19"/>
              </w:rPr>
            </w:pPr>
            <w:r>
              <w:rPr>
                <w:i/>
                <w:sz w:val="19"/>
              </w:rPr>
              <w:t>Fines, Penalties and Infringement Notices Enforcement Amendment Regulations (No. 2) 2003</w:t>
            </w:r>
          </w:p>
        </w:tc>
        <w:tc>
          <w:tcPr>
            <w:tcW w:w="1276" w:type="dxa"/>
          </w:tcPr>
          <w:p>
            <w:pPr>
              <w:pStyle w:val="nTable"/>
              <w:spacing w:after="40"/>
              <w:rPr>
                <w:sz w:val="19"/>
              </w:rPr>
            </w:pPr>
            <w:r>
              <w:rPr>
                <w:sz w:val="19"/>
              </w:rPr>
              <w:t>30 Dec 2003 p. 5715</w:t>
            </w:r>
            <w:r>
              <w:rPr>
                <w:sz w:val="19"/>
              </w:rPr>
              <w:noBreakHyphen/>
              <w:t>16</w:t>
            </w:r>
          </w:p>
        </w:tc>
        <w:tc>
          <w:tcPr>
            <w:tcW w:w="2693" w:type="dxa"/>
          </w:tcPr>
          <w:p>
            <w:pPr>
              <w:pStyle w:val="nTable"/>
              <w:spacing w:after="40"/>
              <w:rPr>
                <w:sz w:val="19"/>
              </w:rPr>
            </w:pPr>
            <w:r>
              <w:rPr>
                <w:sz w:val="19"/>
              </w:rPr>
              <w:t>1 Jan 2004 (see r. 2)</w:t>
            </w:r>
          </w:p>
        </w:tc>
      </w:tr>
      <w:tr>
        <w:trPr>
          <w:cantSplit/>
        </w:trPr>
        <w:tc>
          <w:tcPr>
            <w:tcW w:w="3118" w:type="dxa"/>
          </w:tcPr>
          <w:p>
            <w:pPr>
              <w:pStyle w:val="nTable"/>
              <w:spacing w:after="40"/>
              <w:ind w:right="170"/>
              <w:rPr>
                <w:i/>
                <w:sz w:val="19"/>
              </w:rPr>
            </w:pPr>
            <w:r>
              <w:rPr>
                <w:i/>
                <w:sz w:val="19"/>
              </w:rPr>
              <w:t>Fines, Penalties and Infringement Notices Enforcement Amendment Regulations 2004</w:t>
            </w:r>
          </w:p>
        </w:tc>
        <w:tc>
          <w:tcPr>
            <w:tcW w:w="1276" w:type="dxa"/>
          </w:tcPr>
          <w:p>
            <w:pPr>
              <w:pStyle w:val="nTable"/>
              <w:spacing w:after="40"/>
              <w:rPr>
                <w:sz w:val="19"/>
              </w:rPr>
            </w:pPr>
            <w:r>
              <w:rPr>
                <w:sz w:val="19"/>
              </w:rPr>
              <w:t>4 Jun 2004 p. 1933</w:t>
            </w:r>
          </w:p>
        </w:tc>
        <w:tc>
          <w:tcPr>
            <w:tcW w:w="2693" w:type="dxa"/>
          </w:tcPr>
          <w:p>
            <w:pPr>
              <w:pStyle w:val="nTable"/>
              <w:spacing w:after="40"/>
              <w:rPr>
                <w:sz w:val="19"/>
              </w:rPr>
            </w:pPr>
            <w:r>
              <w:rPr>
                <w:sz w:val="19"/>
              </w:rPr>
              <w:t>4 Jun 2004</w:t>
            </w:r>
          </w:p>
        </w:tc>
      </w:tr>
      <w:tr>
        <w:trPr>
          <w:cantSplit/>
        </w:trPr>
        <w:tc>
          <w:tcPr>
            <w:tcW w:w="7087" w:type="dxa"/>
            <w:gridSpan w:val="3"/>
          </w:tcPr>
          <w:p>
            <w:pPr>
              <w:pStyle w:val="nTable"/>
              <w:spacing w:after="40"/>
              <w:rPr>
                <w:sz w:val="19"/>
              </w:rPr>
            </w:pPr>
            <w:r>
              <w:rPr>
                <w:b/>
                <w:sz w:val="19"/>
              </w:rPr>
              <w:t xml:space="preserve">Reprint 2: The </w:t>
            </w:r>
            <w:r>
              <w:rPr>
                <w:b/>
                <w:i/>
                <w:sz w:val="19"/>
              </w:rPr>
              <w:t>Fines, Penalties and Infringement Notices Enforcement Regulations 1994</w:t>
            </w:r>
            <w:r>
              <w:rPr>
                <w:b/>
                <w:sz w:val="19"/>
              </w:rPr>
              <w:t xml:space="preserve"> as at 9 Jul 2004</w:t>
            </w:r>
            <w:r>
              <w:rPr>
                <w:sz w:val="19"/>
              </w:rPr>
              <w:t xml:space="preserve"> (includes amendments listed above)</w:t>
            </w:r>
          </w:p>
        </w:tc>
      </w:tr>
      <w:tr>
        <w:trPr>
          <w:cantSplit/>
        </w:trPr>
        <w:tc>
          <w:tcPr>
            <w:tcW w:w="3118" w:type="dxa"/>
          </w:tcPr>
          <w:p>
            <w:pPr>
              <w:pStyle w:val="nTable"/>
              <w:spacing w:after="40"/>
              <w:ind w:right="170"/>
              <w:rPr>
                <w:i/>
                <w:sz w:val="19"/>
              </w:rPr>
            </w:pPr>
            <w:r>
              <w:rPr>
                <w:i/>
                <w:sz w:val="19"/>
              </w:rPr>
              <w:t>Fines, Penalties and Infringement Notices Enforcement Amendment Regulations 2005</w:t>
            </w:r>
          </w:p>
        </w:tc>
        <w:tc>
          <w:tcPr>
            <w:tcW w:w="1276" w:type="dxa"/>
          </w:tcPr>
          <w:p>
            <w:pPr>
              <w:pStyle w:val="nTable"/>
              <w:spacing w:after="40"/>
              <w:rPr>
                <w:sz w:val="19"/>
              </w:rPr>
            </w:pPr>
            <w:r>
              <w:rPr>
                <w:sz w:val="19"/>
              </w:rPr>
              <w:t>13 May 2005 p. 2079</w:t>
            </w:r>
            <w:r>
              <w:rPr>
                <w:sz w:val="19"/>
              </w:rPr>
              <w:noBreakHyphen/>
              <w:t xml:space="preserve">82 </w:t>
            </w:r>
            <w:r>
              <w:rPr>
                <w:sz w:val="19"/>
              </w:rPr>
              <w:br/>
              <w:t>(as amended 30 Dec 2005 p. 6875</w:t>
            </w:r>
            <w:r>
              <w:rPr>
                <w:sz w:val="19"/>
              </w:rPr>
              <w:noBreakHyphen/>
              <w:t>6)</w:t>
            </w:r>
          </w:p>
        </w:tc>
        <w:tc>
          <w:tcPr>
            <w:tcW w:w="2693" w:type="dxa"/>
          </w:tcPr>
          <w:p>
            <w:pPr>
              <w:pStyle w:val="nTable"/>
              <w:spacing w:after="40"/>
              <w:rPr>
                <w:sz w:val="19"/>
              </w:rPr>
            </w:pPr>
            <w:r>
              <w:rPr>
                <w:sz w:val="19"/>
              </w:rPr>
              <w:t>13 May 2005</w:t>
            </w:r>
          </w:p>
        </w:tc>
      </w:tr>
      <w:tr>
        <w:trPr>
          <w:cantSplit/>
        </w:trPr>
        <w:tc>
          <w:tcPr>
            <w:tcW w:w="3118" w:type="dxa"/>
          </w:tcPr>
          <w:p>
            <w:pPr>
              <w:pStyle w:val="nTable"/>
              <w:spacing w:after="40"/>
              <w:ind w:right="170"/>
              <w:rPr>
                <w:i/>
                <w:sz w:val="19"/>
              </w:rPr>
            </w:pPr>
            <w:r>
              <w:rPr>
                <w:i/>
                <w:sz w:val="19"/>
              </w:rPr>
              <w:t>Fines, Penalties and Infringement Notices Enforcement Amendment Regulations (No. 2) 2005</w:t>
            </w:r>
          </w:p>
        </w:tc>
        <w:tc>
          <w:tcPr>
            <w:tcW w:w="1276" w:type="dxa"/>
          </w:tcPr>
          <w:p>
            <w:pPr>
              <w:pStyle w:val="nTable"/>
              <w:spacing w:after="40"/>
              <w:rPr>
                <w:sz w:val="19"/>
              </w:rPr>
            </w:pPr>
            <w:r>
              <w:rPr>
                <w:sz w:val="19"/>
              </w:rPr>
              <w:t>9 Sep 2005 p. 4155</w:t>
            </w:r>
            <w:r>
              <w:rPr>
                <w:sz w:val="19"/>
              </w:rPr>
              <w:noBreakHyphen/>
              <w:t>6</w:t>
            </w:r>
          </w:p>
        </w:tc>
        <w:tc>
          <w:tcPr>
            <w:tcW w:w="2693" w:type="dxa"/>
          </w:tcPr>
          <w:p>
            <w:pPr>
              <w:pStyle w:val="nTable"/>
              <w:spacing w:after="40"/>
              <w:rPr>
                <w:sz w:val="19"/>
              </w:rPr>
            </w:pPr>
            <w:r>
              <w:rPr>
                <w:sz w:val="19"/>
              </w:rPr>
              <w:t>9 Sep 2005</w:t>
            </w:r>
          </w:p>
        </w:tc>
      </w:tr>
      <w:tr>
        <w:trPr>
          <w:cantSplit/>
        </w:trPr>
        <w:tc>
          <w:tcPr>
            <w:tcW w:w="3118" w:type="dxa"/>
          </w:tcPr>
          <w:p>
            <w:pPr>
              <w:pStyle w:val="nTable"/>
              <w:spacing w:after="40"/>
              <w:ind w:right="170"/>
              <w:rPr>
                <w:i/>
                <w:sz w:val="19"/>
              </w:rPr>
            </w:pPr>
            <w:r>
              <w:rPr>
                <w:i/>
                <w:sz w:val="19"/>
              </w:rPr>
              <w:t>Fines, Penalties and Infringement Notices Enforcement Amendment Regulations (No. 4) 2005</w:t>
            </w:r>
          </w:p>
        </w:tc>
        <w:tc>
          <w:tcPr>
            <w:tcW w:w="1276" w:type="dxa"/>
          </w:tcPr>
          <w:p>
            <w:pPr>
              <w:pStyle w:val="nTable"/>
              <w:spacing w:after="40"/>
              <w:rPr>
                <w:sz w:val="19"/>
              </w:rPr>
            </w:pPr>
            <w:r>
              <w:rPr>
                <w:sz w:val="19"/>
              </w:rPr>
              <w:t>30 Dec 2005 p. 6876</w:t>
            </w:r>
            <w:r>
              <w:rPr>
                <w:sz w:val="19"/>
              </w:rPr>
              <w:noBreakHyphen/>
              <w:t>7</w:t>
            </w:r>
          </w:p>
        </w:tc>
        <w:tc>
          <w:tcPr>
            <w:tcW w:w="2693" w:type="dxa"/>
          </w:tcPr>
          <w:p>
            <w:pPr>
              <w:pStyle w:val="nTable"/>
              <w:spacing w:after="40"/>
              <w:rPr>
                <w:sz w:val="19"/>
              </w:rPr>
            </w:pPr>
            <w:r>
              <w:rPr>
                <w:sz w:val="19"/>
              </w:rPr>
              <w:t>30 Dec 2005</w:t>
            </w:r>
          </w:p>
        </w:tc>
      </w:tr>
      <w:tr>
        <w:trPr>
          <w:cantSplit/>
        </w:trPr>
        <w:tc>
          <w:tcPr>
            <w:tcW w:w="3118" w:type="dxa"/>
          </w:tcPr>
          <w:p>
            <w:pPr>
              <w:pStyle w:val="nTable"/>
              <w:spacing w:after="40"/>
              <w:ind w:right="170"/>
              <w:rPr>
                <w:i/>
                <w:sz w:val="19"/>
              </w:rPr>
            </w:pPr>
            <w:r>
              <w:rPr>
                <w:i/>
                <w:sz w:val="19"/>
              </w:rPr>
              <w:t>Fines, Penalties and Infringement Notices Enforcement Amendment Regulations (No. 2) 2006</w:t>
            </w:r>
          </w:p>
        </w:tc>
        <w:tc>
          <w:tcPr>
            <w:tcW w:w="1276" w:type="dxa"/>
          </w:tcPr>
          <w:p>
            <w:pPr>
              <w:pStyle w:val="nTable"/>
              <w:spacing w:after="40"/>
              <w:rPr>
                <w:sz w:val="19"/>
              </w:rPr>
            </w:pPr>
            <w:r>
              <w:rPr>
                <w:sz w:val="19"/>
              </w:rPr>
              <w:t>23 Jun 2006 p. 2191</w:t>
            </w:r>
            <w:r>
              <w:rPr>
                <w:sz w:val="19"/>
              </w:rPr>
              <w:noBreakHyphen/>
              <w:t>2</w:t>
            </w:r>
          </w:p>
        </w:tc>
        <w:tc>
          <w:tcPr>
            <w:tcW w:w="2693" w:type="dxa"/>
          </w:tcPr>
          <w:p>
            <w:pPr>
              <w:pStyle w:val="nTable"/>
              <w:spacing w:after="40"/>
              <w:rPr>
                <w:sz w:val="19"/>
              </w:rPr>
            </w:pPr>
            <w:r>
              <w:rPr>
                <w:sz w:val="19"/>
              </w:rPr>
              <w:t>1 Jul 2006 (see r. 2)</w:t>
            </w:r>
          </w:p>
        </w:tc>
      </w:tr>
      <w:tr>
        <w:trPr>
          <w:cantSplit/>
        </w:trPr>
        <w:tc>
          <w:tcPr>
            <w:tcW w:w="3118" w:type="dxa"/>
          </w:tcPr>
          <w:p>
            <w:pPr>
              <w:pStyle w:val="nTable"/>
              <w:spacing w:after="40"/>
              <w:ind w:right="170"/>
              <w:rPr>
                <w:i/>
                <w:sz w:val="19"/>
              </w:rPr>
            </w:pPr>
            <w:r>
              <w:rPr>
                <w:i/>
                <w:sz w:val="19"/>
              </w:rPr>
              <w:t>Fines, Penalties and Infringement Notices Enforcement Amendment Regulations 2006</w:t>
            </w:r>
          </w:p>
        </w:tc>
        <w:tc>
          <w:tcPr>
            <w:tcW w:w="1276" w:type="dxa"/>
          </w:tcPr>
          <w:p>
            <w:pPr>
              <w:pStyle w:val="nTable"/>
              <w:spacing w:after="40"/>
              <w:rPr>
                <w:sz w:val="19"/>
              </w:rPr>
            </w:pPr>
            <w:r>
              <w:rPr>
                <w:sz w:val="19"/>
              </w:rPr>
              <w:t>14 Jul 2006 p. 2563</w:t>
            </w:r>
            <w:r>
              <w:rPr>
                <w:sz w:val="19"/>
              </w:rPr>
              <w:noBreakHyphen/>
              <w:t>4</w:t>
            </w:r>
          </w:p>
        </w:tc>
        <w:tc>
          <w:tcPr>
            <w:tcW w:w="2693" w:type="dxa"/>
          </w:tcPr>
          <w:p>
            <w:pPr>
              <w:pStyle w:val="nTable"/>
              <w:spacing w:after="40"/>
              <w:rPr>
                <w:sz w:val="19"/>
              </w:rPr>
            </w:pPr>
            <w:r>
              <w:rPr>
                <w:sz w:val="19"/>
              </w:rPr>
              <w:t xml:space="preserve">14 Jul 2006 (see r. 2 and </w:t>
            </w:r>
            <w:r>
              <w:rPr>
                <w:i/>
                <w:sz w:val="19"/>
              </w:rPr>
              <w:t>Gazette</w:t>
            </w:r>
            <w:r>
              <w:rPr>
                <w:sz w:val="19"/>
              </w:rPr>
              <w:t xml:space="preserve"> 14 Jul 2006 p. 2575)</w:t>
            </w:r>
          </w:p>
        </w:tc>
      </w:tr>
      <w:tr>
        <w:trPr>
          <w:cantSplit/>
        </w:trPr>
        <w:tc>
          <w:tcPr>
            <w:tcW w:w="7087" w:type="dxa"/>
            <w:gridSpan w:val="3"/>
          </w:tcPr>
          <w:p>
            <w:pPr>
              <w:pStyle w:val="nTable"/>
              <w:spacing w:after="40"/>
              <w:rPr>
                <w:sz w:val="19"/>
              </w:rPr>
            </w:pPr>
            <w:r>
              <w:rPr>
                <w:b/>
                <w:sz w:val="19"/>
              </w:rPr>
              <w:t xml:space="preserve">Reprint 3: The </w:t>
            </w:r>
            <w:r>
              <w:rPr>
                <w:b/>
                <w:i/>
                <w:sz w:val="19"/>
              </w:rPr>
              <w:t>Fines, Penalties and Infringement Notices Enforcement Regulations 1994</w:t>
            </w:r>
            <w:r>
              <w:rPr>
                <w:b/>
                <w:sz w:val="19"/>
              </w:rPr>
              <w:t xml:space="preserve"> as at 8 Sep 2006</w:t>
            </w:r>
            <w:r>
              <w:rPr>
                <w:sz w:val="19"/>
              </w:rPr>
              <w:t xml:space="preserve"> (includes amendments listed above)</w:t>
            </w:r>
          </w:p>
        </w:tc>
      </w:tr>
      <w:tr>
        <w:trPr>
          <w:cantSplit/>
        </w:trPr>
        <w:tc>
          <w:tcPr>
            <w:tcW w:w="3118" w:type="dxa"/>
          </w:tcPr>
          <w:p>
            <w:pPr>
              <w:pStyle w:val="nTable"/>
              <w:spacing w:after="40"/>
              <w:ind w:right="170"/>
              <w:rPr>
                <w:i/>
                <w:sz w:val="19"/>
              </w:rPr>
            </w:pPr>
            <w:r>
              <w:rPr>
                <w:i/>
                <w:sz w:val="19"/>
              </w:rPr>
              <w:t>Fines, Penalties and Infringement Notices Enforcement Amendment Regulations 2007</w:t>
            </w:r>
          </w:p>
        </w:tc>
        <w:tc>
          <w:tcPr>
            <w:tcW w:w="1276" w:type="dxa"/>
          </w:tcPr>
          <w:p>
            <w:pPr>
              <w:pStyle w:val="nTable"/>
              <w:spacing w:after="40"/>
              <w:rPr>
                <w:sz w:val="19"/>
              </w:rPr>
            </w:pPr>
            <w:r>
              <w:rPr>
                <w:sz w:val="19"/>
              </w:rPr>
              <w:t>18 May 2007 p. 2257</w:t>
            </w:r>
          </w:p>
        </w:tc>
        <w:tc>
          <w:tcPr>
            <w:tcW w:w="2693" w:type="dxa"/>
          </w:tcPr>
          <w:p>
            <w:pPr>
              <w:pStyle w:val="nTable"/>
              <w:spacing w:after="40"/>
              <w:rPr>
                <w:sz w:val="19"/>
              </w:rPr>
            </w:pPr>
            <w:r>
              <w:rPr>
                <w:sz w:val="19"/>
              </w:rPr>
              <w:t>r. 1 and 2: 18 May 2007 (see r. 2(a));</w:t>
            </w:r>
            <w:r>
              <w:rPr>
                <w:sz w:val="19"/>
              </w:rPr>
              <w:br/>
              <w:t>Regulations other than r. 1 and 2: 19 May 2007 (see r. 2(b))</w:t>
            </w:r>
          </w:p>
        </w:tc>
      </w:tr>
      <w:tr>
        <w:trPr>
          <w:cantSplit/>
        </w:trPr>
        <w:tc>
          <w:tcPr>
            <w:tcW w:w="3118" w:type="dxa"/>
          </w:tcPr>
          <w:p>
            <w:pPr>
              <w:pStyle w:val="nTable"/>
              <w:spacing w:after="40"/>
              <w:ind w:right="170"/>
              <w:rPr>
                <w:i/>
                <w:sz w:val="19"/>
              </w:rPr>
            </w:pPr>
            <w:r>
              <w:rPr>
                <w:i/>
                <w:sz w:val="19"/>
              </w:rPr>
              <w:t>Fines, Penalties and Infringement Notices Enforcement Amendment Regulations (No. 2) 2007</w:t>
            </w:r>
          </w:p>
        </w:tc>
        <w:tc>
          <w:tcPr>
            <w:tcW w:w="1276" w:type="dxa"/>
          </w:tcPr>
          <w:p>
            <w:pPr>
              <w:pStyle w:val="nTable"/>
              <w:spacing w:after="40"/>
              <w:rPr>
                <w:sz w:val="19"/>
              </w:rPr>
            </w:pPr>
            <w:r>
              <w:rPr>
                <w:sz w:val="19"/>
              </w:rPr>
              <w:t>26 Jun 2007 p. 3031</w:t>
            </w:r>
            <w:r>
              <w:rPr>
                <w:sz w:val="19"/>
              </w:rPr>
              <w:noBreakHyphen/>
              <w:t>2</w:t>
            </w:r>
          </w:p>
        </w:tc>
        <w:tc>
          <w:tcPr>
            <w:tcW w:w="2693" w:type="dxa"/>
          </w:tcPr>
          <w:p>
            <w:pPr>
              <w:pStyle w:val="nTable"/>
              <w:spacing w:after="40"/>
              <w:rPr>
                <w:sz w:val="19"/>
              </w:rPr>
            </w:pPr>
            <w:r>
              <w:rPr>
                <w:sz w:val="19"/>
              </w:rPr>
              <w:t>r. 1 and 2: 26 Jun 2007 (see r. 2(a));</w:t>
            </w:r>
            <w:r>
              <w:rPr>
                <w:sz w:val="19"/>
              </w:rPr>
              <w:br/>
              <w:t>Regulations other than r. 1 and 2: 1 Jul 2007 (see r. 2(b))</w:t>
            </w:r>
          </w:p>
        </w:tc>
      </w:tr>
      <w:tr>
        <w:trPr>
          <w:cantSplit/>
        </w:trPr>
        <w:tc>
          <w:tcPr>
            <w:tcW w:w="3118" w:type="dxa"/>
          </w:tcPr>
          <w:p>
            <w:pPr>
              <w:pStyle w:val="nTable"/>
              <w:spacing w:after="40"/>
              <w:ind w:right="170"/>
              <w:rPr>
                <w:i/>
                <w:sz w:val="19"/>
              </w:rPr>
            </w:pPr>
            <w:r>
              <w:rPr>
                <w:i/>
                <w:sz w:val="19"/>
              </w:rPr>
              <w:t>Fines, Penalties and Infringement Notices Enforcement Amendment Regulations (No. 2) 2008</w:t>
            </w:r>
          </w:p>
        </w:tc>
        <w:tc>
          <w:tcPr>
            <w:tcW w:w="1276" w:type="dxa"/>
          </w:tcPr>
          <w:p>
            <w:pPr>
              <w:pStyle w:val="nTable"/>
              <w:spacing w:after="40"/>
              <w:rPr>
                <w:sz w:val="19"/>
              </w:rPr>
            </w:pPr>
            <w:r>
              <w:rPr>
                <w:sz w:val="19"/>
              </w:rPr>
              <w:t>11 Mar 2008 p. 818</w:t>
            </w:r>
            <w:r>
              <w:rPr>
                <w:sz w:val="19"/>
              </w:rPr>
              <w:noBreakHyphen/>
              <w:t>19</w:t>
            </w:r>
          </w:p>
        </w:tc>
        <w:tc>
          <w:tcPr>
            <w:tcW w:w="2693" w:type="dxa"/>
          </w:tcPr>
          <w:p>
            <w:pPr>
              <w:pStyle w:val="nTable"/>
              <w:spacing w:after="40"/>
              <w:rPr>
                <w:sz w:val="19"/>
              </w:rPr>
            </w:pPr>
            <w:r>
              <w:rPr>
                <w:snapToGrid w:val="0"/>
                <w:sz w:val="19"/>
              </w:rPr>
              <w:t>r. 1 and 2: 11 Mar 2008 (see r. 2(a));</w:t>
            </w:r>
            <w:r>
              <w:rPr>
                <w:snapToGrid w:val="0"/>
                <w:sz w:val="19"/>
              </w:rPr>
              <w:br/>
              <w:t>Regulations other than r. 1 and 2: 12 Mar 2008 (see r. 2(b))</w:t>
            </w:r>
          </w:p>
        </w:tc>
      </w:tr>
      <w:tr>
        <w:trPr>
          <w:cantSplit/>
        </w:trPr>
        <w:tc>
          <w:tcPr>
            <w:tcW w:w="3118" w:type="dxa"/>
          </w:tcPr>
          <w:p>
            <w:pPr>
              <w:pStyle w:val="nTable"/>
              <w:spacing w:after="40"/>
              <w:ind w:right="170"/>
              <w:rPr>
                <w:i/>
                <w:sz w:val="19"/>
              </w:rPr>
            </w:pPr>
            <w:r>
              <w:rPr>
                <w:i/>
                <w:sz w:val="19"/>
              </w:rPr>
              <w:t>Fines, Penalties and Infringement Notices Enforcement Amendment Regulations (No. 3) 2008</w:t>
            </w:r>
          </w:p>
        </w:tc>
        <w:tc>
          <w:tcPr>
            <w:tcW w:w="1276" w:type="dxa"/>
          </w:tcPr>
          <w:p>
            <w:pPr>
              <w:pStyle w:val="nTable"/>
              <w:spacing w:after="40"/>
              <w:rPr>
                <w:sz w:val="19"/>
              </w:rPr>
            </w:pPr>
            <w:r>
              <w:rPr>
                <w:sz w:val="19"/>
              </w:rPr>
              <w:t>27 Mar 2008 p. 903</w:t>
            </w:r>
            <w:r>
              <w:rPr>
                <w:sz w:val="19"/>
              </w:rPr>
              <w:noBreakHyphen/>
              <w:t>4</w:t>
            </w:r>
          </w:p>
        </w:tc>
        <w:tc>
          <w:tcPr>
            <w:tcW w:w="2693" w:type="dxa"/>
          </w:tcPr>
          <w:p>
            <w:pPr>
              <w:pStyle w:val="nTable"/>
              <w:spacing w:after="40"/>
              <w:rPr>
                <w:snapToGrid w:val="0"/>
                <w:sz w:val="19"/>
              </w:rPr>
            </w:pPr>
            <w:r>
              <w:rPr>
                <w:snapToGrid w:val="0"/>
                <w:sz w:val="19"/>
              </w:rPr>
              <w:t>r. 1 and 2: 27 Mar 2008 (see r. 2(a));</w:t>
            </w:r>
            <w:r>
              <w:rPr>
                <w:snapToGrid w:val="0"/>
                <w:sz w:val="19"/>
              </w:rPr>
              <w:br/>
              <w:t xml:space="preserve">Regulations other than r. 1 and 2: 28 Mar 2008 (see r. 2(b) and </w:t>
            </w:r>
            <w:r>
              <w:rPr>
                <w:i/>
                <w:iCs/>
                <w:snapToGrid w:val="0"/>
                <w:sz w:val="19"/>
              </w:rPr>
              <w:t>Gazette</w:t>
            </w:r>
            <w:r>
              <w:rPr>
                <w:snapToGrid w:val="0"/>
                <w:sz w:val="19"/>
              </w:rPr>
              <w:t xml:space="preserve"> 27 Mar 2008 p. 899)</w:t>
            </w:r>
          </w:p>
        </w:tc>
      </w:tr>
      <w:tr>
        <w:trPr>
          <w:cantSplit/>
        </w:trPr>
        <w:tc>
          <w:tcPr>
            <w:tcW w:w="3118" w:type="dxa"/>
          </w:tcPr>
          <w:p>
            <w:pPr>
              <w:pStyle w:val="nTable"/>
              <w:spacing w:after="40"/>
              <w:ind w:right="170"/>
              <w:rPr>
                <w:i/>
                <w:sz w:val="19"/>
              </w:rPr>
            </w:pPr>
            <w:r>
              <w:rPr>
                <w:i/>
                <w:sz w:val="19"/>
              </w:rPr>
              <w:t>Fines, Penalties and Infringement Notices Enforcement Amendment Regulations (No. 5) 2008</w:t>
            </w:r>
          </w:p>
        </w:tc>
        <w:tc>
          <w:tcPr>
            <w:tcW w:w="1276" w:type="dxa"/>
          </w:tcPr>
          <w:p>
            <w:pPr>
              <w:pStyle w:val="nTable"/>
              <w:spacing w:after="40"/>
              <w:rPr>
                <w:sz w:val="19"/>
              </w:rPr>
            </w:pPr>
            <w:r>
              <w:rPr>
                <w:sz w:val="19"/>
              </w:rPr>
              <w:t>4 Jul 2008 p. 3171</w:t>
            </w:r>
          </w:p>
        </w:tc>
        <w:tc>
          <w:tcPr>
            <w:tcW w:w="2693" w:type="dxa"/>
          </w:tcPr>
          <w:p>
            <w:pPr>
              <w:pStyle w:val="nTable"/>
              <w:spacing w:after="40"/>
              <w:rPr>
                <w:snapToGrid w:val="0"/>
                <w:sz w:val="19"/>
              </w:rPr>
            </w:pPr>
            <w:r>
              <w:rPr>
                <w:snapToGrid w:val="0"/>
                <w:sz w:val="19"/>
              </w:rPr>
              <w:t>r. 1 and 2: 4 Jul 2008 (see r. 2(a));</w:t>
            </w:r>
            <w:r>
              <w:rPr>
                <w:snapToGrid w:val="0"/>
                <w:sz w:val="19"/>
              </w:rPr>
              <w:br/>
              <w:t>Regulations other than r. 1 and 2: 5 Jul 2008 (see r. 2(b))</w:t>
            </w:r>
          </w:p>
        </w:tc>
      </w:tr>
      <w:tr>
        <w:trPr>
          <w:cantSplit/>
        </w:trPr>
        <w:tc>
          <w:tcPr>
            <w:tcW w:w="7087" w:type="dxa"/>
            <w:gridSpan w:val="3"/>
          </w:tcPr>
          <w:p>
            <w:pPr>
              <w:pStyle w:val="nTable"/>
              <w:spacing w:after="40"/>
              <w:rPr>
                <w:snapToGrid w:val="0"/>
                <w:sz w:val="19"/>
              </w:rPr>
            </w:pPr>
            <w:r>
              <w:rPr>
                <w:b/>
                <w:sz w:val="19"/>
              </w:rPr>
              <w:t xml:space="preserve">Reprint 4: The </w:t>
            </w:r>
            <w:r>
              <w:rPr>
                <w:b/>
                <w:i/>
                <w:sz w:val="19"/>
              </w:rPr>
              <w:t>Fines, Penalties and Infringement Notices Enforcement Regulations 1994</w:t>
            </w:r>
            <w:r>
              <w:rPr>
                <w:b/>
                <w:sz w:val="19"/>
              </w:rPr>
              <w:t xml:space="preserve"> as at 12 Dec 2008</w:t>
            </w:r>
            <w:r>
              <w:rPr>
                <w:sz w:val="19"/>
              </w:rPr>
              <w:t xml:space="preserve"> (includes amendments listed above)</w:t>
            </w:r>
          </w:p>
        </w:tc>
      </w:tr>
      <w:tr>
        <w:trPr>
          <w:cantSplit/>
        </w:trPr>
        <w:tc>
          <w:tcPr>
            <w:tcW w:w="3118" w:type="dxa"/>
          </w:tcPr>
          <w:p>
            <w:pPr>
              <w:pStyle w:val="nTable"/>
              <w:spacing w:after="40"/>
              <w:ind w:right="170"/>
              <w:rPr>
                <w:i/>
                <w:sz w:val="19"/>
              </w:rPr>
            </w:pPr>
            <w:r>
              <w:rPr>
                <w:i/>
                <w:sz w:val="19"/>
              </w:rPr>
              <w:t>Fines, Penalties and Infringement Notices Enforcement Amendment Regulations 2009</w:t>
            </w:r>
          </w:p>
        </w:tc>
        <w:tc>
          <w:tcPr>
            <w:tcW w:w="1276" w:type="dxa"/>
          </w:tcPr>
          <w:p>
            <w:pPr>
              <w:pStyle w:val="nTable"/>
              <w:spacing w:after="40"/>
              <w:rPr>
                <w:sz w:val="19"/>
              </w:rPr>
            </w:pPr>
            <w:r>
              <w:rPr>
                <w:sz w:val="19"/>
              </w:rPr>
              <w:t>23 Jun 2009 p. 2466</w:t>
            </w:r>
          </w:p>
        </w:tc>
        <w:tc>
          <w:tcPr>
            <w:tcW w:w="2693" w:type="dxa"/>
          </w:tcPr>
          <w:p>
            <w:pPr>
              <w:pStyle w:val="nTable"/>
              <w:spacing w:after="40"/>
              <w:rPr>
                <w:snapToGrid w:val="0"/>
                <w:sz w:val="19"/>
              </w:rPr>
            </w:pPr>
            <w:r>
              <w:rPr>
                <w:snapToGrid w:val="0"/>
                <w:sz w:val="19"/>
              </w:rPr>
              <w:t>r. 1 and 2: 23 Jun 2009 (see r. 2(a));</w:t>
            </w:r>
            <w:r>
              <w:rPr>
                <w:snapToGrid w:val="0"/>
                <w:sz w:val="19"/>
              </w:rPr>
              <w:br/>
              <w:t>Regulations other than r. 1 and 2: 24 Jun 2009 (see r. 2(b))</w:t>
            </w:r>
          </w:p>
        </w:tc>
      </w:tr>
      <w:tr>
        <w:trPr>
          <w:cantSplit/>
        </w:trPr>
        <w:tc>
          <w:tcPr>
            <w:tcW w:w="3118" w:type="dxa"/>
          </w:tcPr>
          <w:p>
            <w:pPr>
              <w:pStyle w:val="nTable"/>
              <w:spacing w:after="40"/>
              <w:ind w:right="170"/>
              <w:rPr>
                <w:i/>
                <w:sz w:val="19"/>
              </w:rPr>
            </w:pPr>
            <w:r>
              <w:rPr>
                <w:i/>
                <w:sz w:val="19"/>
              </w:rPr>
              <w:t>Fines, Penalties and Infringement Notices Enforcement Amendment Regulations (No. 2) 2009</w:t>
            </w:r>
          </w:p>
        </w:tc>
        <w:tc>
          <w:tcPr>
            <w:tcW w:w="1276" w:type="dxa"/>
          </w:tcPr>
          <w:p>
            <w:pPr>
              <w:pStyle w:val="nTable"/>
              <w:spacing w:after="40"/>
              <w:rPr>
                <w:sz w:val="19"/>
              </w:rPr>
            </w:pPr>
            <w:r>
              <w:rPr>
                <w:sz w:val="19"/>
              </w:rPr>
              <w:t>29 Jan 2010 p. 199-200</w:t>
            </w:r>
          </w:p>
        </w:tc>
        <w:tc>
          <w:tcPr>
            <w:tcW w:w="2693" w:type="dxa"/>
          </w:tcPr>
          <w:p>
            <w:pPr>
              <w:pStyle w:val="nTable"/>
              <w:spacing w:after="40"/>
              <w:rPr>
                <w:snapToGrid w:val="0"/>
                <w:sz w:val="19"/>
              </w:rPr>
            </w:pPr>
            <w:r>
              <w:rPr>
                <w:snapToGrid w:val="0"/>
                <w:sz w:val="19"/>
              </w:rPr>
              <w:t>r. 1 and 2: 29 Jan 2010 (see r. 2(a));</w:t>
            </w:r>
            <w:r>
              <w:rPr>
                <w:snapToGrid w:val="0"/>
                <w:sz w:val="19"/>
              </w:rPr>
              <w:br/>
              <w:t>Regulations other than r. 1 and 2: 30 Jan 2010 (see r. 2(b))</w:t>
            </w:r>
          </w:p>
        </w:tc>
      </w:tr>
      <w:tr>
        <w:trPr>
          <w:cantSplit/>
        </w:trPr>
        <w:tc>
          <w:tcPr>
            <w:tcW w:w="3118" w:type="dxa"/>
          </w:tcPr>
          <w:p>
            <w:pPr>
              <w:pStyle w:val="nTable"/>
              <w:spacing w:after="40"/>
              <w:ind w:right="170"/>
              <w:rPr>
                <w:i/>
                <w:sz w:val="19"/>
              </w:rPr>
            </w:pPr>
            <w:r>
              <w:rPr>
                <w:i/>
                <w:sz w:val="19"/>
              </w:rPr>
              <w:t>Fines, Penalties and Infringement Notices Enforcement Amendment Regulations 2010</w:t>
            </w:r>
          </w:p>
        </w:tc>
        <w:tc>
          <w:tcPr>
            <w:tcW w:w="1276" w:type="dxa"/>
          </w:tcPr>
          <w:p>
            <w:pPr>
              <w:pStyle w:val="nTable"/>
              <w:spacing w:after="40"/>
              <w:rPr>
                <w:sz w:val="19"/>
              </w:rPr>
            </w:pPr>
            <w:r>
              <w:rPr>
                <w:sz w:val="19"/>
              </w:rPr>
              <w:t>25 Jun 2010 p. 2869</w:t>
            </w:r>
          </w:p>
        </w:tc>
        <w:tc>
          <w:tcPr>
            <w:tcW w:w="2693" w:type="dxa"/>
          </w:tcPr>
          <w:p>
            <w:pPr>
              <w:pStyle w:val="nTable"/>
              <w:spacing w:after="40"/>
              <w:rPr>
                <w:snapToGrid w:val="0"/>
                <w:sz w:val="19"/>
              </w:rPr>
            </w:pPr>
            <w:r>
              <w:rPr>
                <w:snapToGrid w:val="0"/>
                <w:sz w:val="19"/>
              </w:rPr>
              <w:t>r. 1 and 2: 25 Jun 2010 (see r. 2(a));</w:t>
            </w:r>
            <w:r>
              <w:rPr>
                <w:snapToGrid w:val="0"/>
                <w:sz w:val="19"/>
              </w:rPr>
              <w:br/>
              <w:t>Regulations other than r. 1 and 2: 26 Jun 2010 (see r. 2(b))</w:t>
            </w:r>
          </w:p>
        </w:tc>
      </w:tr>
      <w:tr>
        <w:trPr>
          <w:cantSplit/>
        </w:trPr>
        <w:tc>
          <w:tcPr>
            <w:tcW w:w="3118" w:type="dxa"/>
          </w:tcPr>
          <w:p>
            <w:pPr>
              <w:pStyle w:val="nTable"/>
              <w:spacing w:after="40"/>
              <w:ind w:right="170"/>
              <w:rPr>
                <w:i/>
                <w:sz w:val="19"/>
              </w:rPr>
            </w:pPr>
            <w:r>
              <w:rPr>
                <w:i/>
                <w:sz w:val="19"/>
              </w:rPr>
              <w:t>Fines, Penalties and Infringement Notices Enforcement Amendment Regulations (No. 2) 2010</w:t>
            </w:r>
          </w:p>
        </w:tc>
        <w:tc>
          <w:tcPr>
            <w:tcW w:w="1276" w:type="dxa"/>
          </w:tcPr>
          <w:p>
            <w:pPr>
              <w:pStyle w:val="nTable"/>
              <w:spacing w:after="40"/>
              <w:rPr>
                <w:sz w:val="19"/>
              </w:rPr>
            </w:pPr>
            <w:r>
              <w:rPr>
                <w:sz w:val="19"/>
              </w:rPr>
              <w:t>17 Sep 2010 p. 4759</w:t>
            </w:r>
          </w:p>
        </w:tc>
        <w:tc>
          <w:tcPr>
            <w:tcW w:w="2693" w:type="dxa"/>
          </w:tcPr>
          <w:p>
            <w:pPr>
              <w:pStyle w:val="nTable"/>
              <w:spacing w:after="40"/>
              <w:rPr>
                <w:snapToGrid w:val="0"/>
                <w:sz w:val="19"/>
              </w:rPr>
            </w:pPr>
            <w:r>
              <w:rPr>
                <w:snapToGrid w:val="0"/>
                <w:sz w:val="19"/>
              </w:rPr>
              <w:t>r. 1 and 2: 17 Sep 2010 (see r. 2(a));</w:t>
            </w:r>
            <w:r>
              <w:rPr>
                <w:snapToGrid w:val="0"/>
                <w:sz w:val="19"/>
              </w:rPr>
              <w:br/>
              <w:t>Regulations other than r. 1 and 2: 18 Sep 2010 (see r. 2(b))</w:t>
            </w:r>
          </w:p>
        </w:tc>
      </w:tr>
      <w:tr>
        <w:trPr>
          <w:cantSplit/>
        </w:trPr>
        <w:tc>
          <w:tcPr>
            <w:tcW w:w="3118" w:type="dxa"/>
          </w:tcPr>
          <w:p>
            <w:pPr>
              <w:pStyle w:val="nTable"/>
              <w:spacing w:after="40"/>
              <w:ind w:right="170"/>
              <w:rPr>
                <w:i/>
                <w:sz w:val="19"/>
              </w:rPr>
            </w:pPr>
            <w:r>
              <w:rPr>
                <w:i/>
                <w:sz w:val="19"/>
              </w:rPr>
              <w:t>Fines, Penalties and Infringement Notices Enforcement Amendment Regulations 2011</w:t>
            </w:r>
          </w:p>
        </w:tc>
        <w:tc>
          <w:tcPr>
            <w:tcW w:w="1276" w:type="dxa"/>
          </w:tcPr>
          <w:p>
            <w:pPr>
              <w:pStyle w:val="nTable"/>
              <w:spacing w:after="40"/>
              <w:rPr>
                <w:sz w:val="19"/>
              </w:rPr>
            </w:pPr>
            <w:r>
              <w:rPr>
                <w:sz w:val="19"/>
              </w:rPr>
              <w:t>17 Jun 2011 p. 2169</w:t>
            </w:r>
          </w:p>
        </w:tc>
        <w:tc>
          <w:tcPr>
            <w:tcW w:w="2693" w:type="dxa"/>
          </w:tcPr>
          <w:p>
            <w:pPr>
              <w:pStyle w:val="nTable"/>
              <w:spacing w:after="40"/>
              <w:rPr>
                <w:snapToGrid w:val="0"/>
                <w:sz w:val="19"/>
              </w:rPr>
            </w:pPr>
            <w:r>
              <w:rPr>
                <w:snapToGrid w:val="0"/>
                <w:sz w:val="19"/>
              </w:rPr>
              <w:t>r. 1 and 2: 17 Jun 2011 (see r. 2(a));</w:t>
            </w:r>
            <w:r>
              <w:rPr>
                <w:snapToGrid w:val="0"/>
                <w:sz w:val="19"/>
              </w:rPr>
              <w:br/>
              <w:t>Regulations other than r. 1 and 2: 18 Jun 2011 (see r. 2(b))</w:t>
            </w:r>
          </w:p>
        </w:tc>
      </w:tr>
      <w:tr>
        <w:trPr>
          <w:cantSplit/>
        </w:trPr>
        <w:tc>
          <w:tcPr>
            <w:tcW w:w="3118" w:type="dxa"/>
            <w:shd w:val="clear" w:color="auto" w:fill="auto"/>
          </w:tcPr>
          <w:p>
            <w:pPr>
              <w:pStyle w:val="nTable"/>
              <w:spacing w:after="40"/>
              <w:ind w:right="170"/>
              <w:rPr>
                <w:i/>
                <w:sz w:val="19"/>
              </w:rPr>
            </w:pPr>
            <w:r>
              <w:rPr>
                <w:i/>
                <w:sz w:val="19"/>
              </w:rPr>
              <w:t>Fines, Penalties and Infringement Notices Enforcement Amendment Regulations (No. 4) 2011</w:t>
            </w:r>
          </w:p>
        </w:tc>
        <w:tc>
          <w:tcPr>
            <w:tcW w:w="1276" w:type="dxa"/>
            <w:shd w:val="clear" w:color="auto" w:fill="auto"/>
          </w:tcPr>
          <w:p>
            <w:pPr>
              <w:pStyle w:val="nTable"/>
              <w:spacing w:after="40"/>
              <w:rPr>
                <w:sz w:val="19"/>
              </w:rPr>
            </w:pPr>
            <w:r>
              <w:rPr>
                <w:sz w:val="19"/>
              </w:rPr>
              <w:t>13 Dec 2011 p. 5281</w:t>
            </w:r>
            <w:r>
              <w:rPr>
                <w:sz w:val="19"/>
              </w:rPr>
              <w:noBreakHyphen/>
              <w:t>2</w:t>
            </w:r>
          </w:p>
        </w:tc>
        <w:tc>
          <w:tcPr>
            <w:tcW w:w="2693" w:type="dxa"/>
            <w:shd w:val="clear" w:color="auto" w:fill="auto"/>
          </w:tcPr>
          <w:p>
            <w:pPr>
              <w:pStyle w:val="nTable"/>
              <w:spacing w:after="40"/>
              <w:rPr>
                <w:snapToGrid w:val="0"/>
                <w:sz w:val="19"/>
              </w:rPr>
            </w:pPr>
            <w:r>
              <w:rPr>
                <w:snapToGrid w:val="0"/>
                <w:sz w:val="19"/>
              </w:rPr>
              <w:t>r. 1 and 2: 13 Dec 2011 (see r. 2(a));</w:t>
            </w:r>
            <w:r>
              <w:rPr>
                <w:snapToGrid w:val="0"/>
                <w:sz w:val="19"/>
              </w:rPr>
              <w:br/>
              <w:t>Regulations other than r. 1 and 2: 14 Dec 2011 (see r. 2(b))</w:t>
            </w:r>
          </w:p>
        </w:tc>
      </w:tr>
      <w:tr>
        <w:trPr>
          <w:cantSplit/>
        </w:trPr>
        <w:tc>
          <w:tcPr>
            <w:tcW w:w="7087" w:type="dxa"/>
            <w:gridSpan w:val="3"/>
            <w:shd w:val="clear" w:color="auto" w:fill="auto"/>
          </w:tcPr>
          <w:p>
            <w:pPr>
              <w:pStyle w:val="nTable"/>
              <w:spacing w:after="40"/>
              <w:rPr>
                <w:snapToGrid w:val="0"/>
                <w:sz w:val="19"/>
              </w:rPr>
            </w:pPr>
            <w:r>
              <w:rPr>
                <w:b/>
                <w:sz w:val="19"/>
              </w:rPr>
              <w:t xml:space="preserve">Reprint 5: The </w:t>
            </w:r>
            <w:r>
              <w:rPr>
                <w:b/>
                <w:i/>
                <w:sz w:val="19"/>
              </w:rPr>
              <w:t>Fines, Penalties and Infringement Notices Enforcement Regulations 1994</w:t>
            </w:r>
            <w:r>
              <w:rPr>
                <w:b/>
                <w:sz w:val="19"/>
              </w:rPr>
              <w:t xml:space="preserve"> as at 2 Mar 2012</w:t>
            </w:r>
            <w:r>
              <w:rPr>
                <w:sz w:val="19"/>
              </w:rPr>
              <w:t xml:space="preserve"> (includes amendments listed above)</w:t>
            </w:r>
          </w:p>
        </w:tc>
      </w:tr>
      <w:tr>
        <w:trPr>
          <w:cantSplit/>
        </w:trPr>
        <w:tc>
          <w:tcPr>
            <w:tcW w:w="3118" w:type="dxa"/>
            <w:shd w:val="clear" w:color="auto" w:fill="auto"/>
          </w:tcPr>
          <w:p>
            <w:pPr>
              <w:pStyle w:val="nTable"/>
              <w:spacing w:after="40"/>
              <w:ind w:right="170"/>
              <w:rPr>
                <w:i/>
                <w:sz w:val="19"/>
              </w:rPr>
            </w:pPr>
            <w:r>
              <w:rPr>
                <w:i/>
                <w:sz w:val="19"/>
              </w:rPr>
              <w:t>Fines, Penalties and Infringement Notices Enforcement Amendment Regulations 2012</w:t>
            </w:r>
          </w:p>
        </w:tc>
        <w:tc>
          <w:tcPr>
            <w:tcW w:w="1276" w:type="dxa"/>
            <w:shd w:val="clear" w:color="auto" w:fill="auto"/>
          </w:tcPr>
          <w:p>
            <w:pPr>
              <w:pStyle w:val="nTable"/>
              <w:spacing w:after="40"/>
              <w:rPr>
                <w:sz w:val="19"/>
              </w:rPr>
            </w:pPr>
            <w:r>
              <w:rPr>
                <w:sz w:val="19"/>
              </w:rPr>
              <w:t>16 Mar 2012 p. 1255</w:t>
            </w:r>
            <w:r>
              <w:rPr>
                <w:sz w:val="19"/>
              </w:rPr>
              <w:noBreakHyphen/>
              <w:t>6</w:t>
            </w:r>
          </w:p>
        </w:tc>
        <w:tc>
          <w:tcPr>
            <w:tcW w:w="2693" w:type="dxa"/>
            <w:shd w:val="clear" w:color="auto" w:fill="auto"/>
          </w:tcPr>
          <w:p>
            <w:pPr>
              <w:pStyle w:val="nTable"/>
              <w:spacing w:after="40"/>
              <w:rPr>
                <w:snapToGrid w:val="0"/>
                <w:sz w:val="19"/>
              </w:rPr>
            </w:pPr>
            <w:r>
              <w:rPr>
                <w:snapToGrid w:val="0"/>
                <w:sz w:val="19"/>
              </w:rPr>
              <w:t>r. 1 and 2: 16 Mar 2012 (see r. 2(a));</w:t>
            </w:r>
            <w:r>
              <w:rPr>
                <w:snapToGrid w:val="0"/>
                <w:sz w:val="19"/>
              </w:rPr>
              <w:br/>
              <w:t>Regulations other than r. 1 and 2: 17 Mar 2012 (see r. 2(b))</w:t>
            </w:r>
          </w:p>
        </w:tc>
      </w:tr>
      <w:tr>
        <w:trPr>
          <w:cantSplit/>
        </w:trPr>
        <w:tc>
          <w:tcPr>
            <w:tcW w:w="3118" w:type="dxa"/>
            <w:shd w:val="clear" w:color="auto" w:fill="auto"/>
          </w:tcPr>
          <w:p>
            <w:pPr>
              <w:pStyle w:val="nTable"/>
              <w:spacing w:after="40"/>
              <w:ind w:right="170"/>
              <w:rPr>
                <w:i/>
                <w:sz w:val="19"/>
              </w:rPr>
            </w:pPr>
            <w:r>
              <w:rPr>
                <w:i/>
                <w:sz w:val="19"/>
              </w:rPr>
              <w:t>Fines, Penalties and Infringement Notices Enforcement Amendment Regulations (No. 2) 2011</w:t>
            </w:r>
          </w:p>
        </w:tc>
        <w:tc>
          <w:tcPr>
            <w:tcW w:w="1276" w:type="dxa"/>
            <w:shd w:val="clear" w:color="auto" w:fill="auto"/>
          </w:tcPr>
          <w:p>
            <w:pPr>
              <w:pStyle w:val="nTable"/>
              <w:spacing w:after="40"/>
              <w:rPr>
                <w:sz w:val="19"/>
              </w:rPr>
            </w:pPr>
            <w:r>
              <w:rPr>
                <w:sz w:val="19"/>
              </w:rPr>
              <w:t>23 Mar 2012 p. 1369</w:t>
            </w:r>
            <w:r>
              <w:rPr>
                <w:sz w:val="19"/>
              </w:rPr>
              <w:noBreakHyphen/>
              <w:t>70</w:t>
            </w:r>
          </w:p>
        </w:tc>
        <w:tc>
          <w:tcPr>
            <w:tcW w:w="2693" w:type="dxa"/>
            <w:shd w:val="clear" w:color="auto" w:fill="auto"/>
          </w:tcPr>
          <w:p>
            <w:pPr>
              <w:pStyle w:val="nTable"/>
              <w:spacing w:after="40"/>
              <w:rPr>
                <w:snapToGrid w:val="0"/>
                <w:sz w:val="19"/>
              </w:rPr>
            </w:pPr>
            <w:r>
              <w:rPr>
                <w:snapToGrid w:val="0"/>
                <w:sz w:val="19"/>
              </w:rPr>
              <w:t>r. 1 and 2: 23 Mar 2012 (see r. 2(a));</w:t>
            </w:r>
            <w:r>
              <w:rPr>
                <w:snapToGrid w:val="0"/>
                <w:sz w:val="19"/>
              </w:rPr>
              <w:br/>
              <w:t>Regulations other than r. 1 and 2: 24 Mar 2012 (see r. 2(b))</w:t>
            </w:r>
          </w:p>
        </w:tc>
      </w:tr>
      <w:tr>
        <w:trPr>
          <w:cantSplit/>
        </w:trPr>
        <w:tc>
          <w:tcPr>
            <w:tcW w:w="3118" w:type="dxa"/>
            <w:shd w:val="clear" w:color="auto" w:fill="auto"/>
          </w:tcPr>
          <w:p>
            <w:pPr>
              <w:pStyle w:val="nTable"/>
              <w:spacing w:after="40"/>
              <w:ind w:right="170"/>
              <w:rPr>
                <w:i/>
                <w:sz w:val="19"/>
              </w:rPr>
            </w:pPr>
            <w:r>
              <w:rPr>
                <w:i/>
                <w:sz w:val="19"/>
              </w:rPr>
              <w:t>Fines, Penalties and Infringement Notices Enforcement Amendment Regulations (No. 3) 2012</w:t>
            </w:r>
          </w:p>
        </w:tc>
        <w:tc>
          <w:tcPr>
            <w:tcW w:w="1276" w:type="dxa"/>
            <w:shd w:val="clear" w:color="auto" w:fill="auto"/>
          </w:tcPr>
          <w:p>
            <w:pPr>
              <w:pStyle w:val="nTable"/>
              <w:spacing w:after="40"/>
              <w:rPr>
                <w:sz w:val="19"/>
              </w:rPr>
            </w:pPr>
            <w:r>
              <w:rPr>
                <w:sz w:val="19"/>
              </w:rPr>
              <w:t>8 Jun 2012 p. 2385</w:t>
            </w:r>
            <w:r>
              <w:rPr>
                <w:sz w:val="19"/>
              </w:rPr>
              <w:noBreakHyphen/>
              <w:t>6</w:t>
            </w:r>
          </w:p>
        </w:tc>
        <w:tc>
          <w:tcPr>
            <w:tcW w:w="2693" w:type="dxa"/>
            <w:shd w:val="clear" w:color="auto" w:fill="auto"/>
          </w:tcPr>
          <w:p>
            <w:pPr>
              <w:pStyle w:val="nTable"/>
              <w:spacing w:after="40"/>
              <w:rPr>
                <w:snapToGrid w:val="0"/>
                <w:sz w:val="19"/>
              </w:rPr>
            </w:pPr>
            <w:r>
              <w:rPr>
                <w:snapToGrid w:val="0"/>
                <w:sz w:val="19"/>
              </w:rPr>
              <w:t>r. 1 and 2: 8 Jun  2012 (see r. 2(a));</w:t>
            </w:r>
            <w:r>
              <w:rPr>
                <w:snapToGrid w:val="0"/>
                <w:sz w:val="19"/>
              </w:rPr>
              <w:br/>
              <w:t>Regulations other than r. 1 and 2: 9 Jun 2012 (see r. 2(b))</w:t>
            </w:r>
          </w:p>
        </w:tc>
      </w:tr>
      <w:tr>
        <w:trPr>
          <w:cantSplit/>
        </w:trPr>
        <w:tc>
          <w:tcPr>
            <w:tcW w:w="3118" w:type="dxa"/>
            <w:shd w:val="clear" w:color="auto" w:fill="auto"/>
          </w:tcPr>
          <w:p>
            <w:pPr>
              <w:pStyle w:val="nTable"/>
              <w:spacing w:after="40"/>
              <w:ind w:right="170"/>
              <w:rPr>
                <w:i/>
                <w:sz w:val="19"/>
              </w:rPr>
            </w:pPr>
            <w:r>
              <w:rPr>
                <w:i/>
                <w:sz w:val="19"/>
              </w:rPr>
              <w:t>Fines, Penalties and Infringement Notices Enforcement Amendment Regulations (No. 4) 2012</w:t>
            </w:r>
          </w:p>
        </w:tc>
        <w:tc>
          <w:tcPr>
            <w:tcW w:w="1276" w:type="dxa"/>
            <w:shd w:val="clear" w:color="auto" w:fill="auto"/>
          </w:tcPr>
          <w:p>
            <w:pPr>
              <w:pStyle w:val="nTable"/>
              <w:spacing w:after="40"/>
              <w:rPr>
                <w:sz w:val="19"/>
              </w:rPr>
            </w:pPr>
            <w:r>
              <w:rPr>
                <w:sz w:val="19"/>
              </w:rPr>
              <w:t>23 Nov 2012 p. 5721</w:t>
            </w:r>
          </w:p>
        </w:tc>
        <w:tc>
          <w:tcPr>
            <w:tcW w:w="2693" w:type="dxa"/>
            <w:shd w:val="clear" w:color="auto" w:fill="auto"/>
          </w:tcPr>
          <w:p>
            <w:pPr>
              <w:pStyle w:val="nTable"/>
              <w:spacing w:after="40"/>
              <w:rPr>
                <w:snapToGrid w:val="0"/>
                <w:sz w:val="19"/>
              </w:rPr>
            </w:pPr>
            <w:r>
              <w:rPr>
                <w:snapToGrid w:val="0"/>
                <w:sz w:val="19"/>
              </w:rPr>
              <w:t>r. 1 and 2: 23 Nov 2012 (see r. 2(a));</w:t>
            </w:r>
            <w:r>
              <w:rPr>
                <w:snapToGrid w:val="0"/>
                <w:sz w:val="19"/>
              </w:rPr>
              <w:br/>
              <w:t>Regulations other than r. 1 and 2: 24 Nov 2012 (see r. 2(b))</w:t>
            </w:r>
          </w:p>
        </w:tc>
      </w:tr>
      <w:tr>
        <w:trPr>
          <w:cantSplit/>
        </w:trPr>
        <w:tc>
          <w:tcPr>
            <w:tcW w:w="3118" w:type="dxa"/>
            <w:shd w:val="clear" w:color="auto" w:fill="auto"/>
          </w:tcPr>
          <w:p>
            <w:pPr>
              <w:pStyle w:val="nTable"/>
              <w:spacing w:after="40"/>
              <w:ind w:right="170"/>
              <w:rPr>
                <w:i/>
                <w:sz w:val="19"/>
              </w:rPr>
            </w:pPr>
            <w:r>
              <w:rPr>
                <w:i/>
                <w:sz w:val="19"/>
              </w:rPr>
              <w:t>Fines, Penalties and Infringement Notices Enforcement Amendment Regulations 2013</w:t>
            </w:r>
          </w:p>
        </w:tc>
        <w:tc>
          <w:tcPr>
            <w:tcW w:w="1276" w:type="dxa"/>
            <w:shd w:val="clear" w:color="auto" w:fill="auto"/>
          </w:tcPr>
          <w:p>
            <w:pPr>
              <w:pStyle w:val="nTable"/>
              <w:spacing w:after="40"/>
              <w:rPr>
                <w:sz w:val="19"/>
              </w:rPr>
            </w:pPr>
            <w:r>
              <w:rPr>
                <w:sz w:val="19"/>
              </w:rPr>
              <w:t>5 Feb 2013 p. 835</w:t>
            </w:r>
            <w:r>
              <w:rPr>
                <w:sz w:val="19"/>
              </w:rPr>
              <w:noBreakHyphen/>
              <w:t>6</w:t>
            </w:r>
          </w:p>
        </w:tc>
        <w:tc>
          <w:tcPr>
            <w:tcW w:w="2693" w:type="dxa"/>
            <w:shd w:val="clear" w:color="auto" w:fill="auto"/>
          </w:tcPr>
          <w:p>
            <w:pPr>
              <w:pStyle w:val="nTable"/>
              <w:spacing w:after="40"/>
              <w:rPr>
                <w:rFonts w:ascii="Arial" w:hAnsi="Arial"/>
                <w:snapToGrid w:val="0"/>
                <w:sz w:val="19"/>
              </w:rPr>
            </w:pPr>
            <w:r>
              <w:rPr>
                <w:snapToGrid w:val="0"/>
                <w:sz w:val="19"/>
              </w:rPr>
              <w:t>r. 1 and 2: 5 Feb 2013 (see r. 2(a));</w:t>
            </w:r>
            <w:r>
              <w:rPr>
                <w:snapToGrid w:val="0"/>
                <w:sz w:val="19"/>
              </w:rPr>
              <w:br/>
              <w:t xml:space="preserve">Regulations other than r. 1 and 2: </w:t>
            </w:r>
            <w:r>
              <w:rPr>
                <w:sz w:val="19"/>
              </w:rPr>
              <w:t xml:space="preserve">1 May 2013 (see r. 2(b) and </w:t>
            </w:r>
            <w:r>
              <w:rPr>
                <w:i/>
                <w:sz w:val="19"/>
              </w:rPr>
              <w:t>Gazette</w:t>
            </w:r>
            <w:r>
              <w:rPr>
                <w:sz w:val="19"/>
              </w:rPr>
              <w:t xml:space="preserve"> 5 Feb 2013 p. 823)</w:t>
            </w:r>
          </w:p>
        </w:tc>
      </w:tr>
      <w:tr>
        <w:trPr>
          <w:cantSplit/>
        </w:trPr>
        <w:tc>
          <w:tcPr>
            <w:tcW w:w="3118" w:type="dxa"/>
            <w:shd w:val="clear" w:color="auto" w:fill="auto"/>
          </w:tcPr>
          <w:p>
            <w:pPr>
              <w:pStyle w:val="nTable"/>
              <w:spacing w:after="40"/>
              <w:ind w:right="170"/>
              <w:rPr>
                <w:i/>
                <w:sz w:val="19"/>
              </w:rPr>
            </w:pPr>
            <w:r>
              <w:rPr>
                <w:i/>
                <w:sz w:val="19"/>
              </w:rPr>
              <w:t>Fines, Penalties and Infringement Notices Enforcement Amendment Regulations (No. 2) 2013</w:t>
            </w:r>
          </w:p>
        </w:tc>
        <w:tc>
          <w:tcPr>
            <w:tcW w:w="1276" w:type="dxa"/>
            <w:shd w:val="clear" w:color="auto" w:fill="auto"/>
          </w:tcPr>
          <w:p>
            <w:pPr>
              <w:pStyle w:val="nTable"/>
              <w:spacing w:after="40"/>
              <w:rPr>
                <w:sz w:val="19"/>
              </w:rPr>
            </w:pPr>
            <w:r>
              <w:rPr>
                <w:sz w:val="19"/>
              </w:rPr>
              <w:t>10 May 2013 p. 1936</w:t>
            </w:r>
            <w:r>
              <w:rPr>
                <w:sz w:val="19"/>
              </w:rPr>
              <w:noBreakHyphen/>
              <w:t>7</w:t>
            </w:r>
          </w:p>
        </w:tc>
        <w:tc>
          <w:tcPr>
            <w:tcW w:w="2693" w:type="dxa"/>
            <w:shd w:val="clear" w:color="auto" w:fill="auto"/>
          </w:tcPr>
          <w:p>
            <w:pPr>
              <w:pStyle w:val="nTable"/>
              <w:spacing w:after="40"/>
              <w:rPr>
                <w:rFonts w:ascii="Arial" w:hAnsi="Arial"/>
                <w:snapToGrid w:val="0"/>
                <w:sz w:val="19"/>
              </w:rPr>
            </w:pPr>
            <w:r>
              <w:rPr>
                <w:snapToGrid w:val="0"/>
                <w:spacing w:val="-2"/>
                <w:sz w:val="19"/>
              </w:rPr>
              <w:t>r. 1 and 2: 10 May 2013 (see r. 2(a));</w:t>
            </w:r>
            <w:r>
              <w:rPr>
                <w:snapToGrid w:val="0"/>
                <w:spacing w:val="-2"/>
                <w:sz w:val="19"/>
              </w:rPr>
              <w:br/>
              <w:t>Regulations other than r. 1 and 2: 11 May 2013 (see r. 2(b))</w:t>
            </w:r>
          </w:p>
        </w:tc>
      </w:tr>
      <w:tr>
        <w:trPr>
          <w:cantSplit/>
        </w:trPr>
        <w:tc>
          <w:tcPr>
            <w:tcW w:w="3118" w:type="dxa"/>
            <w:shd w:val="clear" w:color="auto" w:fill="auto"/>
          </w:tcPr>
          <w:p>
            <w:pPr>
              <w:pStyle w:val="nTable"/>
              <w:spacing w:after="40"/>
              <w:ind w:right="170"/>
              <w:rPr>
                <w:i/>
                <w:sz w:val="19"/>
              </w:rPr>
            </w:pPr>
            <w:r>
              <w:rPr>
                <w:i/>
                <w:sz w:val="19"/>
              </w:rPr>
              <w:t>Fines, Penalties and Infringement Notices Enforcement Amendment Regulations (No. 3) 2013</w:t>
            </w:r>
          </w:p>
        </w:tc>
        <w:tc>
          <w:tcPr>
            <w:tcW w:w="1276" w:type="dxa"/>
            <w:shd w:val="clear" w:color="auto" w:fill="auto"/>
          </w:tcPr>
          <w:p>
            <w:pPr>
              <w:pStyle w:val="nTable"/>
              <w:spacing w:after="40"/>
              <w:rPr>
                <w:sz w:val="19"/>
              </w:rPr>
            </w:pPr>
            <w:r>
              <w:rPr>
                <w:sz w:val="19"/>
              </w:rPr>
              <w:t>20 Aug 2013 p. 3877</w:t>
            </w:r>
            <w:r>
              <w:rPr>
                <w:sz w:val="19"/>
              </w:rPr>
              <w:noBreakHyphen/>
              <w:t>94</w:t>
            </w:r>
          </w:p>
        </w:tc>
        <w:tc>
          <w:tcPr>
            <w:tcW w:w="2693" w:type="dxa"/>
            <w:shd w:val="clear" w:color="auto" w:fill="auto"/>
          </w:tcPr>
          <w:p>
            <w:pPr>
              <w:pStyle w:val="nTable"/>
              <w:spacing w:after="40"/>
              <w:rPr>
                <w:rFonts w:ascii="Arial" w:hAnsi="Arial"/>
                <w:b/>
                <w:snapToGrid w:val="0"/>
                <w:spacing w:val="-2"/>
                <w:sz w:val="19"/>
              </w:rPr>
            </w:pPr>
            <w:r>
              <w:rPr>
                <w:snapToGrid w:val="0"/>
                <w:spacing w:val="-2"/>
                <w:sz w:val="19"/>
              </w:rPr>
              <w:t>r. 1 and 2: 20 Aug 2013 (see r. 2(a));</w:t>
            </w:r>
            <w:r>
              <w:rPr>
                <w:snapToGrid w:val="0"/>
                <w:spacing w:val="-2"/>
                <w:sz w:val="19"/>
              </w:rPr>
              <w:br/>
              <w:t>r. 13: 21 Aug 2013 (see r. 2(b));</w:t>
            </w:r>
            <w:r>
              <w:rPr>
                <w:snapToGrid w:val="0"/>
                <w:spacing w:val="-2"/>
                <w:sz w:val="19"/>
              </w:rPr>
              <w:br/>
              <w:t xml:space="preserve">Regulations other than r. 1, 2 and 13: 21 Aug 2013 (see r. 2(c) and </w:t>
            </w:r>
            <w:r>
              <w:rPr>
                <w:i/>
                <w:snapToGrid w:val="0"/>
                <w:spacing w:val="-2"/>
                <w:sz w:val="19"/>
              </w:rPr>
              <w:t>Gazette</w:t>
            </w:r>
            <w:r>
              <w:rPr>
                <w:snapToGrid w:val="0"/>
                <w:spacing w:val="-2"/>
                <w:sz w:val="19"/>
              </w:rPr>
              <w:t xml:space="preserve"> 20 Aug 2013 p. 3815)</w:t>
            </w:r>
          </w:p>
        </w:tc>
      </w:tr>
      <w:tr>
        <w:trPr>
          <w:cantSplit/>
        </w:trPr>
        <w:tc>
          <w:tcPr>
            <w:tcW w:w="3118" w:type="dxa"/>
            <w:shd w:val="clear" w:color="auto" w:fill="auto"/>
          </w:tcPr>
          <w:p>
            <w:pPr>
              <w:pStyle w:val="nTable"/>
              <w:spacing w:after="40"/>
              <w:ind w:right="170"/>
              <w:rPr>
                <w:i/>
                <w:sz w:val="19"/>
              </w:rPr>
            </w:pPr>
            <w:r>
              <w:rPr>
                <w:i/>
                <w:sz w:val="19"/>
              </w:rPr>
              <w:t>Fines, Penalties and Infringement Notices Enforcement Amendment Regulations (No. 4) 2013</w:t>
            </w:r>
          </w:p>
        </w:tc>
        <w:tc>
          <w:tcPr>
            <w:tcW w:w="1276" w:type="dxa"/>
            <w:shd w:val="clear" w:color="auto" w:fill="auto"/>
          </w:tcPr>
          <w:p>
            <w:pPr>
              <w:pStyle w:val="nTable"/>
              <w:spacing w:after="40"/>
              <w:rPr>
                <w:sz w:val="19"/>
              </w:rPr>
            </w:pPr>
            <w:r>
              <w:rPr>
                <w:sz w:val="19"/>
              </w:rPr>
              <w:t>3 Dec 2013 p. 5624</w:t>
            </w:r>
            <w:r>
              <w:rPr>
                <w:sz w:val="19"/>
              </w:rPr>
              <w:noBreakHyphen/>
              <w:t>5</w:t>
            </w:r>
          </w:p>
        </w:tc>
        <w:tc>
          <w:tcPr>
            <w:tcW w:w="2693" w:type="dxa"/>
            <w:shd w:val="clear" w:color="auto" w:fill="auto"/>
          </w:tcPr>
          <w:p>
            <w:pPr>
              <w:pStyle w:val="nTable"/>
              <w:spacing w:after="40"/>
              <w:rPr>
                <w:snapToGrid w:val="0"/>
                <w:spacing w:val="-2"/>
                <w:sz w:val="19"/>
              </w:rPr>
            </w:pPr>
            <w:r>
              <w:rPr>
                <w:bCs/>
                <w:snapToGrid w:val="0"/>
                <w:spacing w:val="-2"/>
                <w:sz w:val="19"/>
                <w:szCs w:val="19"/>
              </w:rPr>
              <w:t>r. 1 and 2: 3 Dec 2013 (see r. 2(a));</w:t>
            </w:r>
            <w:r>
              <w:rPr>
                <w:bCs/>
                <w:snapToGrid w:val="0"/>
                <w:spacing w:val="-2"/>
                <w:sz w:val="19"/>
                <w:szCs w:val="19"/>
              </w:rPr>
              <w:br/>
              <w:t>Regulations other than r. 1 and 2: 4 Dec 2013 (see r. 2(b))</w:t>
            </w:r>
          </w:p>
        </w:tc>
      </w:tr>
      <w:tr>
        <w:trPr>
          <w:cantSplit/>
        </w:trPr>
        <w:tc>
          <w:tcPr>
            <w:tcW w:w="7087" w:type="dxa"/>
            <w:gridSpan w:val="3"/>
            <w:shd w:val="clear" w:color="auto" w:fill="auto"/>
          </w:tcPr>
          <w:p>
            <w:pPr>
              <w:pStyle w:val="nTable"/>
              <w:spacing w:after="40"/>
              <w:rPr>
                <w:i/>
                <w:snapToGrid w:val="0"/>
                <w:spacing w:val="-2"/>
                <w:sz w:val="19"/>
              </w:rPr>
            </w:pPr>
            <w:r>
              <w:rPr>
                <w:b/>
                <w:sz w:val="19"/>
              </w:rPr>
              <w:t xml:space="preserve">Reprint 6: The </w:t>
            </w:r>
            <w:r>
              <w:rPr>
                <w:b/>
                <w:i/>
                <w:sz w:val="19"/>
              </w:rPr>
              <w:t>Fines, Penalties and Infringement Notices Enforcement Regulations 1994</w:t>
            </w:r>
            <w:r>
              <w:rPr>
                <w:b/>
                <w:sz w:val="19"/>
              </w:rPr>
              <w:t xml:space="preserve"> as at 6 Dec 2013</w:t>
            </w:r>
            <w:r>
              <w:rPr>
                <w:sz w:val="19"/>
              </w:rPr>
              <w:t xml:space="preserve"> (includes amendments listed above)</w:t>
            </w:r>
          </w:p>
        </w:tc>
      </w:tr>
      <w:tr>
        <w:trPr>
          <w:cantSplit/>
          <w:ins w:id="100" w:author="Master Repository Process" w:date="2021-08-28T08:15:00Z"/>
        </w:trPr>
        <w:tc>
          <w:tcPr>
            <w:tcW w:w="3118" w:type="dxa"/>
            <w:tcBorders>
              <w:bottom w:val="single" w:sz="4" w:space="0" w:color="auto"/>
            </w:tcBorders>
            <w:shd w:val="clear" w:color="auto" w:fill="auto"/>
          </w:tcPr>
          <w:p>
            <w:pPr>
              <w:pStyle w:val="nTable"/>
              <w:spacing w:after="40"/>
              <w:ind w:right="170"/>
              <w:rPr>
                <w:ins w:id="101" w:author="Master Repository Process" w:date="2021-08-28T08:15:00Z"/>
                <w:i/>
                <w:sz w:val="19"/>
              </w:rPr>
            </w:pPr>
            <w:ins w:id="102" w:author="Master Repository Process" w:date="2021-08-28T08:15:00Z">
              <w:r>
                <w:rPr>
                  <w:i/>
                  <w:sz w:val="19"/>
                </w:rPr>
                <w:t>Fines, Penalties and Infringement Notices Enforcement Amendment Regulations (No. 3) 2014</w:t>
              </w:r>
            </w:ins>
          </w:p>
        </w:tc>
        <w:tc>
          <w:tcPr>
            <w:tcW w:w="1276" w:type="dxa"/>
            <w:tcBorders>
              <w:bottom w:val="single" w:sz="4" w:space="0" w:color="auto"/>
            </w:tcBorders>
            <w:shd w:val="clear" w:color="auto" w:fill="auto"/>
          </w:tcPr>
          <w:p>
            <w:pPr>
              <w:pStyle w:val="nTable"/>
              <w:spacing w:after="40"/>
              <w:rPr>
                <w:ins w:id="103" w:author="Master Repository Process" w:date="2021-08-28T08:15:00Z"/>
                <w:sz w:val="19"/>
              </w:rPr>
            </w:pPr>
            <w:ins w:id="104" w:author="Master Repository Process" w:date="2021-08-28T08:15:00Z">
              <w:r>
                <w:rPr>
                  <w:sz w:val="19"/>
                </w:rPr>
                <w:t>20 Jun 2014 p. 2026</w:t>
              </w:r>
            </w:ins>
          </w:p>
        </w:tc>
        <w:tc>
          <w:tcPr>
            <w:tcW w:w="2693" w:type="dxa"/>
            <w:tcBorders>
              <w:bottom w:val="single" w:sz="4" w:space="0" w:color="auto"/>
            </w:tcBorders>
            <w:shd w:val="clear" w:color="auto" w:fill="auto"/>
          </w:tcPr>
          <w:p>
            <w:pPr>
              <w:pStyle w:val="nTable"/>
              <w:spacing w:after="40"/>
              <w:rPr>
                <w:ins w:id="105" w:author="Master Repository Process" w:date="2021-08-28T08:15:00Z"/>
                <w:snapToGrid w:val="0"/>
                <w:spacing w:val="-2"/>
                <w:sz w:val="19"/>
              </w:rPr>
            </w:pPr>
            <w:ins w:id="106" w:author="Master Repository Process" w:date="2021-08-28T08:15:00Z">
              <w:r>
                <w:rPr>
                  <w:bCs/>
                  <w:snapToGrid w:val="0"/>
                  <w:spacing w:val="-2"/>
                  <w:sz w:val="19"/>
                  <w:szCs w:val="19"/>
                </w:rPr>
                <w:t>r. 1 and 2: 20 Jun 2014 (see r. 2(a));</w:t>
              </w:r>
              <w:r>
                <w:rPr>
                  <w:bCs/>
                  <w:snapToGrid w:val="0"/>
                  <w:spacing w:val="-2"/>
                  <w:sz w:val="19"/>
                  <w:szCs w:val="19"/>
                </w:rPr>
                <w:br/>
                <w:t>Regulations other than r. 1 and 2: 21 Jun 2014 (see r. 2(b))</w:t>
              </w:r>
            </w:ins>
          </w:p>
        </w:tc>
      </w:tr>
    </w:tbl>
    <w:p>
      <w:pPr>
        <w:pStyle w:val="nSubsection"/>
        <w:spacing w:before="160"/>
      </w:pPr>
      <w:r>
        <w:rPr>
          <w:vertAlign w:val="superscript"/>
        </w:rPr>
        <w:t>2</w:t>
      </w:r>
      <w:r>
        <w:tab/>
        <w:t xml:space="preserve">Formerly referred to the </w:t>
      </w:r>
      <w:r>
        <w:rPr>
          <w:i/>
        </w:rPr>
        <w:t>Workers’ Compensation and Rehabilitation Act 1981</w:t>
      </w:r>
      <w:r>
        <w:t xml:space="preserve"> the short title of which was changed to the </w:t>
      </w:r>
      <w:r>
        <w:rPr>
          <w:i/>
        </w:rPr>
        <w:t>Workers’ Compensation and Injury Management Act 1981</w:t>
      </w:r>
      <w:r>
        <w:t xml:space="preserve"> by the </w:t>
      </w:r>
      <w:r>
        <w:rPr>
          <w:i/>
          <w:snapToGrid w:val="0"/>
        </w:rPr>
        <w:t>Workers’ Compensation Reform Act 2004</w:t>
      </w:r>
      <w:r>
        <w:rPr>
          <w:snapToGrid w:val="0"/>
        </w:rPr>
        <w:t xml:space="preserve"> s. 5. The reference was changed under the </w:t>
      </w:r>
      <w:r>
        <w:rPr>
          <w:i/>
          <w:snapToGrid w:val="0"/>
        </w:rPr>
        <w:t>Reprints Act 1984</w:t>
      </w:r>
      <w:r>
        <w:rPr>
          <w:snapToGrid w:val="0"/>
        </w:rPr>
        <w:t xml:space="preserve"> s. 7(3)(gb)</w:t>
      </w:r>
      <w:r>
        <w:t>.</w:t>
      </w:r>
    </w:p>
    <w:p>
      <w:pPr>
        <w:pStyle w:val="nSubsection"/>
        <w:spacing w:before="90"/>
        <w:rPr>
          <w:snapToGrid w:val="0"/>
        </w:rPr>
      </w:pPr>
      <w:r>
        <w:rPr>
          <w:snapToGrid w:val="0"/>
          <w:vertAlign w:val="superscript"/>
        </w:rPr>
        <w:t>3</w:t>
      </w:r>
      <w:r>
        <w:rPr>
          <w:snapToGrid w:val="0"/>
        </w:rPr>
        <w:tab/>
        <w:t>Now called the General Account.</w:t>
      </w:r>
    </w:p>
    <w:p>
      <w:pPr>
        <w:pStyle w:val="nSubsection"/>
        <w:ind w:left="480" w:hanging="480"/>
      </w:pPr>
      <w:r>
        <w:rPr>
          <w:vertAlign w:val="superscript"/>
        </w:rPr>
        <w:t>4</w:t>
      </w:r>
      <w:r>
        <w:tab/>
        <w:t xml:space="preserve">Formerly referred to the </w:t>
      </w:r>
      <w:r>
        <w:rPr>
          <w:i/>
        </w:rPr>
        <w:t>Censorship Act 1996</w:t>
      </w:r>
      <w:r>
        <w:t xml:space="preserve"> the short title of which was changed to the </w:t>
      </w:r>
      <w:r>
        <w:rPr>
          <w:i/>
        </w:rPr>
        <w:t>Classification (Publications, Films and Computer Games) Enforcement Act 1996</w:t>
      </w:r>
      <w:r>
        <w:t xml:space="preserve"> by the </w:t>
      </w:r>
      <w:r>
        <w:rPr>
          <w:i/>
          <w:snapToGrid w:val="0"/>
        </w:rPr>
        <w:t>Censorship Amendment Act 2006</w:t>
      </w:r>
      <w:r>
        <w:rPr>
          <w:snapToGrid w:val="0"/>
        </w:rPr>
        <w:t xml:space="preserve"> s. 4(1). The reference was changed under the </w:t>
      </w:r>
      <w:r>
        <w:rPr>
          <w:i/>
          <w:snapToGrid w:val="0"/>
        </w:rPr>
        <w:t>Reprints Act 1984</w:t>
      </w:r>
      <w:r>
        <w:rPr>
          <w:snapToGrid w:val="0"/>
        </w:rPr>
        <w:t xml:space="preserve"> s. 7(3)(gb)</w:t>
      </w:r>
      <w:r>
        <w:t>.</w:t>
      </w:r>
    </w:p>
    <w:p>
      <w:pPr>
        <w:pStyle w:val="nSubsection"/>
        <w:rPr>
          <w:i/>
          <w:color w:val="000000"/>
        </w:rPr>
      </w:pPr>
      <w:r>
        <w:rPr>
          <w:vertAlign w:val="superscript"/>
        </w:rPr>
        <w:t>5</w:t>
      </w:r>
      <w:r>
        <w:rPr>
          <w:vertAlign w:val="superscript"/>
        </w:rPr>
        <w:tab/>
      </w:r>
      <w:r>
        <w:t>The</w:t>
      </w:r>
      <w:r>
        <w:rPr>
          <w:i/>
        </w:rPr>
        <w:t xml:space="preserve"> Companies (Co</w:t>
      </w:r>
      <w:r>
        <w:rPr>
          <w:i/>
        </w:rPr>
        <w:noBreakHyphen/>
        <w:t>operative) Act 1943</w:t>
      </w:r>
      <w:r>
        <w:t xml:space="preserve"> was repealed by the </w:t>
      </w:r>
      <w:r>
        <w:rPr>
          <w:i/>
          <w:color w:val="000000"/>
        </w:rPr>
        <w:t xml:space="preserve">Co-operatives Act 2009. </w:t>
      </w:r>
    </w:p>
    <w:p>
      <w:pPr>
        <w:pStyle w:val="nSubsection"/>
      </w:pPr>
      <w:r>
        <w:rPr>
          <w:vertAlign w:val="superscript"/>
        </w:rPr>
        <w:t>6</w:t>
      </w:r>
      <w:r>
        <w:tab/>
        <w:t xml:space="preserve">The </w:t>
      </w:r>
      <w:r>
        <w:rPr>
          <w:i/>
        </w:rPr>
        <w:t>Fines, Penalties and Infringement Notices Enforcement Amendment Regulations 1997</w:t>
      </w:r>
      <w:r>
        <w:t xml:space="preserve"> were published on 1 Aug 1997 p. 4394 and again on 4 Nov 1997 p. 6079</w:t>
      </w:r>
      <w:r>
        <w:noBreakHyphen/>
        <w:t>80.  The publication of 4 Nov 1997 has no effect.</w:t>
      </w:r>
    </w:p>
    <w:p/>
    <w:p>
      <w:pPr>
        <w:sectPr>
          <w:headerReference w:type="even" r:id="rId28"/>
          <w:headerReference w:type="default" r:id="rId29"/>
          <w:headerReference w:type="first" r:id="rId30"/>
          <w:type w:val="continuous"/>
          <w:pgSz w:w="11906" w:h="16838" w:code="9"/>
          <w:pgMar w:top="2376" w:right="2404" w:bottom="3544" w:left="2404" w:header="720" w:footer="3380" w:gutter="0"/>
          <w:cols w:space="720"/>
          <w:noEndnote/>
          <w:docGrid w:linePitch="326"/>
        </w:sectPr>
      </w:pPr>
    </w:p>
    <w:p/>
    <w:sectPr>
      <w:headerReference w:type="even" r:id="rId31"/>
      <w:headerReference w:type="default" r:id="rId32"/>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New Century Schoolbook">
    <w:altName w:val="Century Schoolbook"/>
    <w:panose1 w:val="00000000000000000000"/>
    <w:charset w:val="00"/>
    <w:family w:val="roman"/>
    <w:notTrueType/>
    <w:pitch w:val="default"/>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06 Dec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Jun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06-b0-00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06 Dec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Jun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06-b0-00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06 Dec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Jun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06-b0-00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Fines, Penalties and Infringement Notices Enforcement Regulations 1994</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Fines, Penalties and Infringement Notices Enforcement Regulations 1994</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Fines, Penalties and Infringement Notices Enforcement Regulations 1994</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Fines, Penalties and Infringement Notices Enforcement Regulations 1994</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Right"/>
          </w:pPr>
        </w:p>
      </w:tc>
      <w:tc>
        <w:tcPr>
          <w:tcW w:w="1548" w:type="dxa"/>
        </w:tcPr>
        <w:p>
          <w:pPr>
            <w:pStyle w:val="HeaderNumberRight"/>
            <w:ind w:right="17"/>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ActNameLeft"/>
          </w:pPr>
          <w:fldSimple w:instr=" STYLEREF &quot;Name of Act/Reg&quot; \* MERGEFORMAT ">
            <w:r>
              <w:rPr>
                <w:noProof/>
              </w:rPr>
              <w:t>Fines, Penalties and Infringement Notices Enforcement Regulations 1994</w:t>
            </w:r>
          </w:fldSimple>
        </w:p>
      </w:tc>
    </w:tr>
    <w:tr>
      <w:tc>
        <w:tcPr>
          <w:tcW w:w="1348" w:type="dxa"/>
        </w:tcPr>
        <w:p>
          <w:pPr>
            <w:pStyle w:val="HeaderNumberLeft"/>
          </w:pPr>
          <w:r>
            <w:t>Schedule 1</w:t>
          </w:r>
        </w:p>
      </w:tc>
      <w:tc>
        <w:tcPr>
          <w:tcW w:w="5915" w:type="dxa"/>
        </w:tcPr>
        <w:p>
          <w:pPr>
            <w:pStyle w:val="HeaderTextRight"/>
            <w:jc w:val="left"/>
          </w:pPr>
          <w:r>
            <w:rPr>
              <w:noProof/>
            </w:rPr>
            <w:t>Forms</w:t>
          </w:r>
        </w:p>
      </w:tc>
    </w:tr>
    <w:tr>
      <w:tc>
        <w:tcPr>
          <w:tcW w:w="1348" w:type="dxa"/>
        </w:tcPr>
        <w:p>
          <w:pPr>
            <w:pStyle w:val="HeaderNumberLeft"/>
            <w:rPr>
              <w:b w:val="0"/>
            </w:rPr>
          </w:pPr>
        </w:p>
      </w:tc>
      <w:tc>
        <w:tcPr>
          <w:tcW w:w="5915" w:type="dxa"/>
        </w:tcPr>
        <w:p>
          <w:pPr>
            <w:pStyle w:val="HeaderTextLeft"/>
          </w:pPr>
        </w:p>
      </w:tc>
    </w:tr>
    <w:tr>
      <w:tc>
        <w:tcPr>
          <w:tcW w:w="1348" w:type="dxa"/>
        </w:tcPr>
        <w:p>
          <w:pPr>
            <w:pStyle w:val="HeaderNumberLeft"/>
            <w:rPr>
              <w:b w:val="0"/>
            </w:rPr>
          </w:pPr>
          <w:r>
            <w:ptab w:relativeTo="margin" w:alignment="left" w:leader="none"/>
          </w:r>
          <w:r>
            <w:t xml:space="preserve">Form </w:t>
          </w:r>
          <w:r>
            <w:fldChar w:fldCharType="begin"/>
          </w:r>
          <w:r>
            <w:instrText xml:space="preserve"> IF </w:instrText>
          </w:r>
          <w:fldSimple w:instr=" StyleRef CharSClsNo ">
            <w:r>
              <w:rPr>
                <w:noProof/>
              </w:rPr>
              <w:instrText>1</w:instrText>
            </w:r>
          </w:fldSimple>
          <w:r>
            <w:instrText xml:space="preserve">= "" </w:instrText>
          </w:r>
          <w:fldSimple w:instr=" StyleRef CharSClsNo \n ">
            <w: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9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Fines, Penalties and Infringement Notices Enforcement Regulations 1994</w:t>
            </w:r>
          </w:fldSimple>
        </w:p>
      </w:tc>
    </w:tr>
    <w:tr>
      <w:tc>
        <w:tcPr>
          <w:tcW w:w="5715" w:type="dxa"/>
          <w:vAlign w:val="bottom"/>
        </w:tcPr>
        <w:p>
          <w:pPr>
            <w:pStyle w:val="HeaderTextRight"/>
          </w:pPr>
          <w:fldSimple w:instr=" styleref CharSchText ">
            <w:r>
              <w:rPr>
                <w:noProof/>
              </w:rPr>
              <w:t>Enforcement fees</w:t>
            </w:r>
          </w:fldSimple>
        </w:p>
      </w:tc>
      <w:tc>
        <w:tcPr>
          <w:tcW w:w="1548" w:type="dxa"/>
        </w:tcPr>
        <w:p>
          <w:pPr>
            <w:pStyle w:val="HeaderNumberRight"/>
            <w:ind w:right="17"/>
          </w:pPr>
          <w:fldSimple w:instr=" styleref CharSchno ">
            <w:r>
              <w:rPr>
                <w:noProof/>
              </w:rPr>
              <w:t>Schedule 2</w:t>
            </w:r>
          </w:fldSimple>
        </w:p>
      </w:tc>
    </w:tr>
    <w:tr>
      <w:tc>
        <w:tcPr>
          <w:tcW w:w="5715" w:type="dxa"/>
        </w:tcPr>
        <w:p>
          <w:pPr>
            <w:pStyle w:val="HeaderTextRight"/>
          </w:pPr>
          <w:fldSimple w:instr=" styleref CharSDivText ">
            <w:r>
              <w:rPr>
                <w:noProof/>
              </w:rPr>
              <w:t>Enforcement fees for Part 7 of the Act</w:t>
            </w:r>
          </w:fldSimple>
        </w:p>
      </w:tc>
      <w:tc>
        <w:tcPr>
          <w:tcW w:w="1548" w:type="dxa"/>
        </w:tcPr>
        <w:p>
          <w:pPr>
            <w:pStyle w:val="HeaderNumberRight"/>
            <w:ind w:right="17"/>
          </w:pPr>
          <w:r>
            <w:fldChar w:fldCharType="begin"/>
          </w:r>
          <w:r>
            <w:instrText xml:space="preserve"> STYLEREF CharSDivNo \* charformat</w:instrText>
          </w:r>
          <w:r>
            <w:fldChar w:fldCharType="separate"/>
          </w:r>
          <w:r>
            <w:rPr>
              <w:noProof/>
            </w:rPr>
            <w:t>Division 3</w:t>
          </w:r>
          <w:r>
            <w:fldChar w:fldCharType="end"/>
          </w:r>
        </w:p>
      </w:tc>
    </w:tr>
    <w:tr>
      <w:tc>
        <w:tcPr>
          <w:tcW w:w="5715" w:type="dxa"/>
        </w:tcPr>
        <w:p>
          <w:pPr>
            <w:pStyle w:val="HeaderTextRight"/>
          </w:pPr>
        </w:p>
      </w:tc>
      <w:tc>
        <w:tcPr>
          <w:tcW w:w="1548" w:type="dxa"/>
        </w:tcPr>
        <w:p>
          <w:pPr>
            <w:pStyle w:val="HeaderNumberRight"/>
            <w:ind w:right="17"/>
          </w:pPr>
          <w:r>
            <w:t xml:space="preserve">Form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Fines, Penalties and Infringement Notices Enforcement Regulations 1994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Fines, Penalties and Infringement Notices Enforcement Regulations 1994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Fines, Penalties and Infringement Notices Enforcement Regulations 1994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Fines, Penalties and Infringement Notices Enforcement Regulations 1994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6" w15:restartNumberingAfterBreak="0">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15:restartNumberingAfterBreak="0">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2" w15:restartNumberingAfterBreak="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3"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6"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15:restartNumberingAfterBreak="0">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15:restartNumberingAfterBreak="0">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8"/>
  </w:num>
  <w:num w:numId="12">
    <w:abstractNumId w:val="22"/>
  </w:num>
  <w:num w:numId="13">
    <w:abstractNumId w:val="10"/>
  </w:num>
  <w:num w:numId="14">
    <w:abstractNumId w:val="18"/>
  </w:num>
  <w:num w:numId="15">
    <w:abstractNumId w:val="18"/>
  </w:num>
  <w:num w:numId="16">
    <w:abstractNumId w:val="9"/>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 w:numId="26">
    <w:abstractNumId w:val="22"/>
  </w:num>
  <w:num w:numId="27">
    <w:abstractNumId w:val="25"/>
  </w:num>
  <w:num w:numId="28">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567"/>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40619121713"/>
    <w:docVar w:name="WAFER_20131212164150" w:val="RemoveTocBookmarks,RemoveLanguageTags,RemoveTrackChanges,RunningHeaders"/>
    <w:docVar w:name="WAFER_20131212164150_GUID" w:val="129ebbb2-0178-4c54-9e9f-a19eaf4b25ef"/>
    <w:docVar w:name="WAFER_20140115112942" w:val="RemoveTocBookmarks,RemoveUnusedBookmarks,RemoveLanguageTags,UsedStyles,ResetPageSize,UpdateArrangement"/>
    <w:docVar w:name="WAFER_20140115112942_GUID" w:val="a72c23c1-e58c-471b-8d36-fdaf3e753c52"/>
    <w:docVar w:name="WAFER_20140115113414" w:val="RemoveTocBookmarks,RunningHeaders"/>
    <w:docVar w:name="WAFER_20140115113414_GUID" w:val="2788520e-ac0b-4e2c-9087-3e9d7e34f4b0"/>
    <w:docVar w:name="WAFER_20140619121713" w:val="RemoveTocBookmarks,RemoveUnusedBookmarks,RemoveLanguageTags,UsedStyles,ResetPageSize,UpdateArrangement"/>
    <w:docVar w:name="WAFER_20140619121713_GUID" w:val="239e5cf7-dadc-4313-ad62-11182d9ddce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Type"/>
  <w:smartTagType w:namespaceuri="urn:schemas-microsoft-com:office:smarttags" w:name="PlaceName"/>
  <w:smartTagType w:namespaceuri="urn:schemas-microsoft-com:office:smarttags" w:name="State"/>
  <w:smartTagType w:namespaceuri="urn:schemas-microsoft-com:office:smarttags" w:name="place"/>
  <w:shapeDefaults>
    <o:shapedefaults v:ext="edit" spidmax="4097"/>
    <o:shapelayout v:ext="edit">
      <o:idmap v:ext="edit" data="1"/>
    </o:shapelayout>
  </w:shapeDefaults>
  <w:decimalSymbol w:val="."/>
  <w:listSeparator w:val=","/>
  <w15:docId w15:val="{CF7EC1C3-3BC9-44B4-82D6-1C1824D2F3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DefinedTerms">
    <w:name w:val="Defined Terms"/>
    <w:pPr>
      <w:tabs>
        <w:tab w:val="right" w:leader="dot" w:pos="7070"/>
      </w:tabs>
      <w:ind w:left="578" w:right="578"/>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style>
  <w:style w:type="paragraph" w:styleId="BalloonText">
    <w:name w:val="Balloon Text"/>
    <w:basedOn w:val="Normal"/>
    <w:semiHidden/>
    <w:rPr>
      <w:rFonts w:ascii="Tahoma" w:hAnsi="Tahoma" w:cs="Tahoma"/>
      <w:sz w:val="16"/>
      <w:szCs w:val="16"/>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0.xml"/><Relationship Id="rId3" Type="http://schemas.openxmlformats.org/officeDocument/2006/relationships/styles" Target="styles.xml"/><Relationship Id="rId21" Type="http://schemas.openxmlformats.org/officeDocument/2006/relationships/footer" Target="footer6.xml"/><Relationship Id="rId34" Type="http://schemas.microsoft.com/office/2011/relationships/people" Target="peop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image" Target="media/image3.png"/><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92BCF1F-CF88-46CF-A34E-A6C252EB5C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7951</Words>
  <Characters>40634</Characters>
  <Application>Microsoft Office Word</Application>
  <DocSecurity>0</DocSecurity>
  <Lines>1625</Lines>
  <Paragraphs>991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47594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Fines, Penalties and Infringement Notices Enforcement Regulations 1994 06-a0-02 - 06-b0-00</dc:title>
  <dc:subject/>
  <dc:creator/>
  <cp:keywords/>
  <dc:description/>
  <cp:lastModifiedBy>Master Repository Process</cp:lastModifiedBy>
  <cp:revision>2</cp:revision>
  <cp:lastPrinted>2013-12-12T01:31:00Z</cp:lastPrinted>
  <dcterms:created xsi:type="dcterms:W3CDTF">2021-08-28T00:15:00Z</dcterms:created>
  <dcterms:modified xsi:type="dcterms:W3CDTF">2021-08-28T00:16:00Z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December 1994 pp.7232-41</vt:lpwstr>
  </property>
  <property fmtid="{D5CDD505-2E9C-101B-9397-08002B2CF9AE}" pid="3" name="CommencementDate">
    <vt:lpwstr>20140621</vt:lpwstr>
  </property>
  <property fmtid="{D5CDD505-2E9C-101B-9397-08002B2CF9AE}" pid="4" name="DocumentType">
    <vt:lpwstr>Reg</vt:lpwstr>
  </property>
  <property fmtid="{D5CDD505-2E9C-101B-9397-08002B2CF9AE}" pid="5" name="OwlsUID">
    <vt:i4>4443</vt:i4>
  </property>
  <property fmtid="{D5CDD505-2E9C-101B-9397-08002B2CF9AE}" pid="6" name="ReprintNo">
    <vt:lpwstr>6</vt:lpwstr>
  </property>
  <property fmtid="{D5CDD505-2E9C-101B-9397-08002B2CF9AE}" pid="7" name="ReprintedAsAt">
    <vt:filetime>2013-12-05T16:00:00Z</vt:filetime>
  </property>
  <property fmtid="{D5CDD505-2E9C-101B-9397-08002B2CF9AE}" pid="8" name="FromSuffix">
    <vt:lpwstr>06-a0-02</vt:lpwstr>
  </property>
  <property fmtid="{D5CDD505-2E9C-101B-9397-08002B2CF9AE}" pid="9" name="FromAsAtDate">
    <vt:lpwstr>06 Dec 2013</vt:lpwstr>
  </property>
  <property fmtid="{D5CDD505-2E9C-101B-9397-08002B2CF9AE}" pid="10" name="ToSuffix">
    <vt:lpwstr>06-b0-00</vt:lpwstr>
  </property>
  <property fmtid="{D5CDD505-2E9C-101B-9397-08002B2CF9AE}" pid="11" name="ToAsAtDate">
    <vt:lpwstr>21 Jun 2014</vt:lpwstr>
  </property>
</Properties>
</file>