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2014</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25 Jun 2014</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0" w:name="_Toc391299389"/>
      <w:bookmarkStart w:id="1" w:name="_Toc391299489"/>
      <w:bookmarkStart w:id="2" w:name="_Toc387064579"/>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rPr>
          <w:snapToGrid w:val="0"/>
        </w:rPr>
      </w:pPr>
      <w:bookmarkStart w:id="4" w:name="_Toc391299490"/>
      <w:bookmarkStart w:id="5" w:name="_Toc387064580"/>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6" w:name="_Toc391299491"/>
      <w:bookmarkStart w:id="7" w:name="_Toc387064581"/>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8" w:name="_Toc391299492"/>
      <w:bookmarkStart w:id="9" w:name="_Toc387064582"/>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pPr>
      <w:r>
        <w:tab/>
        <w:t>[Rule 3 amended in Gazette 5 Dec 1997 p. 7131; 9 Mar 2001 p. 1325; 28 Mar 2002 p. 1765; 10 Sep 2002 p. 4597; 6 Jun 2008 p. 2253-4.]</w:t>
      </w:r>
    </w:p>
    <w:p>
      <w:pPr>
        <w:pStyle w:val="Heading2"/>
      </w:pPr>
      <w:bookmarkStart w:id="10" w:name="_Toc391299393"/>
      <w:bookmarkStart w:id="11" w:name="_Toc391299493"/>
      <w:bookmarkStart w:id="12" w:name="_Toc387064583"/>
      <w:r>
        <w:rPr>
          <w:rStyle w:val="CharPartNo"/>
        </w:rPr>
        <w:t>Part 2</w:t>
      </w:r>
      <w:r>
        <w:rPr>
          <w:rStyle w:val="CharDivNo"/>
        </w:rPr>
        <w:t> </w:t>
      </w:r>
      <w:r>
        <w:t>—</w:t>
      </w:r>
      <w:r>
        <w:rPr>
          <w:rStyle w:val="CharDivText"/>
        </w:rPr>
        <w:t> </w:t>
      </w:r>
      <w:r>
        <w:rPr>
          <w:rStyle w:val="CharPartText"/>
        </w:rPr>
        <w:t>Requirements for entry</w:t>
      </w:r>
      <w:bookmarkEnd w:id="10"/>
      <w:bookmarkEnd w:id="11"/>
      <w:bookmarkEnd w:id="12"/>
    </w:p>
    <w:p>
      <w:pPr>
        <w:pStyle w:val="Heading5"/>
        <w:rPr>
          <w:snapToGrid w:val="0"/>
        </w:rPr>
      </w:pPr>
      <w:bookmarkStart w:id="13" w:name="_Toc391299494"/>
      <w:bookmarkStart w:id="14" w:name="_Toc387064584"/>
      <w:r>
        <w:rPr>
          <w:rStyle w:val="CharSectno"/>
        </w:rPr>
        <w:t>4</w:t>
      </w:r>
      <w:r>
        <w:rPr>
          <w:snapToGrid w:val="0"/>
        </w:rPr>
        <w:t>.</w:t>
      </w:r>
      <w:r>
        <w:rPr>
          <w:snapToGrid w:val="0"/>
        </w:rPr>
        <w:tab/>
        <w:t>Playslips, information on</w:t>
      </w:r>
      <w:bookmarkEnd w:id="13"/>
      <w:bookmarkEnd w:id="14"/>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pPr>
      <w:r>
        <w:tab/>
        <w:t>[Rule 4 amended in Gazette 6 Jun 2008 p. 2254.]</w:t>
      </w:r>
    </w:p>
    <w:p>
      <w:pPr>
        <w:pStyle w:val="Heading5"/>
        <w:rPr>
          <w:snapToGrid w:val="0"/>
        </w:rPr>
      </w:pPr>
      <w:bookmarkStart w:id="15" w:name="_Toc391299495"/>
      <w:bookmarkStart w:id="16" w:name="_Toc387064585"/>
      <w:r>
        <w:rPr>
          <w:rStyle w:val="CharSectno"/>
        </w:rPr>
        <w:t>5</w:t>
      </w:r>
      <w:r>
        <w:rPr>
          <w:snapToGrid w:val="0"/>
        </w:rPr>
        <w:t>.</w:t>
      </w:r>
      <w:r>
        <w:rPr>
          <w:snapToGrid w:val="0"/>
        </w:rPr>
        <w:tab/>
        <w:t>Methods of entry</w:t>
      </w:r>
      <w:bookmarkEnd w:id="15"/>
      <w:bookmarkEnd w:id="16"/>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r>
        <w:tab/>
        <w:t>[Rule 5 amended in Gazette 6 Jun 2008 p. 2255-6; 19 Nov 2010 p. 5730.]</w:t>
      </w:r>
    </w:p>
    <w:p>
      <w:pPr>
        <w:pStyle w:val="Heading5"/>
        <w:rPr>
          <w:snapToGrid w:val="0"/>
        </w:rPr>
      </w:pPr>
      <w:bookmarkStart w:id="17" w:name="_Toc391299496"/>
      <w:bookmarkStart w:id="18" w:name="_Toc387064586"/>
      <w:r>
        <w:rPr>
          <w:rStyle w:val="CharSectno"/>
        </w:rPr>
        <w:t>6</w:t>
      </w:r>
      <w:r>
        <w:rPr>
          <w:snapToGrid w:val="0"/>
        </w:rPr>
        <w:t>.</w:t>
      </w:r>
      <w:r>
        <w:rPr>
          <w:snapToGrid w:val="0"/>
        </w:rPr>
        <w:tab/>
        <w:t>No limit to number of entries</w:t>
      </w:r>
      <w:bookmarkEnd w:id="17"/>
      <w:bookmarkEnd w:id="18"/>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19" w:name="_Toc391299497"/>
      <w:bookmarkStart w:id="20" w:name="_Toc387064587"/>
      <w:r>
        <w:rPr>
          <w:rStyle w:val="CharSectno"/>
        </w:rPr>
        <w:t>7</w:t>
      </w:r>
      <w:r>
        <w:rPr>
          <w:snapToGrid w:val="0"/>
        </w:rPr>
        <w:t>.</w:t>
      </w:r>
      <w:r>
        <w:rPr>
          <w:snapToGrid w:val="0"/>
        </w:rPr>
        <w:tab/>
        <w:t>Super 66 entry may be made with lotto entry</w:t>
      </w:r>
      <w:bookmarkEnd w:id="19"/>
      <w:bookmarkEnd w:id="20"/>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21" w:name="_Toc391299498"/>
      <w:bookmarkStart w:id="22" w:name="_Toc387064588"/>
      <w:r>
        <w:rPr>
          <w:rStyle w:val="CharSectno"/>
        </w:rPr>
        <w:t>8</w:t>
      </w:r>
      <w:r>
        <w:rPr>
          <w:snapToGrid w:val="0"/>
        </w:rPr>
        <w:t>.</w:t>
      </w:r>
      <w:r>
        <w:rPr>
          <w:snapToGrid w:val="0"/>
        </w:rPr>
        <w:tab/>
        <w:t>Playslips, how to be filled out</w:t>
      </w:r>
      <w:bookmarkEnd w:id="21"/>
      <w:bookmarkEnd w:id="2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23" w:name="_Toc391299499"/>
      <w:bookmarkStart w:id="24" w:name="_Toc387064589"/>
      <w:r>
        <w:rPr>
          <w:rStyle w:val="CharSectno"/>
        </w:rPr>
        <w:t>8A</w:t>
      </w:r>
      <w:r>
        <w:t>.</w:t>
      </w:r>
      <w:r>
        <w:tab/>
        <w:t>Ticket repeat method of entry</w:t>
      </w:r>
      <w:bookmarkEnd w:id="23"/>
      <w:bookmarkEnd w:id="24"/>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25" w:name="_Toc391299500"/>
      <w:bookmarkStart w:id="26" w:name="_Toc387064590"/>
      <w:r>
        <w:rPr>
          <w:rStyle w:val="CharSectno"/>
        </w:rPr>
        <w:t>8B</w:t>
      </w:r>
      <w:r>
        <w:rPr>
          <w:snapToGrid w:val="0"/>
        </w:rPr>
        <w:t>.</w:t>
      </w:r>
      <w:r>
        <w:rPr>
          <w:snapToGrid w:val="0"/>
        </w:rPr>
        <w:tab/>
        <w:t>Favourite numbers, use of</w:t>
      </w:r>
      <w:bookmarkEnd w:id="25"/>
      <w:bookmarkEnd w:id="26"/>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27" w:name="_Toc391299501"/>
      <w:bookmarkStart w:id="28" w:name="_Toc387064591"/>
      <w:r>
        <w:rPr>
          <w:rStyle w:val="CharSectno"/>
        </w:rPr>
        <w:t>9</w:t>
      </w:r>
      <w:r>
        <w:rPr>
          <w:snapToGrid w:val="0"/>
        </w:rPr>
        <w:t>.</w:t>
      </w:r>
      <w:r>
        <w:rPr>
          <w:snapToGrid w:val="0"/>
        </w:rPr>
        <w:tab/>
        <w:t>Oral request for entry</w:t>
      </w:r>
      <w:bookmarkEnd w:id="27"/>
      <w:bookmarkEnd w:id="28"/>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29" w:name="_Toc391299502"/>
      <w:bookmarkStart w:id="30" w:name="_Toc387064592"/>
      <w:r>
        <w:rPr>
          <w:rStyle w:val="CharSectno"/>
        </w:rPr>
        <w:t>10</w:t>
      </w:r>
      <w:r>
        <w:rPr>
          <w:snapToGrid w:val="0"/>
        </w:rPr>
        <w:t>.</w:t>
      </w:r>
      <w:r>
        <w:rPr>
          <w:snapToGrid w:val="0"/>
        </w:rPr>
        <w:tab/>
        <w:t>Postal entry</w:t>
      </w:r>
      <w:bookmarkEnd w:id="29"/>
      <w:bookmarkEnd w:id="3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31" w:name="_Toc391299503"/>
      <w:bookmarkStart w:id="32" w:name="_Toc387064593"/>
      <w:r>
        <w:rPr>
          <w:rStyle w:val="CharSectno"/>
        </w:rPr>
        <w:t>11</w:t>
      </w:r>
      <w:r>
        <w:rPr>
          <w:snapToGrid w:val="0"/>
        </w:rPr>
        <w:t>.</w:t>
      </w:r>
      <w:r>
        <w:rPr>
          <w:snapToGrid w:val="0"/>
        </w:rPr>
        <w:tab/>
        <w:t>Receipted tickets to be issued</w:t>
      </w:r>
      <w:bookmarkEnd w:id="31"/>
      <w:bookmarkEnd w:id="32"/>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2259-60.]</w:t>
      </w:r>
    </w:p>
    <w:p>
      <w:pPr>
        <w:pStyle w:val="Heading5"/>
        <w:rPr>
          <w:snapToGrid w:val="0"/>
        </w:rPr>
      </w:pPr>
      <w:bookmarkStart w:id="33" w:name="_Toc391299504"/>
      <w:bookmarkStart w:id="34" w:name="_Toc387064594"/>
      <w:r>
        <w:rPr>
          <w:rStyle w:val="CharSectno"/>
        </w:rPr>
        <w:t>12</w:t>
      </w:r>
      <w:r>
        <w:rPr>
          <w:snapToGrid w:val="0"/>
        </w:rPr>
        <w:t>.</w:t>
      </w:r>
      <w:r>
        <w:rPr>
          <w:snapToGrid w:val="0"/>
        </w:rPr>
        <w:tab/>
        <w:t>Receipted tickets, surrender of</w:t>
      </w:r>
      <w:bookmarkEnd w:id="33"/>
      <w:bookmarkEnd w:id="34"/>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35" w:name="_Toc391299505"/>
      <w:bookmarkStart w:id="36" w:name="_Toc387064595"/>
      <w:r>
        <w:rPr>
          <w:rStyle w:val="CharSectno"/>
        </w:rPr>
        <w:t>13</w:t>
      </w:r>
      <w:r>
        <w:rPr>
          <w:snapToGrid w:val="0"/>
        </w:rPr>
        <w:t>.</w:t>
      </w:r>
      <w:r>
        <w:rPr>
          <w:snapToGrid w:val="0"/>
        </w:rPr>
        <w:tab/>
        <w:t>Receipted tickets, agents not required to check accuracy of</w:t>
      </w:r>
      <w:bookmarkEnd w:id="35"/>
      <w:bookmarkEnd w:id="36"/>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37" w:name="_Toc391299506"/>
      <w:bookmarkStart w:id="38" w:name="_Toc387064596"/>
      <w:r>
        <w:rPr>
          <w:rStyle w:val="CharSectno"/>
        </w:rPr>
        <w:t>14</w:t>
      </w:r>
      <w:r>
        <w:rPr>
          <w:snapToGrid w:val="0"/>
        </w:rPr>
        <w:t>.</w:t>
      </w:r>
      <w:r>
        <w:rPr>
          <w:snapToGrid w:val="0"/>
        </w:rPr>
        <w:tab/>
        <w:t>Receipted tickets, effect of</w:t>
      </w:r>
      <w:bookmarkEnd w:id="37"/>
      <w:bookmarkEnd w:id="3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39" w:name="_Toc391299407"/>
      <w:bookmarkStart w:id="40" w:name="_Toc391299507"/>
      <w:bookmarkStart w:id="41" w:name="_Toc387064597"/>
      <w:r>
        <w:rPr>
          <w:rStyle w:val="CharPartNo"/>
        </w:rPr>
        <w:t>Part 2A</w:t>
      </w:r>
      <w:r>
        <w:rPr>
          <w:b w:val="0"/>
        </w:rPr>
        <w:t> </w:t>
      </w:r>
      <w:r>
        <w:t>—</w:t>
      </w:r>
      <w:r>
        <w:rPr>
          <w:b w:val="0"/>
        </w:rPr>
        <w:t> </w:t>
      </w:r>
      <w:r>
        <w:rPr>
          <w:rStyle w:val="CharPartText"/>
        </w:rPr>
        <w:t>Syndicate entries</w:t>
      </w:r>
      <w:bookmarkEnd w:id="39"/>
      <w:bookmarkEnd w:id="40"/>
      <w:bookmarkEnd w:id="41"/>
    </w:p>
    <w:p>
      <w:pPr>
        <w:pStyle w:val="Footnoteheading"/>
      </w:pPr>
      <w:r>
        <w:tab/>
        <w:t>[Heading inserted in Gazette 6 Jun 2008 p. 2261.]</w:t>
      </w:r>
    </w:p>
    <w:p>
      <w:pPr>
        <w:pStyle w:val="Heading5"/>
      </w:pPr>
      <w:bookmarkStart w:id="42" w:name="_Toc391299508"/>
      <w:bookmarkStart w:id="43" w:name="_Toc387064598"/>
      <w:r>
        <w:rPr>
          <w:rStyle w:val="CharSectno"/>
        </w:rPr>
        <w:t>14A</w:t>
      </w:r>
      <w:r>
        <w:t>.</w:t>
      </w:r>
      <w:r>
        <w:tab/>
        <w:t>Informal syndicate entries; application of this Part</w:t>
      </w:r>
      <w:bookmarkEnd w:id="42"/>
      <w:bookmarkEnd w:id="43"/>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44" w:name="_Toc391299509"/>
      <w:bookmarkStart w:id="45" w:name="_Toc387064599"/>
      <w:r>
        <w:rPr>
          <w:rStyle w:val="CharSectno"/>
        </w:rPr>
        <w:t>14B</w:t>
      </w:r>
      <w:r>
        <w:t>.</w:t>
      </w:r>
      <w:r>
        <w:tab/>
        <w:t>Creating a syndicate</w:t>
      </w:r>
      <w:bookmarkEnd w:id="44"/>
      <w:bookmarkEnd w:id="4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46" w:name="_Toc391299510"/>
      <w:bookmarkStart w:id="47" w:name="_Toc387064600"/>
      <w:r>
        <w:rPr>
          <w:rStyle w:val="CharSectno"/>
        </w:rPr>
        <w:t>14C</w:t>
      </w:r>
      <w:r>
        <w:t>.</w:t>
      </w:r>
      <w:r>
        <w:tab/>
        <w:t>Syndicate share numbers and cost parameters</w:t>
      </w:r>
      <w:bookmarkEnd w:id="46"/>
      <w:bookmarkEnd w:id="47"/>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48" w:name="_Toc391299511"/>
      <w:bookmarkStart w:id="49" w:name="_Toc387064601"/>
      <w:r>
        <w:rPr>
          <w:rStyle w:val="CharSectno"/>
        </w:rPr>
        <w:t>14D</w:t>
      </w:r>
      <w:r>
        <w:t>.</w:t>
      </w:r>
      <w:r>
        <w:tab/>
        <w:t>Agent’s component of syndicate share</w:t>
      </w:r>
      <w:bookmarkEnd w:id="48"/>
      <w:bookmarkEnd w:id="49"/>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50" w:name="_Toc391299512"/>
      <w:bookmarkStart w:id="51" w:name="_Toc387064602"/>
      <w:r>
        <w:rPr>
          <w:rStyle w:val="CharSectno"/>
        </w:rPr>
        <w:t>14E</w:t>
      </w:r>
      <w:r>
        <w:t>.</w:t>
      </w:r>
      <w:r>
        <w:tab/>
        <w:t>Syndicate participation parameters</w:t>
      </w:r>
      <w:bookmarkEnd w:id="50"/>
      <w:bookmarkEnd w:id="5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52" w:name="_Toc391299513"/>
      <w:bookmarkStart w:id="53" w:name="_Toc387064603"/>
      <w:r>
        <w:rPr>
          <w:rStyle w:val="CharSectno"/>
        </w:rPr>
        <w:t>14F</w:t>
      </w:r>
      <w:r>
        <w:t>.</w:t>
      </w:r>
      <w:r>
        <w:tab/>
        <w:t>Types of syndicate entries</w:t>
      </w:r>
      <w:bookmarkEnd w:id="52"/>
      <w:bookmarkEnd w:id="53"/>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54" w:name="_Toc391299514"/>
      <w:bookmarkStart w:id="55" w:name="_Toc387064604"/>
      <w:r>
        <w:rPr>
          <w:rStyle w:val="CharSectno"/>
        </w:rPr>
        <w:t>14G</w:t>
      </w:r>
      <w:r>
        <w:t>.</w:t>
      </w:r>
      <w:r>
        <w:tab/>
        <w:t>Syndicate share receipted ticket, registering and cancelling</w:t>
      </w:r>
      <w:bookmarkEnd w:id="54"/>
      <w:bookmarkEnd w:id="55"/>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56" w:name="_Toc391299515"/>
      <w:bookmarkStart w:id="57" w:name="_Toc387064605"/>
      <w:r>
        <w:rPr>
          <w:rStyle w:val="CharSectno"/>
        </w:rPr>
        <w:t>14H</w:t>
      </w:r>
      <w:r>
        <w:t>.</w:t>
      </w:r>
      <w:r>
        <w:tab/>
        <w:t>Unsold shares in some syndicates; syndicate master ticket</w:t>
      </w:r>
      <w:bookmarkEnd w:id="56"/>
      <w:bookmarkEnd w:id="5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58" w:name="_Toc391299416"/>
      <w:bookmarkStart w:id="59" w:name="_Toc391299516"/>
      <w:bookmarkStart w:id="60" w:name="_Toc387064606"/>
      <w:r>
        <w:rPr>
          <w:rStyle w:val="CharPartNo"/>
        </w:rPr>
        <w:t>Part 3</w:t>
      </w:r>
      <w:r>
        <w:rPr>
          <w:rStyle w:val="CharDivNo"/>
        </w:rPr>
        <w:t> </w:t>
      </w:r>
      <w:r>
        <w:t>—</w:t>
      </w:r>
      <w:r>
        <w:rPr>
          <w:rStyle w:val="CharDivText"/>
        </w:rPr>
        <w:t> </w:t>
      </w:r>
      <w:r>
        <w:rPr>
          <w:rStyle w:val="CharPartText"/>
        </w:rPr>
        <w:t>General duties of Commission</w:t>
      </w:r>
      <w:bookmarkEnd w:id="58"/>
      <w:bookmarkEnd w:id="59"/>
      <w:bookmarkEnd w:id="60"/>
    </w:p>
    <w:p>
      <w:pPr>
        <w:pStyle w:val="Heading5"/>
        <w:rPr>
          <w:snapToGrid w:val="0"/>
        </w:rPr>
      </w:pPr>
      <w:bookmarkStart w:id="61" w:name="_Toc391299517"/>
      <w:bookmarkStart w:id="62" w:name="_Toc387064607"/>
      <w:r>
        <w:rPr>
          <w:rStyle w:val="CharSectno"/>
        </w:rPr>
        <w:t>15</w:t>
      </w:r>
      <w:r>
        <w:rPr>
          <w:snapToGrid w:val="0"/>
        </w:rPr>
        <w:t>.</w:t>
      </w:r>
      <w:r>
        <w:rPr>
          <w:snapToGrid w:val="0"/>
        </w:rPr>
        <w:tab/>
        <w:t>Each draw to be numbered</w:t>
      </w:r>
      <w:bookmarkEnd w:id="61"/>
      <w:bookmarkEnd w:id="62"/>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63" w:name="_Toc391299518"/>
      <w:bookmarkStart w:id="64" w:name="_Toc387064608"/>
      <w:r>
        <w:rPr>
          <w:rStyle w:val="CharSectno"/>
        </w:rPr>
        <w:t>16</w:t>
      </w:r>
      <w:r>
        <w:t>.</w:t>
      </w:r>
      <w:r>
        <w:tab/>
        <w:t>Saturday lotto to be supervised</w:t>
      </w:r>
      <w:bookmarkEnd w:id="63"/>
      <w:bookmarkEnd w:id="64"/>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65" w:name="_Toc391299519"/>
      <w:bookmarkStart w:id="66" w:name="_Toc387064609"/>
      <w:r>
        <w:rPr>
          <w:rStyle w:val="CharSectno"/>
        </w:rPr>
        <w:t>17</w:t>
      </w:r>
      <w:r>
        <w:rPr>
          <w:snapToGrid w:val="0"/>
        </w:rPr>
        <w:t>.</w:t>
      </w:r>
      <w:r>
        <w:rPr>
          <w:snapToGrid w:val="0"/>
        </w:rPr>
        <w:tab/>
        <w:t>Results etc. to be published</w:t>
      </w:r>
      <w:bookmarkEnd w:id="65"/>
      <w:bookmarkEnd w:id="66"/>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67" w:name="_Toc391299520"/>
      <w:bookmarkStart w:id="68" w:name="_Toc387064610"/>
      <w:r>
        <w:rPr>
          <w:rStyle w:val="CharSectno"/>
        </w:rPr>
        <w:t>18</w:t>
      </w:r>
      <w:r>
        <w:rPr>
          <w:snapToGrid w:val="0"/>
        </w:rPr>
        <w:t>.</w:t>
      </w:r>
      <w:r>
        <w:rPr>
          <w:snapToGrid w:val="0"/>
        </w:rPr>
        <w:tab/>
        <w:t>Australian Lotto Bloc prize pool and prize reserve fund</w:t>
      </w:r>
      <w:bookmarkEnd w:id="67"/>
      <w:bookmarkEnd w:id="68"/>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69" w:name="_Toc391299421"/>
      <w:bookmarkStart w:id="70" w:name="_Toc391299521"/>
      <w:bookmarkStart w:id="71" w:name="_Toc387064611"/>
      <w:r>
        <w:rPr>
          <w:rStyle w:val="CharPartNo"/>
        </w:rPr>
        <w:t>Part 4</w:t>
      </w:r>
      <w:r>
        <w:rPr>
          <w:rStyle w:val="CharDivNo"/>
        </w:rPr>
        <w:t> </w:t>
      </w:r>
      <w:r>
        <w:t>—</w:t>
      </w:r>
      <w:r>
        <w:rPr>
          <w:rStyle w:val="CharDivText"/>
        </w:rPr>
        <w:t> </w:t>
      </w:r>
      <w:r>
        <w:rPr>
          <w:rStyle w:val="CharPartText"/>
        </w:rPr>
        <w:t>Saturday lotto draw</w:t>
      </w:r>
      <w:bookmarkEnd w:id="69"/>
      <w:bookmarkEnd w:id="70"/>
      <w:bookmarkEnd w:id="71"/>
    </w:p>
    <w:p>
      <w:pPr>
        <w:pStyle w:val="Heading5"/>
        <w:spacing w:before="180"/>
        <w:rPr>
          <w:snapToGrid w:val="0"/>
        </w:rPr>
      </w:pPr>
      <w:bookmarkStart w:id="72" w:name="_Toc391299522"/>
      <w:bookmarkStart w:id="73" w:name="_Toc387064612"/>
      <w:r>
        <w:rPr>
          <w:rStyle w:val="CharSectno"/>
        </w:rPr>
        <w:t>19</w:t>
      </w:r>
      <w:r>
        <w:rPr>
          <w:snapToGrid w:val="0"/>
        </w:rPr>
        <w:t>.</w:t>
      </w:r>
      <w:r>
        <w:rPr>
          <w:snapToGrid w:val="0"/>
        </w:rPr>
        <w:tab/>
        <w:t>Draw, method of</w:t>
      </w:r>
      <w:bookmarkEnd w:id="72"/>
      <w:bookmarkEnd w:id="73"/>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74" w:name="_Toc391299523"/>
      <w:bookmarkStart w:id="75" w:name="_Toc387064613"/>
      <w:r>
        <w:rPr>
          <w:snapToGrid w:val="0"/>
        </w:rPr>
        <w:t>20.</w:t>
      </w:r>
      <w:r>
        <w:rPr>
          <w:snapToGrid w:val="0"/>
        </w:rPr>
        <w:tab/>
        <w:t>Criteria for winning</w:t>
      </w:r>
      <w:bookmarkEnd w:id="74"/>
      <w:bookmarkEnd w:id="75"/>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76" w:name="_Toc391299524"/>
      <w:bookmarkStart w:id="77" w:name="_Toc387064614"/>
      <w:r>
        <w:rPr>
          <w:snapToGrid w:val="0"/>
        </w:rPr>
        <w:t>21.</w:t>
      </w:r>
      <w:r>
        <w:rPr>
          <w:snapToGrid w:val="0"/>
        </w:rPr>
        <w:tab/>
        <w:t>Which divisions can be won by a receipted ticket</w:t>
      </w:r>
      <w:bookmarkEnd w:id="76"/>
      <w:bookmarkEnd w:id="77"/>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78" w:name="_Toc391299525"/>
      <w:bookmarkStart w:id="79" w:name="_Toc387064615"/>
      <w:r>
        <w:rPr>
          <w:rStyle w:val="CharSectno"/>
        </w:rPr>
        <w:t>22</w:t>
      </w:r>
      <w:r>
        <w:rPr>
          <w:snapToGrid w:val="0"/>
        </w:rPr>
        <w:t>.</w:t>
      </w:r>
      <w:r>
        <w:rPr>
          <w:snapToGrid w:val="0"/>
        </w:rPr>
        <w:tab/>
        <w:t>Prize pool, distribution of</w:t>
      </w:r>
      <w:bookmarkEnd w:id="78"/>
      <w:bookmarkEnd w:id="79"/>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80" w:name="_Toc391299526"/>
      <w:bookmarkStart w:id="81" w:name="_Toc387064616"/>
      <w:r>
        <w:rPr>
          <w:rStyle w:val="CharSectno"/>
        </w:rPr>
        <w:t>23</w:t>
      </w:r>
      <w:r>
        <w:rPr>
          <w:snapToGrid w:val="0"/>
        </w:rPr>
        <w:t>.</w:t>
      </w:r>
      <w:r>
        <w:rPr>
          <w:snapToGrid w:val="0"/>
        </w:rPr>
        <w:tab/>
        <w:t>Division 1 prize not won, application of prize pool in case of</w:t>
      </w:r>
      <w:bookmarkEnd w:id="80"/>
      <w:bookmarkEnd w:id="81"/>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82" w:name="_Toc391299527"/>
      <w:bookmarkStart w:id="83" w:name="_Toc387064617"/>
      <w:r>
        <w:rPr>
          <w:rStyle w:val="CharSectno"/>
        </w:rPr>
        <w:t>24</w:t>
      </w:r>
      <w:r>
        <w:rPr>
          <w:snapToGrid w:val="0"/>
        </w:rPr>
        <w:t>.</w:t>
      </w:r>
      <w:r>
        <w:rPr>
          <w:snapToGrid w:val="0"/>
        </w:rPr>
        <w:tab/>
        <w:t>Division 2 to 5 prize not won, application of prize pool in case of</w:t>
      </w:r>
      <w:bookmarkEnd w:id="82"/>
      <w:bookmarkEnd w:id="83"/>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84" w:name="_Toc391299528"/>
      <w:bookmarkStart w:id="85" w:name="_Toc387064618"/>
      <w:r>
        <w:rPr>
          <w:rStyle w:val="CharSectno"/>
        </w:rPr>
        <w:t>25</w:t>
      </w:r>
      <w:r>
        <w:rPr>
          <w:snapToGrid w:val="0"/>
        </w:rPr>
        <w:t>.</w:t>
      </w:r>
      <w:r>
        <w:rPr>
          <w:snapToGrid w:val="0"/>
        </w:rPr>
        <w:tab/>
        <w:t>Bonus draws and guaranteed prize pools</w:t>
      </w:r>
      <w:bookmarkEnd w:id="84"/>
      <w:bookmarkEnd w:id="85"/>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86" w:name="_Toc391299529"/>
      <w:bookmarkStart w:id="87" w:name="_Toc387064619"/>
      <w:r>
        <w:rPr>
          <w:rStyle w:val="CharSectno"/>
        </w:rPr>
        <w:t>26</w:t>
      </w:r>
      <w:r>
        <w:rPr>
          <w:snapToGrid w:val="0"/>
        </w:rPr>
        <w:t>.</w:t>
      </w:r>
      <w:r>
        <w:rPr>
          <w:snapToGrid w:val="0"/>
        </w:rPr>
        <w:tab/>
        <w:t>Division 1 prizes, claims for and payment of</w:t>
      </w:r>
      <w:bookmarkEnd w:id="86"/>
      <w:bookmarkEnd w:id="87"/>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88" w:name="_Toc391299530"/>
      <w:bookmarkStart w:id="89" w:name="_Toc387064620"/>
      <w:r>
        <w:rPr>
          <w:rStyle w:val="CharSectno"/>
        </w:rPr>
        <w:t>27</w:t>
      </w:r>
      <w:r>
        <w:rPr>
          <w:snapToGrid w:val="0"/>
        </w:rPr>
        <w:t>.</w:t>
      </w:r>
      <w:r>
        <w:rPr>
          <w:snapToGrid w:val="0"/>
        </w:rPr>
        <w:tab/>
        <w:t>Division 2 prizes, claims for and payment of</w:t>
      </w:r>
      <w:bookmarkEnd w:id="88"/>
      <w:bookmarkEnd w:id="89"/>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90" w:name="_Toc391299531"/>
      <w:bookmarkStart w:id="91" w:name="_Toc387064621"/>
      <w:r>
        <w:rPr>
          <w:rStyle w:val="CharSectno"/>
        </w:rPr>
        <w:t>28</w:t>
      </w:r>
      <w:r>
        <w:rPr>
          <w:snapToGrid w:val="0"/>
        </w:rPr>
        <w:t>.</w:t>
      </w:r>
      <w:r>
        <w:rPr>
          <w:snapToGrid w:val="0"/>
        </w:rPr>
        <w:tab/>
        <w:t>Division 3 to 6 prizes, claims for and payment of</w:t>
      </w:r>
      <w:bookmarkEnd w:id="90"/>
      <w:bookmarkEnd w:id="91"/>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92" w:name="_Toc391299532"/>
      <w:bookmarkStart w:id="93" w:name="_Toc387064622"/>
      <w:r>
        <w:rPr>
          <w:rStyle w:val="CharSectno"/>
        </w:rPr>
        <w:t>28A</w:t>
      </w:r>
      <w:r>
        <w:t>.</w:t>
      </w:r>
      <w:r>
        <w:tab/>
        <w:t>Syndicate share prizes, claims for and payment of</w:t>
      </w:r>
      <w:bookmarkEnd w:id="92"/>
      <w:bookmarkEnd w:id="93"/>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94" w:name="_Toc391299533"/>
      <w:bookmarkStart w:id="95" w:name="_Toc387064623"/>
      <w:r>
        <w:rPr>
          <w:rStyle w:val="CharSectno"/>
        </w:rPr>
        <w:t>29</w:t>
      </w:r>
      <w:r>
        <w:rPr>
          <w:snapToGrid w:val="0"/>
        </w:rPr>
        <w:t>.</w:t>
      </w:r>
      <w:r>
        <w:rPr>
          <w:snapToGrid w:val="0"/>
        </w:rPr>
        <w:tab/>
        <w:t>Statutory declaration as to compliance with law, Commission may require</w:t>
      </w:r>
      <w:bookmarkEnd w:id="94"/>
      <w:bookmarkEnd w:id="95"/>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96" w:name="_Toc391299534"/>
      <w:bookmarkStart w:id="97" w:name="_Toc387064624"/>
      <w:r>
        <w:rPr>
          <w:rStyle w:val="CharSectno"/>
        </w:rPr>
        <w:t>30</w:t>
      </w:r>
      <w:r>
        <w:rPr>
          <w:snapToGrid w:val="0"/>
        </w:rPr>
        <w:t>.</w:t>
      </w:r>
      <w:r>
        <w:rPr>
          <w:snapToGrid w:val="0"/>
        </w:rPr>
        <w:tab/>
        <w:t>Names and addresses of prize winners, publishing</w:t>
      </w:r>
      <w:bookmarkEnd w:id="96"/>
      <w:bookmarkEnd w:id="97"/>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98" w:name="_Toc391299535"/>
      <w:bookmarkStart w:id="99" w:name="_Toc387064625"/>
      <w:r>
        <w:rPr>
          <w:rStyle w:val="CharSectno"/>
        </w:rPr>
        <w:t>31</w:t>
      </w:r>
      <w:r>
        <w:rPr>
          <w:snapToGrid w:val="0"/>
        </w:rPr>
        <w:t>.</w:t>
      </w:r>
      <w:r>
        <w:rPr>
          <w:snapToGrid w:val="0"/>
        </w:rPr>
        <w:tab/>
        <w:t>Player Registration Service</w:t>
      </w:r>
      <w:bookmarkEnd w:id="98"/>
      <w:bookmarkEnd w:id="99"/>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100" w:name="_Toc391299536"/>
      <w:bookmarkStart w:id="101" w:name="_Toc387064626"/>
      <w:r>
        <w:rPr>
          <w:rStyle w:val="CharSectno"/>
        </w:rPr>
        <w:t>31A</w:t>
      </w:r>
      <w:r>
        <w:t>.</w:t>
      </w:r>
      <w:r>
        <w:tab/>
        <w:t>Player’s card holders may request direct credit of prizes</w:t>
      </w:r>
      <w:bookmarkEnd w:id="100"/>
      <w:bookmarkEnd w:id="10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102" w:name="_Toc391299537"/>
      <w:bookmarkStart w:id="103" w:name="_Toc387064627"/>
      <w:r>
        <w:rPr>
          <w:rStyle w:val="CharSectno"/>
        </w:rPr>
        <w:t>31B</w:t>
      </w:r>
      <w:r>
        <w:t>.</w:t>
      </w:r>
      <w:r>
        <w:tab/>
        <w:t>Favourite numbers, registering by subscribers</w:t>
      </w:r>
      <w:bookmarkEnd w:id="102"/>
      <w:bookmarkEnd w:id="103"/>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104" w:name="_Toc391299438"/>
      <w:bookmarkStart w:id="105" w:name="_Toc391299538"/>
      <w:bookmarkStart w:id="106" w:name="_Toc387064628"/>
      <w:r>
        <w:rPr>
          <w:rStyle w:val="CharPartNo"/>
        </w:rPr>
        <w:t>Part 5</w:t>
      </w:r>
      <w:r>
        <w:rPr>
          <w:rStyle w:val="CharDivNo"/>
        </w:rPr>
        <w:t> </w:t>
      </w:r>
      <w:r>
        <w:t>—</w:t>
      </w:r>
      <w:r>
        <w:rPr>
          <w:rStyle w:val="CharDivText"/>
        </w:rPr>
        <w:t> </w:t>
      </w:r>
      <w:r>
        <w:rPr>
          <w:rStyle w:val="CharPartText"/>
        </w:rPr>
        <w:t>Miscellaneous</w:t>
      </w:r>
      <w:bookmarkEnd w:id="104"/>
      <w:bookmarkEnd w:id="105"/>
      <w:bookmarkEnd w:id="106"/>
    </w:p>
    <w:p>
      <w:pPr>
        <w:pStyle w:val="Heading5"/>
        <w:rPr>
          <w:snapToGrid w:val="0"/>
        </w:rPr>
      </w:pPr>
      <w:bookmarkStart w:id="107" w:name="_Toc391299539"/>
      <w:bookmarkStart w:id="108" w:name="_Toc387064629"/>
      <w:r>
        <w:rPr>
          <w:rStyle w:val="CharSectno"/>
        </w:rPr>
        <w:t>32</w:t>
      </w:r>
      <w:r>
        <w:rPr>
          <w:snapToGrid w:val="0"/>
        </w:rPr>
        <w:t>.</w:t>
      </w:r>
      <w:r>
        <w:rPr>
          <w:snapToGrid w:val="0"/>
        </w:rPr>
        <w:tab/>
        <w:t>Instructions on playslips etc., status of</w:t>
      </w:r>
      <w:bookmarkEnd w:id="107"/>
      <w:bookmarkEnd w:id="108"/>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109" w:name="_Toc391299540"/>
      <w:bookmarkStart w:id="110" w:name="_Toc387064630"/>
      <w:r>
        <w:rPr>
          <w:rStyle w:val="CharSectno"/>
        </w:rPr>
        <w:t>33</w:t>
      </w:r>
      <w:r>
        <w:rPr>
          <w:snapToGrid w:val="0"/>
        </w:rPr>
        <w:t>.</w:t>
      </w:r>
      <w:r>
        <w:rPr>
          <w:snapToGrid w:val="0"/>
        </w:rPr>
        <w:tab/>
        <w:t>These rules to be made available etc.</w:t>
      </w:r>
      <w:bookmarkEnd w:id="109"/>
      <w:bookmarkEnd w:id="110"/>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11" w:name="_Toc391299541"/>
      <w:bookmarkStart w:id="112" w:name="_Toc387064631"/>
      <w:r>
        <w:rPr>
          <w:rStyle w:val="CharSectno"/>
        </w:rPr>
        <w:t>34</w:t>
      </w:r>
      <w:r>
        <w:rPr>
          <w:snapToGrid w:val="0"/>
        </w:rPr>
        <w:t>.</w:t>
      </w:r>
      <w:r>
        <w:rPr>
          <w:snapToGrid w:val="0"/>
        </w:rPr>
        <w:tab/>
        <w:t>Commission’s decisions are final</w:t>
      </w:r>
      <w:bookmarkEnd w:id="111"/>
      <w:bookmarkEnd w:id="112"/>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3" w:name="_Toc391299442"/>
      <w:bookmarkStart w:id="114" w:name="_Toc391299542"/>
      <w:bookmarkStart w:id="115" w:name="_Toc387064632"/>
      <w:r>
        <w:rPr>
          <w:rStyle w:val="CharSchNo"/>
        </w:rPr>
        <w:t>Schedule 1</w:t>
      </w:r>
      <w:r>
        <w:t> — </w:t>
      </w:r>
      <w:r>
        <w:rPr>
          <w:rStyle w:val="CharSchText"/>
        </w:rPr>
        <w:t>Calculating the total cost of entry — Saturday lotto draw</w:t>
      </w:r>
      <w:bookmarkEnd w:id="113"/>
      <w:bookmarkEnd w:id="114"/>
      <w:bookmarkEnd w:id="115"/>
    </w:p>
    <w:p>
      <w:pPr>
        <w:pStyle w:val="yShoulderClause"/>
      </w:pPr>
      <w:r>
        <w:t>[r. 5(1)]</w:t>
      </w:r>
    </w:p>
    <w:p>
      <w:pPr>
        <w:pStyle w:val="yFootnoteheading"/>
      </w:pPr>
      <w:r>
        <w:tab/>
        <w:t>[Heading inserted in Gazette 6 May 2014 p. 1386.]</w:t>
      </w:r>
    </w:p>
    <w:p>
      <w:pPr>
        <w:pStyle w:val="yHeading3"/>
      </w:pPr>
      <w:bookmarkStart w:id="116" w:name="_Toc391299443"/>
      <w:bookmarkStart w:id="117" w:name="_Toc391299543"/>
      <w:bookmarkStart w:id="118" w:name="_Toc387064633"/>
      <w:r>
        <w:rPr>
          <w:rStyle w:val="CharSDivNo"/>
        </w:rPr>
        <w:t>Part 1</w:t>
      </w:r>
      <w:r>
        <w:rPr>
          <w:b w:val="0"/>
        </w:rPr>
        <w:t> — </w:t>
      </w:r>
      <w:r>
        <w:rPr>
          <w:rStyle w:val="CharSDivText"/>
        </w:rPr>
        <w:t>Formula applicable up to and including draw 3441 on 12 July 2014</w:t>
      </w:r>
      <w:bookmarkEnd w:id="116"/>
      <w:bookmarkEnd w:id="117"/>
      <w:bookmarkEnd w:id="118"/>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r>
        <w:br w:type="page"/>
      </w:r>
    </w:p>
    <w:p>
      <w:pPr>
        <w:pStyle w:val="yHeading3"/>
      </w:pPr>
      <w:bookmarkStart w:id="119" w:name="_Toc391299444"/>
      <w:bookmarkStart w:id="120" w:name="_Toc391299544"/>
      <w:bookmarkStart w:id="121" w:name="_Toc387064634"/>
      <w:r>
        <w:rPr>
          <w:rStyle w:val="CharSDivNo"/>
        </w:rPr>
        <w:t>Part 2</w:t>
      </w:r>
      <w:r>
        <w:t> — </w:t>
      </w:r>
      <w:r>
        <w:rPr>
          <w:rStyle w:val="CharSDivText"/>
        </w:rPr>
        <w:t>Formula applicable to draw 3443 on 19 July 2014 and subsequent draws</w:t>
      </w:r>
      <w:bookmarkEnd w:id="119"/>
      <w:bookmarkEnd w:id="120"/>
      <w:bookmarkEnd w:id="121"/>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$17.</w:t>
      </w:r>
      <w:del w:id="122" w:author="Master Repository Process" w:date="2021-08-29T03:45:00Z">
        <w:r>
          <w:rPr>
            <w:b/>
            <w:bCs/>
          </w:rPr>
          <w:delText>75</w:delText>
        </w:r>
      </w:del>
      <w:ins w:id="123" w:author="Master Repository Process" w:date="2021-08-29T03:45:00Z">
        <w:r>
          <w:rPr>
            <w:b/>
            <w:bCs/>
          </w:rPr>
          <w:t>70</w:t>
        </w:r>
      </w:ins>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pPr>
      <w:r>
        <w:tab/>
        <w:t>Total cost of entry for one week</w:t>
      </w:r>
      <w:r>
        <w:tab/>
        <w:t>=</w:t>
      </w:r>
      <w:r>
        <w:tab/>
        <w:t>$17.</w:t>
      </w:r>
      <w:del w:id="124" w:author="Master Repository Process" w:date="2021-08-29T03:45:00Z">
        <w:r>
          <w:delText>75</w:delText>
        </w:r>
      </w:del>
      <w:ins w:id="125" w:author="Master Repository Process" w:date="2021-08-29T03:45:00Z">
        <w:r>
          <w:t>70</w:t>
        </w:r>
      </w:ins>
    </w:p>
    <w:p>
      <w:pPr>
        <w:pStyle w:val="yMiscellaneousBody"/>
        <w:tabs>
          <w:tab w:val="left" w:pos="993"/>
          <w:tab w:val="left" w:pos="4536"/>
          <w:tab w:val="left" w:pos="5103"/>
        </w:tabs>
        <w:rPr>
          <w:b/>
          <w:bCs/>
        </w:rPr>
      </w:pPr>
      <w:r>
        <w:rPr>
          <w:b/>
          <w:bCs/>
        </w:rPr>
        <w:tab/>
        <w:t>Total cost of entry for 10 weeks</w:t>
      </w:r>
      <w:r>
        <w:rPr>
          <w:b/>
          <w:bCs/>
        </w:rPr>
        <w:tab/>
        <w:t>=</w:t>
      </w:r>
      <w:r>
        <w:rPr>
          <w:b/>
          <w:bCs/>
        </w:rPr>
        <w:tab/>
        <w:t>$177.</w:t>
      </w:r>
      <w:del w:id="126" w:author="Master Repository Process" w:date="2021-08-29T03:45:00Z">
        <w:r>
          <w:rPr>
            <w:b/>
            <w:bCs/>
          </w:rPr>
          <w:delText>50</w:delText>
        </w:r>
      </w:del>
      <w:ins w:id="127" w:author="Master Repository Process" w:date="2021-08-29T03:45:00Z">
        <w:r>
          <w:rPr>
            <w:b/>
            <w:bCs/>
          </w:rPr>
          <w:t>00</w:t>
        </w:r>
      </w:ins>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w:t>
      </w:r>
      <w:ins w:id="128" w:author="Master Repository Process" w:date="2021-08-29T03:45:00Z">
        <w:r>
          <w:t>; amended in Gazette 24 Jun 2014 p. 2094</w:t>
        </w:r>
      </w:ins>
      <w:r>
        <w:t>.]</w:t>
      </w:r>
    </w:p>
    <w:p>
      <w:pPr>
        <w:pStyle w:val="yScheduleHeading"/>
      </w:pPr>
      <w:bookmarkStart w:id="129" w:name="_Toc391299445"/>
      <w:bookmarkStart w:id="130" w:name="_Toc391299545"/>
      <w:bookmarkStart w:id="131" w:name="_Toc387064635"/>
      <w:r>
        <w:rPr>
          <w:rStyle w:val="CharSchNo"/>
        </w:rPr>
        <w:t>Schedule 1A</w:t>
      </w:r>
      <w:r>
        <w:rPr>
          <w:rStyle w:val="CharSDivNo"/>
        </w:rPr>
        <w:t> </w:t>
      </w:r>
      <w:r>
        <w:t>—</w:t>
      </w:r>
      <w:r>
        <w:rPr>
          <w:rStyle w:val="CharSDivText"/>
        </w:rPr>
        <w:t> </w:t>
      </w:r>
      <w:r>
        <w:rPr>
          <w:rStyle w:val="CharSchText"/>
        </w:rPr>
        <w:t>System entries and game equivalents</w:t>
      </w:r>
      <w:bookmarkEnd w:id="129"/>
      <w:bookmarkEnd w:id="130"/>
      <w:bookmarkEnd w:id="131"/>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132" w:name="_Toc391299446"/>
      <w:bookmarkStart w:id="133" w:name="_Toc391299546"/>
      <w:bookmarkStart w:id="134" w:name="_Toc387064636"/>
      <w:r>
        <w:rPr>
          <w:rStyle w:val="CharSchNo"/>
        </w:rPr>
        <w:t>Schedule 2</w:t>
      </w:r>
      <w:r>
        <w:t> — </w:t>
      </w:r>
      <w:r>
        <w:rPr>
          <w:rStyle w:val="CharSchText"/>
        </w:rPr>
        <w:t>System entry prizes</w:t>
      </w:r>
      <w:bookmarkEnd w:id="132"/>
      <w:bookmarkEnd w:id="133"/>
      <w:bookmarkEnd w:id="134"/>
    </w:p>
    <w:p>
      <w:pPr>
        <w:pStyle w:val="yShoulderClause"/>
      </w:pPr>
      <w:r>
        <w:t>[r. 21(2)]</w:t>
      </w:r>
    </w:p>
    <w:p>
      <w:pPr>
        <w:pStyle w:val="yFootnoteheading"/>
      </w:pPr>
      <w:r>
        <w:tab/>
        <w:t>[Heading inserted in Gazette 21 Dec 2010 p. 6765.]</w:t>
      </w:r>
    </w:p>
    <w:p>
      <w:pPr>
        <w:pStyle w:val="yHeading3"/>
      </w:pPr>
      <w:bookmarkStart w:id="135" w:name="_Toc391299447"/>
      <w:bookmarkStart w:id="136" w:name="_Toc391299547"/>
      <w:bookmarkStart w:id="137" w:name="_Toc387064637"/>
      <w:r>
        <w:rPr>
          <w:rStyle w:val="CharSDivNo"/>
        </w:rPr>
        <w:t>Part 1</w:t>
      </w:r>
      <w:r>
        <w:rPr>
          <w:b w:val="0"/>
        </w:rPr>
        <w:t> — </w:t>
      </w:r>
      <w:r>
        <w:rPr>
          <w:rStyle w:val="CharSDivText"/>
        </w:rPr>
        <w:t xml:space="preserve">Prizes applicable up to and including draw 3079 on </w:t>
      </w:r>
      <w:r>
        <w:rPr>
          <w:rStyle w:val="CharSDivText"/>
        </w:rPr>
        <w:br/>
        <w:t>22 January 2011</w:t>
      </w:r>
      <w:bookmarkEnd w:id="135"/>
      <w:bookmarkEnd w:id="136"/>
      <w:bookmarkEnd w:id="137"/>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gridSpan w:val="2"/>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138" w:name="_Toc391299448"/>
      <w:bookmarkStart w:id="139" w:name="_Toc391299548"/>
      <w:bookmarkStart w:id="140" w:name="_Toc387064638"/>
      <w:r>
        <w:rPr>
          <w:rStyle w:val="CharSDivNo"/>
        </w:rPr>
        <w:t>Part 2</w:t>
      </w:r>
      <w:r>
        <w:rPr>
          <w:b w:val="0"/>
        </w:rPr>
        <w:t> — </w:t>
      </w:r>
      <w:r>
        <w:rPr>
          <w:rStyle w:val="CharSDivText"/>
        </w:rPr>
        <w:t>Prizes applicable to draw 3081 on 29 January 2011 and subsequent draws</w:t>
      </w:r>
      <w:bookmarkEnd w:id="138"/>
      <w:bookmarkEnd w:id="139"/>
      <w:bookmarkEnd w:id="140"/>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86"/>
        <w:gridCol w:w="356"/>
        <w:gridCol w:w="357"/>
        <w:gridCol w:w="356"/>
        <w:gridCol w:w="356"/>
        <w:gridCol w:w="355"/>
        <w:gridCol w:w="356"/>
        <w:gridCol w:w="355"/>
        <w:gridCol w:w="324"/>
        <w:gridCol w:w="33"/>
        <w:gridCol w:w="355"/>
        <w:gridCol w:w="356"/>
        <w:gridCol w:w="355"/>
        <w:gridCol w:w="356"/>
        <w:gridCol w:w="355"/>
        <w:gridCol w:w="356"/>
        <w:gridCol w:w="355"/>
        <w:gridCol w:w="356"/>
        <w:gridCol w:w="356"/>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gridSpan w:val="2"/>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gridSpan w:val="2"/>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gridSpan w:val="2"/>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gridSpan w:val="2"/>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gridSpan w:val="2"/>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gridSpan w:val="2"/>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gridSpan w:val="2"/>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141" w:name="_Toc391299449"/>
      <w:bookmarkStart w:id="142" w:name="_Toc391299549"/>
      <w:bookmarkStart w:id="143" w:name="_Toc387064639"/>
      <w:r>
        <w:rPr>
          <w:rStyle w:val="CharSchNo"/>
        </w:rPr>
        <w:t>Schedule 3</w:t>
      </w:r>
      <w:r>
        <w:t> — </w:t>
      </w:r>
      <w:r>
        <w:rPr>
          <w:rStyle w:val="CharSchText"/>
        </w:rPr>
        <w:t>Summary of parameters within which Saturday lotto is conducted</w:t>
      </w:r>
      <w:bookmarkEnd w:id="141"/>
      <w:bookmarkEnd w:id="142"/>
      <w:bookmarkEnd w:id="143"/>
    </w:p>
    <w:p>
      <w:pPr>
        <w:pStyle w:val="yFootnoteheading"/>
      </w:pPr>
      <w:r>
        <w:tab/>
        <w:t>[Heading inserted in Gazette 6 Jun 2008 p. 2273.]</w:t>
      </w:r>
    </w:p>
    <w:p>
      <w:pPr>
        <w:pStyle w:val="yHeading3"/>
        <w:spacing w:after="120"/>
      </w:pPr>
      <w:bookmarkStart w:id="144" w:name="_Toc391299450"/>
      <w:bookmarkStart w:id="145" w:name="_Toc391299550"/>
      <w:bookmarkStart w:id="146" w:name="_Toc387064640"/>
      <w:r>
        <w:rPr>
          <w:rStyle w:val="CharSDivNo"/>
        </w:rPr>
        <w:t>Part 1 </w:t>
      </w:r>
      <w:r>
        <w:t>—</w:t>
      </w:r>
      <w:r>
        <w:rPr>
          <w:rStyle w:val="CharSDivNo"/>
        </w:rPr>
        <w:t> </w:t>
      </w:r>
      <w:r>
        <w:rPr>
          <w:rStyle w:val="CharSDivText"/>
        </w:rPr>
        <w:t>Up to and including draw 3441 on 12 July 2014</w:t>
      </w:r>
      <w:bookmarkEnd w:id="144"/>
      <w:bookmarkEnd w:id="145"/>
      <w:bookmarkEnd w:id="146"/>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147" w:name="_Toc391299451"/>
      <w:bookmarkStart w:id="148" w:name="_Toc391299551"/>
      <w:bookmarkStart w:id="149" w:name="_Toc387064641"/>
      <w:r>
        <w:rPr>
          <w:rStyle w:val="CharSDivNo"/>
        </w:rPr>
        <w:t>Part 2</w:t>
      </w:r>
      <w:r>
        <w:rPr>
          <w:b w:val="0"/>
        </w:rPr>
        <w:t> — </w:t>
      </w:r>
      <w:r>
        <w:rPr>
          <w:rStyle w:val="CharSDivText"/>
        </w:rPr>
        <w:t>Draw 3443 on 19 July 2014 and subsequent draws</w:t>
      </w:r>
      <w:bookmarkEnd w:id="147"/>
      <w:bookmarkEnd w:id="148"/>
      <w:bookmarkEnd w:id="149"/>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50" w:name="_Toc391299452"/>
      <w:bookmarkStart w:id="151" w:name="_Toc391299552"/>
      <w:bookmarkStart w:id="152" w:name="_Toc387064642"/>
      <w:r>
        <w:t>Notes</w:t>
      </w:r>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 w:name="_Toc391299553"/>
      <w:bookmarkStart w:id="154" w:name="_Toc387064643"/>
      <w: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31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rPr>
              <w:t>r. 1 and 2: 26 Jun 2007 (see r. 2(a));</w:t>
            </w:r>
            <w:r>
              <w:rPr>
                <w:snapToGrid w:val="0"/>
                <w:sz w:val="19"/>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rPr>
            </w:pPr>
            <w:r>
              <w:rPr>
                <w:snapToGrid w:val="0"/>
                <w:sz w:val="19"/>
              </w:rPr>
              <w:t>r. 1 and 2: 6 Jun 2008 (see r. 2(a));</w:t>
            </w:r>
            <w:r>
              <w:rPr>
                <w:snapToGrid w:val="0"/>
                <w:sz w:val="19"/>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rPr>
            </w:pPr>
            <w:r>
              <w:rPr>
                <w:snapToGrid w:val="0"/>
                <w:sz w:val="19"/>
              </w:rPr>
              <w:t>r. 1 and 2: 3 Oct 2008 (see r. 2(a));</w:t>
            </w:r>
            <w:r>
              <w:rPr>
                <w:snapToGrid w:val="0"/>
                <w:sz w:val="19"/>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rFonts w:ascii="Times" w:hAnsi="Times"/>
                <w:sz w:val="19"/>
              </w:rPr>
            </w:pPr>
            <w:r>
              <w:rPr>
                <w:rFonts w:ascii="Times" w:hAnsi="Times"/>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rFonts w:ascii="Times" w:hAnsi="Times"/>
                <w:sz w:val="19"/>
              </w:rPr>
            </w:pPr>
            <w:r>
              <w:rPr>
                <w:rFonts w:ascii="Times" w:hAnsi="Times"/>
                <w:snapToGrid w:val="0"/>
                <w:sz w:val="19"/>
              </w:rPr>
              <w:t>r. 1 and 2: 12 Mar 2010 (see r. 2(a));</w:t>
            </w:r>
            <w:r>
              <w:rPr>
                <w:rFonts w:ascii="Times" w:hAnsi="Times"/>
                <w:snapToGrid w:val="0"/>
                <w:sz w:val="19"/>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Rules other than r. 1 and 2: 20 Nov 2010 (see r. 2(b))</w:t>
            </w:r>
          </w:p>
        </w:tc>
      </w:tr>
      <w:tr>
        <w:tc>
          <w:tcPr>
            <w:tcW w:w="3119" w:type="dxa"/>
            <w:shd w:val="clear" w:color="auto" w:fill="auto"/>
          </w:tcPr>
          <w:p>
            <w:pPr>
              <w:pStyle w:val="nTable"/>
              <w:spacing w:after="40"/>
              <w:rPr>
                <w:i/>
                <w:sz w:val="19"/>
              </w:rPr>
            </w:pPr>
            <w:r>
              <w:rPr>
                <w:i/>
                <w:sz w:val="19"/>
              </w:rPr>
              <w:t>Lotteries Commission (Saturday Lotto) Amendment Rules (No. 3) 2010</w:t>
            </w:r>
          </w:p>
        </w:tc>
        <w:tc>
          <w:tcPr>
            <w:tcW w:w="1276" w:type="dxa"/>
            <w:shd w:val="clear" w:color="auto" w:fill="auto"/>
          </w:tcPr>
          <w:p>
            <w:pPr>
              <w:pStyle w:val="nTable"/>
              <w:spacing w:after="40"/>
              <w:rPr>
                <w:sz w:val="19"/>
              </w:rPr>
            </w:pPr>
            <w:r>
              <w:rPr>
                <w:sz w:val="19"/>
              </w:rPr>
              <w:t>21 Dec 2010 p. 6763-7</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21 Dec 2010 (see r. 2(a));</w:t>
            </w:r>
            <w:r>
              <w:rPr>
                <w:rFonts w:ascii="Times" w:hAnsi="Times"/>
                <w:snapToGrid w:val="0"/>
                <w:sz w:val="19"/>
              </w:rPr>
              <w:br/>
              <w:t xml:space="preserve">Rules other than r. 1 and 2: </w:t>
            </w:r>
            <w:r>
              <w:rPr>
                <w:rFonts w:ascii="Times" w:hAnsi="Times"/>
                <w:sz w:val="19"/>
              </w:rPr>
              <w:t>23 Jan 2011 (see r. 2(b))</w:t>
            </w:r>
          </w:p>
        </w:tc>
      </w:tr>
      <w:tr>
        <w:tc>
          <w:tcPr>
            <w:tcW w:w="7088" w:type="dxa"/>
            <w:gridSpan w:val="3"/>
            <w:shd w:val="clear" w:color="auto" w:fill="auto"/>
          </w:tcPr>
          <w:p>
            <w:pPr>
              <w:pStyle w:val="nTable"/>
              <w:spacing w:after="40"/>
              <w:rPr>
                <w:rFonts w:ascii="Times" w:hAnsi="Times"/>
                <w:snapToGrid w:val="0"/>
                <w:sz w:val="19"/>
              </w:rPr>
            </w:pPr>
            <w:r>
              <w:rPr>
                <w:b/>
                <w:sz w:val="19"/>
              </w:rPr>
              <w:t xml:space="preserve">Reprint 4: The </w:t>
            </w:r>
            <w:r>
              <w:rPr>
                <w:b/>
                <w:i/>
                <w:sz w:val="19"/>
              </w:rPr>
              <w:t>Lotteries Commission (Saturday Lotto) Rules 1996</w:t>
            </w:r>
            <w:r>
              <w:rPr>
                <w:b/>
                <w:sz w:val="19"/>
              </w:rPr>
              <w:t xml:space="preserve"> as at 19 Oct 2012</w:t>
            </w:r>
            <w:r>
              <w:rPr>
                <w:b/>
                <w:sz w:val="19"/>
              </w:rPr>
              <w:br/>
            </w:r>
            <w:r>
              <w:rPr>
                <w:sz w:val="19"/>
              </w:rPr>
              <w:t>(includes amendments listed above)</w:t>
            </w:r>
          </w:p>
        </w:tc>
      </w:tr>
      <w:tr>
        <w:tc>
          <w:tcPr>
            <w:tcW w:w="3119" w:type="dxa"/>
            <w:shd w:val="clear" w:color="auto" w:fill="auto"/>
          </w:tcPr>
          <w:p>
            <w:pPr>
              <w:pStyle w:val="nTable"/>
              <w:spacing w:after="40"/>
              <w:rPr>
                <w:i/>
                <w:sz w:val="19"/>
              </w:rPr>
            </w:pPr>
            <w:r>
              <w:rPr>
                <w:i/>
                <w:sz w:val="19"/>
              </w:rPr>
              <w:t>Lotteries Commission (Saturday Lotto) Amendment Rules 2014</w:t>
            </w:r>
          </w:p>
        </w:tc>
        <w:tc>
          <w:tcPr>
            <w:tcW w:w="1276" w:type="dxa"/>
            <w:shd w:val="clear" w:color="auto" w:fill="auto"/>
          </w:tcPr>
          <w:p>
            <w:pPr>
              <w:pStyle w:val="nTable"/>
              <w:spacing w:after="40"/>
              <w:rPr>
                <w:sz w:val="19"/>
              </w:rPr>
            </w:pPr>
            <w:r>
              <w:rPr>
                <w:sz w:val="19"/>
              </w:rPr>
              <w:t>6 May 2014 p. 1386</w:t>
            </w:r>
            <w:r>
              <w:rPr>
                <w:sz w:val="19"/>
              </w:rPr>
              <w:noBreakHyphen/>
              <w:t>90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6 May 2014 (see r. 2(a));</w:t>
            </w:r>
            <w:r>
              <w:rPr>
                <w:rFonts w:ascii="Times" w:hAnsi="Times"/>
                <w:snapToGrid w:val="0"/>
                <w:sz w:val="19"/>
              </w:rPr>
              <w:br/>
              <w:t xml:space="preserve">Rules other than r. 1 and 2: </w:t>
            </w:r>
            <w:r>
              <w:rPr>
                <w:rFonts w:ascii="Times" w:hAnsi="Times"/>
                <w:sz w:val="19"/>
              </w:rPr>
              <w:t>7 May 2014 (see r. 2(b))</w:t>
            </w:r>
          </w:p>
        </w:tc>
      </w:tr>
    </w:tbl>
    <w:p>
      <w:pPr>
        <w:rPr>
          <w:del w:id="155" w:author="Master Repository Process" w:date="2021-08-29T03:45:00Z"/>
        </w:rPr>
      </w:pPr>
    </w:p>
    <w:p>
      <w:pPr>
        <w:rPr>
          <w:del w:id="156" w:author="Master Repository Process" w:date="2021-08-29T03:45:00Z"/>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ins w:id="157" w:author="Master Repository Process" w:date="2021-08-29T03:45:00Z"/>
        </w:trPr>
        <w:tc>
          <w:tcPr>
            <w:tcW w:w="3119" w:type="dxa"/>
            <w:tcBorders>
              <w:bottom w:val="single" w:sz="4" w:space="0" w:color="auto"/>
            </w:tcBorders>
            <w:shd w:val="clear" w:color="auto" w:fill="auto"/>
          </w:tcPr>
          <w:p>
            <w:pPr>
              <w:pStyle w:val="nTable"/>
              <w:spacing w:after="40"/>
              <w:rPr>
                <w:ins w:id="158" w:author="Master Repository Process" w:date="2021-08-29T03:45:00Z"/>
                <w:i/>
                <w:sz w:val="19"/>
              </w:rPr>
            </w:pPr>
            <w:ins w:id="159" w:author="Master Repository Process" w:date="2021-08-29T03:45:00Z">
              <w:r>
                <w:rPr>
                  <w:i/>
                  <w:sz w:val="19"/>
                </w:rPr>
                <w:t>Lotteries Commission (Saturday Lotto) Amendment Rules (No. 2) 2014</w:t>
              </w:r>
            </w:ins>
          </w:p>
        </w:tc>
        <w:tc>
          <w:tcPr>
            <w:tcW w:w="1276" w:type="dxa"/>
            <w:tcBorders>
              <w:bottom w:val="single" w:sz="4" w:space="0" w:color="auto"/>
            </w:tcBorders>
            <w:shd w:val="clear" w:color="auto" w:fill="auto"/>
          </w:tcPr>
          <w:p>
            <w:pPr>
              <w:pStyle w:val="nTable"/>
              <w:spacing w:after="40"/>
              <w:rPr>
                <w:ins w:id="160" w:author="Master Repository Process" w:date="2021-08-29T03:45:00Z"/>
                <w:sz w:val="19"/>
              </w:rPr>
            </w:pPr>
            <w:ins w:id="161" w:author="Master Repository Process" w:date="2021-08-29T03:45:00Z">
              <w:r>
                <w:rPr>
                  <w:sz w:val="19"/>
                </w:rPr>
                <w:t>24 Jun 2014 p. 2093-4</w:t>
              </w:r>
            </w:ins>
          </w:p>
        </w:tc>
        <w:tc>
          <w:tcPr>
            <w:tcW w:w="2693" w:type="dxa"/>
            <w:tcBorders>
              <w:bottom w:val="single" w:sz="4" w:space="0" w:color="auto"/>
            </w:tcBorders>
            <w:shd w:val="clear" w:color="auto" w:fill="auto"/>
          </w:tcPr>
          <w:p>
            <w:pPr>
              <w:pStyle w:val="nTable"/>
              <w:spacing w:after="40"/>
              <w:rPr>
                <w:ins w:id="162" w:author="Master Repository Process" w:date="2021-08-29T03:45:00Z"/>
                <w:rFonts w:ascii="Times" w:hAnsi="Times"/>
                <w:snapToGrid w:val="0"/>
                <w:sz w:val="19"/>
              </w:rPr>
            </w:pPr>
            <w:ins w:id="163" w:author="Master Repository Process" w:date="2021-08-29T03:45:00Z">
              <w:r>
                <w:rPr>
                  <w:rFonts w:ascii="Times" w:hAnsi="Times"/>
                  <w:snapToGrid w:val="0"/>
                  <w:sz w:val="19"/>
                </w:rPr>
                <w:t>r. 1 and 2: 24 Jun 2014 (see r. 2(a));</w:t>
              </w:r>
              <w:r>
                <w:rPr>
                  <w:rFonts w:ascii="Times" w:hAnsi="Times"/>
                  <w:snapToGrid w:val="0"/>
                  <w:sz w:val="19"/>
                </w:rPr>
                <w:br/>
                <w:t>Rules other than r. 1 and 2: 25</w:t>
              </w:r>
              <w:r>
                <w:rPr>
                  <w:rFonts w:ascii="Times" w:hAnsi="Times"/>
                  <w:sz w:val="19"/>
                </w:rPr>
                <w:t> Jun 2014 (see r. 2(b))</w:t>
              </w:r>
            </w:ins>
          </w:p>
        </w:tc>
      </w:tr>
    </w:tbl>
    <w:p>
      <w:pPr>
        <w:rPr>
          <w:ins w:id="164" w:author="Master Repository Process" w:date="2021-08-29T03:45:00Z"/>
        </w:rPr>
      </w:pPr>
    </w:p>
    <w:p>
      <w:pPr>
        <w:rPr>
          <w:ins w:id="165" w:author="Master Repository Process" w:date="2021-08-29T03:45:00Z"/>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ins w:id="166" w:author="Master Repository Process" w:date="2021-08-29T03:45:00Z"/>
        </w:rPr>
      </w:pPr>
    </w:p>
    <w:p>
      <w:pPr>
        <w:rPr>
          <w:ins w:id="167" w:author="Master Repository Process" w:date="2021-08-29T03:45:00Z"/>
        </w:r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ind w:right="678"/>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684"/>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6"/>
  </w:num>
  <w:num w:numId="14">
    <w:abstractNumId w:val="1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3150712"/>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 w:name="WAFER_20140623150712" w:val="RemoveTocBookmarks,RunningHeaders"/>
    <w:docVar w:name="WAFER_20140623150712_GUID" w:val="12dfb3d0-1656-49e4-8d18-030e4d5449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8B82F7F-9ADC-4CD0-984B-9691D841C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11538</Words>
  <Characters>46618</Characters>
  <Application>Microsoft Office Word</Application>
  <DocSecurity>0</DocSecurity>
  <Lines>4238</Lines>
  <Paragraphs>3420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04-b0-01 - 04-c0-00</dc:title>
  <dc:subject/>
  <dc:creator/>
  <cp:keywords/>
  <dc:description/>
  <cp:lastModifiedBy>Master Repository Process</cp:lastModifiedBy>
  <cp:revision>2</cp:revision>
  <cp:lastPrinted>2012-10-22T04:14:00Z</cp:lastPrinted>
  <dcterms:created xsi:type="dcterms:W3CDTF">2021-08-28T19:44:00Z</dcterms:created>
  <dcterms:modified xsi:type="dcterms:W3CDTF">2021-08-28T19:45:00Z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20140625</vt:lpwstr>
  </property>
  <property fmtid="{D5CDD505-2E9C-101B-9397-08002B2CF9AE}" pid="4" name="DocumentType">
    <vt:lpwstr>Reg</vt:lpwstr>
  </property>
  <property fmtid="{D5CDD505-2E9C-101B-9397-08002B2CF9AE}" pid="5" name="OwlsUID">
    <vt:i4>4607</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04-b0-01</vt:lpwstr>
  </property>
  <property fmtid="{D5CDD505-2E9C-101B-9397-08002B2CF9AE}" pid="9" name="FromAsAtDate">
    <vt:lpwstr>07 May 2014</vt:lpwstr>
  </property>
  <property fmtid="{D5CDD505-2E9C-101B-9397-08002B2CF9AE}" pid="10" name="ToSuffix">
    <vt:lpwstr>04-c0-00</vt:lpwstr>
  </property>
  <property fmtid="{D5CDD505-2E9C-101B-9397-08002B2CF9AE}" pid="11" name="ToAsAtDate">
    <vt:lpwstr>25 Jun 2014</vt:lpwstr>
  </property>
</Properties>
</file>