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2014</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390422163"/>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2" w:name="_Toc390422164"/>
      <w:r>
        <w:rPr>
          <w:rStyle w:val="CharSectno"/>
        </w:rPr>
        <w:t>2</w:t>
      </w:r>
      <w:r>
        <w:rPr>
          <w:snapToGrid w:val="0"/>
        </w:rPr>
        <w:t>.</w:t>
      </w:r>
      <w:r>
        <w:rPr>
          <w:snapToGrid w:val="0"/>
        </w:rPr>
        <w:tab/>
        <w:t>Repeal</w:t>
      </w:r>
      <w:bookmarkEnd w:id="2"/>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3" w:name="_Toc390422165"/>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4" w:name="_Toc390422166"/>
      <w:r>
        <w:rPr>
          <w:rStyle w:val="CharSectno"/>
        </w:rPr>
        <w:t>4</w:t>
      </w:r>
      <w:r>
        <w:t>.</w:t>
      </w:r>
      <w:r>
        <w:tab/>
        <w:t>Appointment of harbour masters</w:t>
      </w:r>
      <w:bookmarkEnd w:id="4"/>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5" w:name="_Toc390422167"/>
      <w:r>
        <w:rPr>
          <w:rStyle w:val="CharSectno"/>
        </w:rPr>
        <w:t>5</w:t>
      </w:r>
      <w:r>
        <w:rPr>
          <w:snapToGrid w:val="0"/>
        </w:rPr>
        <w:t>.</w:t>
      </w:r>
      <w:r>
        <w:rPr>
          <w:snapToGrid w:val="0"/>
        </w:rPr>
        <w:tab/>
        <w:t>Powers and duties of harbour masters</w:t>
      </w:r>
      <w:bookmarkEnd w:id="5"/>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 No. 42 of 2011 s. 105.]</w:t>
      </w:r>
    </w:p>
    <w:p>
      <w:pPr>
        <w:pStyle w:val="Heading5"/>
        <w:rPr>
          <w:snapToGrid w:val="0"/>
        </w:rPr>
      </w:pPr>
      <w:bookmarkStart w:id="6" w:name="_Toc390422168"/>
      <w:r>
        <w:rPr>
          <w:rStyle w:val="CharSectno"/>
        </w:rPr>
        <w:t>6</w:t>
      </w:r>
      <w:r>
        <w:rPr>
          <w:snapToGrid w:val="0"/>
        </w:rPr>
        <w:t>.</w:t>
      </w:r>
      <w:r>
        <w:rPr>
          <w:snapToGrid w:val="0"/>
        </w:rPr>
        <w:tab/>
        <w:t>Removal of unserviceable vessels</w:t>
      </w:r>
      <w:bookmarkEnd w:id="6"/>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Ednotesubsection"/>
      </w:pPr>
      <w:r>
        <w:tab/>
        <w:t>[(4)</w:t>
      </w:r>
      <w:r>
        <w:tab/>
        <w:t>deleted]</w:t>
      </w:r>
    </w:p>
    <w:p>
      <w:pPr>
        <w:pStyle w:val="Footnotesection"/>
      </w:pPr>
      <w:r>
        <w:tab/>
        <w:t>[Section 6 amended by No. 71 of 2006 s. 6; No. 9 of 2014 s. 38.]</w:t>
      </w:r>
    </w:p>
    <w:p>
      <w:pPr>
        <w:pStyle w:val="Heading5"/>
      </w:pPr>
      <w:bookmarkStart w:id="7" w:name="_Toc390422169"/>
      <w:r>
        <w:rPr>
          <w:rStyle w:val="CharSectno"/>
        </w:rPr>
        <w:t>6A</w:t>
      </w:r>
      <w:r>
        <w:t>.</w:t>
      </w:r>
      <w:r>
        <w:tab/>
        <w:t>Extended application of sections 5 and 6</w:t>
      </w:r>
      <w:bookmarkEnd w:id="7"/>
    </w:p>
    <w:p>
      <w:pPr>
        <w:pStyle w:val="Subsection"/>
      </w:pPr>
      <w:r>
        <w:tab/>
        <w:t>(1)</w:t>
      </w:r>
      <w:r>
        <w:tab/>
        <w:t xml:space="preserve">In this section — </w:t>
      </w:r>
    </w:p>
    <w:p>
      <w:pPr>
        <w:pStyle w:val="Defstart"/>
      </w:pPr>
      <w:r>
        <w:tab/>
      </w:r>
      <w:r>
        <w:rPr>
          <w:rStyle w:val="CharDefText"/>
        </w:rPr>
        <w:t>declared area</w:t>
      </w:r>
      <w:r>
        <w:t xml:space="preserve"> means a fishing boat harbour or mooring control area.</w:t>
      </w:r>
    </w:p>
    <w:p>
      <w:pPr>
        <w:pStyle w:val="Subsection"/>
      </w:pPr>
      <w:r>
        <w:tab/>
        <w:t>(2)</w:t>
      </w:r>
      <w:r>
        <w:tab/>
        <w:t xml:space="preserve">If the Department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were a reference to the CEO.</w:t>
      </w:r>
    </w:p>
    <w:p>
      <w:pPr>
        <w:pStyle w:val="Subsection"/>
      </w:pPr>
      <w:r>
        <w:tab/>
        <w:t>(3)</w:t>
      </w:r>
      <w:r>
        <w:tab/>
        <w:t xml:space="preserve">If a body corporate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(other than a reference to which paragraph (c) or (e) applies) were a reference to the body corporate; and</w:t>
      </w:r>
    </w:p>
    <w:p>
      <w:pPr>
        <w:pStyle w:val="Indenta"/>
      </w:pPr>
      <w:r>
        <w:tab/>
        <w:t>(c)</w:t>
      </w:r>
      <w:r>
        <w:tab/>
        <w:t>the reference in section 6(1) to the opinion of a harbour master were a reference to the opinion of a delegate of the body corporate; and</w:t>
      </w:r>
    </w:p>
    <w:p>
      <w:pPr>
        <w:pStyle w:val="Indenta"/>
      </w:pPr>
      <w:r>
        <w:tab/>
        <w:t>(d)</w:t>
      </w:r>
      <w:r>
        <w:tab/>
        <w:t>the reference in section 6(2) to the Crown were a reference to the body corporate; and</w:t>
      </w:r>
    </w:p>
    <w:p>
      <w:pPr>
        <w:pStyle w:val="Indenta"/>
      </w:pPr>
      <w:r>
        <w:tab/>
        <w:t>(e)</w:t>
      </w:r>
      <w:r>
        <w:tab/>
        <w:t>the reference in section 6(3) to the harbour master being satisfied were a reference to a delegate of the body corporate being satisfied.</w:t>
      </w:r>
    </w:p>
    <w:p>
      <w:pPr>
        <w:pStyle w:val="Footnotesection"/>
      </w:pPr>
      <w:r>
        <w:tab/>
        <w:t>[Section 6A inserted by No. 9 of 2014 s. 39.]</w:t>
      </w:r>
    </w:p>
    <w:p>
      <w:pPr>
        <w:pStyle w:val="Heading5"/>
        <w:rPr>
          <w:snapToGrid w:val="0"/>
        </w:rPr>
      </w:pPr>
      <w:bookmarkStart w:id="8" w:name="_Toc390422170"/>
      <w:r>
        <w:rPr>
          <w:rStyle w:val="CharSectno"/>
        </w:rPr>
        <w:t>7</w:t>
      </w:r>
      <w:r>
        <w:rPr>
          <w:snapToGrid w:val="0"/>
        </w:rPr>
        <w:t>.</w:t>
      </w:r>
      <w:r>
        <w:rPr>
          <w:snapToGrid w:val="0"/>
        </w:rPr>
        <w:tab/>
        <w:t>Special powers of harbour master in emergencies</w:t>
      </w:r>
      <w:bookmarkEnd w:id="8"/>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Ednotesubsection"/>
      </w:pPr>
      <w:r>
        <w:tab/>
        <w:t>[(2)</w:t>
      </w:r>
      <w:r>
        <w:tab/>
        <w:t>deleted]</w:t>
      </w:r>
    </w:p>
    <w:p>
      <w:pPr>
        <w:pStyle w:val="Footnotesection"/>
      </w:pPr>
      <w:r>
        <w:tab/>
        <w:t>[Section 7 amended by No. 9 of 2014 s. 40.]</w:t>
      </w:r>
    </w:p>
    <w:p>
      <w:pPr>
        <w:pStyle w:val="Heading5"/>
      </w:pPr>
      <w:bookmarkStart w:id="9" w:name="_Toc390422171"/>
      <w:r>
        <w:rPr>
          <w:rStyle w:val="CharSectno"/>
        </w:rPr>
        <w:t>7A</w:t>
      </w:r>
      <w:r>
        <w:t>.</w:t>
      </w:r>
      <w:r>
        <w:tab/>
        <w:t>Deputy harbour masters: appointment and functions</w:t>
      </w:r>
      <w:bookmarkEnd w:id="9"/>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pPr>
      <w:bookmarkStart w:id="10" w:name="_Toc390422172"/>
      <w:r>
        <w:rPr>
          <w:rStyle w:val="CharSectno"/>
        </w:rPr>
        <w:t>8A</w:t>
      </w:r>
      <w:r>
        <w:t>.</w:t>
      </w:r>
      <w:r>
        <w:tab/>
        <w:t>Protection from liability for wrongdoing</w:t>
      </w:r>
      <w:bookmarkEnd w:id="10"/>
    </w:p>
    <w:p>
      <w:pPr>
        <w:pStyle w:val="Subsection"/>
      </w:pPr>
      <w:r>
        <w:tab/>
        <w:t>(1)</w:t>
      </w:r>
      <w:r>
        <w:tab/>
        <w:t>An action in tort does not lie against a person for anything the person has done, in good faith, in the performance or purported performance of a function under this Act.</w:t>
      </w:r>
    </w:p>
    <w:p>
      <w:pPr>
        <w:pStyle w:val="Subsection"/>
      </w:pPr>
      <w:r>
        <w:tab/>
        <w:t>(2)</w:t>
      </w:r>
      <w:r>
        <w:tab/>
        <w:t>The Minister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 xml:space="preserve">The protection given by this section extends to anything done by a person in good faith — </w:t>
      </w:r>
    </w:p>
    <w:p>
      <w:pPr>
        <w:pStyle w:val="Indenta"/>
      </w:pPr>
      <w:r>
        <w:tab/>
        <w:t>(a)</w:t>
      </w:r>
      <w:r>
        <w:tab/>
        <w:t>under the authority of a harbour master, to assist the harbour master to perform a function under this Act; or</w:t>
      </w:r>
    </w:p>
    <w:p>
      <w:pPr>
        <w:pStyle w:val="Indenta"/>
      </w:pPr>
      <w:r>
        <w:tab/>
        <w:t>(b)</w:t>
      </w:r>
      <w:r>
        <w:tab/>
        <w:t>in compliance with an order, direction or requirement given or made by a harbour master.</w:t>
      </w:r>
    </w:p>
    <w:p>
      <w:pPr>
        <w:pStyle w:val="Subsection"/>
      </w:pPr>
      <w:r>
        <w:tab/>
        <w:t>(5)</w:t>
      </w:r>
      <w:r>
        <w:tab/>
        <w:t>In subsection (4), a reference to a harbour master includes a reference to a controlling authority or the CEO.</w:t>
      </w:r>
    </w:p>
    <w:p>
      <w:pPr>
        <w:pStyle w:val="Subsection"/>
      </w:pPr>
      <w:r>
        <w:tab/>
        <w:t>(6)</w:t>
      </w:r>
      <w:r>
        <w:tab/>
        <w:t>In this section, a reference to the doing of anything includes a reference to an omission to do anything.</w:t>
      </w:r>
    </w:p>
    <w:p>
      <w:pPr>
        <w:pStyle w:val="Footnotesection"/>
      </w:pPr>
      <w:r>
        <w:tab/>
        <w:t>[Section 8A inserted by No. 9 of 2014 s. 41.]</w:t>
      </w:r>
    </w:p>
    <w:p>
      <w:pPr>
        <w:pStyle w:val="Heading5"/>
        <w:rPr>
          <w:snapToGrid w:val="0"/>
        </w:rPr>
      </w:pPr>
      <w:bookmarkStart w:id="11" w:name="_Toc390422173"/>
      <w:r>
        <w:rPr>
          <w:rStyle w:val="CharSectno"/>
        </w:rPr>
        <w:t>8</w:t>
      </w:r>
      <w:r>
        <w:rPr>
          <w:snapToGrid w:val="0"/>
        </w:rPr>
        <w:t>.</w:t>
      </w:r>
      <w:r>
        <w:rPr>
          <w:snapToGrid w:val="0"/>
        </w:rPr>
        <w:tab/>
        <w:t>Conservancy dues</w:t>
      </w:r>
      <w:bookmarkEnd w:id="11"/>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12" w:name="_Toc390422174"/>
      <w:r>
        <w:rPr>
          <w:rStyle w:val="CharSectno"/>
        </w:rPr>
        <w:t>9</w:t>
      </w:r>
      <w:r>
        <w:rPr>
          <w:snapToGrid w:val="0"/>
        </w:rPr>
        <w:t>.</w:t>
      </w:r>
      <w:r>
        <w:rPr>
          <w:snapToGrid w:val="0"/>
        </w:rPr>
        <w:tab/>
        <w:t>Pilotage and pilotage charges</w:t>
      </w:r>
      <w:bookmarkEnd w:id="12"/>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13" w:name="_Toc390422175"/>
      <w:r>
        <w:rPr>
          <w:rStyle w:val="CharSectno"/>
        </w:rPr>
        <w:t>9A</w:t>
      </w:r>
      <w:r>
        <w:rPr>
          <w:snapToGrid w:val="0"/>
        </w:rPr>
        <w:t>.</w:t>
      </w:r>
      <w:r>
        <w:rPr>
          <w:snapToGrid w:val="0"/>
        </w:rPr>
        <w:tab/>
        <w:t>Fishing boat harbour dues and mooring charges</w:t>
      </w:r>
      <w:bookmarkEnd w:id="13"/>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14" w:name="_Toc390422176"/>
      <w:r>
        <w:rPr>
          <w:rStyle w:val="CharSectno"/>
        </w:rPr>
        <w:t>10</w:t>
      </w:r>
      <w:r>
        <w:rPr>
          <w:snapToGrid w:val="0"/>
        </w:rPr>
        <w:t>.</w:t>
      </w:r>
      <w:r>
        <w:rPr>
          <w:snapToGrid w:val="0"/>
        </w:rPr>
        <w:tab/>
        <w:t>Declaration of ports and other areas</w:t>
      </w:r>
      <w:bookmarkEnd w:id="14"/>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15" w:name="_Toc390422177"/>
      <w:r>
        <w:rPr>
          <w:rStyle w:val="CharSectno"/>
        </w:rPr>
        <w:t>11</w:t>
      </w:r>
      <w:r>
        <w:rPr>
          <w:snapToGrid w:val="0"/>
        </w:rPr>
        <w:t>.</w:t>
      </w:r>
      <w:r>
        <w:rPr>
          <w:snapToGrid w:val="0"/>
        </w:rPr>
        <w:tab/>
        <w:t>Offences</w:t>
      </w:r>
      <w:bookmarkEnd w:id="15"/>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 6 or 7; or</w:t>
      </w:r>
    </w:p>
    <w:p>
      <w:pPr>
        <w:pStyle w:val="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11; No. 9 of 2014 s. 42.]</w:t>
      </w:r>
    </w:p>
    <w:p>
      <w:pPr>
        <w:pStyle w:val="Heading5"/>
        <w:rPr>
          <w:rStyle w:val="CharSectno"/>
        </w:rPr>
      </w:pPr>
      <w:bookmarkStart w:id="16" w:name="_Toc390422178"/>
      <w:r>
        <w:rPr>
          <w:rStyle w:val="CharSectno"/>
        </w:rPr>
        <w:t>11A.</w:t>
      </w:r>
      <w:r>
        <w:rPr>
          <w:rStyle w:val="CharSectno"/>
        </w:rPr>
        <w:tab/>
      </w:r>
      <w:r>
        <w:t>Delegation</w:t>
      </w:r>
      <w:bookmarkEnd w:id="16"/>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(3A)</w:t>
      </w:r>
      <w:r>
        <w:tab/>
        <w:t xml:space="preserve">The CEO may delegate to any officer of the Department or another person — </w:t>
      </w:r>
    </w:p>
    <w:p>
      <w:pPr>
        <w:pStyle w:val="Indenta"/>
      </w:pPr>
      <w:r>
        <w:tab/>
        <w:t>(a)</w:t>
      </w:r>
      <w:r>
        <w:tab/>
        <w:t>any power or duty of the CEO under another provision of this Act; or</w:t>
      </w:r>
    </w:p>
    <w:p>
      <w:pPr>
        <w:pStyle w:val="Indenta"/>
      </w:pPr>
      <w:r>
        <w:tab/>
        <w:t>(b)</w:t>
      </w:r>
      <w:r>
        <w:tab/>
        <w:t>if the Department is the controlling authority of a fishing boat harbour or mooring control area, any power or duty of that controlling authority under a provision of this Act.</w:t>
      </w:r>
    </w:p>
    <w:p>
      <w:pPr>
        <w:pStyle w:val="Subsection"/>
      </w:pPr>
      <w:r>
        <w:tab/>
        <w:t>(3B)</w:t>
      </w:r>
      <w:r>
        <w:tab/>
        <w:t>The delegation must be in writing signed by the CEO.</w:t>
      </w:r>
    </w:p>
    <w:p>
      <w:pPr>
        <w:pStyle w:val="Subsection"/>
        <w:rPr>
          <w:highlight w:val="cyan"/>
        </w:rPr>
      </w:pPr>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p>
    <w:p>
      <w:pPr>
        <w:pStyle w:val="Subsection"/>
      </w:pPr>
      <w:r>
        <w:tab/>
        <w:t>(3D)</w:t>
      </w:r>
      <w:r>
        <w:tab/>
        <w:t>The delegation must be in writing executed by the controlling authority.</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the CEO or a controlling authority to perform a function through an officer, employee or agent.</w:t>
      </w:r>
    </w:p>
    <w:p>
      <w:pPr>
        <w:pStyle w:val="Footnotesection"/>
      </w:pPr>
      <w:r>
        <w:tab/>
        <w:t>[Section 11A inserted by No. 71 of 2006 s. 12; amended by No. 9 of 2014 s. 43.]</w:t>
      </w:r>
    </w:p>
    <w:p>
      <w:pPr>
        <w:pStyle w:val="Heading5"/>
        <w:rPr>
          <w:snapToGrid w:val="0"/>
        </w:rPr>
      </w:pPr>
      <w:bookmarkStart w:id="17" w:name="_Toc390422179"/>
      <w:r>
        <w:rPr>
          <w:rStyle w:val="CharSectno"/>
        </w:rPr>
        <w:t>12</w:t>
      </w:r>
      <w:r>
        <w:rPr>
          <w:snapToGrid w:val="0"/>
        </w:rPr>
        <w:t>.</w:t>
      </w:r>
      <w:r>
        <w:rPr>
          <w:snapToGrid w:val="0"/>
        </w:rPr>
        <w:tab/>
        <w:t>Regulations</w:t>
      </w:r>
      <w:bookmarkEnd w:id="17"/>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8" w:name="_Toc390422180"/>
      <w:r>
        <w:t>Notes</w:t>
      </w:r>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 w:name="_Toc390422181"/>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4"/>
          </w:tcPr>
          <w:p>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trPr>
          <w:cantSplit/>
        </w:trPr>
        <w:tc>
          <w:tcPr>
            <w:tcW w:w="2268" w:type="dxa"/>
          </w:tcPr>
          <w:p>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2" w:type="dxa"/>
          </w:tcPr>
          <w:p>
            <w:pPr>
              <w:pStyle w:val="nTable"/>
              <w:spacing w:after="40"/>
              <w:rPr>
                <w:spacing w:val="-2"/>
                <w:sz w:val="19"/>
              </w:rPr>
            </w:pPr>
            <w:r>
              <w:rPr>
                <w:snapToGrid w:val="0"/>
                <w:sz w:val="19"/>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Pt. 3</w:t>
            </w:r>
          </w:p>
        </w:tc>
        <w:tc>
          <w:tcPr>
            <w:tcW w:w="1134" w:type="dxa"/>
            <w:tcBorders>
              <w:bottom w:val="single" w:sz="4" w:space="0" w:color="auto"/>
            </w:tcBorders>
          </w:tcPr>
          <w:p>
            <w:pPr>
              <w:pStyle w:val="nTable"/>
              <w:spacing w:after="40"/>
              <w:rPr>
                <w:snapToGrid w:val="0"/>
                <w:sz w:val="19"/>
              </w:rPr>
            </w:pPr>
            <w:r>
              <w:rPr>
                <w:snapToGrid w:val="0"/>
                <w:sz w:val="19"/>
              </w:rPr>
              <w:t>9 of 2014</w:t>
            </w:r>
          </w:p>
        </w:tc>
        <w:tc>
          <w:tcPr>
            <w:tcW w:w="1134" w:type="dxa"/>
            <w:tcBorders>
              <w:bottom w:val="single" w:sz="4" w:space="0" w:color="auto"/>
            </w:tcBorders>
          </w:tcPr>
          <w:p>
            <w:pPr>
              <w:pStyle w:val="nTable"/>
              <w:spacing w:after="40"/>
              <w:rPr>
                <w:sz w:val="19"/>
              </w:rPr>
            </w:pPr>
            <w:r>
              <w:rPr>
                <w:sz w:val="19"/>
              </w:rPr>
              <w:t>20 May 2014</w:t>
            </w:r>
          </w:p>
        </w:tc>
        <w:tc>
          <w:tcPr>
            <w:tcW w:w="2552" w:type="dxa"/>
            <w:tcBorders>
              <w:bottom w:val="single" w:sz="4" w:space="0" w:color="auto"/>
            </w:tcBorders>
          </w:tcPr>
          <w:p>
            <w:pPr>
              <w:pStyle w:val="nTable"/>
              <w:spacing w:after="40"/>
              <w:rPr>
                <w:snapToGrid w:val="0"/>
                <w:sz w:val="19"/>
              </w:rPr>
            </w:pPr>
            <w:r>
              <w:rPr>
                <w:snapToGrid w:val="0"/>
                <w:sz w:val="19"/>
              </w:rPr>
              <w:t xml:space="preserve">31 May 2014 (see s. 2(1)(c) and </w:t>
            </w:r>
            <w:r>
              <w:rPr>
                <w:i/>
                <w:snapToGrid w:val="0"/>
                <w:sz w:val="19"/>
              </w:rPr>
              <w:t>Gazette</w:t>
            </w:r>
            <w:r>
              <w:rPr>
                <w:snapToGrid w:val="0"/>
                <w:sz w:val="19"/>
              </w:rPr>
              <w:t xml:space="preserve"> 30 May 2014 p. 1680)</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0" w:name="_Toc390422182"/>
      <w:r>
        <w:rPr>
          <w:snapToGrid w:val="0"/>
        </w:rPr>
        <w:t>Provisions that have not come into operation</w:t>
      </w:r>
      <w:bookmarkEnd w:id="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15"/>
        <w:gridCol w:w="75"/>
      </w:tblGrid>
      <w:tr>
        <w:tc>
          <w:tcPr>
            <w:tcW w:w="2268" w:type="dxa"/>
            <w:tcBorders>
              <w:top w:val="single" w:sz="4" w:space="0" w:color="auto"/>
              <w:bottom w:val="single" w:sz="4" w:space="0" w:color="auto"/>
            </w:tcBorders>
          </w:tcPr>
          <w:p>
            <w:pPr>
              <w:pStyle w:val="nTable"/>
              <w:keepNext/>
              <w:keepLines/>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tcPr>
          <w:p>
            <w:pPr>
              <w:pStyle w:val="nTable"/>
              <w:keepNext/>
              <w:keepLines/>
              <w:spacing w:after="40"/>
              <w:rPr>
                <w:b/>
                <w:snapToGrid w:val="0"/>
                <w:sz w:val="19"/>
                <w:szCs w:val="19"/>
              </w:rPr>
            </w:pPr>
            <w:r>
              <w:rPr>
                <w:b/>
                <w:snapToGrid w:val="0"/>
                <w:sz w:val="19"/>
                <w:szCs w:val="19"/>
              </w:rPr>
              <w:t>Number and year</w:t>
            </w:r>
          </w:p>
        </w:tc>
        <w:tc>
          <w:tcPr>
            <w:tcW w:w="1135" w:type="dxa"/>
            <w:tcBorders>
              <w:top w:val="single" w:sz="4" w:space="0" w:color="auto"/>
              <w:bottom w:val="single" w:sz="4" w:space="0" w:color="auto"/>
            </w:tcBorders>
          </w:tcPr>
          <w:p>
            <w:pPr>
              <w:pStyle w:val="nTable"/>
              <w:keepNext/>
              <w:keepLines/>
              <w:spacing w:after="40"/>
              <w:rPr>
                <w:b/>
                <w:snapToGrid w:val="0"/>
                <w:sz w:val="19"/>
                <w:szCs w:val="19"/>
              </w:rPr>
            </w:pPr>
            <w:r>
              <w:rPr>
                <w:b/>
                <w:snapToGrid w:val="0"/>
                <w:sz w:val="19"/>
                <w:szCs w:val="19"/>
              </w:rPr>
              <w:t>Assent</w:t>
            </w:r>
          </w:p>
        </w:tc>
        <w:tc>
          <w:tcPr>
            <w:tcW w:w="2552" w:type="dxa"/>
            <w:gridSpan w:val="2"/>
            <w:tcBorders>
              <w:top w:val="single" w:sz="4" w:space="0" w:color="auto"/>
              <w:bottom w:val="single" w:sz="4" w:space="0" w:color="auto"/>
            </w:tcBorders>
          </w:tcPr>
          <w:p>
            <w:pPr>
              <w:pStyle w:val="nTable"/>
              <w:keepNext/>
              <w:keepLines/>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z w:val="19"/>
                <w:szCs w:val="19"/>
              </w:rPr>
              <w:t xml:space="preserve">Shipping and Pilotage Amendment Act 2006 </w:t>
            </w:r>
            <w:r>
              <w:rPr>
                <w:sz w:val="19"/>
                <w:szCs w:val="19"/>
              </w:rPr>
              <w:t>s. 8 and 13(1)(b) </w:t>
            </w:r>
            <w:r>
              <w:rPr>
                <w:sz w:val="19"/>
                <w:szCs w:val="19"/>
                <w:vertAlign w:val="superscript"/>
              </w:rPr>
              <w:t>10 </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71 of 2006</w:t>
            </w:r>
          </w:p>
        </w:tc>
        <w:tc>
          <w:tcPr>
            <w:tcW w:w="1135" w:type="dxa"/>
            <w:tcBorders>
              <w:top w:val="single" w:sz="4" w:space="0" w:color="auto"/>
              <w:bottom w:val="nil"/>
            </w:tcBorders>
          </w:tcPr>
          <w:p>
            <w:pPr>
              <w:pStyle w:val="nTable"/>
              <w:spacing w:after="40"/>
              <w:rPr>
                <w:snapToGrid w:val="0"/>
                <w:sz w:val="19"/>
                <w:szCs w:val="19"/>
              </w:rPr>
            </w:pPr>
            <w:r>
              <w:rPr>
                <w:sz w:val="19"/>
                <w:szCs w:val="19"/>
              </w:rPr>
              <w:t>13 Dec 2006</w:t>
            </w:r>
          </w:p>
        </w:tc>
        <w:tc>
          <w:tcPr>
            <w:tcW w:w="2552" w:type="dxa"/>
            <w:gridSpan w:val="2"/>
            <w:tcBorders>
              <w:top w:val="single" w:sz="4" w:space="0" w:color="auto"/>
              <w:bottom w:val="nil"/>
            </w:tcBorders>
          </w:tcPr>
          <w:p>
            <w:pPr>
              <w:pStyle w:val="nTable"/>
              <w:spacing w:after="40"/>
              <w:rPr>
                <w:snapToGrid w:val="0"/>
                <w:sz w:val="19"/>
                <w:szCs w:val="19"/>
              </w:rPr>
            </w:pPr>
            <w:r>
              <w:rPr>
                <w:sz w:val="19"/>
                <w:szCs w:val="19"/>
              </w:rPr>
              <w:t>To be proclaimed</w:t>
            </w:r>
            <w:r>
              <w:rPr>
                <w:snapToGrid w:val="0"/>
                <w:sz w:val="19"/>
                <w:szCs w:val="19"/>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w:t>
            </w:r>
            <w:r>
              <w:rPr>
                <w:iCs/>
                <w:snapToGrid w:val="0"/>
                <w:sz w:val="19"/>
                <w:szCs w:val="19"/>
                <w:vertAlign w:val="superscript"/>
              </w:rPr>
              <w:t>11</w:t>
            </w:r>
          </w:p>
        </w:tc>
        <w:tc>
          <w:tcPr>
            <w:tcW w:w="1134" w:type="dxa"/>
            <w:tcBorders>
              <w:top w:val="nil"/>
              <w:bottom w:val="nil"/>
            </w:tcBorders>
          </w:tcPr>
          <w:p>
            <w:pPr>
              <w:pStyle w:val="nTable"/>
              <w:spacing w:after="40"/>
              <w:rPr>
                <w:snapToGrid w:val="0"/>
                <w:sz w:val="19"/>
                <w:szCs w:val="19"/>
              </w:rPr>
            </w:pPr>
            <w:r>
              <w:rPr>
                <w:snapToGrid w:val="0"/>
                <w:sz w:val="19"/>
                <w:szCs w:val="19"/>
              </w:rPr>
              <w:t>19 of 2010</w:t>
            </w:r>
            <w:ins w:id="21" w:author="svcMRProcess" w:date="2015-11-11T06:08:00Z">
              <w:r>
                <w:rPr>
                  <w:snapToGrid w:val="0"/>
                  <w:sz w:val="19"/>
                  <w:szCs w:val="19"/>
                </w:rPr>
                <w:t xml:space="preserve"> (as amended by No. 17 of 2014 s. 39(2)(d))</w:t>
              </w:r>
            </w:ins>
          </w:p>
        </w:tc>
        <w:tc>
          <w:tcPr>
            <w:tcW w:w="1135" w:type="dxa"/>
            <w:tcBorders>
              <w:top w:val="nil"/>
              <w:bottom w:val="nil"/>
            </w:tcBorders>
          </w:tcPr>
          <w:p>
            <w:pPr>
              <w:pStyle w:val="nTable"/>
              <w:spacing w:after="40"/>
              <w:rPr>
                <w:snapToGrid w:val="0"/>
                <w:sz w:val="19"/>
                <w:szCs w:val="19"/>
              </w:rPr>
            </w:pPr>
            <w:r>
              <w:rPr>
                <w:snapToGrid w:val="0"/>
                <w:sz w:val="19"/>
                <w:szCs w:val="19"/>
              </w:rPr>
              <w:t>28 Jun 2010</w:t>
            </w:r>
          </w:p>
        </w:tc>
        <w:tc>
          <w:tcPr>
            <w:tcW w:w="2552" w:type="dxa"/>
            <w:gridSpan w:val="2"/>
            <w:tcBorders>
              <w:top w:val="nil"/>
              <w:bottom w:val="nil"/>
            </w:tcBorders>
          </w:tcPr>
          <w:p>
            <w:pPr>
              <w:pStyle w:val="nTable"/>
              <w:spacing w:after="40"/>
              <w:rPr>
                <w:snapToGrid w:val="0"/>
                <w:sz w:val="19"/>
                <w:szCs w:val="19"/>
              </w:rPr>
            </w:pPr>
            <w:r>
              <w:rPr>
                <w:snapToGrid w:val="0"/>
                <w:sz w:val="19"/>
                <w:szCs w:val="19"/>
              </w:rPr>
              <w:t>To be proclaimed (see s. 2(b))</w:t>
            </w:r>
          </w:p>
        </w:tc>
      </w:tr>
      <w:tr>
        <w:trPr>
          <w:gridAfter w:val="1"/>
          <w:wAfter w:w="75" w:type="dxa"/>
          <w:ins w:id="22" w:author="svcMRProcess" w:date="2015-11-11T06:08:00Z"/>
        </w:trPr>
        <w:tc>
          <w:tcPr>
            <w:tcW w:w="2268" w:type="dxa"/>
            <w:tcBorders>
              <w:top w:val="nil"/>
              <w:bottom w:val="single" w:sz="4" w:space="0" w:color="auto"/>
            </w:tcBorders>
          </w:tcPr>
          <w:p>
            <w:pPr>
              <w:pStyle w:val="nSubsection"/>
              <w:tabs>
                <w:tab w:val="clear" w:pos="454"/>
              </w:tabs>
              <w:spacing w:before="40" w:after="40"/>
              <w:ind w:left="0" w:firstLine="0"/>
              <w:rPr>
                <w:ins w:id="23" w:author="svcMRProcess" w:date="2015-11-11T06:08:00Z"/>
                <w:sz w:val="19"/>
                <w:szCs w:val="19"/>
                <w:vertAlign w:val="superscript"/>
              </w:rPr>
            </w:pPr>
            <w:ins w:id="24" w:author="svcMRProcess" w:date="2015-11-11T06:08:00Z">
              <w:r>
                <w:rPr>
                  <w:i/>
                  <w:snapToGrid w:val="0"/>
                  <w:sz w:val="19"/>
                  <w:szCs w:val="19"/>
                </w:rPr>
                <w:t xml:space="preserve">Statutes (Repeals and Minor Amendments) Act 2014 </w:t>
              </w:r>
              <w:r>
                <w:rPr>
                  <w:snapToGrid w:val="0"/>
                  <w:sz w:val="19"/>
                  <w:szCs w:val="19"/>
                </w:rPr>
                <w:t>s. 39(2)(d)</w:t>
              </w:r>
              <w:r>
                <w:rPr>
                  <w:i/>
                  <w:snapToGrid w:val="0"/>
                  <w:sz w:val="19"/>
                  <w:szCs w:val="19"/>
                </w:rPr>
                <w:t> </w:t>
              </w:r>
              <w:r>
                <w:rPr>
                  <w:noProof/>
                  <w:snapToGrid w:val="0"/>
                  <w:sz w:val="19"/>
                  <w:szCs w:val="19"/>
                  <w:vertAlign w:val="superscript"/>
                </w:rPr>
                <w:t>12</w:t>
              </w:r>
            </w:ins>
          </w:p>
        </w:tc>
        <w:tc>
          <w:tcPr>
            <w:tcW w:w="1134" w:type="dxa"/>
            <w:tcBorders>
              <w:top w:val="nil"/>
              <w:bottom w:val="single" w:sz="4" w:space="0" w:color="auto"/>
            </w:tcBorders>
          </w:tcPr>
          <w:p>
            <w:pPr>
              <w:pStyle w:val="nTable"/>
              <w:spacing w:after="40"/>
              <w:rPr>
                <w:ins w:id="25" w:author="svcMRProcess" w:date="2015-11-11T06:08:00Z"/>
                <w:sz w:val="19"/>
                <w:szCs w:val="19"/>
              </w:rPr>
            </w:pPr>
            <w:ins w:id="26" w:author="svcMRProcess" w:date="2015-11-11T06:08:00Z">
              <w:r>
                <w:rPr>
                  <w:sz w:val="19"/>
                  <w:szCs w:val="19"/>
                </w:rPr>
                <w:t>17 of 2014</w:t>
              </w:r>
            </w:ins>
          </w:p>
        </w:tc>
        <w:tc>
          <w:tcPr>
            <w:tcW w:w="1134" w:type="dxa"/>
            <w:tcBorders>
              <w:top w:val="nil"/>
              <w:bottom w:val="single" w:sz="4" w:space="0" w:color="auto"/>
            </w:tcBorders>
          </w:tcPr>
          <w:p>
            <w:pPr>
              <w:pStyle w:val="nTable"/>
              <w:spacing w:after="40"/>
              <w:rPr>
                <w:ins w:id="27" w:author="svcMRProcess" w:date="2015-11-11T06:08:00Z"/>
                <w:sz w:val="19"/>
                <w:szCs w:val="19"/>
              </w:rPr>
            </w:pPr>
            <w:ins w:id="28" w:author="svcMRProcess" w:date="2015-11-11T06:08:00Z">
              <w:r>
                <w:rPr>
                  <w:sz w:val="19"/>
                  <w:szCs w:val="19"/>
                </w:rPr>
                <w:t>2 Jul 2014</w:t>
              </w:r>
            </w:ins>
          </w:p>
        </w:tc>
        <w:tc>
          <w:tcPr>
            <w:tcW w:w="2615" w:type="dxa"/>
            <w:tcBorders>
              <w:top w:val="nil"/>
              <w:bottom w:val="single" w:sz="4" w:space="0" w:color="auto"/>
            </w:tcBorders>
          </w:tcPr>
          <w:p>
            <w:pPr>
              <w:pStyle w:val="nTable"/>
              <w:spacing w:after="40"/>
              <w:rPr>
                <w:ins w:id="29" w:author="svcMRProcess" w:date="2015-11-11T06:08:00Z"/>
                <w:snapToGrid w:val="0"/>
                <w:sz w:val="19"/>
                <w:szCs w:val="19"/>
              </w:rPr>
            </w:pPr>
            <w:ins w:id="30" w:author="svcMRProcess" w:date="2015-11-11T06:08:00Z">
              <w:r>
                <w:rPr>
                  <w:snapToGrid w:val="0"/>
                  <w:sz w:val="19"/>
                  <w:szCs w:val="19"/>
                </w:rPr>
                <w:t>To be proclaimed (see s. 2(b))</w:t>
              </w:r>
            </w:ins>
          </w:p>
        </w:tc>
      </w:tr>
    </w:tbl>
    <w:p>
      <w:pPr>
        <w:pStyle w:val="nSubsection"/>
        <w:rPr>
          <w:ins w:id="31" w:author="svcMRProcess" w:date="2015-11-11T06:08: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r>
        <w:rPr>
          <w:rStyle w:val="CharSectno"/>
        </w:rPr>
        <w:t>8</w:t>
      </w:r>
      <w:r>
        <w:t>.</w:t>
      </w:r>
      <w:r>
        <w:tab/>
        <w:t>Section  7B inserted</w:t>
      </w:r>
    </w:p>
    <w:p>
      <w:pPr>
        <w:pStyle w:val="nzSubsection"/>
      </w:pPr>
      <w:r>
        <w:tab/>
      </w:r>
      <w:r>
        <w:tab/>
        <w:t>Before section 8 the following section is inserted —</w:t>
      </w:r>
    </w:p>
    <w:p>
      <w:pPr>
        <w:pStyle w:val="MiscOpen"/>
      </w:pPr>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r>
        <w:rPr>
          <w:rStyle w:val="CharSectno"/>
        </w:rPr>
        <w:t>13</w:t>
      </w:r>
      <w:r>
        <w:t>.</w:t>
      </w:r>
      <w:r>
        <w:tab/>
        <w:t>Section 12 amended</w:t>
      </w:r>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pStyle w:val="nSubsection"/>
        <w:rPr>
          <w:ins w:id="32" w:author="svcMRProcess" w:date="2015-11-11T06:08:00Z"/>
          <w:snapToGrid w:val="0"/>
        </w:rPr>
      </w:pPr>
      <w:ins w:id="33" w:author="svcMRProcess" w:date="2015-11-11T06:08:00Z">
        <w:r>
          <w:rPr>
            <w:snapToGrid w:val="0"/>
            <w:vertAlign w:val="superscript"/>
          </w:rPr>
          <w:t>12</w:t>
        </w:r>
        <w:r>
          <w:rPr>
            <w:snapToGrid w:val="0"/>
          </w:rPr>
          <w:tab/>
          <w:t xml:space="preserve">On the date as at which this compilation was prepared, the </w:t>
        </w:r>
        <w:r>
          <w:rPr>
            <w:i/>
            <w:snapToGrid w:val="0"/>
          </w:rPr>
          <w:t xml:space="preserve">Statutes (Repeals and Minor Amendments) Act 2014 </w:t>
        </w:r>
        <w:r>
          <w:rPr>
            <w:snapToGrid w:val="0"/>
          </w:rPr>
          <w:t>s. 39(2)(d)</w:t>
        </w:r>
        <w:r>
          <w:rPr>
            <w:i/>
            <w:snapToGrid w:val="0"/>
          </w:rPr>
          <w:t xml:space="preserve"> </w:t>
        </w:r>
        <w:r>
          <w:rPr>
            <w:snapToGrid w:val="0"/>
          </w:rPr>
          <w:t>had not come into operation.  It reads as follows:</w:t>
        </w:r>
      </w:ins>
    </w:p>
    <w:p>
      <w:pPr>
        <w:pStyle w:val="BlankOpen"/>
        <w:rPr>
          <w:ins w:id="34" w:author="svcMRProcess" w:date="2015-11-11T06:08:00Z"/>
          <w:snapToGrid w:val="0"/>
        </w:rPr>
      </w:pPr>
    </w:p>
    <w:p>
      <w:pPr>
        <w:pStyle w:val="nzHeading5"/>
        <w:rPr>
          <w:ins w:id="35" w:author="svcMRProcess" w:date="2015-11-11T06:08:00Z"/>
        </w:rPr>
      </w:pPr>
      <w:bookmarkStart w:id="36" w:name="_Toc392133825"/>
      <w:bookmarkStart w:id="37" w:name="_Toc392144329"/>
      <w:ins w:id="38" w:author="svcMRProcess" w:date="2015-11-11T06:08:00Z">
        <w:r>
          <w:rPr>
            <w:rStyle w:val="CharSectno"/>
          </w:rPr>
          <w:t>39</w:t>
        </w:r>
        <w:r>
          <w:t>.</w:t>
        </w:r>
        <w:r>
          <w:tab/>
        </w:r>
        <w:r>
          <w:rPr>
            <w:i/>
          </w:rPr>
          <w:t>Standardisation of Formatting Act 2010</w:t>
        </w:r>
        <w:r>
          <w:t xml:space="preserve"> amended</w:t>
        </w:r>
        <w:bookmarkEnd w:id="36"/>
        <w:bookmarkEnd w:id="37"/>
      </w:ins>
    </w:p>
    <w:p>
      <w:pPr>
        <w:pStyle w:val="nzSubsection"/>
        <w:rPr>
          <w:ins w:id="39" w:author="svcMRProcess" w:date="2015-11-11T06:08:00Z"/>
        </w:rPr>
      </w:pPr>
      <w:ins w:id="40" w:author="svcMRProcess" w:date="2015-11-11T06:08:00Z">
        <w:r>
          <w:tab/>
          <w:t>(1)</w:t>
        </w:r>
        <w:r>
          <w:tab/>
          <w:t xml:space="preserve">This section amends the </w:t>
        </w:r>
        <w:r>
          <w:rPr>
            <w:i/>
          </w:rPr>
          <w:t>Standardisation of Formatting Act 2010.</w:t>
        </w:r>
      </w:ins>
    </w:p>
    <w:p>
      <w:pPr>
        <w:pStyle w:val="nzSubsection"/>
        <w:rPr>
          <w:ins w:id="41" w:author="svcMRProcess" w:date="2015-11-11T06:08:00Z"/>
        </w:rPr>
      </w:pPr>
      <w:ins w:id="42" w:author="svcMRProcess" w:date="2015-11-11T06:08:00Z">
        <w:r>
          <w:tab/>
          <w:t>(2)</w:t>
        </w:r>
        <w:r>
          <w:tab/>
          <w:t>In section 4 in the Table:</w:t>
        </w:r>
      </w:ins>
    </w:p>
    <w:p>
      <w:pPr>
        <w:pStyle w:val="nzIndenta"/>
        <w:rPr>
          <w:ins w:id="43" w:author="svcMRProcess" w:date="2015-11-11T06:08:00Z"/>
        </w:rPr>
      </w:pPr>
      <w:ins w:id="44" w:author="svcMRProcess" w:date="2015-11-11T06:08:00Z">
        <w:r>
          <w:tab/>
          <w:t>(d)</w:t>
        </w:r>
        <w:r>
          <w:tab/>
          <w:t xml:space="preserve">delete the row relating to the </w:t>
        </w:r>
        <w:r>
          <w:rPr>
            <w:i/>
          </w:rPr>
          <w:t>Shipping and Pilotage Act 1967</w:t>
        </w:r>
        <w:r>
          <w:t>.</w:t>
        </w:r>
      </w:ins>
    </w:p>
    <w:p>
      <w:pPr>
        <w:pStyle w:val="BlankClose"/>
        <w:rPr>
          <w:ins w:id="45" w:author="svcMRProcess" w:date="2015-11-11T06:08:00Z"/>
          <w:snapToGrid w:val="0"/>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12558"/>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7014</Words>
  <Characters>32196</Characters>
  <Application>Microsoft Office Word</Application>
  <DocSecurity>0</DocSecurity>
  <Lines>946</Lines>
  <Paragraphs>502</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04-g0-03 - 04-h0-01</dc:title>
  <dc:subject/>
  <dc:creator/>
  <cp:keywords/>
  <dc:description/>
  <cp:lastModifiedBy>svcMRProcess</cp:lastModifiedBy>
  <cp:revision>2</cp:revision>
  <cp:lastPrinted>2009-05-18T06:46:00Z</cp:lastPrinted>
  <dcterms:created xsi:type="dcterms:W3CDTF">2015-11-10T22:08:00Z</dcterms:created>
  <dcterms:modified xsi:type="dcterms:W3CDTF">2015-11-10T22:08:00Z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04-g0-03</vt:lpwstr>
  </property>
  <property fmtid="{D5CDD505-2E9C-101B-9397-08002B2CF9AE}" pid="9" name="FromAsAtDate">
    <vt:lpwstr>31 May 2014</vt:lpwstr>
  </property>
  <property fmtid="{D5CDD505-2E9C-101B-9397-08002B2CF9AE}" pid="10" name="ToSuffix">
    <vt:lpwstr>04-h0-01</vt:lpwstr>
  </property>
  <property fmtid="{D5CDD505-2E9C-101B-9397-08002B2CF9AE}" pid="11" name="ToAsAtDate">
    <vt:lpwstr>02 Jul 2014</vt:lpwstr>
  </property>
</Properties>
</file>