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2013</w:t>
      </w:r>
      <w:r>
        <w:fldChar w:fldCharType="end"/>
      </w:r>
      <w:r>
        <w:t xml:space="preserve">, </w:t>
      </w:r>
      <w:r>
        <w:fldChar w:fldCharType="begin"/>
      </w:r>
      <w:r>
        <w:instrText xml:space="preserve"> DocProperty FromSuffix </w:instrText>
      </w:r>
      <w:r>
        <w:fldChar w:fldCharType="separate"/>
      </w:r>
      <w:r>
        <w:t>05-g0-03</w:t>
      </w:r>
      <w:r>
        <w:fldChar w:fldCharType="end"/>
      </w:r>
      <w:r>
        <w:t>] and [</w:t>
      </w:r>
      <w:r>
        <w:fldChar w:fldCharType="begin"/>
      </w:r>
      <w:r>
        <w:instrText xml:space="preserve"> DocProperty ToAsAtDate</w:instrText>
      </w:r>
      <w:r>
        <w:fldChar w:fldCharType="separate"/>
      </w:r>
      <w:r>
        <w:t>04 Jul 2014</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8T11:45:00Z"/>
        </w:trPr>
        <w:tc>
          <w:tcPr>
            <w:tcW w:w="2434" w:type="dxa"/>
            <w:vMerge w:val="restart"/>
          </w:tcPr>
          <w:p>
            <w:pPr>
              <w:rPr>
                <w:ins w:id="2" w:author="svcMRProcess" w:date="2018-08-28T11:45:00Z"/>
              </w:rPr>
            </w:pPr>
          </w:p>
        </w:tc>
        <w:tc>
          <w:tcPr>
            <w:tcW w:w="2434" w:type="dxa"/>
            <w:vMerge w:val="restart"/>
          </w:tcPr>
          <w:p>
            <w:pPr>
              <w:jc w:val="center"/>
              <w:rPr>
                <w:ins w:id="3" w:author="svcMRProcess" w:date="2018-08-28T11:45:00Z"/>
              </w:rPr>
            </w:pPr>
            <w:ins w:id="4" w:author="svcMRProcess" w:date="2018-08-28T11:4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8T11:45:00Z"/>
              </w:rPr>
            </w:pPr>
            <w:ins w:id="6" w:author="svcMRProcess" w:date="2018-08-28T11:45:00Z">
              <w:r>
                <w:rPr>
                  <w:b/>
                  <w:sz w:val="22"/>
                </w:rPr>
                <w:t xml:space="preserve">Reprinted under the </w:t>
              </w:r>
              <w:r>
                <w:rPr>
                  <w:b/>
                  <w:i/>
                  <w:sz w:val="22"/>
                </w:rPr>
                <w:t>Reprints Act 1984</w:t>
              </w:r>
              <w:r>
                <w:rPr>
                  <w:b/>
                  <w:sz w:val="22"/>
                </w:rPr>
                <w:t xml:space="preserve"> as</w:t>
              </w:r>
            </w:ins>
          </w:p>
        </w:tc>
      </w:tr>
      <w:tr>
        <w:trPr>
          <w:cantSplit/>
          <w:ins w:id="7" w:author="svcMRProcess" w:date="2018-08-28T11:45:00Z"/>
        </w:trPr>
        <w:tc>
          <w:tcPr>
            <w:tcW w:w="2434" w:type="dxa"/>
            <w:vMerge/>
          </w:tcPr>
          <w:p>
            <w:pPr>
              <w:rPr>
                <w:ins w:id="8" w:author="svcMRProcess" w:date="2018-08-28T11:45:00Z"/>
              </w:rPr>
            </w:pPr>
          </w:p>
        </w:tc>
        <w:tc>
          <w:tcPr>
            <w:tcW w:w="2434" w:type="dxa"/>
            <w:vMerge/>
          </w:tcPr>
          <w:p>
            <w:pPr>
              <w:jc w:val="center"/>
              <w:rPr>
                <w:ins w:id="9" w:author="svcMRProcess" w:date="2018-08-28T11:45:00Z"/>
              </w:rPr>
            </w:pPr>
          </w:p>
        </w:tc>
        <w:tc>
          <w:tcPr>
            <w:tcW w:w="2434" w:type="dxa"/>
          </w:tcPr>
          <w:p>
            <w:pPr>
              <w:keepNext/>
              <w:rPr>
                <w:ins w:id="10" w:author="svcMRProcess" w:date="2018-08-28T11:45:00Z"/>
                <w:b/>
                <w:sz w:val="22"/>
              </w:rPr>
            </w:pPr>
            <w:ins w:id="11" w:author="svcMRProcess" w:date="2018-08-28T11:45:00Z">
              <w:r>
                <w:rPr>
                  <w:b/>
                  <w:sz w:val="22"/>
                </w:rPr>
                <w:t>at 4 July 2014</w:t>
              </w:r>
            </w:ins>
          </w:p>
        </w:tc>
      </w:tr>
    </w:tbl>
    <w:p>
      <w:pPr>
        <w:pStyle w:val="WA"/>
        <w:spacing w:before="12"/>
      </w:pPr>
      <w:r>
        <w:t>Western Australia</w:t>
      </w:r>
    </w:p>
    <w:p>
      <w:pPr>
        <w:pStyle w:val="NameofActReg"/>
        <w:spacing w:before="880" w:after="1000"/>
      </w:pPr>
      <w:r>
        <w:t xml:space="preserve">Dog Act 1976 </w:t>
      </w:r>
    </w:p>
    <w:p>
      <w:pPr>
        <w:pStyle w:val="LongTitle"/>
        <w:rPr>
          <w:snapToGrid w:val="0"/>
        </w:rPr>
      </w:pPr>
      <w:r>
        <w:rPr>
          <w:snapToGrid w:val="0"/>
        </w:rPr>
        <w:t>A</w:t>
      </w:r>
      <w:bookmarkStart w:id="12" w:name="_GoBack"/>
      <w:bookmarkEnd w:id="12"/>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3" w:name="_Toc390078374"/>
      <w:bookmarkStart w:id="14" w:name="_Toc390086575"/>
      <w:bookmarkStart w:id="15" w:name="_Toc392576220"/>
      <w:bookmarkStart w:id="16" w:name="_Toc392765290"/>
      <w:bookmarkStart w:id="17" w:name="_Toc416682916"/>
      <w:bookmarkStart w:id="18" w:name="_Toc416683025"/>
      <w:bookmarkStart w:id="19" w:name="_Toc375130599"/>
      <w:bookmarkStart w:id="20" w:name="_Toc375130709"/>
      <w:bookmarkStart w:id="21" w:name="_Toc375130819"/>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r>
        <w:rPr>
          <w:rStyle w:val="CharPartText"/>
        </w:rPr>
        <w:t xml:space="preserve"> </w:t>
      </w:r>
    </w:p>
    <w:p>
      <w:pPr>
        <w:pStyle w:val="Heading5"/>
        <w:spacing w:before="240"/>
        <w:rPr>
          <w:snapToGrid w:val="0"/>
        </w:rPr>
      </w:pPr>
      <w:bookmarkStart w:id="22" w:name="_Toc392765291"/>
      <w:bookmarkStart w:id="23" w:name="_Toc416683026"/>
      <w:bookmarkStart w:id="24" w:name="_Toc375130820"/>
      <w:r>
        <w:rPr>
          <w:rStyle w:val="CharSectno"/>
        </w:rPr>
        <w:t>1</w:t>
      </w:r>
      <w:r>
        <w:rPr>
          <w:snapToGrid w:val="0"/>
        </w:rPr>
        <w:t>.</w:t>
      </w:r>
      <w:r>
        <w:rPr>
          <w:snapToGrid w:val="0"/>
        </w:rPr>
        <w:tab/>
        <w:t>Short title</w:t>
      </w:r>
      <w:bookmarkEnd w:id="22"/>
      <w:bookmarkEnd w:id="23"/>
      <w:bookmarkEnd w:id="2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240"/>
        <w:rPr>
          <w:snapToGrid w:val="0"/>
        </w:rPr>
      </w:pPr>
      <w:bookmarkStart w:id="25" w:name="_Toc392765292"/>
      <w:bookmarkStart w:id="26" w:name="_Toc416683027"/>
      <w:bookmarkStart w:id="27" w:name="_Toc375130821"/>
      <w:r>
        <w:rPr>
          <w:rStyle w:val="CharSectno"/>
        </w:rPr>
        <w:t>2</w:t>
      </w:r>
      <w:r>
        <w:rPr>
          <w:snapToGrid w:val="0"/>
        </w:rPr>
        <w:t>.</w:t>
      </w:r>
      <w:r>
        <w:rPr>
          <w:snapToGrid w:val="0"/>
        </w:rPr>
        <w:tab/>
        <w:t>Commencement</w:t>
      </w:r>
      <w:bookmarkEnd w:id="25"/>
      <w:bookmarkEnd w:id="26"/>
      <w:bookmarkEnd w:id="27"/>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240"/>
        <w:rPr>
          <w:snapToGrid w:val="0"/>
        </w:rPr>
      </w:pPr>
      <w:bookmarkStart w:id="28" w:name="_Toc375130822"/>
      <w:bookmarkStart w:id="29" w:name="_Toc392765293"/>
      <w:bookmarkStart w:id="30" w:name="_Toc416683028"/>
      <w:r>
        <w:rPr>
          <w:rStyle w:val="CharSectno"/>
        </w:rPr>
        <w:t>3</w:t>
      </w:r>
      <w:r>
        <w:rPr>
          <w:snapToGrid w:val="0"/>
        </w:rPr>
        <w:t>.</w:t>
      </w:r>
      <w:r>
        <w:rPr>
          <w:snapToGrid w:val="0"/>
        </w:rPr>
        <w:tab/>
      </w:r>
      <w:del w:id="31" w:author="svcMRProcess" w:date="2018-08-28T11:45:00Z">
        <w:r>
          <w:rPr>
            <w:snapToGrid w:val="0"/>
          </w:rPr>
          <w:delText>Interpretation</w:delText>
        </w:r>
      </w:del>
      <w:bookmarkEnd w:id="28"/>
      <w:ins w:id="32" w:author="svcMRProcess" w:date="2018-08-28T11:45:00Z">
        <w:r>
          <w:rPr>
            <w:snapToGrid w:val="0"/>
          </w:rPr>
          <w:t>Terms used</w:t>
        </w:r>
      </w:ins>
      <w:bookmarkEnd w:id="29"/>
      <w:bookmarkEnd w:id="30"/>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pPr>
      <w:r>
        <w:rPr>
          <w:b/>
        </w:rPr>
        <w:lastRenderedPageBreak/>
        <w:tab/>
      </w:r>
      <w:r>
        <w:rPr>
          <w:rStyle w:val="CharDefText"/>
        </w:rPr>
        <w:t>authorised person</w:t>
      </w:r>
      <w:r>
        <w:t xml:space="preserve"> means a person who is appointed by a local government, to exercise powers on behalf of the local government, under section 29(1);</w:t>
      </w:r>
    </w:p>
    <w:p>
      <w:pPr>
        <w:pStyle w:val="Defstart"/>
      </w:pPr>
      <w:r>
        <w:rPr>
          <w:i/>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keepLines w:val="0"/>
        <w:widowControl w:val="0"/>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w:t>
      </w:r>
      <w:ins w:id="33" w:author="svcMRProcess" w:date="2018-08-28T11:45:00Z">
        <w:r>
          <w:t xml:space="preserve"> or</w:t>
        </w:r>
      </w:ins>
    </w:p>
    <w:p>
      <w:pPr>
        <w:pStyle w:val="Defpara"/>
        <w:spacing w:before="60"/>
      </w:pPr>
      <w:r>
        <w:tab/>
        <w:t>(b)</w:t>
      </w:r>
      <w:r>
        <w:tab/>
        <w:t>the owner of the dog;</w:t>
      </w:r>
      <w:ins w:id="34" w:author="svcMRProcess" w:date="2018-08-28T11:45:00Z">
        <w:r>
          <w:t xml:space="preserve"> or</w:t>
        </w:r>
      </w:ins>
    </w:p>
    <w:p>
      <w:pPr>
        <w:pStyle w:val="Defpara"/>
        <w:spacing w:before="60"/>
      </w:pPr>
      <w:r>
        <w:tab/>
        <w:t>(c)</w:t>
      </w:r>
      <w:r>
        <w:tab/>
        <w:t>the occupier of any premises where the dog is ordinarily kept or ordinarily permitted to live; or</w:t>
      </w:r>
    </w:p>
    <w:p>
      <w:pPr>
        <w:pStyle w:val="Defpara"/>
        <w:keepLines/>
        <w:spacing w:before="60"/>
      </w:pPr>
      <w:r>
        <w:tab/>
        <w:t>(d)</w:t>
      </w:r>
      <w:r>
        <w:tab/>
        <w:t>a person who has the dog in his possession or under his control,</w:t>
      </w:r>
    </w:p>
    <w:p>
      <w:pPr>
        <w:pStyle w:val="Defstar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w:t>
      </w:r>
      <w:del w:id="35" w:author="svcMRProcess" w:date="2018-08-28T11:45:00Z">
        <w:r>
          <w:delText xml:space="preserve"> </w:delText>
        </w:r>
      </w:del>
      <w:ins w:id="36" w:author="svcMRProcess" w:date="2018-08-28T11:45:00Z">
        <w:r>
          <w:t> </w:t>
        </w:r>
      </w:ins>
      <w:r>
        <w:t>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w:t>
      </w:r>
      <w:del w:id="37" w:author="svcMRProcess" w:date="2018-08-28T11:45:00Z">
        <w:r>
          <w:delText xml:space="preserve"> </w:delText>
        </w:r>
      </w:del>
      <w:ins w:id="38" w:author="svcMRProcess" w:date="2018-08-28T11:45:00Z">
        <w:r>
          <w:t> </w:t>
        </w:r>
      </w:ins>
      <w:r>
        <w:t>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w:t>
      </w:r>
      <w:ins w:id="39" w:author="svcMRProcess" w:date="2018-08-28T11:45:00Z">
        <w:r>
          <w:t xml:space="preserve"> and</w:t>
        </w:r>
      </w:ins>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pageBreakBefore/>
        <w:spacing w:before="0"/>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by No. 23 of 1987 s. 4; No. 14 of 1996 s. 4; No. 24 of 1996 s. 4; No. 81 of 1996 s. 153(1); No. 31 of 1997 s. 141; No. 10 of 1998 s. 29(1); No. 38 of 2005 s. 15; No. 60 of 2006 s. 132; No. 18 of 2013 s. 4.] </w:t>
      </w:r>
    </w:p>
    <w:p>
      <w:pPr>
        <w:pStyle w:val="Ednotesection"/>
      </w:pPr>
      <w:r>
        <w:t>[</w:t>
      </w:r>
      <w:r>
        <w:rPr>
          <w:b/>
        </w:rPr>
        <w:t>4.</w:t>
      </w:r>
      <w:r>
        <w:tab/>
        <w:t xml:space="preserve">Deleted by No. 23 of 1987 s. 5.] </w:t>
      </w:r>
    </w:p>
    <w:p>
      <w:pPr>
        <w:pStyle w:val="Ednotesection"/>
      </w:pPr>
      <w:r>
        <w:t>[</w:t>
      </w:r>
      <w:r>
        <w:rPr>
          <w:b/>
        </w:rPr>
        <w:t>5.</w:t>
      </w:r>
      <w:r>
        <w:tab/>
        <w:t>Omitted under the Reprints Act 1984 s. 7(4)(f) and (g).]</w:t>
      </w:r>
    </w:p>
    <w:p>
      <w:pPr>
        <w:pStyle w:val="Heading5"/>
        <w:rPr>
          <w:snapToGrid w:val="0"/>
        </w:rPr>
      </w:pPr>
      <w:bookmarkStart w:id="40" w:name="_Toc392765294"/>
      <w:bookmarkStart w:id="41" w:name="_Toc416683029"/>
      <w:bookmarkStart w:id="42" w:name="_Toc375130823"/>
      <w:r>
        <w:rPr>
          <w:rStyle w:val="CharSectno"/>
        </w:rPr>
        <w:t>6</w:t>
      </w:r>
      <w:r>
        <w:rPr>
          <w:snapToGrid w:val="0"/>
        </w:rPr>
        <w:t>.</w:t>
      </w:r>
      <w:r>
        <w:rPr>
          <w:snapToGrid w:val="0"/>
        </w:rPr>
        <w:tab/>
        <w:t>Application</w:t>
      </w:r>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Subject to subsection (4), the provisions of this Act apply generally to all dogs, whether </w:t>
      </w:r>
      <w:del w:id="43" w:author="svcMRProcess" w:date="2018-08-28T11:45:00Z">
        <w:r>
          <w:rPr>
            <w:snapToGrid w:val="0"/>
          </w:rPr>
          <w:delText>sterilized</w:delText>
        </w:r>
      </w:del>
      <w:ins w:id="44" w:author="svcMRProcess" w:date="2018-08-28T11:45:00Z">
        <w:r>
          <w:rPr>
            <w:snapToGrid w:val="0"/>
          </w:rPr>
          <w:t>sterilised</w:t>
        </w:r>
      </w:ins>
      <w:r>
        <w:rPr>
          <w:snapToGrid w:val="0"/>
        </w:rPr>
        <w:t xml:space="preserve"> or </w:t>
      </w:r>
      <w:del w:id="45" w:author="svcMRProcess" w:date="2018-08-28T11:45:00Z">
        <w:r>
          <w:rPr>
            <w:snapToGrid w:val="0"/>
          </w:rPr>
          <w:delText>unsterilized</w:delText>
        </w:r>
      </w:del>
      <w:ins w:id="46" w:author="svcMRProcess" w:date="2018-08-28T11:45:00Z">
        <w:r>
          <w:rPr>
            <w:snapToGrid w:val="0"/>
          </w:rPr>
          <w:t>unsterilised</w:t>
        </w:r>
      </w:ins>
      <w:r>
        <w:rPr>
          <w:snapToGrid w:val="0"/>
        </w:rPr>
        <w:t>,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by No. 64 of 1983 s. 3; No. 23 of 1987 s. 6; No. 24 of 1996 s. 5; No. 10 of 1998 s. 29(2); No. 18 of 2013 s. 5.]</w:t>
      </w:r>
    </w:p>
    <w:p>
      <w:pPr>
        <w:pStyle w:val="Heading5"/>
        <w:spacing w:before="200"/>
        <w:rPr>
          <w:snapToGrid w:val="0"/>
        </w:rPr>
      </w:pPr>
      <w:bookmarkStart w:id="47" w:name="_Toc392765295"/>
      <w:bookmarkStart w:id="48" w:name="_Toc416683030"/>
      <w:bookmarkStart w:id="49" w:name="_Toc375130824"/>
      <w:r>
        <w:rPr>
          <w:rStyle w:val="CharSectno"/>
        </w:rPr>
        <w:t>7</w:t>
      </w:r>
      <w:r>
        <w:rPr>
          <w:snapToGrid w:val="0"/>
        </w:rPr>
        <w:t>.</w:t>
      </w:r>
      <w:r>
        <w:rPr>
          <w:snapToGrid w:val="0"/>
        </w:rPr>
        <w:tab/>
        <w:t>Dogs to be registered</w:t>
      </w:r>
      <w:bookmarkEnd w:id="47"/>
      <w:bookmarkEnd w:id="48"/>
      <w:bookmarkEnd w:id="49"/>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tab/>
        <w:t>(b)</w:t>
      </w:r>
      <w:r>
        <w:tab/>
        <w:t xml:space="preserve">if the dog is ordinarily kept or permitted to live in or at premises in </w:t>
      </w:r>
      <w:smartTag w:uri="urn:schemas-microsoft-com:office:smarttags" w:element="place">
        <w:smartTag w:uri="urn:schemas-microsoft-com:office:smarttags" w:element="State">
          <w:smartTag w:uri="urn:schemas-microsoft-com:office:smarttags" w:element="country-region">
            <w:r>
              <w:t>Western Australia</w:t>
            </w:r>
          </w:smartTag>
        </w:smartTag>
      </w:smartTag>
      <w:r>
        <w:t>,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Ednotepara"/>
        <w:rPr>
          <w:del w:id="50" w:author="svcMRProcess" w:date="2018-08-28T11:45:00Z"/>
        </w:rPr>
      </w:pPr>
      <w:del w:id="51" w:author="svcMRProcess" w:date="2018-08-28T11:45:00Z">
        <w:r>
          <w:tab/>
          <w:delText>[(e)</w:delText>
        </w:r>
        <w:r>
          <w:tab/>
          <w:delText>deleted]</w:delText>
        </w:r>
      </w:del>
    </w:p>
    <w:p>
      <w:pPr>
        <w:pStyle w:val="Footnotesection"/>
      </w:pPr>
      <w:r>
        <w:tab/>
        <w:t xml:space="preserve">[Section 7 amended by No. 57 of 1977 s. 2; No. 23 of 1987 s. 7; No. 24 of 1996 s. 16; No. 55 of 2004 s. 252 and 268; No. 18 of 2013 s. 6.] </w:t>
      </w:r>
    </w:p>
    <w:p>
      <w:pPr>
        <w:pStyle w:val="Heading5"/>
      </w:pPr>
      <w:bookmarkStart w:id="52" w:name="_Toc392765296"/>
      <w:bookmarkStart w:id="53" w:name="_Toc416683031"/>
      <w:bookmarkStart w:id="54" w:name="_Toc375130825"/>
      <w:r>
        <w:rPr>
          <w:rStyle w:val="CharSectno"/>
        </w:rPr>
        <w:t>8</w:t>
      </w:r>
      <w:r>
        <w:t>.</w:t>
      </w:r>
      <w:r>
        <w:tab/>
        <w:t>Assistance dogs</w:t>
      </w:r>
      <w:bookmarkEnd w:id="52"/>
      <w:bookmarkEnd w:id="53"/>
      <w:bookmarkEnd w:id="54"/>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by No. 18 of 2013 s. 7.] </w:t>
      </w:r>
    </w:p>
    <w:p>
      <w:pPr>
        <w:pStyle w:val="Heading2"/>
      </w:pPr>
      <w:bookmarkStart w:id="55" w:name="_Toc390078381"/>
      <w:bookmarkStart w:id="56" w:name="_Toc390086582"/>
      <w:bookmarkStart w:id="57" w:name="_Toc392576227"/>
      <w:bookmarkStart w:id="58" w:name="_Toc392765297"/>
      <w:bookmarkStart w:id="59" w:name="_Toc416682923"/>
      <w:bookmarkStart w:id="60" w:name="_Toc416683032"/>
      <w:bookmarkStart w:id="61" w:name="_Toc375130606"/>
      <w:bookmarkStart w:id="62" w:name="_Toc375130716"/>
      <w:bookmarkStart w:id="63" w:name="_Toc375130826"/>
      <w:r>
        <w:rPr>
          <w:rStyle w:val="CharPartNo"/>
        </w:rPr>
        <w:t>Part II</w:t>
      </w:r>
      <w:r>
        <w:rPr>
          <w:rStyle w:val="CharDivNo"/>
        </w:rPr>
        <w:t> </w:t>
      </w:r>
      <w:r>
        <w:t>—</w:t>
      </w:r>
      <w:r>
        <w:rPr>
          <w:rStyle w:val="CharDivText"/>
        </w:rPr>
        <w:t> </w:t>
      </w:r>
      <w:r>
        <w:rPr>
          <w:rStyle w:val="CharPartText"/>
        </w:rPr>
        <w:t>Administration</w:t>
      </w:r>
      <w:bookmarkEnd w:id="55"/>
      <w:bookmarkEnd w:id="56"/>
      <w:bookmarkEnd w:id="57"/>
      <w:bookmarkEnd w:id="58"/>
      <w:bookmarkEnd w:id="59"/>
      <w:bookmarkEnd w:id="60"/>
      <w:bookmarkEnd w:id="61"/>
      <w:bookmarkEnd w:id="62"/>
      <w:bookmarkEnd w:id="63"/>
      <w:r>
        <w:rPr>
          <w:rStyle w:val="CharPartText"/>
        </w:rPr>
        <w:t xml:space="preserve"> </w:t>
      </w:r>
    </w:p>
    <w:p>
      <w:pPr>
        <w:pStyle w:val="Heading5"/>
        <w:spacing w:before="240"/>
        <w:rPr>
          <w:snapToGrid w:val="0"/>
        </w:rPr>
      </w:pPr>
      <w:bookmarkStart w:id="64" w:name="_Toc392765298"/>
      <w:bookmarkStart w:id="65" w:name="_Toc416683033"/>
      <w:bookmarkStart w:id="66" w:name="_Toc375130827"/>
      <w:r>
        <w:rPr>
          <w:rStyle w:val="CharSectno"/>
        </w:rPr>
        <w:t>9</w:t>
      </w:r>
      <w:r>
        <w:rPr>
          <w:snapToGrid w:val="0"/>
        </w:rPr>
        <w:t>.</w:t>
      </w:r>
      <w:r>
        <w:rPr>
          <w:snapToGrid w:val="0"/>
        </w:rPr>
        <w:tab/>
        <w:t>Administrative responsibility</w:t>
      </w:r>
      <w:bookmarkEnd w:id="64"/>
      <w:bookmarkEnd w:id="65"/>
      <w:bookmarkEnd w:id="66"/>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by No. 14 of 1996 s. 4.] </w:t>
      </w:r>
    </w:p>
    <w:p>
      <w:pPr>
        <w:pStyle w:val="Heading5"/>
        <w:spacing w:before="240"/>
        <w:rPr>
          <w:snapToGrid w:val="0"/>
        </w:rPr>
      </w:pPr>
      <w:bookmarkStart w:id="67" w:name="_Toc392765299"/>
      <w:bookmarkStart w:id="68" w:name="_Toc416683034"/>
      <w:bookmarkStart w:id="69" w:name="_Toc375130828"/>
      <w:r>
        <w:rPr>
          <w:rStyle w:val="CharSectno"/>
        </w:rPr>
        <w:t>10</w:t>
      </w:r>
      <w:r>
        <w:rPr>
          <w:snapToGrid w:val="0"/>
        </w:rPr>
        <w:t>.</w:t>
      </w:r>
      <w:r>
        <w:rPr>
          <w:snapToGrid w:val="0"/>
        </w:rPr>
        <w:tab/>
        <w:t xml:space="preserve">Dogs not kept in </w:t>
      </w:r>
      <w:del w:id="70" w:author="svcMRProcess" w:date="2018-08-28T11:45:00Z">
        <w:r>
          <w:rPr>
            <w:snapToGrid w:val="0"/>
          </w:rPr>
          <w:delText xml:space="preserve">a </w:delText>
        </w:r>
      </w:del>
      <w:r>
        <w:rPr>
          <w:snapToGrid w:val="0"/>
        </w:rPr>
        <w:t>district</w:t>
      </w:r>
      <w:bookmarkEnd w:id="67"/>
      <w:bookmarkEnd w:id="68"/>
      <w:bookmarkEnd w:id="6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by No. 23 of 1987 s. 9; No. 14 of 1996 s. 4.] </w:t>
      </w:r>
    </w:p>
    <w:p>
      <w:pPr>
        <w:pStyle w:val="Heading5"/>
        <w:spacing w:before="240"/>
      </w:pPr>
      <w:bookmarkStart w:id="71" w:name="_Toc392765300"/>
      <w:bookmarkStart w:id="72" w:name="_Toc416683035"/>
      <w:bookmarkStart w:id="73" w:name="_Toc375130829"/>
      <w:r>
        <w:rPr>
          <w:rStyle w:val="CharSectno"/>
        </w:rPr>
        <w:t>10AA</w:t>
      </w:r>
      <w:r>
        <w:t>.</w:t>
      </w:r>
      <w:r>
        <w:tab/>
        <w:t xml:space="preserve">Delegation of </w:t>
      </w:r>
      <w:r>
        <w:rPr>
          <w:snapToGrid w:val="0"/>
        </w:rPr>
        <w:t>local</w:t>
      </w:r>
      <w:r>
        <w:t xml:space="preserve"> government powers and duties</w:t>
      </w:r>
      <w:bookmarkEnd w:id="71"/>
      <w:bookmarkEnd w:id="72"/>
      <w:bookmarkEnd w:id="73"/>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by No. 18 of 2013 s. 8.] </w:t>
      </w:r>
    </w:p>
    <w:p>
      <w:pPr>
        <w:pStyle w:val="Heading5"/>
        <w:spacing w:before="180"/>
      </w:pPr>
      <w:bookmarkStart w:id="74" w:name="_Toc392765301"/>
      <w:bookmarkStart w:id="75" w:name="_Toc416683036"/>
      <w:bookmarkStart w:id="76" w:name="_Toc375130830"/>
      <w:r>
        <w:rPr>
          <w:rStyle w:val="CharSectno"/>
        </w:rPr>
        <w:t>10AB</w:t>
      </w:r>
      <w:r>
        <w:t>.</w:t>
      </w:r>
      <w:r>
        <w:tab/>
        <w:t>Register of, and review of, delegations</w:t>
      </w:r>
      <w:bookmarkEnd w:id="74"/>
      <w:bookmarkEnd w:id="75"/>
      <w:bookmarkEnd w:id="76"/>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by No. 18 of 2013 s. 8.] </w:t>
      </w:r>
    </w:p>
    <w:p>
      <w:pPr>
        <w:pStyle w:val="Heading5"/>
        <w:spacing w:before="180"/>
        <w:rPr>
          <w:snapToGrid w:val="0"/>
        </w:rPr>
      </w:pPr>
      <w:bookmarkStart w:id="77" w:name="_Toc375130831"/>
      <w:bookmarkStart w:id="78" w:name="_Toc392765302"/>
      <w:bookmarkStart w:id="79" w:name="_Toc416683037"/>
      <w:r>
        <w:rPr>
          <w:rStyle w:val="CharSectno"/>
        </w:rPr>
        <w:t>10A</w:t>
      </w:r>
      <w:r>
        <w:rPr>
          <w:snapToGrid w:val="0"/>
        </w:rPr>
        <w:t>.</w:t>
      </w:r>
      <w:r>
        <w:rPr>
          <w:snapToGrid w:val="0"/>
        </w:rPr>
        <w:tab/>
        <w:t xml:space="preserve">Payments to veterinary surgeons towards cost of </w:t>
      </w:r>
      <w:del w:id="80" w:author="svcMRProcess" w:date="2018-08-28T11:45:00Z">
        <w:r>
          <w:rPr>
            <w:snapToGrid w:val="0"/>
          </w:rPr>
          <w:delText>sterilization</w:delText>
        </w:r>
      </w:del>
      <w:bookmarkEnd w:id="77"/>
      <w:ins w:id="81" w:author="svcMRProcess" w:date="2018-08-28T11:45:00Z">
        <w:r>
          <w:rPr>
            <w:snapToGrid w:val="0"/>
          </w:rPr>
          <w:t>sterilisation</w:t>
        </w:r>
      </w:ins>
      <w:bookmarkEnd w:id="78"/>
      <w:bookmarkEnd w:id="79"/>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 xml:space="preserve">make payments to registered veterinary surgeons towards the cost of </w:t>
      </w:r>
      <w:del w:id="82" w:author="svcMRProcess" w:date="2018-08-28T11:45:00Z">
        <w:r>
          <w:delText>sterilization</w:delText>
        </w:r>
      </w:del>
      <w:ins w:id="83" w:author="svcMRProcess" w:date="2018-08-28T11:45:00Z">
        <w:r>
          <w:t>sterilisation</w:t>
        </w:r>
      </w:ins>
      <w:r>
        <w:t xml:space="preserve">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 xml:space="preserve">No payment shall be made under subsection (1)(a) to a veterinary surgeon for the </w:t>
      </w:r>
      <w:del w:id="84" w:author="svcMRProcess" w:date="2018-08-28T11:45:00Z">
        <w:r>
          <w:rPr>
            <w:snapToGrid w:val="0"/>
          </w:rPr>
          <w:delText>sterilization</w:delText>
        </w:r>
      </w:del>
      <w:ins w:id="85" w:author="svcMRProcess" w:date="2018-08-28T11:45:00Z">
        <w:r>
          <w:rPr>
            <w:snapToGrid w:val="0"/>
          </w:rPr>
          <w:t>sterilisation</w:t>
        </w:r>
      </w:ins>
      <w:r>
        <w:rPr>
          <w:snapToGrid w:val="0"/>
        </w:rPr>
        <w:t xml:space="preserve"> of a dog unless the local 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w:t>
      </w:r>
      <w:ins w:id="86" w:author="svcMRProcess" w:date="2018-08-28T11:45:00Z">
        <w:r>
          <w:t xml:space="preserve"> and</w:t>
        </w:r>
      </w:ins>
    </w:p>
    <w:p>
      <w:pPr>
        <w:pStyle w:val="Indenta"/>
        <w:spacing w:before="100"/>
      </w:pPr>
      <w:r>
        <w:tab/>
        <w:t>(b)</w:t>
      </w:r>
      <w:r>
        <w:tab/>
        <w:t>resides in the district of that local government; and</w:t>
      </w:r>
    </w:p>
    <w:p>
      <w:pPr>
        <w:pStyle w:val="Indenta"/>
        <w:spacing w:before="100"/>
      </w:pPr>
      <w:r>
        <w:tab/>
        <w:t>(c)</w:t>
      </w:r>
      <w:r>
        <w:tab/>
        <w:t xml:space="preserve">in the opinion of that local government, would suffer hardship in paying the whole of the cost of </w:t>
      </w:r>
      <w:del w:id="87" w:author="svcMRProcess" w:date="2018-08-28T11:45:00Z">
        <w:r>
          <w:delText>sterilization</w:delText>
        </w:r>
      </w:del>
      <w:ins w:id="88" w:author="svcMRProcess" w:date="2018-08-28T11:45:00Z">
        <w:r>
          <w:t>sterilisation</w:t>
        </w:r>
      </w:ins>
      <w:r>
        <w:t xml:space="preserve"> of the dog.</w:t>
      </w:r>
    </w:p>
    <w:p>
      <w:pPr>
        <w:pStyle w:val="Footnotesection"/>
      </w:pPr>
      <w:r>
        <w:tab/>
        <w:t>[Section 10A inserted by No. 23 of 1987 s. 10; amended by No. 14 of 1996 s. 4.]</w:t>
      </w:r>
    </w:p>
    <w:p>
      <w:pPr>
        <w:pStyle w:val="Heading5"/>
        <w:spacing w:before="240"/>
        <w:rPr>
          <w:snapToGrid w:val="0"/>
        </w:rPr>
      </w:pPr>
      <w:bookmarkStart w:id="89" w:name="_Toc392765303"/>
      <w:bookmarkStart w:id="90" w:name="_Toc416683038"/>
      <w:bookmarkStart w:id="91" w:name="_Toc375130832"/>
      <w:r>
        <w:rPr>
          <w:rStyle w:val="CharSectno"/>
        </w:rPr>
        <w:t>11</w:t>
      </w:r>
      <w:r>
        <w:rPr>
          <w:snapToGrid w:val="0"/>
        </w:rPr>
        <w:t>.</w:t>
      </w:r>
      <w:r>
        <w:rPr>
          <w:snapToGrid w:val="0"/>
        </w:rPr>
        <w:tab/>
        <w:t>Staff and services</w:t>
      </w:r>
      <w:bookmarkEnd w:id="89"/>
      <w:bookmarkEnd w:id="90"/>
      <w:bookmarkEnd w:id="91"/>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No. 18 of 2013 s. 9.] </w:t>
      </w:r>
    </w:p>
    <w:p>
      <w:pPr>
        <w:pStyle w:val="Heading5"/>
        <w:spacing w:before="240"/>
        <w:rPr>
          <w:snapToGrid w:val="0"/>
        </w:rPr>
      </w:pPr>
      <w:bookmarkStart w:id="92" w:name="_Toc392765304"/>
      <w:bookmarkStart w:id="93" w:name="_Toc416683039"/>
      <w:bookmarkStart w:id="94" w:name="_Toc375130833"/>
      <w:r>
        <w:rPr>
          <w:rStyle w:val="CharSectno"/>
        </w:rPr>
        <w:t>12</w:t>
      </w:r>
      <w:r>
        <w:rPr>
          <w:snapToGrid w:val="0"/>
        </w:rPr>
        <w:t>.</w:t>
      </w:r>
      <w:r>
        <w:rPr>
          <w:snapToGrid w:val="0"/>
        </w:rPr>
        <w:tab/>
        <w:t>Joint jurisdiction</w:t>
      </w:r>
      <w:bookmarkEnd w:id="92"/>
      <w:bookmarkEnd w:id="93"/>
      <w:bookmarkEnd w:id="94"/>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spacing w:before="240"/>
        <w:rPr>
          <w:snapToGrid w:val="0"/>
        </w:rPr>
      </w:pPr>
      <w:bookmarkStart w:id="95" w:name="_Toc392765305"/>
      <w:bookmarkStart w:id="96" w:name="_Toc416683040"/>
      <w:bookmarkStart w:id="97" w:name="_Toc375130834"/>
      <w:r>
        <w:rPr>
          <w:rStyle w:val="CharSectno"/>
        </w:rPr>
        <w:t>12A</w:t>
      </w:r>
      <w:r>
        <w:rPr>
          <w:snapToGrid w:val="0"/>
        </w:rPr>
        <w:t>.</w:t>
      </w:r>
      <w:r>
        <w:rPr>
          <w:snapToGrid w:val="0"/>
        </w:rPr>
        <w:tab/>
        <w:t>Entry of premises</w:t>
      </w:r>
      <w:bookmarkEnd w:id="95"/>
      <w:bookmarkEnd w:id="96"/>
      <w:bookmarkEnd w:id="97"/>
      <w:r>
        <w:rPr>
          <w:snapToGrid w:val="0"/>
        </w:rPr>
        <w:t xml:space="preserve"> </w:t>
      </w:r>
    </w:p>
    <w:p>
      <w:pPr>
        <w:pStyle w:val="Subsection"/>
        <w:spacing w:before="180"/>
        <w:rPr>
          <w:snapToGrid w:val="0"/>
        </w:rPr>
      </w:pPr>
      <w:r>
        <w:rPr>
          <w:snapToGrid w:val="0"/>
        </w:rPr>
        <w:tab/>
        <w:t>(1)</w:t>
      </w:r>
      <w:r>
        <w:rPr>
          <w:snapToGrid w:val="0"/>
        </w:rPr>
        <w:tab/>
        <w:t>A registration officer may, with the consent of the occupier, enter and inspect — </w:t>
      </w:r>
    </w:p>
    <w:p>
      <w:pPr>
        <w:pStyle w:val="Indenta"/>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by No. 23 of 1987 s. 11; amended by No. 18 of 2013 s. 10.] </w:t>
      </w:r>
    </w:p>
    <w:p>
      <w:pPr>
        <w:pStyle w:val="Heading5"/>
        <w:rPr>
          <w:snapToGrid w:val="0"/>
        </w:rPr>
      </w:pPr>
      <w:bookmarkStart w:id="98" w:name="_Toc392765306"/>
      <w:bookmarkStart w:id="99" w:name="_Toc416683041"/>
      <w:bookmarkStart w:id="100" w:name="_Toc375130835"/>
      <w:r>
        <w:rPr>
          <w:rStyle w:val="CharSectno"/>
        </w:rPr>
        <w:t>13</w:t>
      </w:r>
      <w:r>
        <w:rPr>
          <w:snapToGrid w:val="0"/>
        </w:rPr>
        <w:t>.</w:t>
      </w:r>
      <w:r>
        <w:rPr>
          <w:snapToGrid w:val="0"/>
        </w:rPr>
        <w:tab/>
        <w:t>Immunity of persons acting in good faith</w:t>
      </w:r>
      <w:bookmarkEnd w:id="98"/>
      <w:bookmarkEnd w:id="99"/>
      <w:bookmarkEnd w:id="100"/>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101" w:name="_Toc390078391"/>
      <w:bookmarkStart w:id="102" w:name="_Toc390086592"/>
      <w:bookmarkStart w:id="103" w:name="_Toc392576237"/>
      <w:bookmarkStart w:id="104" w:name="_Toc392765307"/>
      <w:bookmarkStart w:id="105" w:name="_Toc416682933"/>
      <w:bookmarkStart w:id="106" w:name="_Toc416683042"/>
      <w:bookmarkStart w:id="107" w:name="_Toc375130616"/>
      <w:bookmarkStart w:id="108" w:name="_Toc375130726"/>
      <w:bookmarkStart w:id="109" w:name="_Toc375130836"/>
      <w:r>
        <w:rPr>
          <w:rStyle w:val="CharPartNo"/>
        </w:rPr>
        <w:t>Part III</w:t>
      </w:r>
      <w:r>
        <w:rPr>
          <w:b w:val="0"/>
        </w:rPr>
        <w:t> </w:t>
      </w:r>
      <w:r>
        <w:t>—</w:t>
      </w:r>
      <w:r>
        <w:rPr>
          <w:b w:val="0"/>
        </w:rPr>
        <w:t> </w:t>
      </w:r>
      <w:r>
        <w:rPr>
          <w:rStyle w:val="CharPartText"/>
        </w:rPr>
        <w:t>Registration and identification</w:t>
      </w:r>
      <w:bookmarkEnd w:id="101"/>
      <w:bookmarkEnd w:id="102"/>
      <w:bookmarkEnd w:id="103"/>
      <w:bookmarkEnd w:id="104"/>
      <w:bookmarkEnd w:id="105"/>
      <w:bookmarkEnd w:id="106"/>
      <w:bookmarkEnd w:id="107"/>
      <w:bookmarkEnd w:id="108"/>
      <w:bookmarkEnd w:id="109"/>
    </w:p>
    <w:p>
      <w:pPr>
        <w:pStyle w:val="Footnoteheading"/>
      </w:pPr>
      <w:r>
        <w:tab/>
        <w:t xml:space="preserve">[Heading inserted by No. 18 of 2013 s. 11.] </w:t>
      </w:r>
    </w:p>
    <w:p>
      <w:pPr>
        <w:pStyle w:val="Heading3"/>
      </w:pPr>
      <w:bookmarkStart w:id="110" w:name="_Toc390078392"/>
      <w:bookmarkStart w:id="111" w:name="_Toc390086593"/>
      <w:bookmarkStart w:id="112" w:name="_Toc392576238"/>
      <w:bookmarkStart w:id="113" w:name="_Toc392765308"/>
      <w:bookmarkStart w:id="114" w:name="_Toc416682934"/>
      <w:bookmarkStart w:id="115" w:name="_Toc416683043"/>
      <w:bookmarkStart w:id="116" w:name="_Toc375130617"/>
      <w:bookmarkStart w:id="117" w:name="_Toc375130727"/>
      <w:bookmarkStart w:id="118" w:name="_Toc375130837"/>
      <w:r>
        <w:rPr>
          <w:rStyle w:val="CharDivNo"/>
        </w:rPr>
        <w:t>Division 1</w:t>
      </w:r>
      <w:r>
        <w:t> — </w:t>
      </w:r>
      <w:r>
        <w:rPr>
          <w:rStyle w:val="CharDivText"/>
        </w:rPr>
        <w:t>Registration</w:t>
      </w:r>
      <w:bookmarkEnd w:id="110"/>
      <w:bookmarkEnd w:id="111"/>
      <w:bookmarkEnd w:id="112"/>
      <w:bookmarkEnd w:id="113"/>
      <w:bookmarkEnd w:id="114"/>
      <w:bookmarkEnd w:id="115"/>
      <w:bookmarkEnd w:id="116"/>
      <w:bookmarkEnd w:id="117"/>
      <w:bookmarkEnd w:id="118"/>
    </w:p>
    <w:p>
      <w:pPr>
        <w:pStyle w:val="Footnoteheading"/>
      </w:pPr>
      <w:r>
        <w:tab/>
        <w:t xml:space="preserve">[Heading inserted by No. 18 of 2013 s. 11.] </w:t>
      </w:r>
    </w:p>
    <w:p>
      <w:pPr>
        <w:pStyle w:val="Heading5"/>
      </w:pPr>
      <w:bookmarkStart w:id="119" w:name="_Toc392765309"/>
      <w:bookmarkStart w:id="120" w:name="_Toc416683044"/>
      <w:bookmarkStart w:id="121" w:name="_Toc375130838"/>
      <w:r>
        <w:rPr>
          <w:rStyle w:val="CharSectno"/>
        </w:rPr>
        <w:t>14</w:t>
      </w:r>
      <w:r>
        <w:t>.</w:t>
      </w:r>
      <w:r>
        <w:tab/>
        <w:t>Register of dogs</w:t>
      </w:r>
      <w:bookmarkEnd w:id="119"/>
      <w:bookmarkEnd w:id="120"/>
      <w:bookmarkEnd w:id="121"/>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by No. 18 of 2013 s. 12.]</w:t>
      </w:r>
    </w:p>
    <w:p>
      <w:pPr>
        <w:pStyle w:val="Heading5"/>
        <w:rPr>
          <w:snapToGrid w:val="0"/>
        </w:rPr>
      </w:pPr>
      <w:bookmarkStart w:id="122" w:name="_Toc392765310"/>
      <w:bookmarkStart w:id="123" w:name="_Toc416683045"/>
      <w:bookmarkStart w:id="124" w:name="_Toc375130839"/>
      <w:r>
        <w:rPr>
          <w:rStyle w:val="CharSectno"/>
        </w:rPr>
        <w:t>15</w:t>
      </w:r>
      <w:r>
        <w:rPr>
          <w:snapToGrid w:val="0"/>
        </w:rPr>
        <w:t>.</w:t>
      </w:r>
      <w:r>
        <w:rPr>
          <w:snapToGrid w:val="0"/>
        </w:rPr>
        <w:tab/>
        <w:t>Registration periods and fees</w:t>
      </w:r>
      <w:bookmarkEnd w:id="122"/>
      <w:bookmarkEnd w:id="123"/>
      <w:bookmarkEnd w:id="124"/>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 xml:space="preserve">in respect of a dog that is proved, in such manner as is prescribed, to have been </w:t>
      </w:r>
      <w:del w:id="125" w:author="svcMRProcess" w:date="2018-08-28T11:45:00Z">
        <w:r>
          <w:delText>sterilized</w:delText>
        </w:r>
      </w:del>
      <w:ins w:id="126" w:author="svcMRProcess" w:date="2018-08-28T11:45:00Z">
        <w:r>
          <w:t>sterilised</w:t>
        </w:r>
      </w:ins>
      <w:r>
        <w:t>;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by No. 57 of 1977 s. 3; No. 23 of 1987 s. 13; No. 18 of 2013 s. 13.] </w:t>
      </w:r>
    </w:p>
    <w:p>
      <w:pPr>
        <w:pStyle w:val="Heading5"/>
        <w:rPr>
          <w:snapToGrid w:val="0"/>
        </w:rPr>
      </w:pPr>
      <w:bookmarkStart w:id="127" w:name="_Toc392765311"/>
      <w:bookmarkStart w:id="128" w:name="_Toc416683046"/>
      <w:bookmarkStart w:id="129" w:name="_Toc375130840"/>
      <w:r>
        <w:rPr>
          <w:rStyle w:val="CharSectno"/>
        </w:rPr>
        <w:t>16</w:t>
      </w:r>
      <w:r>
        <w:rPr>
          <w:snapToGrid w:val="0"/>
        </w:rPr>
        <w:t>.</w:t>
      </w:r>
      <w:r>
        <w:rPr>
          <w:snapToGrid w:val="0"/>
        </w:rPr>
        <w:tab/>
        <w:t>Registration procedure</w:t>
      </w:r>
      <w:bookmarkEnd w:id="127"/>
      <w:bookmarkEnd w:id="128"/>
      <w:bookmarkEnd w:id="129"/>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para"/>
        <w:rPr>
          <w:del w:id="130" w:author="svcMRProcess" w:date="2018-08-28T11:45:00Z"/>
        </w:rPr>
      </w:pPr>
      <w:del w:id="131" w:author="svcMRProcess" w:date="2018-08-28T11:45:00Z">
        <w:r>
          <w:tab/>
          <w:delText>[(e)</w:delText>
        </w:r>
        <w:r>
          <w:tab/>
          <w:delText>deleted]</w:delText>
        </w:r>
      </w:del>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by No. 23 of 1987 s. 14 and 44; No. 14 of 1996 s. 4; No. 24 of 1996 s. 6; No. 10 of 1998 s. 29(1); No. 18 of 2013 s. 14.] </w:t>
      </w:r>
    </w:p>
    <w:p>
      <w:pPr>
        <w:pStyle w:val="Heading5"/>
      </w:pPr>
      <w:bookmarkStart w:id="132" w:name="_Toc392765312"/>
      <w:bookmarkStart w:id="133" w:name="_Toc416683047"/>
      <w:bookmarkStart w:id="134" w:name="_Toc375130841"/>
      <w:r>
        <w:rPr>
          <w:rStyle w:val="CharSectno"/>
        </w:rPr>
        <w:t>16AA</w:t>
      </w:r>
      <w:r>
        <w:rPr>
          <w:snapToGrid w:val="0"/>
        </w:rPr>
        <w:t>.</w:t>
      </w:r>
      <w:r>
        <w:rPr>
          <w:snapToGrid w:val="0"/>
        </w:rPr>
        <w:tab/>
        <w:t>Owner’s delegate</w:t>
      </w:r>
      <w:bookmarkEnd w:id="132"/>
      <w:bookmarkEnd w:id="133"/>
      <w:bookmarkEnd w:id="134"/>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by No. 18 of 2013 s. 15.]</w:t>
      </w:r>
    </w:p>
    <w:p>
      <w:pPr>
        <w:pStyle w:val="Heading5"/>
        <w:rPr>
          <w:snapToGrid w:val="0"/>
        </w:rPr>
      </w:pPr>
      <w:bookmarkStart w:id="135" w:name="_Toc392765313"/>
      <w:bookmarkStart w:id="136" w:name="_Toc416683048"/>
      <w:bookmarkStart w:id="137" w:name="_Toc375130842"/>
      <w:r>
        <w:rPr>
          <w:rStyle w:val="CharSectno"/>
        </w:rPr>
        <w:t>16A</w:t>
      </w:r>
      <w:r>
        <w:rPr>
          <w:snapToGrid w:val="0"/>
        </w:rPr>
        <w:t>.</w:t>
      </w:r>
      <w:r>
        <w:rPr>
          <w:snapToGrid w:val="0"/>
        </w:rPr>
        <w:tab/>
        <w:t>Change of ownership</w:t>
      </w:r>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No. 18 of 2013 s. 16.] </w:t>
      </w:r>
    </w:p>
    <w:p>
      <w:pPr>
        <w:pStyle w:val="Heading5"/>
      </w:pPr>
      <w:bookmarkStart w:id="138" w:name="_Toc392765314"/>
      <w:bookmarkStart w:id="139" w:name="_Toc416683049"/>
      <w:bookmarkStart w:id="140" w:name="_Toc375130843"/>
      <w:r>
        <w:rPr>
          <w:rStyle w:val="CharSectno"/>
        </w:rPr>
        <w:t>17A</w:t>
      </w:r>
      <w:r>
        <w:t>.</w:t>
      </w:r>
      <w:r>
        <w:tab/>
        <w:t>If no application for registration made</w:t>
      </w:r>
      <w:bookmarkEnd w:id="138"/>
      <w:bookmarkEnd w:id="139"/>
      <w:bookmarkEnd w:id="140"/>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by No. 18 of 2013 s. 17.] </w:t>
      </w:r>
    </w:p>
    <w:p>
      <w:pPr>
        <w:pStyle w:val="Heading5"/>
        <w:rPr>
          <w:snapToGrid w:val="0"/>
        </w:rPr>
      </w:pPr>
      <w:bookmarkStart w:id="141" w:name="_Toc392765315"/>
      <w:bookmarkStart w:id="142" w:name="_Toc416683050"/>
      <w:bookmarkStart w:id="143" w:name="_Toc375130844"/>
      <w:r>
        <w:rPr>
          <w:rStyle w:val="CharSectno"/>
        </w:rPr>
        <w:t>17</w:t>
      </w:r>
      <w:r>
        <w:rPr>
          <w:snapToGrid w:val="0"/>
        </w:rPr>
        <w:t>.</w:t>
      </w:r>
      <w:r>
        <w:rPr>
          <w:snapToGrid w:val="0"/>
        </w:rPr>
        <w:tab/>
        <w:t>Refusal or cancellation of registration</w:t>
      </w:r>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by No. 23 of 1987 s. 16; No. 14 of 1996 s. 4; No. 55 of 2004 s. 255; No. 18 of 2013 s. 18.] </w:t>
      </w:r>
    </w:p>
    <w:p>
      <w:pPr>
        <w:pStyle w:val="Heading5"/>
        <w:spacing w:before="240"/>
        <w:rPr>
          <w:snapToGrid w:val="0"/>
        </w:rPr>
      </w:pPr>
      <w:bookmarkStart w:id="144" w:name="_Toc392765316"/>
      <w:bookmarkStart w:id="145" w:name="_Toc416683051"/>
      <w:bookmarkStart w:id="146" w:name="_Toc375130845"/>
      <w:r>
        <w:rPr>
          <w:rStyle w:val="CharSectno"/>
        </w:rPr>
        <w:t>18</w:t>
      </w:r>
      <w:r>
        <w:rPr>
          <w:snapToGrid w:val="0"/>
        </w:rPr>
        <w:t>.</w:t>
      </w:r>
      <w:r>
        <w:rPr>
          <w:snapToGrid w:val="0"/>
        </w:rPr>
        <w:tab/>
        <w:t>Registration tags</w:t>
      </w:r>
      <w:bookmarkEnd w:id="144"/>
      <w:bookmarkEnd w:id="145"/>
      <w:bookmarkEnd w:id="146"/>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w:t>
      </w:r>
      <w:ins w:id="147" w:author="svcMRProcess" w:date="2018-08-28T11:45:00Z">
        <w:r>
          <w:t xml:space="preserve"> and</w:t>
        </w:r>
      </w:ins>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amended by No. 18 of 2013 s. 19.] </w:t>
      </w:r>
    </w:p>
    <w:p>
      <w:pPr>
        <w:pStyle w:val="Heading5"/>
        <w:rPr>
          <w:snapToGrid w:val="0"/>
        </w:rPr>
      </w:pPr>
      <w:bookmarkStart w:id="148" w:name="_Toc392765317"/>
      <w:bookmarkStart w:id="149" w:name="_Toc416683052"/>
      <w:bookmarkStart w:id="150" w:name="_Toc375130846"/>
      <w:r>
        <w:rPr>
          <w:rStyle w:val="CharSectno"/>
        </w:rPr>
        <w:t>19</w:t>
      </w:r>
      <w:r>
        <w:rPr>
          <w:snapToGrid w:val="0"/>
        </w:rPr>
        <w:t>.</w:t>
      </w:r>
      <w:r>
        <w:rPr>
          <w:snapToGrid w:val="0"/>
        </w:rPr>
        <w:tab/>
        <w:t>Refund of fee on cancellation</w:t>
      </w:r>
      <w:bookmarkEnd w:id="148"/>
      <w:bookmarkEnd w:id="149"/>
      <w:bookmarkEnd w:id="150"/>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by No. 23 of 1987 s. 18; amended by No. 14 of 1996 s. 4.] </w:t>
      </w:r>
    </w:p>
    <w:p>
      <w:pPr>
        <w:pStyle w:val="Heading5"/>
        <w:keepNext w:val="0"/>
        <w:rPr>
          <w:snapToGrid w:val="0"/>
        </w:rPr>
      </w:pPr>
      <w:bookmarkStart w:id="151" w:name="_Toc392765318"/>
      <w:bookmarkStart w:id="152" w:name="_Toc416683053"/>
      <w:bookmarkStart w:id="153" w:name="_Toc375130847"/>
      <w:r>
        <w:rPr>
          <w:rStyle w:val="CharSectno"/>
        </w:rPr>
        <w:t>20</w:t>
      </w:r>
      <w:r>
        <w:rPr>
          <w:snapToGrid w:val="0"/>
        </w:rPr>
        <w:t>.</w:t>
      </w:r>
      <w:r>
        <w:rPr>
          <w:snapToGrid w:val="0"/>
        </w:rPr>
        <w:tab/>
        <w:t>Offences relating to registration</w:t>
      </w:r>
      <w:del w:id="154" w:author="svcMRProcess" w:date="2018-08-28T11:45:00Z">
        <w:r>
          <w:rPr>
            <w:snapToGrid w:val="0"/>
          </w:rPr>
          <w:delText>,</w:delText>
        </w:r>
      </w:del>
      <w:r>
        <w:rPr>
          <w:snapToGrid w:val="0"/>
        </w:rPr>
        <w:t xml:space="preserve"> etc.</w:t>
      </w:r>
      <w:bookmarkEnd w:id="151"/>
      <w:bookmarkEnd w:id="152"/>
      <w:bookmarkEnd w:id="153"/>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ins w:id="155" w:author="svcMRProcess" w:date="2018-08-28T11:45:00Z">
        <w:r>
          <w:t xml:space="preserve"> or</w:t>
        </w:r>
      </w:ins>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ins w:id="156" w:author="svcMRProcess" w:date="2018-08-28T11:45:00Z">
        <w:r>
          <w:t xml:space="preserve"> or</w:t>
        </w:r>
      </w:ins>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 xml:space="preserve">Where by regulations it is provided that a prescribed tattoo appearing on a dog may be accepted by a local government as proof that the dog has been </w:t>
      </w:r>
      <w:del w:id="157" w:author="svcMRProcess" w:date="2018-08-28T11:45:00Z">
        <w:r>
          <w:rPr>
            <w:snapToGrid w:val="0"/>
          </w:rPr>
          <w:delText>sterilized</w:delText>
        </w:r>
      </w:del>
      <w:ins w:id="158" w:author="svcMRProcess" w:date="2018-08-28T11:45:00Z">
        <w:r>
          <w:rPr>
            <w:snapToGrid w:val="0"/>
          </w:rPr>
          <w:t>sterilised</w:t>
        </w:r>
      </w:ins>
      <w:r>
        <w:rPr>
          <w:snapToGrid w:val="0"/>
        </w:rPr>
        <w:t xml:space="preserve">, a person who applies that tattoo, or causes the same to be applied, to an </w:t>
      </w:r>
      <w:del w:id="159" w:author="svcMRProcess" w:date="2018-08-28T11:45:00Z">
        <w:r>
          <w:rPr>
            <w:snapToGrid w:val="0"/>
          </w:rPr>
          <w:delText>unsterilized</w:delText>
        </w:r>
      </w:del>
      <w:ins w:id="160" w:author="svcMRProcess" w:date="2018-08-28T11:45:00Z">
        <w:r>
          <w:rPr>
            <w:snapToGrid w:val="0"/>
          </w:rPr>
          <w:t>unsterilised</w:t>
        </w:r>
      </w:ins>
      <w:r>
        <w:rPr>
          <w:snapToGrid w:val="0"/>
        </w:rPr>
        <w:t xml:space="preserve"> dog commits an offence.</w:t>
      </w:r>
    </w:p>
    <w:p>
      <w:pPr>
        <w:pStyle w:val="Penstart"/>
      </w:pPr>
      <w:r>
        <w:tab/>
        <w:t>Penalty: a fine of $5 000.</w:t>
      </w:r>
    </w:p>
    <w:p>
      <w:pPr>
        <w:pStyle w:val="Footnotesection"/>
        <w:keepNext/>
      </w:pPr>
      <w:r>
        <w:tab/>
        <w:t xml:space="preserve">[Section 20 amended by No. 23 of 1987 s. 19 and 44; No. 14 of 1996 s. 4; No. 24 of 1996 s. 16; No. 18 of 2013 s. 20.] </w:t>
      </w:r>
    </w:p>
    <w:p>
      <w:pPr>
        <w:pStyle w:val="Heading3"/>
        <w:spacing w:before="260"/>
      </w:pPr>
      <w:bookmarkStart w:id="161" w:name="_Toc390078403"/>
      <w:bookmarkStart w:id="162" w:name="_Toc390086604"/>
      <w:bookmarkStart w:id="163" w:name="_Toc392576249"/>
      <w:bookmarkStart w:id="164" w:name="_Toc392765319"/>
      <w:bookmarkStart w:id="165" w:name="_Toc416682945"/>
      <w:bookmarkStart w:id="166" w:name="_Toc416683054"/>
      <w:bookmarkStart w:id="167" w:name="_Toc375130628"/>
      <w:bookmarkStart w:id="168" w:name="_Toc375130738"/>
      <w:bookmarkStart w:id="169" w:name="_Toc375130848"/>
      <w:r>
        <w:rPr>
          <w:rStyle w:val="CharDivNo"/>
        </w:rPr>
        <w:t>Division 2</w:t>
      </w:r>
      <w:r>
        <w:t> — </w:t>
      </w:r>
      <w:r>
        <w:rPr>
          <w:rStyle w:val="CharDivText"/>
        </w:rPr>
        <w:t>Microchipping</w:t>
      </w:r>
      <w:bookmarkEnd w:id="161"/>
      <w:bookmarkEnd w:id="162"/>
      <w:bookmarkEnd w:id="163"/>
      <w:bookmarkEnd w:id="164"/>
      <w:bookmarkEnd w:id="165"/>
      <w:bookmarkEnd w:id="166"/>
      <w:bookmarkEnd w:id="167"/>
      <w:bookmarkEnd w:id="168"/>
      <w:bookmarkEnd w:id="169"/>
    </w:p>
    <w:p>
      <w:pPr>
        <w:pStyle w:val="Footnoteheading"/>
        <w:keepNext/>
      </w:pPr>
      <w:r>
        <w:tab/>
        <w:t xml:space="preserve">[Heading inserted by No. 18 of 2013 s. 21.] </w:t>
      </w:r>
    </w:p>
    <w:p>
      <w:pPr>
        <w:pStyle w:val="Heading5"/>
        <w:spacing w:before="240"/>
      </w:pPr>
      <w:bookmarkStart w:id="170" w:name="_Toc392765320"/>
      <w:bookmarkStart w:id="171" w:name="_Toc416683055"/>
      <w:bookmarkStart w:id="172" w:name="_Toc375130849"/>
      <w:r>
        <w:rPr>
          <w:rStyle w:val="CharSectno"/>
        </w:rPr>
        <w:t>21</w:t>
      </w:r>
      <w:r>
        <w:t>.</w:t>
      </w:r>
      <w:r>
        <w:tab/>
        <w:t>Microchipping of dogs other than dangerous dogs</w:t>
      </w:r>
      <w:bookmarkEnd w:id="170"/>
      <w:bookmarkEnd w:id="171"/>
      <w:bookmarkEnd w:id="172"/>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pPr>
      <w:r>
        <w:tab/>
        <w:t>(b)</w:t>
      </w:r>
      <w:r>
        <w:tab/>
        <w:t>the dog was not registered under this Act or the law of another State or a Territory so that its registration was in effect on 31 October 2013.</w:t>
      </w:r>
    </w:p>
    <w:p>
      <w:pPr>
        <w:pStyle w:val="Penstar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by No. 18 of 2013 s. 21.] </w:t>
      </w:r>
    </w:p>
    <w:p>
      <w:pPr>
        <w:pStyle w:val="Heading5"/>
        <w:spacing w:before="240"/>
      </w:pPr>
      <w:bookmarkStart w:id="173" w:name="_Toc392765321"/>
      <w:bookmarkStart w:id="174" w:name="_Toc416683056"/>
      <w:bookmarkStart w:id="175" w:name="_Toc375130850"/>
      <w:r>
        <w:rPr>
          <w:rStyle w:val="CharSectno"/>
        </w:rPr>
        <w:t>22</w:t>
      </w:r>
      <w:r>
        <w:t>.</w:t>
      </w:r>
      <w:r>
        <w:tab/>
        <w:t>Microchipping of dangerous dogs</w:t>
      </w:r>
      <w:bookmarkEnd w:id="173"/>
      <w:bookmarkEnd w:id="174"/>
      <w:bookmarkEnd w:id="175"/>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ins w:id="176" w:author="svcMRProcess" w:date="2018-08-28T11:45:00Z">
        <w:r>
          <w:rPr>
            <w:vertAlign w:val="superscript"/>
          </w:rPr>
          <w:t> 1</w:t>
        </w:r>
      </w:ins>
      <w:r>
        <w:t>.</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by No. 18 of 2013 s. 21.] </w:t>
      </w:r>
    </w:p>
    <w:p>
      <w:pPr>
        <w:pStyle w:val="Heading5"/>
        <w:keepNext w:val="0"/>
        <w:keepLines w:val="0"/>
        <w:pageBreakBefore/>
        <w:widowControl w:val="0"/>
        <w:spacing w:before="0"/>
      </w:pPr>
      <w:bookmarkStart w:id="177" w:name="_Toc392765322"/>
      <w:bookmarkStart w:id="178" w:name="_Toc416683057"/>
      <w:bookmarkStart w:id="179" w:name="_Toc375130851"/>
      <w:r>
        <w:rPr>
          <w:rStyle w:val="CharSectno"/>
        </w:rPr>
        <w:t>23</w:t>
      </w:r>
      <w:r>
        <w:t>.</w:t>
      </w:r>
      <w:r>
        <w:tab/>
        <w:t>Notice to be given of microchip information</w:t>
      </w:r>
      <w:bookmarkEnd w:id="177"/>
      <w:bookmarkEnd w:id="178"/>
      <w:bookmarkEnd w:id="179"/>
    </w:p>
    <w:p>
      <w:pPr>
        <w:pStyle w:val="Subsection"/>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by No. 18 of 2013 s. 21.] </w:t>
      </w:r>
    </w:p>
    <w:p>
      <w:pPr>
        <w:pStyle w:val="Heading5"/>
      </w:pPr>
      <w:bookmarkStart w:id="180" w:name="_Toc392765323"/>
      <w:bookmarkStart w:id="181" w:name="_Toc416683058"/>
      <w:bookmarkStart w:id="182" w:name="_Toc375130852"/>
      <w:r>
        <w:rPr>
          <w:rStyle w:val="CharSectno"/>
        </w:rPr>
        <w:t>24</w:t>
      </w:r>
      <w:r>
        <w:t>.</w:t>
      </w:r>
      <w:r>
        <w:tab/>
        <w:t>Microchip implanter to give information to microchip database company</w:t>
      </w:r>
      <w:bookmarkEnd w:id="180"/>
      <w:bookmarkEnd w:id="181"/>
      <w:bookmarkEnd w:id="182"/>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by No. 18 of 2013 s. 21.] </w:t>
      </w:r>
    </w:p>
    <w:p>
      <w:pPr>
        <w:pStyle w:val="Heading5"/>
      </w:pPr>
      <w:bookmarkStart w:id="183" w:name="_Toc392765324"/>
      <w:bookmarkStart w:id="184" w:name="_Toc416683059"/>
      <w:bookmarkStart w:id="185" w:name="_Toc375130853"/>
      <w:r>
        <w:rPr>
          <w:rStyle w:val="CharSectno"/>
        </w:rPr>
        <w:t>25</w:t>
      </w:r>
      <w:r>
        <w:t>.</w:t>
      </w:r>
      <w:r>
        <w:tab/>
        <w:t>Microchip database company’s obligations</w:t>
      </w:r>
      <w:bookmarkEnd w:id="183"/>
      <w:bookmarkEnd w:id="184"/>
      <w:bookmarkEnd w:id="185"/>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by No. 18 of 2013 s. 21.] </w:t>
      </w:r>
    </w:p>
    <w:p>
      <w:pPr>
        <w:pStyle w:val="Heading5"/>
      </w:pPr>
      <w:bookmarkStart w:id="186" w:name="_Toc392765325"/>
      <w:bookmarkStart w:id="187" w:name="_Toc416683060"/>
      <w:bookmarkStart w:id="188" w:name="_Toc375130854"/>
      <w:r>
        <w:rPr>
          <w:rStyle w:val="CharSectno"/>
        </w:rPr>
        <w:t>26A</w:t>
      </w:r>
      <w:r>
        <w:t>.</w:t>
      </w:r>
      <w:r>
        <w:tab/>
        <w:t>Interference with microchips</w:t>
      </w:r>
      <w:bookmarkEnd w:id="186"/>
      <w:bookmarkEnd w:id="187"/>
      <w:bookmarkEnd w:id="188"/>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by No. 18 of 2013 s. 21.] </w:t>
      </w:r>
    </w:p>
    <w:p>
      <w:pPr>
        <w:pStyle w:val="Heading5"/>
      </w:pPr>
      <w:bookmarkStart w:id="189" w:name="_Toc392765326"/>
      <w:bookmarkStart w:id="190" w:name="_Toc416683061"/>
      <w:bookmarkStart w:id="191" w:name="_Toc375130855"/>
      <w:r>
        <w:rPr>
          <w:rStyle w:val="CharSectno"/>
        </w:rPr>
        <w:t>26B</w:t>
      </w:r>
      <w:r>
        <w:t>.</w:t>
      </w:r>
      <w:r>
        <w:tab/>
        <w:t>Transfer of ownership of unmicrochipped dogs</w:t>
      </w:r>
      <w:bookmarkEnd w:id="189"/>
      <w:bookmarkEnd w:id="190"/>
      <w:bookmarkEnd w:id="191"/>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by No. 18 of 2013 s. 21.] </w:t>
      </w:r>
    </w:p>
    <w:p>
      <w:pPr>
        <w:pStyle w:val="Heading5"/>
      </w:pPr>
      <w:bookmarkStart w:id="192" w:name="_Toc392765327"/>
      <w:bookmarkStart w:id="193" w:name="_Toc416683062"/>
      <w:bookmarkStart w:id="194" w:name="_Toc375130856"/>
      <w:r>
        <w:rPr>
          <w:rStyle w:val="CharSectno"/>
        </w:rPr>
        <w:t>26C</w:t>
      </w:r>
      <w:r>
        <w:t>.</w:t>
      </w:r>
      <w:r>
        <w:tab/>
        <w:t>Transfer of ownership of microchipped dogs</w:t>
      </w:r>
      <w:bookmarkEnd w:id="192"/>
      <w:bookmarkEnd w:id="193"/>
      <w:bookmarkEnd w:id="194"/>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by No. 18 of 2013 s. 21.] </w:t>
      </w:r>
    </w:p>
    <w:p>
      <w:pPr>
        <w:pStyle w:val="Heading3"/>
        <w:keepNext w:val="0"/>
        <w:pageBreakBefore/>
        <w:widowControl w:val="0"/>
        <w:spacing w:before="0"/>
      </w:pPr>
      <w:bookmarkStart w:id="195" w:name="_Toc390078412"/>
      <w:bookmarkStart w:id="196" w:name="_Toc390086613"/>
      <w:bookmarkStart w:id="197" w:name="_Toc392576258"/>
      <w:bookmarkStart w:id="198" w:name="_Toc392765328"/>
      <w:bookmarkStart w:id="199" w:name="_Toc416682954"/>
      <w:bookmarkStart w:id="200" w:name="_Toc416683063"/>
      <w:bookmarkStart w:id="201" w:name="_Toc375130637"/>
      <w:bookmarkStart w:id="202" w:name="_Toc375130747"/>
      <w:bookmarkStart w:id="203" w:name="_Toc375130857"/>
      <w:r>
        <w:rPr>
          <w:rStyle w:val="CharDivNo"/>
        </w:rPr>
        <w:t>Division 3</w:t>
      </w:r>
      <w:r>
        <w:t> — </w:t>
      </w:r>
      <w:r>
        <w:rPr>
          <w:rStyle w:val="CharDivText"/>
        </w:rPr>
        <w:t>Changes to recorded information</w:t>
      </w:r>
      <w:bookmarkEnd w:id="195"/>
      <w:bookmarkEnd w:id="196"/>
      <w:bookmarkEnd w:id="197"/>
      <w:bookmarkEnd w:id="198"/>
      <w:bookmarkEnd w:id="199"/>
      <w:bookmarkEnd w:id="200"/>
      <w:bookmarkEnd w:id="201"/>
      <w:bookmarkEnd w:id="202"/>
      <w:bookmarkEnd w:id="203"/>
    </w:p>
    <w:p>
      <w:pPr>
        <w:pStyle w:val="Footnoteheading"/>
      </w:pPr>
      <w:r>
        <w:tab/>
        <w:t xml:space="preserve">[Heading inserted by No. 18 of 2013 s. 21.] </w:t>
      </w:r>
    </w:p>
    <w:p>
      <w:pPr>
        <w:pStyle w:val="Heading5"/>
      </w:pPr>
      <w:bookmarkStart w:id="204" w:name="_Toc392765329"/>
      <w:bookmarkStart w:id="205" w:name="_Toc416683064"/>
      <w:bookmarkStart w:id="206" w:name="_Toc375130858"/>
      <w:r>
        <w:rPr>
          <w:rStyle w:val="CharSectno"/>
        </w:rPr>
        <w:t>26D</w:t>
      </w:r>
      <w:r>
        <w:t>.</w:t>
      </w:r>
      <w:r>
        <w:tab/>
        <w:t>Notice to be given of changes to recorded information</w:t>
      </w:r>
      <w:bookmarkEnd w:id="204"/>
      <w:bookmarkEnd w:id="205"/>
      <w:bookmarkEnd w:id="206"/>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by No. 18 of 2013 s. 21.] </w:t>
      </w:r>
    </w:p>
    <w:p>
      <w:pPr>
        <w:pStyle w:val="Heading2"/>
      </w:pPr>
      <w:bookmarkStart w:id="207" w:name="_Toc390078414"/>
      <w:bookmarkStart w:id="208" w:name="_Toc390086615"/>
      <w:bookmarkStart w:id="209" w:name="_Toc392576260"/>
      <w:bookmarkStart w:id="210" w:name="_Toc392765330"/>
      <w:bookmarkStart w:id="211" w:name="_Toc416682956"/>
      <w:bookmarkStart w:id="212" w:name="_Toc416683065"/>
      <w:bookmarkStart w:id="213" w:name="_Toc375130639"/>
      <w:bookmarkStart w:id="214" w:name="_Toc375130749"/>
      <w:bookmarkStart w:id="215" w:name="_Toc375130859"/>
      <w:r>
        <w:rPr>
          <w:rStyle w:val="CharPartNo"/>
        </w:rPr>
        <w:t>Part V</w:t>
      </w:r>
      <w:r>
        <w:rPr>
          <w:rStyle w:val="CharDivNo"/>
        </w:rPr>
        <w:t> </w:t>
      </w:r>
      <w:r>
        <w:t>—</w:t>
      </w:r>
      <w:r>
        <w:rPr>
          <w:rStyle w:val="CharDivText"/>
        </w:rPr>
        <w:t> </w:t>
      </w:r>
      <w:r>
        <w:rPr>
          <w:rStyle w:val="CharPartText"/>
        </w:rPr>
        <w:t>The keeping of dogs</w:t>
      </w:r>
      <w:bookmarkEnd w:id="207"/>
      <w:bookmarkEnd w:id="208"/>
      <w:bookmarkEnd w:id="209"/>
      <w:bookmarkEnd w:id="210"/>
      <w:bookmarkEnd w:id="211"/>
      <w:bookmarkEnd w:id="212"/>
      <w:bookmarkEnd w:id="213"/>
      <w:bookmarkEnd w:id="214"/>
      <w:bookmarkEnd w:id="215"/>
      <w:r>
        <w:rPr>
          <w:rStyle w:val="CharPartText"/>
        </w:rPr>
        <w:t xml:space="preserve"> </w:t>
      </w:r>
    </w:p>
    <w:p>
      <w:pPr>
        <w:pStyle w:val="Heading5"/>
        <w:spacing w:before="240"/>
        <w:rPr>
          <w:snapToGrid w:val="0"/>
        </w:rPr>
      </w:pPr>
      <w:bookmarkStart w:id="216" w:name="_Toc392765331"/>
      <w:bookmarkStart w:id="217" w:name="_Toc416683066"/>
      <w:bookmarkStart w:id="218" w:name="_Toc375130860"/>
      <w:r>
        <w:rPr>
          <w:rStyle w:val="CharSectno"/>
        </w:rPr>
        <w:t>26</w:t>
      </w:r>
      <w:r>
        <w:rPr>
          <w:snapToGrid w:val="0"/>
        </w:rPr>
        <w:t>.</w:t>
      </w:r>
      <w:r>
        <w:rPr>
          <w:snapToGrid w:val="0"/>
        </w:rPr>
        <w:tab/>
        <w:t>Limitation as to numbers</w:t>
      </w:r>
      <w:bookmarkEnd w:id="216"/>
      <w:bookmarkEnd w:id="217"/>
      <w:bookmarkEnd w:id="218"/>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No. 18 of 2013 s. 22.] </w:t>
      </w:r>
    </w:p>
    <w:p>
      <w:pPr>
        <w:pStyle w:val="Heading5"/>
        <w:rPr>
          <w:snapToGrid w:val="0"/>
        </w:rPr>
      </w:pPr>
      <w:bookmarkStart w:id="219" w:name="_Toc392765332"/>
      <w:bookmarkStart w:id="220" w:name="_Toc416683067"/>
      <w:bookmarkStart w:id="221" w:name="_Toc375130861"/>
      <w:r>
        <w:rPr>
          <w:rStyle w:val="CharSectno"/>
        </w:rPr>
        <w:t>27</w:t>
      </w:r>
      <w:r>
        <w:rPr>
          <w:snapToGrid w:val="0"/>
        </w:rPr>
        <w:t>.</w:t>
      </w:r>
      <w:r>
        <w:rPr>
          <w:snapToGrid w:val="0"/>
        </w:rPr>
        <w:tab/>
        <w:t>Licensing of approved kennel establishments</w:t>
      </w:r>
      <w:bookmarkEnd w:id="219"/>
      <w:bookmarkEnd w:id="220"/>
      <w:bookmarkEnd w:id="221"/>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No. 18 of 2013 s. 23.] </w:t>
      </w:r>
    </w:p>
    <w:p>
      <w:pPr>
        <w:pStyle w:val="Heading2"/>
      </w:pPr>
      <w:bookmarkStart w:id="222" w:name="_Toc390078417"/>
      <w:bookmarkStart w:id="223" w:name="_Toc390086618"/>
      <w:bookmarkStart w:id="224" w:name="_Toc392576263"/>
      <w:bookmarkStart w:id="225" w:name="_Toc392765333"/>
      <w:bookmarkStart w:id="226" w:name="_Toc416682959"/>
      <w:bookmarkStart w:id="227" w:name="_Toc416683068"/>
      <w:bookmarkStart w:id="228" w:name="_Toc375130642"/>
      <w:bookmarkStart w:id="229" w:name="_Toc375130752"/>
      <w:bookmarkStart w:id="230" w:name="_Toc375130862"/>
      <w:r>
        <w:rPr>
          <w:rStyle w:val="CharPartNo"/>
        </w:rPr>
        <w:t>Part VI</w:t>
      </w:r>
      <w:r>
        <w:t> — </w:t>
      </w:r>
      <w:r>
        <w:rPr>
          <w:rStyle w:val="CharPartText"/>
        </w:rPr>
        <w:t>Control of dogs</w:t>
      </w:r>
      <w:bookmarkEnd w:id="222"/>
      <w:bookmarkEnd w:id="223"/>
      <w:bookmarkEnd w:id="224"/>
      <w:bookmarkEnd w:id="225"/>
      <w:bookmarkEnd w:id="226"/>
      <w:bookmarkEnd w:id="227"/>
      <w:bookmarkEnd w:id="228"/>
      <w:bookmarkEnd w:id="229"/>
      <w:bookmarkEnd w:id="230"/>
      <w:r>
        <w:rPr>
          <w:rStyle w:val="CharPartText"/>
        </w:rPr>
        <w:t xml:space="preserve"> </w:t>
      </w:r>
    </w:p>
    <w:p>
      <w:pPr>
        <w:pStyle w:val="Footnoteheading"/>
        <w:spacing w:before="100"/>
        <w:ind w:left="890"/>
        <w:rPr>
          <w:snapToGrid w:val="0"/>
        </w:rPr>
      </w:pPr>
      <w:r>
        <w:rPr>
          <w:snapToGrid w:val="0"/>
        </w:rPr>
        <w:tab/>
        <w:t>[Heading inserted by No. 23 of 1987 s. 24.]</w:t>
      </w:r>
    </w:p>
    <w:p>
      <w:pPr>
        <w:pStyle w:val="Heading3"/>
        <w:rPr>
          <w:snapToGrid w:val="0"/>
        </w:rPr>
      </w:pPr>
      <w:bookmarkStart w:id="231" w:name="_Toc390078418"/>
      <w:bookmarkStart w:id="232" w:name="_Toc390086619"/>
      <w:bookmarkStart w:id="233" w:name="_Toc392576264"/>
      <w:bookmarkStart w:id="234" w:name="_Toc392765334"/>
      <w:bookmarkStart w:id="235" w:name="_Toc416682960"/>
      <w:bookmarkStart w:id="236" w:name="_Toc416683069"/>
      <w:bookmarkStart w:id="237" w:name="_Toc375130643"/>
      <w:bookmarkStart w:id="238" w:name="_Toc375130753"/>
      <w:bookmarkStart w:id="239" w:name="_Toc375130863"/>
      <w:r>
        <w:rPr>
          <w:rStyle w:val="CharDivNo"/>
        </w:rPr>
        <w:t>Division 1</w:t>
      </w:r>
      <w:r>
        <w:rPr>
          <w:snapToGrid w:val="0"/>
        </w:rPr>
        <w:t> — </w:t>
      </w:r>
      <w:r>
        <w:rPr>
          <w:rStyle w:val="CharDivText"/>
        </w:rPr>
        <w:t>Dogs generally</w:t>
      </w:r>
      <w:bookmarkEnd w:id="231"/>
      <w:bookmarkEnd w:id="232"/>
      <w:bookmarkEnd w:id="233"/>
      <w:bookmarkEnd w:id="234"/>
      <w:bookmarkEnd w:id="235"/>
      <w:bookmarkEnd w:id="236"/>
      <w:bookmarkEnd w:id="237"/>
      <w:bookmarkEnd w:id="238"/>
      <w:bookmarkEnd w:id="239"/>
      <w:r>
        <w:rPr>
          <w:rStyle w:val="CharDivText"/>
        </w:rPr>
        <w:t xml:space="preserve"> </w:t>
      </w:r>
    </w:p>
    <w:p>
      <w:pPr>
        <w:pStyle w:val="Footnoteheading"/>
        <w:spacing w:before="100"/>
        <w:ind w:left="890"/>
        <w:rPr>
          <w:snapToGrid w:val="0"/>
        </w:rPr>
      </w:pPr>
      <w:r>
        <w:rPr>
          <w:snapToGrid w:val="0"/>
        </w:rPr>
        <w:tab/>
        <w:t xml:space="preserve">[Heading inserted by No. 24 of 1996 s. 7.] </w:t>
      </w:r>
    </w:p>
    <w:p>
      <w:pPr>
        <w:pStyle w:val="Heading5"/>
      </w:pPr>
      <w:bookmarkStart w:id="240" w:name="_Toc392765335"/>
      <w:bookmarkStart w:id="241" w:name="_Toc416683070"/>
      <w:bookmarkStart w:id="242" w:name="_Toc375130864"/>
      <w:r>
        <w:rPr>
          <w:rStyle w:val="CharSectno"/>
        </w:rPr>
        <w:t>28</w:t>
      </w:r>
      <w:r>
        <w:t>.</w:t>
      </w:r>
      <w:r>
        <w:tab/>
        <w:t xml:space="preserve">Obligation to identify </w:t>
      </w:r>
      <w:del w:id="243" w:author="svcMRProcess" w:date="2018-08-28T11:45:00Z">
        <w:r>
          <w:delText xml:space="preserve">a </w:delText>
        </w:r>
      </w:del>
      <w:r>
        <w:t>dog’s owner</w:t>
      </w:r>
      <w:bookmarkEnd w:id="240"/>
      <w:bookmarkEnd w:id="241"/>
      <w:bookmarkEnd w:id="242"/>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by No. 18 of 2013 s. 24.] </w:t>
      </w:r>
    </w:p>
    <w:p>
      <w:pPr>
        <w:pStyle w:val="Heading5"/>
        <w:rPr>
          <w:snapToGrid w:val="0"/>
        </w:rPr>
      </w:pPr>
      <w:bookmarkStart w:id="244" w:name="_Toc392765336"/>
      <w:bookmarkStart w:id="245" w:name="_Toc416683071"/>
      <w:bookmarkStart w:id="246" w:name="_Toc375130865"/>
      <w:r>
        <w:rPr>
          <w:rStyle w:val="CharSectno"/>
        </w:rPr>
        <w:t>29</w:t>
      </w:r>
      <w:r>
        <w:rPr>
          <w:snapToGrid w:val="0"/>
        </w:rPr>
        <w:t>.</w:t>
      </w:r>
      <w:r>
        <w:rPr>
          <w:snapToGrid w:val="0"/>
        </w:rPr>
        <w:tab/>
        <w:t>Power to seize dogs</w:t>
      </w:r>
      <w:bookmarkEnd w:id="244"/>
      <w:bookmarkEnd w:id="245"/>
      <w:bookmarkEnd w:id="246"/>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w:t>
      </w:r>
      <w:del w:id="247" w:author="svcMRProcess" w:date="2018-08-28T11:45:00Z">
        <w:r>
          <w:delText xml:space="preserve"> </w:delText>
        </w:r>
      </w:del>
      <w:ins w:id="248" w:author="svcMRProcess" w:date="2018-08-28T11:45:00Z">
        <w:r>
          <w:t> </w:t>
        </w:r>
      </w:ins>
      <w:r>
        <w:t>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No. 18 of 2013 s. 25.] </w:t>
      </w:r>
    </w:p>
    <w:p>
      <w:pPr>
        <w:pStyle w:val="Heading5"/>
        <w:spacing w:before="180"/>
      </w:pPr>
      <w:bookmarkStart w:id="249" w:name="_Toc392765337"/>
      <w:bookmarkStart w:id="250" w:name="_Toc416683072"/>
      <w:bookmarkStart w:id="251" w:name="_Toc375130866"/>
      <w:r>
        <w:rPr>
          <w:rStyle w:val="CharSectno"/>
        </w:rPr>
        <w:t>30A</w:t>
      </w:r>
      <w:r>
        <w:t>.</w:t>
      </w:r>
      <w:r>
        <w:tab/>
        <w:t>Operator of dog management facility may have dog microchipped at owner’s expense</w:t>
      </w:r>
      <w:bookmarkEnd w:id="249"/>
      <w:bookmarkEnd w:id="250"/>
      <w:bookmarkEnd w:id="251"/>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by No. 18 of 2013 s. 26.]</w:t>
      </w:r>
    </w:p>
    <w:p>
      <w:pPr>
        <w:pStyle w:val="Heading5"/>
        <w:rPr>
          <w:snapToGrid w:val="0"/>
        </w:rPr>
      </w:pPr>
      <w:bookmarkStart w:id="252" w:name="_Toc392765338"/>
      <w:bookmarkStart w:id="253" w:name="_Toc416683073"/>
      <w:bookmarkStart w:id="254" w:name="_Toc375130867"/>
      <w:r>
        <w:rPr>
          <w:rStyle w:val="CharSectno"/>
        </w:rPr>
        <w:t>30</w:t>
      </w:r>
      <w:r>
        <w:rPr>
          <w:snapToGrid w:val="0"/>
        </w:rPr>
        <w:t>.</w:t>
      </w:r>
      <w:r>
        <w:rPr>
          <w:snapToGrid w:val="0"/>
        </w:rPr>
        <w:tab/>
        <w:t>Dogs to wear collars, registration tags</w:t>
      </w:r>
      <w:del w:id="255" w:author="svcMRProcess" w:date="2018-08-28T11:45:00Z">
        <w:r>
          <w:rPr>
            <w:snapToGrid w:val="0"/>
          </w:rPr>
          <w:delText>,</w:delText>
        </w:r>
      </w:del>
      <w:r>
        <w:rPr>
          <w:snapToGrid w:val="0"/>
        </w:rPr>
        <w:t xml:space="preserve"> etc.</w:t>
      </w:r>
      <w:bookmarkEnd w:id="252"/>
      <w:bookmarkEnd w:id="253"/>
      <w:bookmarkEnd w:id="254"/>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ins w:id="256" w:author="svcMRProcess" w:date="2018-08-28T11:45:00Z">
        <w:r>
          <w:t xml:space="preserve"> or</w:t>
        </w:r>
      </w:ins>
    </w:p>
    <w:p>
      <w:pPr>
        <w:pStyle w:val="Ednotepara"/>
        <w:spacing w:before="80"/>
      </w:pPr>
      <w:r>
        <w:tab/>
        <w:t>[(b), (c)</w:t>
      </w:r>
      <w:r>
        <w:tab/>
        <w:t>deleted]</w:t>
      </w:r>
    </w:p>
    <w:p>
      <w:pPr>
        <w:pStyle w:val="Indenta"/>
      </w:pPr>
      <w:r>
        <w:tab/>
        <w:t>(d)</w:t>
      </w:r>
      <w:r>
        <w:tab/>
        <w:t>a dog being exhibited for show purposes;</w:t>
      </w:r>
      <w:ins w:id="257" w:author="svcMRProcess" w:date="2018-08-28T11:45:00Z">
        <w:r>
          <w:t xml:space="preserve"> or</w:t>
        </w:r>
      </w:ins>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by No. 23 of 1987 s. 27; amended by No. 14 of 1996 s. 4; No. 24 of 1996 s. 16; No. 23 of 1998 s. 20; No. 35 of 2003 s. 220(2); No. 18 of 2013 s. 27.] </w:t>
      </w:r>
    </w:p>
    <w:p>
      <w:pPr>
        <w:pStyle w:val="Heading5"/>
        <w:keepNext w:val="0"/>
        <w:keepLines w:val="0"/>
        <w:pageBreakBefore/>
        <w:widowControl w:val="0"/>
        <w:spacing w:before="0"/>
        <w:rPr>
          <w:snapToGrid w:val="0"/>
        </w:rPr>
      </w:pPr>
      <w:bookmarkStart w:id="258" w:name="_Toc392765339"/>
      <w:bookmarkStart w:id="259" w:name="_Toc416683074"/>
      <w:bookmarkStart w:id="260" w:name="_Toc375130868"/>
      <w:r>
        <w:rPr>
          <w:rStyle w:val="CharSectno"/>
        </w:rPr>
        <w:t>31</w:t>
      </w:r>
      <w:r>
        <w:rPr>
          <w:snapToGrid w:val="0"/>
        </w:rPr>
        <w:t>.</w:t>
      </w:r>
      <w:r>
        <w:rPr>
          <w:snapToGrid w:val="0"/>
        </w:rPr>
        <w:tab/>
        <w:t>Control of dogs in certain public places</w:t>
      </w:r>
      <w:bookmarkEnd w:id="258"/>
      <w:bookmarkEnd w:id="259"/>
      <w:bookmarkEnd w:id="260"/>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w:t>
      </w:r>
      <w:del w:id="261" w:author="svcMRProcess" w:date="2018-08-28T11:45:00Z">
        <w:r>
          <w:tab/>
        </w:r>
      </w:del>
      <w:ins w:id="262" w:author="svcMRProcess" w:date="2018-08-28T11:45:00Z">
        <w:r>
          <w:t> </w:t>
        </w:r>
      </w:ins>
      <w:r>
        <w:t>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by No. 23 of 1987 s. 27; amended by No. 14 of 1996 s. 4; No. 24 of 1996 s. 16; No. 18 of 2013 s. 28.] </w:t>
      </w:r>
    </w:p>
    <w:p>
      <w:pPr>
        <w:pStyle w:val="Heading5"/>
        <w:rPr>
          <w:snapToGrid w:val="0"/>
        </w:rPr>
      </w:pPr>
      <w:bookmarkStart w:id="263" w:name="_Toc392765340"/>
      <w:bookmarkStart w:id="264" w:name="_Toc416683075"/>
      <w:bookmarkStart w:id="265" w:name="_Toc375130869"/>
      <w:r>
        <w:rPr>
          <w:rStyle w:val="CharSectno"/>
        </w:rPr>
        <w:t>32</w:t>
      </w:r>
      <w:r>
        <w:rPr>
          <w:snapToGrid w:val="0"/>
        </w:rPr>
        <w:t>.</w:t>
      </w:r>
      <w:r>
        <w:rPr>
          <w:snapToGrid w:val="0"/>
        </w:rPr>
        <w:tab/>
        <w:t>Control of dogs in exercise areas and rural areas</w:t>
      </w:r>
      <w:bookmarkEnd w:id="263"/>
      <w:bookmarkEnd w:id="264"/>
      <w:bookmarkEnd w:id="265"/>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ins w:id="266" w:author="svcMRProcess" w:date="2018-08-28T11:45:00Z">
        <w:r>
          <w:t xml:space="preserve"> and</w:t>
        </w:r>
      </w:ins>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by No. 23 of 1987 s. 27; amended by No. 14 of 1996 s. 4; No. 24 of 1996 s. 16; No. 18 of 2013 s. 29.] </w:t>
      </w:r>
    </w:p>
    <w:p>
      <w:pPr>
        <w:pStyle w:val="Heading5"/>
        <w:spacing w:before="260"/>
        <w:rPr>
          <w:snapToGrid w:val="0"/>
        </w:rPr>
      </w:pPr>
      <w:bookmarkStart w:id="267" w:name="_Toc392765341"/>
      <w:bookmarkStart w:id="268" w:name="_Toc416683076"/>
      <w:bookmarkStart w:id="269" w:name="_Toc375130870"/>
      <w:r>
        <w:rPr>
          <w:rStyle w:val="CharSectno"/>
        </w:rPr>
        <w:t>33</w:t>
      </w:r>
      <w:r>
        <w:rPr>
          <w:snapToGrid w:val="0"/>
        </w:rPr>
        <w:t>.</w:t>
      </w:r>
      <w:r>
        <w:rPr>
          <w:snapToGrid w:val="0"/>
        </w:rPr>
        <w:tab/>
        <w:t>Special provision for greyhounds</w:t>
      </w:r>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A greyhound must be muzzled in such a manner as will prevent it from biting a person or animal unless — </w:t>
      </w:r>
    </w:p>
    <w:p>
      <w:pPr>
        <w:pStyle w:val="Indenta"/>
        <w:rPr>
          <w:snapToGrid w:val="0"/>
        </w:rPr>
      </w:pPr>
      <w:r>
        <w:tab/>
        <w:t>(a)</w:t>
      </w:r>
      <w:r>
        <w:tab/>
      </w:r>
      <w:r>
        <w:rPr>
          <w:snapToGrid w:val="0"/>
        </w:rPr>
        <w:t>it is in or at premises occupied by its owner; or</w:t>
      </w:r>
    </w:p>
    <w:p>
      <w:pPr>
        <w:pStyle w:val="Indenta"/>
      </w:pPr>
      <w:r>
        <w:tab/>
        <w:t>(b)</w:t>
      </w:r>
      <w:r>
        <w:tab/>
        <w:t>it has successfully completed a prescribed training programme.</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ins w:id="270" w:author="svcMRProcess" w:date="2018-08-28T11:45:00Z">
        <w:r>
          <w:t xml:space="preserve"> and</w:t>
        </w:r>
      </w:ins>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Footnotesection"/>
        <w:ind w:left="890" w:hanging="890"/>
      </w:pPr>
      <w:r>
        <w:tab/>
        <w:t xml:space="preserve">[Section 33 inserted by No. 23 of 1987 s. 27; amended by No. 24 of 1996 s. 16; No. 23 of 1998 s. 20; No. 35 of 2003 s. 220(3); No. 18 of 2013 s. 30.] </w:t>
      </w:r>
    </w:p>
    <w:p>
      <w:pPr>
        <w:pStyle w:val="Heading5"/>
        <w:spacing w:before="260"/>
        <w:rPr>
          <w:snapToGrid w:val="0"/>
        </w:rPr>
      </w:pPr>
      <w:bookmarkStart w:id="271" w:name="_Toc392765342"/>
      <w:bookmarkStart w:id="272" w:name="_Toc416683077"/>
      <w:bookmarkStart w:id="273" w:name="_Toc375130871"/>
      <w:r>
        <w:rPr>
          <w:rStyle w:val="CharSectno"/>
        </w:rPr>
        <w:t>33A</w:t>
      </w:r>
      <w:r>
        <w:rPr>
          <w:snapToGrid w:val="0"/>
        </w:rPr>
        <w:t>.</w:t>
      </w:r>
      <w:r>
        <w:rPr>
          <w:snapToGrid w:val="0"/>
        </w:rPr>
        <w:tab/>
        <w:t>Control of dogs in places that are not public</w:t>
      </w:r>
      <w:bookmarkEnd w:id="271"/>
      <w:bookmarkEnd w:id="272"/>
      <w:bookmarkEnd w:id="273"/>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by No. 23 of 1987 s. 27; amended by No. 24 of 1996 s. 16; No. 18 of 2013 s. 31.] </w:t>
      </w:r>
    </w:p>
    <w:p>
      <w:pPr>
        <w:pStyle w:val="Heading5"/>
        <w:rPr>
          <w:snapToGrid w:val="0"/>
        </w:rPr>
      </w:pPr>
      <w:bookmarkStart w:id="274" w:name="_Toc392765343"/>
      <w:bookmarkStart w:id="275" w:name="_Toc416683078"/>
      <w:bookmarkStart w:id="276" w:name="_Toc375130872"/>
      <w:r>
        <w:rPr>
          <w:rStyle w:val="CharSectno"/>
        </w:rPr>
        <w:t>33B</w:t>
      </w:r>
      <w:r>
        <w:rPr>
          <w:snapToGrid w:val="0"/>
        </w:rPr>
        <w:t>.</w:t>
      </w:r>
      <w:r>
        <w:rPr>
          <w:snapToGrid w:val="0"/>
        </w:rPr>
        <w:tab/>
        <w:t>Defences applicable to offences under this Division</w:t>
      </w:r>
      <w:bookmarkEnd w:id="274"/>
      <w:bookmarkEnd w:id="275"/>
      <w:bookmarkEnd w:id="276"/>
    </w:p>
    <w:p>
      <w:pPr>
        <w:pStyle w:val="Subsection"/>
        <w:rPr>
          <w:snapToGrid w:val="0"/>
        </w:rPr>
      </w:pPr>
      <w:r>
        <w:rPr>
          <w:snapToGrid w:val="0"/>
        </w:rPr>
        <w:tab/>
      </w:r>
      <w:r>
        <w:rPr>
          <w:snapToGrid w:val="0"/>
        </w:rPr>
        <w:tab/>
        <w:t>It is a defence to a charge of an offence under section 30(2), 31(3), 32(4), 33(3) or 33A(3) if the person charged satisfies the court — </w:t>
      </w:r>
    </w:p>
    <w:p>
      <w:pPr>
        <w:pStyle w:val="Indenta"/>
      </w:pPr>
      <w:r>
        <w:tab/>
        <w:t>(a)</w:t>
      </w:r>
      <w:r>
        <w:tab/>
        <w:t>in the case of any person, that he took all reasonable precautions and exercised all due diligence to avoid the contravention;</w:t>
      </w:r>
      <w:ins w:id="277" w:author="svcMRProcess" w:date="2018-08-28T11:45:00Z">
        <w:r>
          <w:t xml:space="preserve"> or</w:t>
        </w:r>
      </w:ins>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amended by No. 18 of 2013 s. 32.] </w:t>
      </w:r>
    </w:p>
    <w:p>
      <w:pPr>
        <w:pStyle w:val="Heading5"/>
        <w:keepLines w:val="0"/>
        <w:rPr>
          <w:snapToGrid w:val="0"/>
        </w:rPr>
      </w:pPr>
      <w:bookmarkStart w:id="278" w:name="_Toc392765344"/>
      <w:bookmarkStart w:id="279" w:name="_Toc416683079"/>
      <w:bookmarkStart w:id="280" w:name="_Toc375130873"/>
      <w:r>
        <w:rPr>
          <w:rStyle w:val="CharSectno"/>
        </w:rPr>
        <w:t>33C</w:t>
      </w:r>
      <w:r>
        <w:rPr>
          <w:snapToGrid w:val="0"/>
        </w:rPr>
        <w:t>.</w:t>
      </w:r>
      <w:r>
        <w:rPr>
          <w:snapToGrid w:val="0"/>
        </w:rPr>
        <w:tab/>
        <w:t>Saving</w:t>
      </w:r>
      <w:bookmarkEnd w:id="278"/>
      <w:bookmarkEnd w:id="279"/>
      <w:bookmarkEnd w:id="280"/>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281" w:name="_Toc392765345"/>
      <w:bookmarkStart w:id="282" w:name="_Toc416683080"/>
      <w:bookmarkStart w:id="283" w:name="_Toc375130874"/>
      <w:r>
        <w:rPr>
          <w:rStyle w:val="CharSectno"/>
        </w:rPr>
        <w:t>33D</w:t>
      </w:r>
      <w:r>
        <w:rPr>
          <w:snapToGrid w:val="0"/>
        </w:rPr>
        <w:t>.</w:t>
      </w:r>
      <w:r>
        <w:rPr>
          <w:snapToGrid w:val="0"/>
        </w:rPr>
        <w:tab/>
        <w:t>Dog attacks</w:t>
      </w:r>
      <w:del w:id="284" w:author="svcMRProcess" w:date="2018-08-28T11:45:00Z">
        <w:r>
          <w:rPr>
            <w:snapToGrid w:val="0"/>
          </w:rPr>
          <w:delText>,</w:delText>
        </w:r>
      </w:del>
      <w:r>
        <w:rPr>
          <w:snapToGrid w:val="0"/>
        </w:rPr>
        <w:t xml:space="preserve"> etc.</w:t>
      </w:r>
      <w:bookmarkEnd w:id="281"/>
      <w:bookmarkEnd w:id="282"/>
      <w:bookmarkEnd w:id="283"/>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by No. 23 of 1987 s. 27; amended by No. 24 of 1996 s. 9 and 16; No. 18 of 2013 s. 33.] </w:t>
      </w:r>
    </w:p>
    <w:p>
      <w:pPr>
        <w:pStyle w:val="Heading3"/>
        <w:rPr>
          <w:snapToGrid w:val="0"/>
        </w:rPr>
      </w:pPr>
      <w:bookmarkStart w:id="285" w:name="_Toc390078430"/>
      <w:bookmarkStart w:id="286" w:name="_Toc390086631"/>
      <w:bookmarkStart w:id="287" w:name="_Toc392576276"/>
      <w:bookmarkStart w:id="288" w:name="_Toc392765346"/>
      <w:bookmarkStart w:id="289" w:name="_Toc416682972"/>
      <w:bookmarkStart w:id="290" w:name="_Toc416683081"/>
      <w:bookmarkStart w:id="291" w:name="_Toc375130655"/>
      <w:bookmarkStart w:id="292" w:name="_Toc375130765"/>
      <w:bookmarkStart w:id="293" w:name="_Toc375130875"/>
      <w:r>
        <w:rPr>
          <w:rStyle w:val="CharDivNo"/>
        </w:rPr>
        <w:t>Division 2</w:t>
      </w:r>
      <w:r>
        <w:rPr>
          <w:snapToGrid w:val="0"/>
        </w:rPr>
        <w:t> — </w:t>
      </w:r>
      <w:r>
        <w:rPr>
          <w:rStyle w:val="CharDivText"/>
        </w:rPr>
        <w:t>Dangerous dogs</w:t>
      </w:r>
      <w:bookmarkEnd w:id="285"/>
      <w:bookmarkEnd w:id="286"/>
      <w:bookmarkEnd w:id="287"/>
      <w:bookmarkEnd w:id="288"/>
      <w:bookmarkEnd w:id="289"/>
      <w:bookmarkEnd w:id="290"/>
      <w:bookmarkEnd w:id="291"/>
      <w:bookmarkEnd w:id="292"/>
      <w:bookmarkEnd w:id="293"/>
      <w:r>
        <w:rPr>
          <w:rStyle w:val="CharDivText"/>
        </w:rPr>
        <w:t xml:space="preserve"> </w:t>
      </w:r>
    </w:p>
    <w:p>
      <w:pPr>
        <w:pStyle w:val="Footnoteheading"/>
        <w:ind w:left="890"/>
        <w:rPr>
          <w:snapToGrid w:val="0"/>
        </w:rPr>
      </w:pPr>
      <w:r>
        <w:rPr>
          <w:snapToGrid w:val="0"/>
        </w:rPr>
        <w:tab/>
        <w:t xml:space="preserve">[Heading inserted by No. 24 of 1996 s. 10.] </w:t>
      </w:r>
    </w:p>
    <w:p>
      <w:pPr>
        <w:pStyle w:val="Heading5"/>
        <w:spacing w:before="240"/>
        <w:rPr>
          <w:snapToGrid w:val="0"/>
        </w:rPr>
      </w:pPr>
      <w:bookmarkStart w:id="294" w:name="_Toc392765347"/>
      <w:bookmarkStart w:id="295" w:name="_Toc416683082"/>
      <w:bookmarkStart w:id="296" w:name="_Toc375130876"/>
      <w:r>
        <w:rPr>
          <w:rStyle w:val="CharSectno"/>
        </w:rPr>
        <w:t>33E</w:t>
      </w:r>
      <w:r>
        <w:rPr>
          <w:snapToGrid w:val="0"/>
        </w:rPr>
        <w:t>.</w:t>
      </w:r>
      <w:r>
        <w:rPr>
          <w:snapToGrid w:val="0"/>
        </w:rPr>
        <w:tab/>
        <w:t xml:space="preserve">Individual dog may be declared to be </w:t>
      </w:r>
      <w:del w:id="297" w:author="svcMRProcess" w:date="2018-08-28T11:45:00Z">
        <w:r>
          <w:rPr>
            <w:snapToGrid w:val="0"/>
          </w:rPr>
          <w:delText xml:space="preserve">a </w:delText>
        </w:r>
      </w:del>
      <w:r>
        <w:rPr>
          <w:snapToGrid w:val="0"/>
        </w:rPr>
        <w:t>dangerous dog (declared)</w:t>
      </w:r>
      <w:bookmarkEnd w:id="294"/>
      <w:bookmarkEnd w:id="295"/>
      <w:bookmarkEnd w:id="296"/>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w:t>
      </w:r>
      <w:ins w:id="298" w:author="svcMRProcess" w:date="2018-08-28T11:45:00Z">
        <w:r>
          <w:t xml:space="preserve"> or</w:t>
        </w:r>
      </w:ins>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by No. 24 of 1996 s. 10; amended by No. 10 of 1998 s. 29(1); No. 55 of 2004 s. 259; No. 18 of 2013 s. 34.] </w:t>
      </w:r>
    </w:p>
    <w:p>
      <w:pPr>
        <w:pStyle w:val="Heading5"/>
        <w:rPr>
          <w:snapToGrid w:val="0"/>
        </w:rPr>
      </w:pPr>
      <w:bookmarkStart w:id="299" w:name="_Toc392765348"/>
      <w:bookmarkStart w:id="300" w:name="_Toc416683083"/>
      <w:bookmarkStart w:id="301" w:name="_Toc375130877"/>
      <w:r>
        <w:rPr>
          <w:rStyle w:val="CharSectno"/>
        </w:rPr>
        <w:t>33F</w:t>
      </w:r>
      <w:r>
        <w:rPr>
          <w:snapToGrid w:val="0"/>
        </w:rPr>
        <w:t>.</w:t>
      </w:r>
      <w:r>
        <w:rPr>
          <w:snapToGrid w:val="0"/>
        </w:rPr>
        <w:tab/>
        <w:t>Owner to be notified of making of declaration</w:t>
      </w:r>
      <w:bookmarkEnd w:id="299"/>
      <w:bookmarkEnd w:id="300"/>
      <w:bookmarkEnd w:id="301"/>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Ednotepara"/>
        <w:rPr>
          <w:del w:id="302" w:author="svcMRProcess" w:date="2018-08-28T11:45:00Z"/>
        </w:rPr>
      </w:pPr>
      <w:del w:id="303" w:author="svcMRProcess" w:date="2018-08-28T11:45:00Z">
        <w:r>
          <w:tab/>
          <w:delText>[(c)</w:delText>
        </w:r>
        <w:r>
          <w:tab/>
          <w:delText>deleted]</w:delText>
        </w:r>
      </w:del>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Ednotesubsection"/>
        <w:rPr>
          <w:del w:id="304" w:author="svcMRProcess" w:date="2018-08-28T11:45:00Z"/>
        </w:rPr>
      </w:pPr>
      <w:del w:id="305" w:author="svcMRProcess" w:date="2018-08-28T11:45:00Z">
        <w:r>
          <w:tab/>
          <w:delText>[(8), (9)</w:delText>
        </w:r>
        <w:r>
          <w:tab/>
          <w:delText>deleted]</w:delText>
        </w:r>
      </w:del>
    </w:p>
    <w:p>
      <w:pPr>
        <w:pStyle w:val="Footnotesection"/>
        <w:ind w:left="890" w:hanging="890"/>
      </w:pPr>
      <w:r>
        <w:tab/>
        <w:t xml:space="preserve">[Section 33F inserted by No. 24 of 1996 s. 10; amended by No. 10 of 1998 s. 29(1); No. 55 of 2004 s. 260 and 268; No. 18 of 2013 s. 35.] </w:t>
      </w:r>
    </w:p>
    <w:p>
      <w:pPr>
        <w:pStyle w:val="Heading5"/>
        <w:spacing w:before="180"/>
      </w:pPr>
      <w:bookmarkStart w:id="306" w:name="_Toc392765349"/>
      <w:bookmarkStart w:id="307" w:name="_Toc416683084"/>
      <w:bookmarkStart w:id="308" w:name="_Toc375130878"/>
      <w:r>
        <w:rPr>
          <w:rStyle w:val="CharSectno"/>
        </w:rPr>
        <w:t>33GA</w:t>
      </w:r>
      <w:r>
        <w:t>.</w:t>
      </w:r>
      <w:r>
        <w:tab/>
        <w:t>Offences relating to dangerous dogs</w:t>
      </w:r>
      <w:bookmarkEnd w:id="306"/>
      <w:bookmarkEnd w:id="307"/>
      <w:bookmarkEnd w:id="308"/>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by No. 18 of 2013 s. 36.] </w:t>
      </w:r>
    </w:p>
    <w:p>
      <w:pPr>
        <w:pStyle w:val="Heading5"/>
      </w:pPr>
      <w:bookmarkStart w:id="309" w:name="_Toc392765350"/>
      <w:bookmarkStart w:id="310" w:name="_Toc416683085"/>
      <w:bookmarkStart w:id="311" w:name="_Toc375130879"/>
      <w:r>
        <w:rPr>
          <w:rStyle w:val="CharSectno"/>
        </w:rPr>
        <w:t>33GB</w:t>
      </w:r>
      <w:r>
        <w:t>.</w:t>
      </w:r>
      <w:r>
        <w:tab/>
        <w:t>Dangerous dogs (restricted breed) to be sterilised</w:t>
      </w:r>
      <w:bookmarkEnd w:id="309"/>
      <w:bookmarkEnd w:id="310"/>
      <w:bookmarkEnd w:id="311"/>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by No. 18 of 2013 s. 36.] </w:t>
      </w:r>
    </w:p>
    <w:p>
      <w:pPr>
        <w:pStyle w:val="Heading5"/>
      </w:pPr>
      <w:bookmarkStart w:id="312" w:name="_Toc392765351"/>
      <w:bookmarkStart w:id="313" w:name="_Toc416683086"/>
      <w:bookmarkStart w:id="314" w:name="_Toc375130880"/>
      <w:r>
        <w:rPr>
          <w:rStyle w:val="CharSectno"/>
        </w:rPr>
        <w:t>33GC</w:t>
      </w:r>
      <w:r>
        <w:t>.</w:t>
      </w:r>
      <w:r>
        <w:tab/>
        <w:t>Restrictions on transferring ownership of dangerous dogs (restricted breed)</w:t>
      </w:r>
      <w:bookmarkEnd w:id="312"/>
      <w:bookmarkEnd w:id="313"/>
      <w:bookmarkEnd w:id="314"/>
    </w:p>
    <w:p>
      <w:pPr>
        <w:pStyle w:val="Subsection"/>
      </w:pPr>
      <w:r>
        <w:tab/>
        <w:t>(1)</w:t>
      </w:r>
      <w:r>
        <w:tab/>
        <w:t xml:space="preserve">In this section — </w:t>
      </w:r>
    </w:p>
    <w:p>
      <w:pPr>
        <w:pStyle w:val="Defstar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w:t>
      </w:r>
      <w:ins w:id="315" w:author="svcMRProcess" w:date="2018-08-28T11:45:00Z">
        <w:r>
          <w:t xml:space="preserve"> or</w:t>
        </w:r>
      </w:ins>
    </w:p>
    <w:p>
      <w:pPr>
        <w:pStyle w:val="Indenta"/>
        <w:rPr>
          <w:del w:id="316" w:author="svcMRProcess" w:date="2018-08-28T11:45:00Z"/>
        </w:rPr>
      </w:pPr>
      <w:del w:id="317" w:author="svcMRProcess" w:date="2018-08-28T11:45:00Z">
        <w:r>
          <w:tab/>
        </w:r>
        <w:r>
          <w:tab/>
          <w:delText>or</w:delText>
        </w:r>
      </w:del>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by No. 18 of 2013 s. 36.] </w:t>
      </w:r>
    </w:p>
    <w:p>
      <w:pPr>
        <w:pStyle w:val="Heading5"/>
        <w:spacing w:before="240"/>
      </w:pPr>
      <w:bookmarkStart w:id="318" w:name="_Toc392765352"/>
      <w:bookmarkStart w:id="319" w:name="_Toc416683087"/>
      <w:bookmarkStart w:id="320" w:name="_Toc375130881"/>
      <w:r>
        <w:rPr>
          <w:rStyle w:val="CharSectno"/>
        </w:rPr>
        <w:t>33GD</w:t>
      </w:r>
      <w:r>
        <w:t>.</w:t>
      </w:r>
      <w:r>
        <w:tab/>
        <w:t>Dangerous dogs (restricted breed) not to be bred</w:t>
      </w:r>
      <w:bookmarkEnd w:id="318"/>
      <w:bookmarkEnd w:id="319"/>
      <w:bookmarkEnd w:id="320"/>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by No. 18 of 2013 s. 36.] </w:t>
      </w:r>
    </w:p>
    <w:p>
      <w:pPr>
        <w:pStyle w:val="Heading5"/>
      </w:pPr>
      <w:bookmarkStart w:id="321" w:name="_Toc392765353"/>
      <w:bookmarkStart w:id="322" w:name="_Toc416683088"/>
      <w:bookmarkStart w:id="323" w:name="_Toc375130882"/>
      <w:r>
        <w:rPr>
          <w:rStyle w:val="CharSectno"/>
        </w:rPr>
        <w:t>33GE</w:t>
      </w:r>
      <w:r>
        <w:t>.</w:t>
      </w:r>
      <w:r>
        <w:tab/>
        <w:t>Prohibition on transfer of ownership of dangerous dogs (declared) to persons under 18</w:t>
      </w:r>
      <w:bookmarkEnd w:id="321"/>
      <w:bookmarkEnd w:id="322"/>
      <w:bookmarkEnd w:id="323"/>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by No. 18 of 2013 s. 36.] </w:t>
      </w:r>
    </w:p>
    <w:p>
      <w:pPr>
        <w:pStyle w:val="Heading5"/>
        <w:spacing w:before="120"/>
        <w:rPr>
          <w:snapToGrid w:val="0"/>
        </w:rPr>
      </w:pPr>
      <w:bookmarkStart w:id="324" w:name="_Toc392765354"/>
      <w:bookmarkStart w:id="325" w:name="_Toc416683089"/>
      <w:bookmarkStart w:id="326" w:name="_Toc375130883"/>
      <w:r>
        <w:rPr>
          <w:rStyle w:val="CharSectno"/>
        </w:rPr>
        <w:t>33G</w:t>
      </w:r>
      <w:r>
        <w:rPr>
          <w:snapToGrid w:val="0"/>
        </w:rPr>
        <w:t>.</w:t>
      </w:r>
      <w:r>
        <w:rPr>
          <w:snapToGrid w:val="0"/>
        </w:rPr>
        <w:tab/>
        <w:t>Seizure and destruction</w:t>
      </w:r>
      <w:bookmarkEnd w:id="324"/>
      <w:bookmarkEnd w:id="325"/>
      <w:bookmarkEnd w:id="326"/>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ins w:id="327" w:author="svcMRProcess" w:date="2018-08-28T11:45:00Z">
        <w:r>
          <w:t xml:space="preserve"> and</w:t>
        </w:r>
      </w:ins>
    </w:p>
    <w:p>
      <w:pPr>
        <w:pStyle w:val="Indenta"/>
      </w:pPr>
      <w:r>
        <w:tab/>
        <w:t>(b)</w:t>
      </w:r>
      <w:r>
        <w:tab/>
        <w:t xml:space="preserve">giving reasons for the seizure; </w:t>
      </w:r>
      <w:ins w:id="328" w:author="svcMRProcess" w:date="2018-08-28T11:45:00Z">
        <w:r>
          <w:t>and</w:t>
        </w:r>
      </w:ins>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w:t>
      </w:r>
      <w:ins w:id="329" w:author="svcMRProcess" w:date="2018-08-28T11:45:00Z">
        <w:r>
          <w:t xml:space="preserve"> or</w:t>
        </w:r>
      </w:ins>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No. 8 of 2009 s. 47(2); No. 18 of 2013 s. 37.] </w:t>
      </w:r>
    </w:p>
    <w:p>
      <w:pPr>
        <w:pStyle w:val="Heading5"/>
        <w:rPr>
          <w:snapToGrid w:val="0"/>
        </w:rPr>
      </w:pPr>
      <w:bookmarkStart w:id="330" w:name="_Toc392765355"/>
      <w:bookmarkStart w:id="331" w:name="_Toc416683090"/>
      <w:bookmarkStart w:id="332" w:name="_Toc375130884"/>
      <w:r>
        <w:rPr>
          <w:rStyle w:val="CharSectno"/>
        </w:rPr>
        <w:t>33H</w:t>
      </w:r>
      <w:r>
        <w:rPr>
          <w:snapToGrid w:val="0"/>
        </w:rPr>
        <w:t>.</w:t>
      </w:r>
      <w:r>
        <w:rPr>
          <w:snapToGrid w:val="0"/>
        </w:rPr>
        <w:tab/>
        <w:t>Local government may revoke</w:t>
      </w:r>
      <w:del w:id="333" w:author="svcMRProcess" w:date="2018-08-28T11:45:00Z">
        <w:r>
          <w:rPr>
            <w:snapToGrid w:val="0"/>
          </w:rPr>
          <w:delText xml:space="preserve"> a</w:delText>
        </w:r>
      </w:del>
      <w:r>
        <w:rPr>
          <w:snapToGrid w:val="0"/>
        </w:rPr>
        <w:t xml:space="preserve"> declaration or proposal to destroy</w:t>
      </w:r>
      <w:bookmarkEnd w:id="330"/>
      <w:bookmarkEnd w:id="331"/>
      <w:bookmarkEnd w:id="332"/>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by No. 24 of 1996 s. 10; amended by No. 10 of 1998 s. 29(1); No. 55 of 2004 s. 262; No. 18 of 2013 s. 38.] </w:t>
      </w:r>
    </w:p>
    <w:p>
      <w:pPr>
        <w:pStyle w:val="Heading5"/>
        <w:spacing w:before="240"/>
        <w:rPr>
          <w:snapToGrid w:val="0"/>
        </w:rPr>
      </w:pPr>
      <w:bookmarkStart w:id="334" w:name="_Toc392765356"/>
      <w:bookmarkStart w:id="335" w:name="_Toc416683091"/>
      <w:bookmarkStart w:id="336" w:name="_Toc375130885"/>
      <w:r>
        <w:rPr>
          <w:rStyle w:val="CharSectno"/>
        </w:rPr>
        <w:t>33I</w:t>
      </w:r>
      <w:r>
        <w:rPr>
          <w:snapToGrid w:val="0"/>
        </w:rPr>
        <w:t>.</w:t>
      </w:r>
      <w:r>
        <w:rPr>
          <w:snapToGrid w:val="0"/>
        </w:rPr>
        <w:tab/>
        <w:t>Jurisdiction of State Administrative Tribunal</w:t>
      </w:r>
      <w:bookmarkEnd w:id="334"/>
      <w:bookmarkEnd w:id="335"/>
      <w:bookmarkEnd w:id="336"/>
      <w:del w:id="337" w:author="svcMRProcess" w:date="2018-08-28T11:45:00Z">
        <w:r>
          <w:rPr>
            <w:snapToGrid w:val="0"/>
          </w:rPr>
          <w:delText xml:space="preserve"> </w:delText>
        </w:r>
      </w:del>
    </w:p>
    <w:p>
      <w:pPr>
        <w:pStyle w:val="Subsection"/>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rPr>
          <w:ins w:id="338" w:author="svcMRProcess" w:date="2018-08-28T11:45:00Z"/>
        </w:rPr>
      </w:pPr>
      <w:ins w:id="339" w:author="svcMRProcess" w:date="2018-08-28T11:45:00Z">
        <w:r>
          <w:tab/>
        </w:r>
        <w:r>
          <w:tab/>
          <w:t>or</w:t>
        </w:r>
      </w:ins>
    </w:p>
    <w:p>
      <w:pPr>
        <w:pStyle w:val="Indenta"/>
        <w:spacing w:before="100"/>
      </w:pPr>
      <w:r>
        <w:tab/>
        <w:t>(b)</w:t>
      </w:r>
      <w:r>
        <w:tab/>
        <w:t>the declaration under section 33E of a dog as a dangerous dog (declared), where no objection is lodged with the local government, where the owner elects to proceed under section 33F(2)(b)(ii) directly;</w:t>
      </w:r>
      <w:ins w:id="340" w:author="svcMRProcess" w:date="2018-08-28T11:45:00Z">
        <w:r>
          <w:t xml:space="preserve"> or</w:t>
        </w:r>
      </w:ins>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No. 18 of 2013 s. 39.] </w:t>
      </w:r>
    </w:p>
    <w:p>
      <w:pPr>
        <w:pStyle w:val="Heading5"/>
        <w:rPr>
          <w:snapToGrid w:val="0"/>
        </w:rPr>
      </w:pPr>
      <w:bookmarkStart w:id="341" w:name="_Toc392765357"/>
      <w:bookmarkStart w:id="342" w:name="_Toc416683092"/>
      <w:bookmarkStart w:id="343" w:name="_Toc375130886"/>
      <w:r>
        <w:rPr>
          <w:rStyle w:val="CharSectno"/>
        </w:rPr>
        <w:t>33J</w:t>
      </w:r>
      <w:r>
        <w:rPr>
          <w:snapToGrid w:val="0"/>
        </w:rPr>
        <w:t>.</w:t>
      </w:r>
      <w:r>
        <w:rPr>
          <w:snapToGrid w:val="0"/>
        </w:rPr>
        <w:tab/>
        <w:t xml:space="preserve">Duration of </w:t>
      </w:r>
      <w:del w:id="344" w:author="svcMRProcess" w:date="2018-08-28T11:45:00Z">
        <w:r>
          <w:rPr>
            <w:snapToGrid w:val="0"/>
          </w:rPr>
          <w:delText xml:space="preserve">a </w:delText>
        </w:r>
      </w:del>
      <w:r>
        <w:rPr>
          <w:snapToGrid w:val="0"/>
        </w:rPr>
        <w:t>declaration</w:t>
      </w:r>
      <w:bookmarkEnd w:id="341"/>
      <w:bookmarkEnd w:id="342"/>
      <w:bookmarkEnd w:id="343"/>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Ednotepara"/>
        <w:rPr>
          <w:del w:id="345" w:author="svcMRProcess" w:date="2018-08-28T11:45:00Z"/>
        </w:rPr>
      </w:pPr>
      <w:del w:id="346" w:author="svcMRProcess" w:date="2018-08-28T11:45:00Z">
        <w:r>
          <w:tab/>
          <w:delText>[(d)</w:delText>
        </w:r>
        <w:r>
          <w:tab/>
          <w:delText>deleted]</w:delText>
        </w:r>
      </w:del>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No. 8 of 2009 s. 47(3); No. 18 of 2013 s. 40.] </w:t>
      </w:r>
    </w:p>
    <w:p>
      <w:pPr>
        <w:pStyle w:val="Heading5"/>
        <w:rPr>
          <w:snapToGrid w:val="0"/>
        </w:rPr>
      </w:pPr>
      <w:bookmarkStart w:id="347" w:name="_Toc392765358"/>
      <w:bookmarkStart w:id="348" w:name="_Toc416683093"/>
      <w:bookmarkStart w:id="349" w:name="_Toc375130887"/>
      <w:r>
        <w:rPr>
          <w:rStyle w:val="CharSectno"/>
        </w:rPr>
        <w:t>33K</w:t>
      </w:r>
      <w:r>
        <w:rPr>
          <w:snapToGrid w:val="0"/>
        </w:rPr>
        <w:t>.</w:t>
      </w:r>
      <w:r>
        <w:rPr>
          <w:snapToGrid w:val="0"/>
        </w:rPr>
        <w:tab/>
        <w:t>Duty to notify persons</w:t>
      </w:r>
      <w:bookmarkEnd w:id="347"/>
      <w:bookmarkEnd w:id="348"/>
      <w:bookmarkEnd w:id="349"/>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by No. 24 of 1996 s. 10; amended by No. 10 of 1998 s. 29(1); No. 18 of 2013 s. 41.] </w:t>
      </w:r>
    </w:p>
    <w:p>
      <w:pPr>
        <w:pStyle w:val="Heading5"/>
        <w:spacing w:before="240"/>
      </w:pPr>
      <w:bookmarkStart w:id="350" w:name="_Toc392765359"/>
      <w:bookmarkStart w:id="351" w:name="_Toc416683094"/>
      <w:bookmarkStart w:id="352" w:name="_Toc375130888"/>
      <w:r>
        <w:rPr>
          <w:rStyle w:val="CharSectno"/>
        </w:rPr>
        <w:t>33L</w:t>
      </w:r>
      <w:r>
        <w:t>.</w:t>
      </w:r>
      <w:r>
        <w:tab/>
        <w:t>Defences applicable to this Division</w:t>
      </w:r>
      <w:bookmarkEnd w:id="350"/>
      <w:bookmarkEnd w:id="351"/>
      <w:bookmarkEnd w:id="352"/>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by No. 18 of 2013 s. 42.] </w:t>
      </w:r>
    </w:p>
    <w:p>
      <w:pPr>
        <w:pStyle w:val="Heading5"/>
        <w:spacing w:before="240"/>
        <w:rPr>
          <w:snapToGrid w:val="0"/>
        </w:rPr>
      </w:pPr>
      <w:bookmarkStart w:id="353" w:name="_Toc392765360"/>
      <w:bookmarkStart w:id="354" w:name="_Toc416683095"/>
      <w:bookmarkStart w:id="355" w:name="_Toc375130889"/>
      <w:r>
        <w:rPr>
          <w:rStyle w:val="CharSectno"/>
        </w:rPr>
        <w:t>33M</w:t>
      </w:r>
      <w:r>
        <w:rPr>
          <w:snapToGrid w:val="0"/>
        </w:rPr>
        <w:t>.</w:t>
      </w:r>
      <w:r>
        <w:rPr>
          <w:snapToGrid w:val="0"/>
        </w:rPr>
        <w:tab/>
        <w:t>Local government expenses to be recoverable</w:t>
      </w:r>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by No. 24 of 1996 s. 10; amended by No. 10 of 1998 s. 29(1); No. 18 of 2013 s. 43.] </w:t>
      </w:r>
    </w:p>
    <w:p>
      <w:pPr>
        <w:pStyle w:val="Heading3"/>
        <w:keepNext w:val="0"/>
        <w:widowControl w:val="0"/>
        <w:rPr>
          <w:snapToGrid w:val="0"/>
          <w:sz w:val="24"/>
        </w:rPr>
      </w:pPr>
      <w:bookmarkStart w:id="356" w:name="_Toc390078445"/>
      <w:bookmarkStart w:id="357" w:name="_Toc390086646"/>
      <w:bookmarkStart w:id="358" w:name="_Toc392576291"/>
      <w:bookmarkStart w:id="359" w:name="_Toc392765361"/>
      <w:bookmarkStart w:id="360" w:name="_Toc416682987"/>
      <w:bookmarkStart w:id="361" w:name="_Toc416683096"/>
      <w:bookmarkStart w:id="362" w:name="_Toc375130670"/>
      <w:bookmarkStart w:id="363" w:name="_Toc375130780"/>
      <w:bookmarkStart w:id="364" w:name="_Toc375130890"/>
      <w:r>
        <w:rPr>
          <w:rStyle w:val="CharDivNo"/>
        </w:rPr>
        <w:t>Division 3</w:t>
      </w:r>
      <w:r>
        <w:rPr>
          <w:snapToGrid w:val="0"/>
        </w:rPr>
        <w:t> — </w:t>
      </w:r>
      <w:r>
        <w:rPr>
          <w:rStyle w:val="CharDivText"/>
        </w:rPr>
        <w:t>Protection of stock; vermin disease and parasite control</w:t>
      </w:r>
      <w:bookmarkEnd w:id="356"/>
      <w:bookmarkEnd w:id="357"/>
      <w:bookmarkEnd w:id="358"/>
      <w:bookmarkEnd w:id="359"/>
      <w:bookmarkEnd w:id="360"/>
      <w:bookmarkEnd w:id="361"/>
      <w:bookmarkEnd w:id="362"/>
      <w:bookmarkEnd w:id="363"/>
      <w:bookmarkEnd w:id="364"/>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spacing w:before="240"/>
        <w:rPr>
          <w:snapToGrid w:val="0"/>
        </w:rPr>
      </w:pPr>
      <w:bookmarkStart w:id="365" w:name="_Toc392765362"/>
      <w:bookmarkStart w:id="366" w:name="_Toc416683097"/>
      <w:bookmarkStart w:id="367" w:name="_Toc375130891"/>
      <w:r>
        <w:rPr>
          <w:rStyle w:val="CharSectno"/>
        </w:rPr>
        <w:t>34</w:t>
      </w:r>
      <w:r>
        <w:rPr>
          <w:snapToGrid w:val="0"/>
        </w:rPr>
        <w:t>.</w:t>
      </w:r>
      <w:r>
        <w:rPr>
          <w:snapToGrid w:val="0"/>
        </w:rPr>
        <w:tab/>
        <w:t>Protection of livestock</w:t>
      </w:r>
      <w:bookmarkEnd w:id="365"/>
      <w:bookmarkEnd w:id="366"/>
      <w:bookmarkEnd w:id="367"/>
      <w:r>
        <w:rPr>
          <w:snapToGrid w:val="0"/>
        </w:rPr>
        <w:t xml:space="preserve"> </w:t>
      </w:r>
    </w:p>
    <w:p>
      <w:pPr>
        <w:pStyle w:val="Subsection"/>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del w:id="368" w:author="svcMRProcess" w:date="2018-08-28T11:45:00Z">
        <w:r>
          <w:rPr>
            <w:snapToGrid w:val="0"/>
          </w:rPr>
          <w:delText>“</w:delText>
        </w:r>
      </w:del>
      <w:r>
        <w:rPr>
          <w:b/>
          <w:i/>
          <w:snapToGrid w:val="0"/>
        </w:rPr>
        <w:t>person liable for the control of the dog</w:t>
      </w:r>
      <w:del w:id="369" w:author="svcMRProcess" w:date="2018-08-28T11:45:00Z">
        <w:r>
          <w:rPr>
            <w:snapToGrid w:val="0"/>
          </w:rPr>
          <w:delText>”</w:delText>
        </w:r>
      </w:del>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 xml:space="preserve">the poison is not laid within 20 </w:t>
      </w:r>
      <w:del w:id="370" w:author="svcMRProcess" w:date="2018-08-28T11:45:00Z">
        <w:r>
          <w:delText>metres</w:delText>
        </w:r>
      </w:del>
      <w:ins w:id="371" w:author="svcMRProcess" w:date="2018-08-28T11:45:00Z">
        <w:r>
          <w:t>m</w:t>
        </w:r>
      </w:ins>
      <w:r>
        <w:t xml:space="preserve"> of any road, reserve or public place;</w:t>
      </w:r>
      <w:ins w:id="372" w:author="svcMRProcess" w:date="2018-08-28T11:45:00Z">
        <w:r>
          <w:t xml:space="preserve"> and</w:t>
        </w:r>
      </w:ins>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by No. 23 of 1987 s. 28; No. 24 of 1996 s. 16; No. 18 of 2013 s. 44.] </w:t>
      </w:r>
    </w:p>
    <w:p>
      <w:pPr>
        <w:pStyle w:val="Heading5"/>
        <w:spacing w:before="240"/>
        <w:rPr>
          <w:snapToGrid w:val="0"/>
        </w:rPr>
      </w:pPr>
      <w:bookmarkStart w:id="373" w:name="_Toc392765363"/>
      <w:bookmarkStart w:id="374" w:name="_Toc416683098"/>
      <w:bookmarkStart w:id="375" w:name="_Toc375130892"/>
      <w:r>
        <w:rPr>
          <w:rStyle w:val="CharSectno"/>
        </w:rPr>
        <w:t>35</w:t>
      </w:r>
      <w:r>
        <w:rPr>
          <w:snapToGrid w:val="0"/>
        </w:rPr>
        <w:t>.</w:t>
      </w:r>
      <w:r>
        <w:rPr>
          <w:snapToGrid w:val="0"/>
        </w:rPr>
        <w:tab/>
        <w:t>Destruction of vermin</w:t>
      </w:r>
      <w:del w:id="376" w:author="svcMRProcess" w:date="2018-08-28T11:45:00Z">
        <w:r>
          <w:rPr>
            <w:snapToGrid w:val="0"/>
          </w:rPr>
          <w:delText>,</w:delText>
        </w:r>
      </w:del>
      <w:r>
        <w:rPr>
          <w:snapToGrid w:val="0"/>
        </w:rPr>
        <w:t xml:space="preserve"> etc.</w:t>
      </w:r>
      <w:bookmarkEnd w:id="373"/>
      <w:bookmarkEnd w:id="374"/>
      <w:bookmarkEnd w:id="375"/>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pageBreakBefore/>
        <w:spacing w:before="120"/>
        <w:ind w:left="890" w:hanging="890"/>
      </w:pPr>
      <w:r>
        <w:t>[</w:t>
      </w:r>
      <w:r>
        <w:rPr>
          <w:b/>
        </w:rPr>
        <w:t>36.</w:t>
      </w:r>
      <w:r>
        <w:tab/>
        <w:t>Deleted by No. 18 of 2013 s. 45.]</w:t>
      </w:r>
    </w:p>
    <w:p>
      <w:pPr>
        <w:pStyle w:val="Ednotesection"/>
        <w:spacing w:before="240"/>
        <w:ind w:left="890" w:hanging="890"/>
      </w:pPr>
      <w:r>
        <w:t>[</w:t>
      </w:r>
      <w:r>
        <w:rPr>
          <w:b/>
        </w:rPr>
        <w:t>37.</w:t>
      </w:r>
      <w:r>
        <w:rPr>
          <w:b/>
        </w:rPr>
        <w:tab/>
      </w:r>
      <w:r>
        <w:t xml:space="preserve">Deleted by No. 23 of 1987 s. 30.] </w:t>
      </w:r>
    </w:p>
    <w:p>
      <w:pPr>
        <w:pStyle w:val="Heading3"/>
        <w:keepLines/>
        <w:rPr>
          <w:snapToGrid w:val="0"/>
        </w:rPr>
      </w:pPr>
      <w:bookmarkStart w:id="377" w:name="_Toc390078448"/>
      <w:bookmarkStart w:id="378" w:name="_Toc390086649"/>
      <w:bookmarkStart w:id="379" w:name="_Toc392576294"/>
      <w:bookmarkStart w:id="380" w:name="_Toc392765364"/>
      <w:bookmarkStart w:id="381" w:name="_Toc416682990"/>
      <w:bookmarkStart w:id="382" w:name="_Toc416683099"/>
      <w:bookmarkStart w:id="383" w:name="_Toc375130673"/>
      <w:bookmarkStart w:id="384" w:name="_Toc375130783"/>
      <w:bookmarkStart w:id="385" w:name="_Toc375130893"/>
      <w:r>
        <w:rPr>
          <w:rStyle w:val="CharDivNo"/>
        </w:rPr>
        <w:t>Division 4</w:t>
      </w:r>
      <w:r>
        <w:rPr>
          <w:snapToGrid w:val="0"/>
        </w:rPr>
        <w:t> — </w:t>
      </w:r>
      <w:r>
        <w:rPr>
          <w:rStyle w:val="CharDivText"/>
        </w:rPr>
        <w:t>Control of nuisance</w:t>
      </w:r>
      <w:bookmarkEnd w:id="377"/>
      <w:bookmarkEnd w:id="378"/>
      <w:bookmarkEnd w:id="379"/>
      <w:bookmarkEnd w:id="380"/>
      <w:bookmarkEnd w:id="381"/>
      <w:bookmarkEnd w:id="382"/>
      <w:bookmarkEnd w:id="383"/>
      <w:bookmarkEnd w:id="384"/>
      <w:bookmarkEnd w:id="385"/>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pPr>
      <w:bookmarkStart w:id="386" w:name="_Toc392765365"/>
      <w:bookmarkStart w:id="387" w:name="_Toc416683100"/>
      <w:bookmarkStart w:id="388" w:name="_Toc375130894"/>
      <w:r>
        <w:rPr>
          <w:rStyle w:val="CharSectno"/>
        </w:rPr>
        <w:t>38</w:t>
      </w:r>
      <w:r>
        <w:t>.</w:t>
      </w:r>
      <w:r>
        <w:tab/>
        <w:t>Nuisance dogs</w:t>
      </w:r>
      <w:bookmarkEnd w:id="386"/>
      <w:bookmarkEnd w:id="387"/>
      <w:bookmarkEnd w:id="388"/>
    </w:p>
    <w:p>
      <w:pPr>
        <w:pStyle w:val="Subsection"/>
      </w:pPr>
      <w:r>
        <w:tab/>
        <w:t>(1)</w:t>
      </w:r>
      <w:r>
        <w:tab/>
        <w:t xml:space="preserve">For the purposes of this section, a dog is a nuisance if the dog — </w:t>
      </w:r>
    </w:p>
    <w:p>
      <w:pPr>
        <w:pStyle w:val="Indenta"/>
      </w:pPr>
      <w:r>
        <w:tab/>
        <w:t>(a)</w:t>
      </w:r>
      <w:r>
        <w:tab/>
        <w:t>makes a noise, by barking or otherwise, that persistently occurs or continues to such a degree or extent that it unreasonably interferes with the peace, comfort or convenience of any person in any place; or</w:t>
      </w:r>
    </w:p>
    <w:p>
      <w:pPr>
        <w:pStyle w:val="Indenta"/>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pPr>
      <w:r>
        <w:tab/>
        <w:t>(5)</w:t>
      </w:r>
      <w:r>
        <w:tab/>
        <w:t>A person to whom an order is issued must comply with the order during the period in which it has effect.</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by No. 18 of 2013 s. 46.] </w:t>
      </w:r>
    </w:p>
    <w:p>
      <w:pPr>
        <w:pStyle w:val="Heading2"/>
      </w:pPr>
      <w:bookmarkStart w:id="389" w:name="_Toc390078450"/>
      <w:bookmarkStart w:id="390" w:name="_Toc390086651"/>
      <w:bookmarkStart w:id="391" w:name="_Toc392576296"/>
      <w:bookmarkStart w:id="392" w:name="_Toc392765366"/>
      <w:bookmarkStart w:id="393" w:name="_Toc416682992"/>
      <w:bookmarkStart w:id="394" w:name="_Toc416683101"/>
      <w:bookmarkStart w:id="395" w:name="_Toc375130675"/>
      <w:bookmarkStart w:id="396" w:name="_Toc375130785"/>
      <w:bookmarkStart w:id="397" w:name="_Toc375130895"/>
      <w:r>
        <w:rPr>
          <w:rStyle w:val="CharPartNo"/>
        </w:rPr>
        <w:t>Part VII</w:t>
      </w:r>
      <w:r>
        <w:rPr>
          <w:rStyle w:val="CharDivNo"/>
        </w:rPr>
        <w:t> </w:t>
      </w:r>
      <w:r>
        <w:t>—</w:t>
      </w:r>
      <w:r>
        <w:rPr>
          <w:rStyle w:val="CharDivText"/>
        </w:rPr>
        <w:t> </w:t>
      </w:r>
      <w:r>
        <w:rPr>
          <w:rStyle w:val="CharPartText"/>
        </w:rPr>
        <w:t>Enforcement</w:t>
      </w:r>
      <w:bookmarkEnd w:id="389"/>
      <w:bookmarkEnd w:id="390"/>
      <w:bookmarkEnd w:id="391"/>
      <w:bookmarkEnd w:id="392"/>
      <w:bookmarkEnd w:id="393"/>
      <w:bookmarkEnd w:id="394"/>
      <w:bookmarkEnd w:id="395"/>
      <w:bookmarkEnd w:id="396"/>
      <w:bookmarkEnd w:id="397"/>
      <w:r>
        <w:rPr>
          <w:rStyle w:val="CharPartText"/>
        </w:rPr>
        <w:t xml:space="preserve"> </w:t>
      </w:r>
    </w:p>
    <w:p>
      <w:pPr>
        <w:pStyle w:val="Heading5"/>
        <w:rPr>
          <w:snapToGrid w:val="0"/>
        </w:rPr>
      </w:pPr>
      <w:bookmarkStart w:id="398" w:name="_Toc392765367"/>
      <w:bookmarkStart w:id="399" w:name="_Toc416683102"/>
      <w:bookmarkStart w:id="400" w:name="_Toc375130896"/>
      <w:r>
        <w:rPr>
          <w:rStyle w:val="CharSectno"/>
        </w:rPr>
        <w:t>39</w:t>
      </w:r>
      <w:r>
        <w:rPr>
          <w:snapToGrid w:val="0"/>
        </w:rPr>
        <w:t>.</w:t>
      </w:r>
      <w:r>
        <w:rPr>
          <w:snapToGrid w:val="0"/>
        </w:rPr>
        <w:tab/>
        <w:t>Dogs causing injury or damage may be destroyed</w:t>
      </w:r>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No. 18 of 2013 s. 47.] </w:t>
      </w:r>
    </w:p>
    <w:p>
      <w:pPr>
        <w:pStyle w:val="Heading5"/>
        <w:rPr>
          <w:snapToGrid w:val="0"/>
        </w:rPr>
      </w:pPr>
      <w:bookmarkStart w:id="401" w:name="_Toc392765368"/>
      <w:bookmarkStart w:id="402" w:name="_Toc416683103"/>
      <w:bookmarkStart w:id="403" w:name="_Toc375130897"/>
      <w:r>
        <w:rPr>
          <w:rStyle w:val="CharSectno"/>
        </w:rPr>
        <w:t>40</w:t>
      </w:r>
      <w:r>
        <w:rPr>
          <w:snapToGrid w:val="0"/>
        </w:rPr>
        <w:t>.</w:t>
      </w:r>
      <w:r>
        <w:rPr>
          <w:snapToGrid w:val="0"/>
        </w:rPr>
        <w:tab/>
        <w:t>Destruction of dogs</w:t>
      </w:r>
      <w:del w:id="404" w:author="svcMRProcess" w:date="2018-08-28T11:45:00Z">
        <w:r>
          <w:rPr>
            <w:snapToGrid w:val="0"/>
          </w:rPr>
          <w:delText>,</w:delText>
        </w:r>
      </w:del>
      <w:r>
        <w:rPr>
          <w:snapToGrid w:val="0"/>
        </w:rPr>
        <w:t xml:space="preserve"> etc.</w:t>
      </w:r>
      <w:bookmarkEnd w:id="401"/>
      <w:bookmarkEnd w:id="402"/>
      <w:bookmarkEnd w:id="403"/>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ins w:id="405" w:author="svcMRProcess" w:date="2018-08-28T11:45:00Z">
        <w:r>
          <w:t xml:space="preserve"> and</w:t>
        </w:r>
      </w:ins>
    </w:p>
    <w:p>
      <w:pPr>
        <w:pStyle w:val="Indenta"/>
      </w:pPr>
      <w:r>
        <w:tab/>
        <w:t>(b)</w:t>
      </w:r>
      <w:r>
        <w:tab/>
        <w:t>provide that the order shall be remitted in specified circumstances;</w:t>
      </w:r>
      <w:ins w:id="406" w:author="svcMRProcess" w:date="2018-08-28T11:45:00Z">
        <w:r>
          <w:t xml:space="preserve"> and</w:t>
        </w:r>
      </w:ins>
    </w:p>
    <w:p>
      <w:pPr>
        <w:pStyle w:val="Indenta"/>
      </w:pPr>
      <w:r>
        <w:tab/>
        <w:t>(c)</w:t>
      </w:r>
      <w:r>
        <w:tab/>
        <w:t>order the seizure and detention of the dog, whether or not an order is made for the destruction of the dog;</w:t>
      </w:r>
      <w:ins w:id="407" w:author="svcMRProcess" w:date="2018-08-28T11:45:00Z">
        <w:r>
          <w:t xml:space="preserve"> and</w:t>
        </w:r>
      </w:ins>
    </w:p>
    <w:p>
      <w:pPr>
        <w:pStyle w:val="Indenta"/>
      </w:pPr>
      <w:r>
        <w:tab/>
        <w:t>(d)</w:t>
      </w:r>
      <w:r>
        <w:tab/>
        <w:t>make an order requiring that the dog be controlled, or be controlled in a specified manner;</w:t>
      </w:r>
      <w:ins w:id="408" w:author="svcMRProcess" w:date="2018-08-28T11:45:00Z">
        <w:r>
          <w:t xml:space="preserve"> and</w:t>
        </w:r>
      </w:ins>
    </w:p>
    <w:p>
      <w:pPr>
        <w:pStyle w:val="Indenta"/>
      </w:pPr>
      <w:r>
        <w:tab/>
        <w:t>(e)</w:t>
      </w:r>
      <w:r>
        <w:tab/>
        <w:t>make an order requiring that the dog be disposed of, or be disposed of in a specified manner;</w:t>
      </w:r>
      <w:ins w:id="409" w:author="svcMRProcess" w:date="2018-08-28T11:45:00Z">
        <w:r>
          <w:t xml:space="preserve"> and</w:t>
        </w:r>
      </w:ins>
    </w:p>
    <w:p>
      <w:pPr>
        <w:pStyle w:val="Indenta"/>
      </w:pPr>
      <w:r>
        <w:tab/>
        <w:t>(ea)</w:t>
      </w:r>
      <w:r>
        <w:tab/>
        <w:t>where the dog has been detained under section 29(5b) or an order is made under paragraph (c), make any order it thinks fit as to the payment of any cost, charge or fee of a kind referred to in section 29(4);</w:t>
      </w:r>
      <w:ins w:id="410" w:author="svcMRProcess" w:date="2018-08-28T11:45:00Z">
        <w:r>
          <w:t xml:space="preserve"> and</w:t>
        </w:r>
      </w:ins>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ins w:id="411" w:author="svcMRProcess" w:date="2018-08-28T11:45:00Z">
        <w:r>
          <w:t xml:space="preserve"> and</w:t>
        </w:r>
      </w:ins>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spacing w:before="120"/>
        <w:rPr>
          <w:snapToGrid w:val="0"/>
        </w:rPr>
      </w:pPr>
      <w:bookmarkStart w:id="412" w:name="_Toc392765369"/>
      <w:bookmarkStart w:id="413" w:name="_Toc416683104"/>
      <w:bookmarkStart w:id="414" w:name="_Toc375130898"/>
      <w:r>
        <w:rPr>
          <w:rStyle w:val="CharSectno"/>
        </w:rPr>
        <w:t>41</w:t>
      </w:r>
      <w:r>
        <w:rPr>
          <w:snapToGrid w:val="0"/>
        </w:rPr>
        <w:t>.</w:t>
      </w:r>
      <w:r>
        <w:rPr>
          <w:snapToGrid w:val="0"/>
        </w:rPr>
        <w:tab/>
        <w:t>Indemnity as to destruction of dogs</w:t>
      </w:r>
      <w:bookmarkEnd w:id="412"/>
      <w:bookmarkEnd w:id="413"/>
      <w:bookmarkEnd w:id="414"/>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by No. 23 of 1987 s. 33.] </w:t>
      </w:r>
    </w:p>
    <w:p>
      <w:pPr>
        <w:pStyle w:val="Heading5"/>
        <w:spacing w:before="240"/>
        <w:rPr>
          <w:snapToGrid w:val="0"/>
        </w:rPr>
      </w:pPr>
      <w:bookmarkStart w:id="415" w:name="_Toc392765370"/>
      <w:bookmarkStart w:id="416" w:name="_Toc416683105"/>
      <w:bookmarkStart w:id="417" w:name="_Toc375130899"/>
      <w:r>
        <w:rPr>
          <w:rStyle w:val="CharSectno"/>
        </w:rPr>
        <w:t>43</w:t>
      </w:r>
      <w:r>
        <w:rPr>
          <w:snapToGrid w:val="0"/>
        </w:rPr>
        <w:t>.</w:t>
      </w:r>
      <w:r>
        <w:rPr>
          <w:snapToGrid w:val="0"/>
        </w:rPr>
        <w:tab/>
        <w:t>Offences relating to enforcement</w:t>
      </w:r>
      <w:del w:id="418" w:author="svcMRProcess" w:date="2018-08-28T11:45:00Z">
        <w:r>
          <w:rPr>
            <w:snapToGrid w:val="0"/>
          </w:rPr>
          <w:delText>,</w:delText>
        </w:r>
      </w:del>
      <w:r>
        <w:rPr>
          <w:snapToGrid w:val="0"/>
        </w:rPr>
        <w:t xml:space="preserve"> etc.</w:t>
      </w:r>
      <w:bookmarkEnd w:id="415"/>
      <w:bookmarkEnd w:id="416"/>
      <w:bookmarkEnd w:id="417"/>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ins w:id="419" w:author="svcMRProcess" w:date="2018-08-28T11:45:00Z">
        <w:r>
          <w:t xml:space="preserve"> or</w:t>
        </w:r>
      </w:ins>
    </w:p>
    <w:p>
      <w:pPr>
        <w:pStyle w:val="Indenta"/>
      </w:pPr>
      <w:r>
        <w:tab/>
        <w:t>(b)</w:t>
      </w:r>
      <w:r>
        <w:tab/>
        <w:t>impedes, delays or in any way obstructs a person authorised under this Act in the exercise of his powers or the carrying out of his duties under this Act;</w:t>
      </w:r>
      <w:ins w:id="420" w:author="svcMRProcess" w:date="2018-08-28T11:45:00Z">
        <w:r>
          <w:t xml:space="preserve"> or</w:t>
        </w:r>
      </w:ins>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No. 18 of 2013 s. 48.] </w:t>
      </w:r>
    </w:p>
    <w:p>
      <w:pPr>
        <w:pStyle w:val="Heading5"/>
        <w:rPr>
          <w:snapToGrid w:val="0"/>
        </w:rPr>
      </w:pPr>
      <w:bookmarkStart w:id="421" w:name="_Toc392765371"/>
      <w:bookmarkStart w:id="422" w:name="_Toc416683106"/>
      <w:bookmarkStart w:id="423" w:name="_Toc375130900"/>
      <w:r>
        <w:rPr>
          <w:rStyle w:val="CharSectno"/>
        </w:rPr>
        <w:t>43A</w:t>
      </w:r>
      <w:r>
        <w:rPr>
          <w:snapToGrid w:val="0"/>
        </w:rPr>
        <w:t>.</w:t>
      </w:r>
      <w:r>
        <w:rPr>
          <w:snapToGrid w:val="0"/>
        </w:rPr>
        <w:tab/>
        <w:t>Name and address to be supplied</w:t>
      </w:r>
      <w:bookmarkEnd w:id="421"/>
      <w:bookmarkEnd w:id="422"/>
      <w:bookmarkEnd w:id="423"/>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spacing w:before="100"/>
        <w:ind w:left="890" w:hanging="890"/>
      </w:pPr>
      <w:r>
        <w:tab/>
        <w:t xml:space="preserve">[Section 43A inserted by No. 23 of 1987 s. 35; amended by No. 24 of 1996 s. 16; No. 18 of 2013 s. 49.] </w:t>
      </w:r>
    </w:p>
    <w:p>
      <w:pPr>
        <w:pStyle w:val="Heading5"/>
        <w:spacing w:before="200"/>
        <w:rPr>
          <w:snapToGrid w:val="0"/>
        </w:rPr>
      </w:pPr>
      <w:bookmarkStart w:id="424" w:name="_Toc392765372"/>
      <w:bookmarkStart w:id="425" w:name="_Toc416683107"/>
      <w:bookmarkStart w:id="426" w:name="_Toc375130901"/>
      <w:r>
        <w:rPr>
          <w:rStyle w:val="CharSectno"/>
        </w:rPr>
        <w:t>44</w:t>
      </w:r>
      <w:r>
        <w:rPr>
          <w:snapToGrid w:val="0"/>
        </w:rPr>
        <w:t>.</w:t>
      </w:r>
      <w:r>
        <w:rPr>
          <w:snapToGrid w:val="0"/>
        </w:rPr>
        <w:tab/>
        <w:t>Enforcement proceedings</w:t>
      </w:r>
      <w:bookmarkEnd w:id="424"/>
      <w:bookmarkEnd w:id="425"/>
      <w:bookmarkEnd w:id="426"/>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w:t>
      </w:r>
      <w:ins w:id="427" w:author="svcMRProcess" w:date="2018-08-28T11:45:00Z">
        <w:r>
          <w:t xml:space="preserve"> or</w:t>
        </w:r>
      </w:ins>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by No. 14 of 1996 s. 4; No. 59 of 2004 s. 141; No. 18 of 2013 s. 50.] </w:t>
      </w:r>
    </w:p>
    <w:p>
      <w:pPr>
        <w:pStyle w:val="Heading5"/>
        <w:keepNext w:val="0"/>
        <w:keepLines w:val="0"/>
        <w:pageBreakBefore/>
        <w:widowControl w:val="0"/>
        <w:spacing w:before="0"/>
        <w:rPr>
          <w:snapToGrid w:val="0"/>
        </w:rPr>
      </w:pPr>
      <w:bookmarkStart w:id="428" w:name="_Toc392765373"/>
      <w:bookmarkStart w:id="429" w:name="_Toc416683108"/>
      <w:bookmarkStart w:id="430" w:name="_Toc375130902"/>
      <w:r>
        <w:rPr>
          <w:rStyle w:val="CharSectno"/>
        </w:rPr>
        <w:t>45</w:t>
      </w:r>
      <w:r>
        <w:rPr>
          <w:snapToGrid w:val="0"/>
        </w:rPr>
        <w:t>.</w:t>
      </w:r>
      <w:r>
        <w:rPr>
          <w:snapToGrid w:val="0"/>
        </w:rPr>
        <w:tab/>
        <w:t>Evidentiary provisions</w:t>
      </w:r>
      <w:bookmarkEnd w:id="428"/>
      <w:bookmarkEnd w:id="429"/>
      <w:bookmarkEnd w:id="430"/>
      <w:r>
        <w:rPr>
          <w:snapToGrid w:val="0"/>
        </w:rPr>
        <w:t xml:space="preserve"> </w:t>
      </w:r>
    </w:p>
    <w:p>
      <w:pPr>
        <w:pStyle w:val="Subsection"/>
      </w:pPr>
      <w:r>
        <w:tab/>
        <w:t>(1)</w:t>
      </w:r>
      <w:r>
        <w:tab/>
        <w:t xml:space="preserve">In any proceeding for an offence against this Act in relation to a specified dog — </w:t>
      </w:r>
    </w:p>
    <w:p>
      <w:pPr>
        <w:pStyle w:val="Indenta"/>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amended by No. 18 of 2013 s. 51.] </w:t>
      </w:r>
    </w:p>
    <w:p>
      <w:pPr>
        <w:pStyle w:val="Heading5"/>
        <w:rPr>
          <w:snapToGrid w:val="0"/>
        </w:rPr>
      </w:pPr>
      <w:bookmarkStart w:id="431" w:name="_Toc392765374"/>
      <w:bookmarkStart w:id="432" w:name="_Toc416683109"/>
      <w:bookmarkStart w:id="433" w:name="_Toc375130903"/>
      <w:r>
        <w:rPr>
          <w:rStyle w:val="CharSectno"/>
        </w:rPr>
        <w:t>45A</w:t>
      </w:r>
      <w:r>
        <w:rPr>
          <w:snapToGrid w:val="0"/>
        </w:rPr>
        <w:t>.</w:t>
      </w:r>
      <w:r>
        <w:rPr>
          <w:snapToGrid w:val="0"/>
        </w:rPr>
        <w:tab/>
        <w:t>Modified penalties</w:t>
      </w:r>
      <w:bookmarkEnd w:id="431"/>
      <w:bookmarkEnd w:id="432"/>
      <w:bookmarkEnd w:id="433"/>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No. 18 of 2013 s. 52.] </w:t>
      </w:r>
    </w:p>
    <w:p>
      <w:pPr>
        <w:pStyle w:val="Heading5"/>
      </w:pPr>
      <w:bookmarkStart w:id="434" w:name="_Toc392765375"/>
      <w:bookmarkStart w:id="435" w:name="_Toc416683110"/>
      <w:bookmarkStart w:id="436" w:name="_Toc375130904"/>
      <w:r>
        <w:rPr>
          <w:rStyle w:val="CharSectno"/>
        </w:rPr>
        <w:t>46A</w:t>
      </w:r>
      <w:r>
        <w:t>.</w:t>
      </w:r>
      <w:r>
        <w:tab/>
        <w:t>Order to attend</w:t>
      </w:r>
      <w:del w:id="437" w:author="svcMRProcess" w:date="2018-08-28T11:45:00Z">
        <w:r>
          <w:delText xml:space="preserve"> a</w:delText>
        </w:r>
      </w:del>
      <w:r>
        <w:t xml:space="preserve"> dog training course, ban on owning or keeping dogs</w:t>
      </w:r>
      <w:bookmarkEnd w:id="434"/>
      <w:bookmarkEnd w:id="435"/>
      <w:bookmarkEnd w:id="436"/>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pPr>
      <w:r>
        <w:tab/>
        <w:t>(3)</w:t>
      </w:r>
      <w:r>
        <w:tab/>
        <w:t xml:space="preserve">A court that makes an order made under subsection (1) or (2) is to provide a copy of the order to — </w:t>
      </w:r>
    </w:p>
    <w:p>
      <w:pPr>
        <w:pStyle w:val="Indenta"/>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by No. 18 of 2013 s. 53.] </w:t>
      </w:r>
    </w:p>
    <w:p>
      <w:pPr>
        <w:pStyle w:val="Heading2"/>
      </w:pPr>
      <w:bookmarkStart w:id="438" w:name="_Toc390078460"/>
      <w:bookmarkStart w:id="439" w:name="_Toc390086661"/>
      <w:bookmarkStart w:id="440" w:name="_Toc392576306"/>
      <w:bookmarkStart w:id="441" w:name="_Toc392765376"/>
      <w:bookmarkStart w:id="442" w:name="_Toc416683002"/>
      <w:bookmarkStart w:id="443" w:name="_Toc416683111"/>
      <w:bookmarkStart w:id="444" w:name="_Toc375130685"/>
      <w:bookmarkStart w:id="445" w:name="_Toc375130795"/>
      <w:bookmarkStart w:id="446" w:name="_Toc375130905"/>
      <w:r>
        <w:rPr>
          <w:rStyle w:val="CharPartNo"/>
        </w:rPr>
        <w:t>Part VIII</w:t>
      </w:r>
      <w:r>
        <w:rPr>
          <w:rStyle w:val="CharDivNo"/>
        </w:rPr>
        <w:t> </w:t>
      </w:r>
      <w:r>
        <w:t>—</w:t>
      </w:r>
      <w:r>
        <w:rPr>
          <w:rStyle w:val="CharDivText"/>
        </w:rPr>
        <w:t> </w:t>
      </w:r>
      <w:r>
        <w:rPr>
          <w:rStyle w:val="CharPartText"/>
        </w:rPr>
        <w:t>Civil remedies, etc.</w:t>
      </w:r>
      <w:bookmarkEnd w:id="438"/>
      <w:bookmarkEnd w:id="439"/>
      <w:bookmarkEnd w:id="440"/>
      <w:bookmarkEnd w:id="441"/>
      <w:bookmarkEnd w:id="442"/>
      <w:bookmarkEnd w:id="443"/>
      <w:bookmarkEnd w:id="444"/>
      <w:bookmarkEnd w:id="445"/>
      <w:bookmarkEnd w:id="446"/>
      <w:r>
        <w:rPr>
          <w:rStyle w:val="CharPartText"/>
        </w:rPr>
        <w:t xml:space="preserve"> </w:t>
      </w:r>
    </w:p>
    <w:p>
      <w:pPr>
        <w:pStyle w:val="Heading5"/>
        <w:spacing w:before="260"/>
        <w:rPr>
          <w:snapToGrid w:val="0"/>
        </w:rPr>
      </w:pPr>
      <w:bookmarkStart w:id="447" w:name="_Toc392765377"/>
      <w:bookmarkStart w:id="448" w:name="_Toc416683112"/>
      <w:bookmarkStart w:id="449" w:name="_Toc375130906"/>
      <w:r>
        <w:rPr>
          <w:rStyle w:val="CharSectno"/>
        </w:rPr>
        <w:t>46</w:t>
      </w:r>
      <w:r>
        <w:rPr>
          <w:snapToGrid w:val="0"/>
        </w:rPr>
        <w:t>.</w:t>
      </w:r>
      <w:r>
        <w:rPr>
          <w:snapToGrid w:val="0"/>
        </w:rPr>
        <w:tab/>
        <w:t>Damages</w:t>
      </w:r>
      <w:bookmarkEnd w:id="447"/>
      <w:bookmarkEnd w:id="448"/>
      <w:bookmarkEnd w:id="449"/>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pPr>
      <w:bookmarkStart w:id="450" w:name="_Toc392765378"/>
      <w:bookmarkStart w:id="451" w:name="_Toc416683113"/>
      <w:bookmarkStart w:id="452" w:name="_Toc375130907"/>
      <w:r>
        <w:rPr>
          <w:rStyle w:val="CharSectno"/>
        </w:rPr>
        <w:t>47</w:t>
      </w:r>
      <w:r>
        <w:t>.</w:t>
      </w:r>
      <w:r>
        <w:tab/>
        <w:t>Veterinary service expenses recoverable from local government</w:t>
      </w:r>
      <w:bookmarkEnd w:id="450"/>
      <w:bookmarkEnd w:id="451"/>
      <w:bookmarkEnd w:id="452"/>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an authorised person appointed by the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by No. 18 of 2013 s. 54.] </w:t>
      </w:r>
    </w:p>
    <w:p>
      <w:pPr>
        <w:pStyle w:val="Heading2"/>
      </w:pPr>
      <w:bookmarkStart w:id="453" w:name="_Toc390078463"/>
      <w:bookmarkStart w:id="454" w:name="_Toc390086664"/>
      <w:bookmarkStart w:id="455" w:name="_Toc392576309"/>
      <w:bookmarkStart w:id="456" w:name="_Toc392765379"/>
      <w:bookmarkStart w:id="457" w:name="_Toc416683005"/>
      <w:bookmarkStart w:id="458" w:name="_Toc416683114"/>
      <w:bookmarkStart w:id="459" w:name="_Toc375130688"/>
      <w:bookmarkStart w:id="460" w:name="_Toc375130798"/>
      <w:bookmarkStart w:id="461" w:name="_Toc375130908"/>
      <w:r>
        <w:rPr>
          <w:rStyle w:val="CharPartNo"/>
        </w:rPr>
        <w:t>Part IX</w:t>
      </w:r>
      <w:r>
        <w:rPr>
          <w:rStyle w:val="CharDivNo"/>
        </w:rPr>
        <w:t> </w:t>
      </w:r>
      <w:r>
        <w:t>—</w:t>
      </w:r>
      <w:r>
        <w:rPr>
          <w:rStyle w:val="CharDivText"/>
        </w:rPr>
        <w:t> </w:t>
      </w:r>
      <w:r>
        <w:rPr>
          <w:rStyle w:val="CharPartText"/>
        </w:rPr>
        <w:t>Local laws</w:t>
      </w:r>
      <w:bookmarkEnd w:id="453"/>
      <w:bookmarkEnd w:id="454"/>
      <w:bookmarkEnd w:id="455"/>
      <w:bookmarkEnd w:id="456"/>
      <w:bookmarkEnd w:id="457"/>
      <w:bookmarkEnd w:id="458"/>
      <w:bookmarkEnd w:id="459"/>
      <w:bookmarkEnd w:id="460"/>
      <w:bookmarkEnd w:id="461"/>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62" w:name="_Toc392765380"/>
      <w:bookmarkStart w:id="463" w:name="_Toc416683115"/>
      <w:bookmarkStart w:id="464" w:name="_Toc375130909"/>
      <w:r>
        <w:rPr>
          <w:rStyle w:val="CharSectno"/>
        </w:rPr>
        <w:t>48</w:t>
      </w:r>
      <w:r>
        <w:rPr>
          <w:snapToGrid w:val="0"/>
        </w:rPr>
        <w:t>.</w:t>
      </w:r>
      <w:r>
        <w:rPr>
          <w:snapToGrid w:val="0"/>
        </w:rPr>
        <w:tab/>
        <w:t>Regulations to operate as local laws</w:t>
      </w:r>
      <w:bookmarkEnd w:id="462"/>
      <w:bookmarkEnd w:id="463"/>
      <w:bookmarkEnd w:id="464"/>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465" w:name="_Toc392765381"/>
      <w:bookmarkStart w:id="466" w:name="_Toc416683116"/>
      <w:bookmarkStart w:id="467" w:name="_Toc375130910"/>
      <w:r>
        <w:rPr>
          <w:rStyle w:val="CharSectno"/>
        </w:rPr>
        <w:t>49</w:t>
      </w:r>
      <w:r>
        <w:rPr>
          <w:snapToGrid w:val="0"/>
        </w:rPr>
        <w:t>.</w:t>
      </w:r>
      <w:r>
        <w:rPr>
          <w:snapToGrid w:val="0"/>
        </w:rPr>
        <w:tab/>
        <w:t>Local laws</w:t>
      </w:r>
      <w:bookmarkEnd w:id="465"/>
      <w:bookmarkEnd w:id="466"/>
      <w:bookmarkEnd w:id="467"/>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ins w:id="468" w:author="svcMRProcess" w:date="2018-08-28T11:45:00Z">
        <w:r>
          <w:t xml:space="preserve"> and</w:t>
        </w:r>
      </w:ins>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469" w:name="_Toc392765382"/>
      <w:bookmarkStart w:id="470" w:name="_Toc416683117"/>
      <w:bookmarkStart w:id="471" w:name="_Toc375130911"/>
      <w:r>
        <w:rPr>
          <w:rStyle w:val="CharSectno"/>
        </w:rPr>
        <w:t>49A</w:t>
      </w:r>
      <w:r>
        <w:rPr>
          <w:snapToGrid w:val="0"/>
        </w:rPr>
        <w:t>.</w:t>
      </w:r>
      <w:r>
        <w:rPr>
          <w:snapToGrid w:val="0"/>
        </w:rPr>
        <w:tab/>
        <w:t>Model local laws</w:t>
      </w:r>
      <w:bookmarkEnd w:id="469"/>
      <w:bookmarkEnd w:id="470"/>
      <w:bookmarkEnd w:id="471"/>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472" w:name="_Toc392765383"/>
      <w:bookmarkStart w:id="473" w:name="_Toc416683118"/>
      <w:bookmarkStart w:id="474" w:name="_Toc375130912"/>
      <w:r>
        <w:rPr>
          <w:rStyle w:val="CharSectno"/>
        </w:rPr>
        <w:t>49B</w:t>
      </w:r>
      <w:r>
        <w:rPr>
          <w:snapToGrid w:val="0"/>
        </w:rPr>
        <w:t>.</w:t>
      </w:r>
      <w:r>
        <w:rPr>
          <w:snapToGrid w:val="0"/>
        </w:rPr>
        <w:tab/>
        <w:t>Governor may amend or repeal local laws</w:t>
      </w:r>
      <w:bookmarkEnd w:id="472"/>
      <w:bookmarkEnd w:id="473"/>
      <w:bookmarkEnd w:id="474"/>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475" w:name="_Toc392765384"/>
      <w:bookmarkStart w:id="476" w:name="_Toc416683119"/>
      <w:bookmarkStart w:id="477" w:name="_Toc375130913"/>
      <w:r>
        <w:rPr>
          <w:rStyle w:val="CharSectno"/>
        </w:rPr>
        <w:t>50</w:t>
      </w:r>
      <w:r>
        <w:rPr>
          <w:snapToGrid w:val="0"/>
        </w:rPr>
        <w:t>.</w:t>
      </w:r>
      <w:r>
        <w:rPr>
          <w:snapToGrid w:val="0"/>
        </w:rPr>
        <w:tab/>
        <w:t>General provisions relating to regulations and local laws</w:t>
      </w:r>
      <w:bookmarkEnd w:id="475"/>
      <w:bookmarkEnd w:id="476"/>
      <w:bookmarkEnd w:id="477"/>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No. 18 of 2013 s. 55.] </w:t>
      </w:r>
    </w:p>
    <w:p>
      <w:pPr>
        <w:pStyle w:val="Heading5"/>
        <w:rPr>
          <w:snapToGrid w:val="0"/>
        </w:rPr>
      </w:pPr>
      <w:bookmarkStart w:id="478" w:name="_Toc392765385"/>
      <w:bookmarkStart w:id="479" w:name="_Toc416683120"/>
      <w:bookmarkStart w:id="480" w:name="_Toc375130914"/>
      <w:r>
        <w:rPr>
          <w:rStyle w:val="CharSectno"/>
        </w:rPr>
        <w:t>51</w:t>
      </w:r>
      <w:r>
        <w:rPr>
          <w:snapToGrid w:val="0"/>
        </w:rPr>
        <w:t>.</w:t>
      </w:r>
      <w:r>
        <w:rPr>
          <w:snapToGrid w:val="0"/>
        </w:rPr>
        <w:tab/>
        <w:t>Local law making powers</w:t>
      </w:r>
      <w:bookmarkEnd w:id="478"/>
      <w:bookmarkEnd w:id="479"/>
      <w:bookmarkEnd w:id="480"/>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del w:id="481" w:author="svcMRProcess" w:date="2018-08-28T11:45:00Z">
        <w:r>
          <w:delText>)-(bb</w:delText>
        </w:r>
      </w:del>
      <w:r>
        <w:t>)</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No. 18 of 2013 s. 56.] </w:t>
      </w:r>
    </w:p>
    <w:p>
      <w:pPr>
        <w:pStyle w:val="Heading5"/>
        <w:rPr>
          <w:snapToGrid w:val="0"/>
        </w:rPr>
      </w:pPr>
      <w:bookmarkStart w:id="482" w:name="_Toc392765386"/>
      <w:bookmarkStart w:id="483" w:name="_Toc416683121"/>
      <w:bookmarkStart w:id="484" w:name="_Toc375130915"/>
      <w:r>
        <w:rPr>
          <w:rStyle w:val="CharSectno"/>
        </w:rPr>
        <w:t>52</w:t>
      </w:r>
      <w:r>
        <w:rPr>
          <w:snapToGrid w:val="0"/>
        </w:rPr>
        <w:t>.</w:t>
      </w:r>
      <w:r>
        <w:rPr>
          <w:snapToGrid w:val="0"/>
        </w:rPr>
        <w:tab/>
        <w:t>Revocation of local laws</w:t>
      </w:r>
      <w:bookmarkEnd w:id="482"/>
      <w:bookmarkEnd w:id="483"/>
      <w:bookmarkEnd w:id="484"/>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485" w:name="_Toc390078471"/>
      <w:bookmarkStart w:id="486" w:name="_Toc390086672"/>
      <w:bookmarkStart w:id="487" w:name="_Toc392576317"/>
      <w:bookmarkStart w:id="488" w:name="_Toc392765387"/>
      <w:bookmarkStart w:id="489" w:name="_Toc416683013"/>
      <w:bookmarkStart w:id="490" w:name="_Toc416683122"/>
      <w:bookmarkStart w:id="491" w:name="_Toc375130696"/>
      <w:bookmarkStart w:id="492" w:name="_Toc375130806"/>
      <w:bookmarkStart w:id="493" w:name="_Toc375130916"/>
      <w:r>
        <w:rPr>
          <w:rStyle w:val="CharPartNo"/>
        </w:rPr>
        <w:t>Part X</w:t>
      </w:r>
      <w:r>
        <w:rPr>
          <w:rStyle w:val="CharDivNo"/>
        </w:rPr>
        <w:t> </w:t>
      </w:r>
      <w:r>
        <w:t>—</w:t>
      </w:r>
      <w:r>
        <w:rPr>
          <w:rStyle w:val="CharDivText"/>
        </w:rPr>
        <w:t> </w:t>
      </w:r>
      <w:r>
        <w:rPr>
          <w:rStyle w:val="CharPartText"/>
        </w:rPr>
        <w:t>Regulations</w:t>
      </w:r>
      <w:bookmarkEnd w:id="485"/>
      <w:bookmarkEnd w:id="486"/>
      <w:bookmarkEnd w:id="487"/>
      <w:bookmarkEnd w:id="488"/>
      <w:bookmarkEnd w:id="489"/>
      <w:bookmarkEnd w:id="490"/>
      <w:bookmarkEnd w:id="491"/>
      <w:bookmarkEnd w:id="492"/>
      <w:bookmarkEnd w:id="493"/>
      <w:r>
        <w:rPr>
          <w:rStyle w:val="CharPartText"/>
        </w:rPr>
        <w:t xml:space="preserve"> </w:t>
      </w:r>
    </w:p>
    <w:p>
      <w:pPr>
        <w:pStyle w:val="Ednotesection"/>
      </w:pPr>
      <w:r>
        <w:t>[</w:t>
      </w:r>
      <w:r>
        <w:rPr>
          <w:b/>
        </w:rPr>
        <w:t>53.</w:t>
      </w:r>
      <w:r>
        <w:tab/>
        <w:t>Deleted by No. 18 of 2013 s. 57.]</w:t>
      </w:r>
    </w:p>
    <w:p>
      <w:pPr>
        <w:pStyle w:val="Heading5"/>
        <w:rPr>
          <w:snapToGrid w:val="0"/>
        </w:rPr>
      </w:pPr>
      <w:bookmarkStart w:id="494" w:name="_Toc392765388"/>
      <w:bookmarkStart w:id="495" w:name="_Toc416683123"/>
      <w:bookmarkStart w:id="496" w:name="_Toc375130917"/>
      <w:r>
        <w:rPr>
          <w:rStyle w:val="CharSectno"/>
        </w:rPr>
        <w:t>54</w:t>
      </w:r>
      <w:r>
        <w:rPr>
          <w:snapToGrid w:val="0"/>
        </w:rPr>
        <w:t>.</w:t>
      </w:r>
      <w:r>
        <w:rPr>
          <w:snapToGrid w:val="0"/>
        </w:rPr>
        <w:tab/>
        <w:t>Regulations generally</w:t>
      </w:r>
      <w:bookmarkEnd w:id="494"/>
      <w:bookmarkEnd w:id="495"/>
      <w:bookmarkEnd w:id="496"/>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by No. 14 of 1996 s. 4; No. 18 of 2013 s. 58.] </w:t>
      </w:r>
    </w:p>
    <w:p>
      <w:pPr>
        <w:pStyle w:val="Heading2"/>
      </w:pPr>
      <w:bookmarkStart w:id="497" w:name="_Toc390078473"/>
      <w:bookmarkStart w:id="498" w:name="_Toc390086674"/>
      <w:bookmarkStart w:id="499" w:name="_Toc392576319"/>
      <w:bookmarkStart w:id="500" w:name="_Toc392765389"/>
      <w:bookmarkStart w:id="501" w:name="_Toc416683015"/>
      <w:bookmarkStart w:id="502" w:name="_Toc416683124"/>
      <w:bookmarkStart w:id="503" w:name="_Toc375130698"/>
      <w:bookmarkStart w:id="504" w:name="_Toc375130808"/>
      <w:bookmarkStart w:id="505" w:name="_Toc375130918"/>
      <w:r>
        <w:rPr>
          <w:rStyle w:val="CharPartNo"/>
        </w:rPr>
        <w:t>Part XI</w:t>
      </w:r>
      <w:r>
        <w:rPr>
          <w:b w:val="0"/>
        </w:rPr>
        <w:t> </w:t>
      </w:r>
      <w:r>
        <w:t>—</w:t>
      </w:r>
      <w:r>
        <w:rPr>
          <w:b w:val="0"/>
        </w:rPr>
        <w:t> </w:t>
      </w:r>
      <w:r>
        <w:rPr>
          <w:rStyle w:val="CharPartText"/>
        </w:rPr>
        <w:t>Transitional provisions</w:t>
      </w:r>
      <w:bookmarkEnd w:id="497"/>
      <w:bookmarkEnd w:id="498"/>
      <w:bookmarkEnd w:id="499"/>
      <w:bookmarkEnd w:id="500"/>
      <w:bookmarkEnd w:id="501"/>
      <w:bookmarkEnd w:id="502"/>
      <w:bookmarkEnd w:id="503"/>
      <w:bookmarkEnd w:id="504"/>
      <w:bookmarkEnd w:id="505"/>
    </w:p>
    <w:p>
      <w:pPr>
        <w:pStyle w:val="Footnoteheading"/>
      </w:pPr>
      <w:r>
        <w:tab/>
        <w:t xml:space="preserve">[Heading inserted by No. 18 of 2013 s. 59.] </w:t>
      </w:r>
    </w:p>
    <w:p>
      <w:pPr>
        <w:pStyle w:val="Heading3"/>
      </w:pPr>
      <w:bookmarkStart w:id="506" w:name="_Toc390078474"/>
      <w:bookmarkStart w:id="507" w:name="_Toc390086675"/>
      <w:bookmarkStart w:id="508" w:name="_Toc392576320"/>
      <w:bookmarkStart w:id="509" w:name="_Toc392765390"/>
      <w:bookmarkStart w:id="510" w:name="_Toc416683016"/>
      <w:bookmarkStart w:id="511" w:name="_Toc416683125"/>
      <w:bookmarkStart w:id="512" w:name="_Toc375130699"/>
      <w:bookmarkStart w:id="513" w:name="_Toc375130809"/>
      <w:bookmarkStart w:id="514" w:name="_Toc375130919"/>
      <w:r>
        <w:rPr>
          <w:rStyle w:val="CharDivNo"/>
        </w:rPr>
        <w:t>Division 1</w:t>
      </w:r>
      <w:r>
        <w:t> — </w:t>
      </w:r>
      <w:r>
        <w:rPr>
          <w:rStyle w:val="CharDivText"/>
        </w:rPr>
        <w:t xml:space="preserve">Transitional provisions arising from certain amendments made by the </w:t>
      </w:r>
      <w:r>
        <w:rPr>
          <w:rStyle w:val="CharDivText"/>
          <w:i/>
        </w:rPr>
        <w:t>Dog Amendment Act 2013</w:t>
      </w:r>
      <w:bookmarkEnd w:id="506"/>
      <w:bookmarkEnd w:id="507"/>
      <w:bookmarkEnd w:id="508"/>
      <w:bookmarkEnd w:id="509"/>
      <w:bookmarkEnd w:id="510"/>
      <w:bookmarkEnd w:id="511"/>
      <w:bookmarkEnd w:id="512"/>
      <w:bookmarkEnd w:id="513"/>
      <w:bookmarkEnd w:id="514"/>
    </w:p>
    <w:p>
      <w:pPr>
        <w:pStyle w:val="Footnoteheading"/>
      </w:pPr>
      <w:r>
        <w:tab/>
        <w:t xml:space="preserve">[Heading inserted by No. 18 of 2013 s. 59.] </w:t>
      </w:r>
    </w:p>
    <w:p>
      <w:pPr>
        <w:pStyle w:val="Heading5"/>
      </w:pPr>
      <w:bookmarkStart w:id="515" w:name="_Toc392765391"/>
      <w:bookmarkStart w:id="516" w:name="_Toc416683126"/>
      <w:bookmarkStart w:id="517" w:name="_Toc375130920"/>
      <w:r>
        <w:rPr>
          <w:rStyle w:val="CharSectno"/>
        </w:rPr>
        <w:t>55</w:t>
      </w:r>
      <w:r>
        <w:t>.</w:t>
      </w:r>
      <w:r>
        <w:tab/>
        <w:t>Application of</w:t>
      </w:r>
      <w:del w:id="518" w:author="svcMRProcess" w:date="2018-08-28T11:45:00Z">
        <w:r>
          <w:delText xml:space="preserve"> the</w:delText>
        </w:r>
      </w:del>
      <w:r>
        <w:t xml:space="preserve"> </w:t>
      </w:r>
      <w:r>
        <w:rPr>
          <w:i/>
          <w:iCs/>
        </w:rPr>
        <w:t>Interpretation Act 1984</w:t>
      </w:r>
      <w:bookmarkEnd w:id="515"/>
      <w:bookmarkEnd w:id="516"/>
      <w:bookmarkEnd w:id="517"/>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by No. 18 of 2013 s. 59.] </w:t>
      </w:r>
    </w:p>
    <w:p>
      <w:pPr>
        <w:pStyle w:val="Heading5"/>
      </w:pPr>
      <w:bookmarkStart w:id="519" w:name="_Toc392765392"/>
      <w:bookmarkStart w:id="520" w:name="_Toc416683127"/>
      <w:bookmarkStart w:id="521" w:name="_Toc375130921"/>
      <w:r>
        <w:rPr>
          <w:rStyle w:val="CharSectno"/>
        </w:rPr>
        <w:t>56</w:t>
      </w:r>
      <w:r>
        <w:t>.</w:t>
      </w:r>
      <w:r>
        <w:tab/>
        <w:t>Authorisations in relation to assistance dogs</w:t>
      </w:r>
      <w:bookmarkEnd w:id="519"/>
      <w:bookmarkEnd w:id="520"/>
      <w:bookmarkEnd w:id="521"/>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w:t>
      </w:r>
      <w:ins w:id="522" w:author="svcMRProcess" w:date="2018-08-28T11:45:00Z">
        <w:r>
          <w:rPr>
            <w:vertAlign w:val="superscript"/>
          </w:rPr>
          <w:t> 1</w:t>
        </w:r>
      </w:ins>
      <w:r>
        <w:t xml:space="preserve">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by No. 18 of 2013 s. 59.] </w:t>
      </w:r>
    </w:p>
    <w:p>
      <w:pPr>
        <w:pStyle w:val="Heading5"/>
      </w:pPr>
      <w:bookmarkStart w:id="523" w:name="_Toc392765393"/>
      <w:bookmarkStart w:id="524" w:name="_Toc416683128"/>
      <w:bookmarkStart w:id="525" w:name="_Toc375130922"/>
      <w:r>
        <w:rPr>
          <w:rStyle w:val="CharSectno"/>
        </w:rPr>
        <w:t>57</w:t>
      </w:r>
      <w:r>
        <w:t>.</w:t>
      </w:r>
      <w:r>
        <w:tab/>
        <w:t>Registration procedure</w:t>
      </w:r>
      <w:bookmarkEnd w:id="523"/>
      <w:bookmarkEnd w:id="524"/>
      <w:bookmarkEnd w:id="525"/>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w:t>
      </w:r>
      <w:ins w:id="526" w:author="svcMRProcess" w:date="2018-08-28T11:45:00Z">
        <w:r>
          <w:rPr>
            <w:vertAlign w:val="superscript"/>
          </w:rPr>
          <w:t> 1</w:t>
        </w:r>
      </w:ins>
      <w:r>
        <w:t xml:space="preserve"> is, on and from that day, to be dealt with as if the </w:t>
      </w:r>
      <w:r>
        <w:rPr>
          <w:i/>
          <w:iCs/>
        </w:rPr>
        <w:t>Dog Amendment Act 2013</w:t>
      </w:r>
      <w:r>
        <w:t xml:space="preserve"> section 14 had not been enacted.</w:t>
      </w:r>
    </w:p>
    <w:p>
      <w:pPr>
        <w:pStyle w:val="Footnotesection"/>
      </w:pPr>
      <w:r>
        <w:tab/>
        <w:t xml:space="preserve">[Section 57 inserted by No. 18 of 2013 s. 59.] </w:t>
      </w:r>
    </w:p>
    <w:p>
      <w:pPr>
        <w:pStyle w:val="Heading5"/>
      </w:pPr>
      <w:bookmarkStart w:id="527" w:name="_Toc392765394"/>
      <w:bookmarkStart w:id="528" w:name="_Toc416683129"/>
      <w:bookmarkStart w:id="529" w:name="_Toc375130923"/>
      <w:r>
        <w:rPr>
          <w:rStyle w:val="CharSectno"/>
        </w:rPr>
        <w:t>58</w:t>
      </w:r>
      <w:r>
        <w:t>.</w:t>
      </w:r>
      <w:r>
        <w:tab/>
        <w:t>Detained dogs</w:t>
      </w:r>
      <w:bookmarkEnd w:id="527"/>
      <w:bookmarkEnd w:id="528"/>
      <w:bookmarkEnd w:id="529"/>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w:t>
      </w:r>
      <w:ins w:id="530" w:author="svcMRProcess" w:date="2018-08-28T11:45:00Z">
        <w:r>
          <w:rPr>
            <w:vertAlign w:val="superscript"/>
          </w:rPr>
          <w:t> 1</w:t>
        </w:r>
      </w:ins>
      <w:r>
        <w:t xml:space="preserve">,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by No. 18 of 2013 s. 59.] </w:t>
      </w:r>
    </w:p>
    <w:p>
      <w:pPr>
        <w:pStyle w:val="Heading5"/>
      </w:pPr>
      <w:bookmarkStart w:id="531" w:name="_Toc392765395"/>
      <w:bookmarkStart w:id="532" w:name="_Toc416683130"/>
      <w:bookmarkStart w:id="533" w:name="_Toc375130924"/>
      <w:r>
        <w:rPr>
          <w:rStyle w:val="CharSectno"/>
        </w:rPr>
        <w:t>59</w:t>
      </w:r>
      <w:r>
        <w:t>.</w:t>
      </w:r>
      <w:r>
        <w:tab/>
        <w:t>Dogs declared to be dangerous dogs</w:t>
      </w:r>
      <w:bookmarkEnd w:id="531"/>
      <w:bookmarkEnd w:id="532"/>
      <w:bookmarkEnd w:id="533"/>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w:t>
      </w:r>
      <w:ins w:id="534" w:author="svcMRProcess" w:date="2018-08-28T11:45:00Z">
        <w:r>
          <w:rPr>
            <w:vertAlign w:val="superscript"/>
          </w:rPr>
          <w:t> 1</w:t>
        </w:r>
      </w:ins>
      <w:r>
        <w:t xml:space="preserve">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by No. 18 of 2013 s. 59.] </w:t>
      </w:r>
    </w:p>
    <w:p>
      <w:pPr>
        <w:pStyle w:val="Heading5"/>
      </w:pPr>
      <w:bookmarkStart w:id="535" w:name="_Toc392765396"/>
      <w:bookmarkStart w:id="536" w:name="_Toc416683131"/>
      <w:bookmarkStart w:id="537" w:name="_Toc375130925"/>
      <w:r>
        <w:rPr>
          <w:rStyle w:val="CharSectno"/>
        </w:rPr>
        <w:t>60</w:t>
      </w:r>
      <w:r>
        <w:t>.</w:t>
      </w:r>
      <w:r>
        <w:tab/>
        <w:t>Transitional regulations</w:t>
      </w:r>
      <w:bookmarkEnd w:id="535"/>
      <w:bookmarkEnd w:id="536"/>
      <w:bookmarkEnd w:id="537"/>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w:t>
      </w:r>
      <w:ins w:id="538" w:author="svcMRProcess" w:date="2018-08-28T11:45:00Z">
        <w:r>
          <w:rPr>
            <w:vertAlign w:val="superscript"/>
          </w:rPr>
          <w:t> 1</w:t>
        </w:r>
      </w:ins>
      <w:r>
        <w:t>;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by No. 18 of 2013 s. 59.] </w:t>
      </w:r>
    </w:p>
    <w:p>
      <w:pPr>
        <w:pStyle w:val="CentredBaseLine"/>
        <w:jc w:val="center"/>
        <w:rPr>
          <w:ins w:id="539" w:author="svcMRProcess" w:date="2018-08-28T11:45:00Z"/>
        </w:rPr>
      </w:pPr>
      <w:ins w:id="540" w:author="svcMRProcess" w:date="2018-08-28T11:4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541" w:author="svcMRProcess" w:date="2018-08-28T11:45:00Z"/>
        </w:rPr>
      </w:pPr>
    </w:p>
    <w:p>
      <w:pPr>
        <w:pStyle w:val="Footnotesection"/>
        <w:rPr>
          <w:ins w:id="542" w:author="svcMRProcess" w:date="2018-08-28T11:45:00Z"/>
        </w:rPr>
      </w:pP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7" w:h="16840" w:code="9"/>
          <w:pgMar w:top="2410" w:right="2410" w:bottom="1134" w:left="2410" w:header="1134" w:footer="3380" w:gutter="0"/>
          <w:pgNumType w:start="1"/>
          <w:cols w:space="720"/>
          <w:noEndnote/>
          <w:titlePg/>
          <w:docGrid w:linePitch="326"/>
        </w:sectPr>
      </w:pPr>
    </w:p>
    <w:p>
      <w:pPr>
        <w:pStyle w:val="nHeading2"/>
      </w:pPr>
      <w:bookmarkStart w:id="543" w:name="_Toc390078481"/>
      <w:bookmarkStart w:id="544" w:name="_Toc390086682"/>
      <w:bookmarkStart w:id="545" w:name="_Toc392576327"/>
      <w:bookmarkStart w:id="546" w:name="_Toc392765397"/>
      <w:bookmarkStart w:id="547" w:name="_Toc416683023"/>
      <w:bookmarkStart w:id="548" w:name="_Toc416683132"/>
      <w:bookmarkStart w:id="549" w:name="_Toc375130706"/>
      <w:bookmarkStart w:id="550" w:name="_Toc375130816"/>
      <w:bookmarkStart w:id="551" w:name="_Toc375130926"/>
      <w:r>
        <w:t>Notes</w:t>
      </w:r>
      <w:bookmarkEnd w:id="543"/>
      <w:bookmarkEnd w:id="544"/>
      <w:bookmarkEnd w:id="545"/>
      <w:bookmarkEnd w:id="546"/>
      <w:bookmarkEnd w:id="547"/>
      <w:bookmarkEnd w:id="548"/>
      <w:bookmarkEnd w:id="549"/>
      <w:bookmarkEnd w:id="550"/>
      <w:bookmarkEnd w:id="551"/>
    </w:p>
    <w:p>
      <w:pPr>
        <w:pStyle w:val="nSubsection"/>
        <w:rPr>
          <w:snapToGrid w:val="0"/>
        </w:rPr>
      </w:pPr>
      <w:r>
        <w:rPr>
          <w:snapToGrid w:val="0"/>
          <w:vertAlign w:val="superscript"/>
        </w:rPr>
        <w:t>1</w:t>
      </w:r>
      <w:r>
        <w:rPr>
          <w:snapToGrid w:val="0"/>
        </w:rPr>
        <w:tab/>
        <w:t xml:space="preserve">This </w:t>
      </w:r>
      <w:ins w:id="552" w:author="svcMRProcess" w:date="2018-08-28T11:45:00Z">
        <w:r>
          <w:rPr>
            <w:snapToGrid w:val="0"/>
          </w:rPr>
          <w:t xml:space="preserve">reprint </w:t>
        </w:r>
      </w:ins>
      <w:r>
        <w:rPr>
          <w:snapToGrid w:val="0"/>
        </w:rPr>
        <w:t>is a compilation</w:t>
      </w:r>
      <w:ins w:id="553" w:author="svcMRProcess" w:date="2018-08-28T11:45:00Z">
        <w:r>
          <w:rPr>
            <w:snapToGrid w:val="0"/>
          </w:rPr>
          <w:t xml:space="preserve"> as at 4 July 2014</w:t>
        </w:r>
      </w:ins>
      <w:r>
        <w:rPr>
          <w:snapToGrid w:val="0"/>
        </w:rPr>
        <w:t xml:space="preserve"> of the </w:t>
      </w:r>
      <w:r>
        <w:rPr>
          <w:i/>
          <w:noProof/>
          <w:snapToGrid w:val="0"/>
        </w:rPr>
        <w:t>Dog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4" w:name="_Toc392765398"/>
      <w:bookmarkStart w:id="555" w:name="_Toc416683133"/>
      <w:bookmarkStart w:id="556" w:name="_Toc375130927"/>
      <w:r>
        <w:rPr>
          <w:snapToGrid w:val="0"/>
        </w:rPr>
        <w:t>Compilation table</w:t>
      </w:r>
      <w:bookmarkEnd w:id="554"/>
      <w:bookmarkEnd w:id="555"/>
      <w:bookmarkEnd w:id="5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5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51" w:type="dxa"/>
          </w:tcPr>
          <w:p>
            <w:pPr>
              <w:pStyle w:val="nTable"/>
              <w:spacing w:after="40"/>
            </w:pPr>
            <w:r>
              <w:t>23 Nov 1977</w:t>
            </w:r>
          </w:p>
        </w:tc>
      </w:tr>
      <w:tr>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51" w:type="dxa"/>
          </w:tcPr>
          <w:p>
            <w:pPr>
              <w:pStyle w:val="nTable"/>
              <w:spacing w:after="40"/>
            </w:pPr>
            <w:r>
              <w:t>17 Nov 1983 (see s. 2)</w:t>
            </w:r>
          </w:p>
        </w:tc>
      </w:tr>
      <w:tr>
        <w:trPr>
          <w:cantSplit/>
        </w:trPr>
        <w:tc>
          <w:tcPr>
            <w:tcW w:w="708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51" w:type="dxa"/>
          </w:tcPr>
          <w:p>
            <w:pPr>
              <w:pStyle w:val="nTable"/>
              <w:spacing w:after="40"/>
            </w:pPr>
            <w:ins w:id="557" w:author="svcMRProcess" w:date="2018-08-28T11:45:00Z">
              <w:r>
                <w:t xml:space="preserve">s. 1 and 2: 25 Jun 1987; </w:t>
              </w:r>
              <w:r>
                <w:br/>
                <w:t xml:space="preserve">Act other than s. 1 and 2: </w:t>
              </w:r>
            </w:ins>
            <w:r>
              <w:t xml:space="preserve">1 Nov 1987 (see s. 2 and </w:t>
            </w:r>
            <w:r>
              <w:rPr>
                <w:i/>
              </w:rPr>
              <w:t>Gazette</w:t>
            </w:r>
            <w:r>
              <w:t xml:space="preserve"> 18 Sep 1987 p. 3587)</w:t>
            </w:r>
          </w:p>
        </w:tc>
      </w:tr>
      <w:tr>
        <w:trPr>
          <w:cantSplit/>
        </w:trPr>
        <w:tc>
          <w:tcPr>
            <w:tcW w:w="708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51" w:type="dxa"/>
          </w:tcPr>
          <w:p>
            <w:pPr>
              <w:pStyle w:val="nTable"/>
              <w:spacing w:after="40"/>
            </w:pPr>
            <w:ins w:id="558" w:author="svcMRProcess" w:date="2018-08-28T11:45:00Z">
              <w:r>
                <w:t>s. 1 and 2: 27 Aug 1996;</w:t>
              </w:r>
              <w:r>
                <w:br/>
                <w:t xml:space="preserve">Act other than s. 1 and 2: </w:t>
              </w:r>
            </w:ins>
            <w:r>
              <w:t xml:space="preserve">14 Sep 1996 (see s. 2 and </w:t>
            </w:r>
            <w:r>
              <w:rPr>
                <w:i/>
              </w:rPr>
              <w:t>Gazette</w:t>
            </w:r>
            <w:r>
              <w:t xml:space="preserve"> 13 Sep 1996 p. 4675)</w:t>
            </w:r>
          </w:p>
        </w:tc>
      </w:tr>
      <w:tr>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708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rPr>
          <w:cantSplit/>
        </w:trPr>
        <w:tc>
          <w:tcPr>
            <w:tcW w:w="2268" w:type="dxa"/>
          </w:tcPr>
          <w:p>
            <w:pPr>
              <w:pStyle w:val="nTable"/>
              <w:spacing w:after="40"/>
              <w:ind w:right="113"/>
            </w:pPr>
            <w:r>
              <w:rPr>
                <w:i/>
              </w:rPr>
              <w:t>Acts Amendment (Land Administration) Act 1997</w:t>
            </w:r>
            <w:r>
              <w:br/>
              <w:t>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pPr>
            <w:r>
              <w:t xml:space="preserve">1 Aug 1998 (see s. 3 and </w:t>
            </w:r>
            <w:r>
              <w:rPr>
                <w:i/>
              </w:rPr>
              <w:t>Gazette</w:t>
            </w:r>
            <w:r>
              <w:t xml:space="preserve"> 21 Jul 1998 p. 3825)</w:t>
            </w:r>
          </w:p>
        </w:tc>
      </w:tr>
      <w:tr>
        <w:trPr>
          <w:cantSplit/>
        </w:trPr>
        <w:tc>
          <w:tcPr>
            <w:tcW w:w="708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w:t>
            </w:r>
            <w:del w:id="559" w:author="svcMRProcess" w:date="2018-08-28T11:45:00Z">
              <w:r>
                <w:rPr>
                  <w:vertAlign w:val="superscript"/>
                </w:rPr>
                <w:delText>3</w:delText>
              </w:r>
            </w:del>
            <w:ins w:id="560" w:author="svcMRProcess" w:date="2018-08-28T11:45:00Z">
              <w:r>
                <w:rPr>
                  <w:vertAlign w:val="superscript"/>
                </w:rPr>
                <w:t>2</w:t>
              </w:r>
            </w:ins>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1 Aug 2003 (see s. 2 and </w:t>
            </w:r>
            <w:r>
              <w:rPr>
                <w:i/>
              </w:rPr>
              <w:t>Gazette</w:t>
            </w:r>
            <w:r>
              <w:t xml:space="preserve"> 29 Jul 2003 p. 3259)</w:t>
            </w:r>
          </w:p>
        </w:tc>
      </w:tr>
      <w:tr>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 </w:t>
            </w:r>
            <w:del w:id="561" w:author="svcMRProcess" w:date="2018-08-28T11:45:00Z">
              <w:r>
                <w:rPr>
                  <w:snapToGrid w:val="0"/>
                  <w:vertAlign w:val="superscript"/>
                </w:rPr>
                <w:delText>6</w:delText>
              </w:r>
            </w:del>
            <w:ins w:id="562" w:author="svcMRProcess" w:date="2018-08-28T11:45:00Z">
              <w:r>
                <w:rPr>
                  <w:snapToGrid w:val="0"/>
                  <w:vertAlign w:val="superscript"/>
                </w:rPr>
                <w:t>3</w:t>
              </w:r>
            </w:ins>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4, 5</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w:t>
            </w:r>
            <w:del w:id="563" w:author="svcMRProcess" w:date="2018-08-28T11:45:00Z">
              <w:r>
                <w:rPr>
                  <w:vertAlign w:val="superscript"/>
                </w:rPr>
                <w:delText>7</w:delText>
              </w:r>
            </w:del>
            <w:ins w:id="564" w:author="svcMRProcess" w:date="2018-08-28T11:45:00Z">
              <w:r>
                <w:rPr>
                  <w:vertAlign w:val="superscript"/>
                </w:rPr>
                <w:t>6</w:t>
              </w:r>
            </w:ins>
          </w:p>
        </w:tc>
        <w:tc>
          <w:tcPr>
            <w:tcW w:w="1134" w:type="dxa"/>
          </w:tcPr>
          <w:p>
            <w:pPr>
              <w:pStyle w:val="nTable"/>
              <w:spacing w:after="40"/>
            </w:pPr>
            <w:r>
              <w:t>18 of 2013</w:t>
            </w:r>
          </w:p>
        </w:tc>
        <w:tc>
          <w:tcPr>
            <w:tcW w:w="1134" w:type="dxa"/>
          </w:tcPr>
          <w:p>
            <w:pPr>
              <w:pStyle w:val="nTable"/>
              <w:spacing w:after="40"/>
            </w:pPr>
            <w:r>
              <w:t>29 Oct 2013</w:t>
            </w:r>
          </w:p>
        </w:tc>
        <w:tc>
          <w:tcPr>
            <w:tcW w:w="2551" w:type="dxa"/>
          </w:tcPr>
          <w:p>
            <w:pPr>
              <w:pStyle w:val="nTable"/>
              <w:spacing w:after="40"/>
            </w:pPr>
            <w:r>
              <w:t xml:space="preserve">1 Nov 2013 (see s. 2(b) and </w:t>
            </w:r>
            <w:r>
              <w:rPr>
                <w:i/>
              </w:rPr>
              <w:t>Gazette</w:t>
            </w:r>
            <w:r>
              <w:t xml:space="preserve"> 31 Oct 2013 p. 4829)</w:t>
            </w:r>
          </w:p>
        </w:tc>
      </w:tr>
      <w:tr>
        <w:trPr>
          <w:cantSplit/>
          <w:ins w:id="565" w:author="svcMRProcess" w:date="2018-08-28T11:45:00Z"/>
        </w:trPr>
        <w:tc>
          <w:tcPr>
            <w:tcW w:w="7087" w:type="dxa"/>
            <w:gridSpan w:val="4"/>
            <w:tcBorders>
              <w:bottom w:val="single" w:sz="8" w:space="0" w:color="auto"/>
            </w:tcBorders>
            <w:shd w:val="clear" w:color="auto" w:fill="auto"/>
          </w:tcPr>
          <w:p>
            <w:pPr>
              <w:pStyle w:val="nTable"/>
              <w:spacing w:after="40"/>
              <w:rPr>
                <w:ins w:id="566" w:author="svcMRProcess" w:date="2018-08-28T11:45:00Z"/>
              </w:rPr>
            </w:pPr>
            <w:ins w:id="567" w:author="svcMRProcess" w:date="2018-08-28T11:45:00Z">
              <w:r>
                <w:rPr>
                  <w:b/>
                </w:rPr>
                <w:t xml:space="preserve">Reprint 6:  The </w:t>
              </w:r>
              <w:r>
                <w:rPr>
                  <w:b/>
                  <w:i/>
                </w:rPr>
                <w:t>Dog Act 1976</w:t>
              </w:r>
              <w:r>
                <w:rPr>
                  <w:b/>
                </w:rPr>
                <w:t xml:space="preserve"> as at 4 Jul 2014</w:t>
              </w:r>
              <w:r>
                <w:t xml:space="preserve"> (includes amendments listed above)</w:t>
              </w:r>
            </w:ins>
          </w:p>
        </w:tc>
      </w:tr>
    </w:tbl>
    <w:p>
      <w:pPr>
        <w:pStyle w:val="nSubsection"/>
        <w:rPr>
          <w:del w:id="568" w:author="svcMRProcess" w:date="2018-08-28T11:45:00Z"/>
          <w:vertAlign w:val="superscript"/>
        </w:rPr>
      </w:pPr>
    </w:p>
    <w:p>
      <w:pPr>
        <w:pStyle w:val="nSubsection"/>
        <w:rPr>
          <w:del w:id="569" w:author="svcMRProcess" w:date="2018-08-28T11:45:00Z"/>
        </w:rPr>
      </w:pPr>
      <w:del w:id="570" w:author="svcMRProcess" w:date="2018-08-28T11:45:00Z">
        <w:r>
          <w:rPr>
            <w:vertAlign w:val="superscript"/>
          </w:rPr>
          <w:delText>2</w:delText>
        </w:r>
        <w:r>
          <w:tab/>
          <w:delText>Footnote no longer applicable.</w:delText>
        </w:r>
      </w:del>
    </w:p>
    <w:p>
      <w:pPr>
        <w:pStyle w:val="nSubsection"/>
        <w:spacing w:before="160"/>
      </w:pPr>
      <w:del w:id="571" w:author="svcMRProcess" w:date="2018-08-28T11:45:00Z">
        <w:r>
          <w:rPr>
            <w:vertAlign w:val="superscript"/>
          </w:rPr>
          <w:delText>3</w:delText>
        </w:r>
      </w:del>
      <w:ins w:id="572" w:author="svcMRProcess" w:date="2018-08-28T11:45:00Z">
        <w:r>
          <w:rPr>
            <w:vertAlign w:val="superscript"/>
          </w:rPr>
          <w:t>2</w:t>
        </w:r>
      </w:ins>
      <w:r>
        <w:tab/>
        <w:t xml:space="preserve">The </w:t>
      </w:r>
      <w:r>
        <w:rPr>
          <w:i/>
        </w:rPr>
        <w:t>Racing and Gambling Legislation Amendment and Repeal Act 2003</w:t>
      </w:r>
      <w:r>
        <w:t xml:space="preserve"> s. 19 reads as follows:</w:t>
      </w:r>
    </w:p>
    <w:p>
      <w:pPr>
        <w:pStyle w:val="BlankOpen"/>
      </w:pPr>
      <w:del w:id="573" w:author="svcMRProcess" w:date="2018-08-28T11:45:00Z">
        <w:r>
          <w:delText>“</w:delText>
        </w:r>
      </w:del>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MiscClose"/>
        <w:rPr>
          <w:del w:id="574" w:author="svcMRProcess" w:date="2018-08-28T11:45:00Z"/>
        </w:rPr>
      </w:pPr>
      <w:del w:id="575" w:author="svcMRProcess" w:date="2018-08-28T11:45:00Z">
        <w:r>
          <w:delText>”.</w:delText>
        </w:r>
      </w:del>
    </w:p>
    <w:p>
      <w:pPr>
        <w:pStyle w:val="BlankClose"/>
        <w:rPr>
          <w:ins w:id="576" w:author="svcMRProcess" w:date="2018-08-28T11:45:00Z"/>
        </w:rPr>
      </w:pPr>
    </w:p>
    <w:p>
      <w:pPr>
        <w:pStyle w:val="nSubsection"/>
        <w:tabs>
          <w:tab w:val="left" w:pos="2520"/>
        </w:tabs>
        <w:rPr>
          <w:ins w:id="577" w:author="svcMRProcess" w:date="2018-08-28T11:45:00Z"/>
          <w:snapToGrid w:val="0"/>
        </w:rPr>
      </w:pPr>
      <w:ins w:id="578" w:author="svcMRProcess" w:date="2018-08-28T11:45:00Z">
        <w:r>
          <w:rPr>
            <w:snapToGrid w:val="0"/>
            <w:vertAlign w:val="superscript"/>
          </w:rPr>
          <w:t>3</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ins>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BlankOpen"/>
      </w:pPr>
      <w:del w:id="579" w:author="svcMRProcess" w:date="2018-08-28T11:45:00Z">
        <w:r>
          <w:delText>“</w:delText>
        </w:r>
      </w:del>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rPr>
          <w:del w:id="580" w:author="svcMRProcess" w:date="2018-08-28T11:45:00Z"/>
        </w:rPr>
      </w:pPr>
      <w:del w:id="581" w:author="svcMRProcess" w:date="2018-08-28T11:45:00Z">
        <w:r>
          <w:delText>”.</w:delText>
        </w:r>
      </w:del>
    </w:p>
    <w:p>
      <w:pPr>
        <w:pStyle w:val="nSubsection"/>
        <w:tabs>
          <w:tab w:val="left" w:pos="2520"/>
        </w:tabs>
        <w:rPr>
          <w:del w:id="582" w:author="svcMRProcess" w:date="2018-08-28T11:45:00Z"/>
          <w:snapToGrid w:val="0"/>
        </w:rPr>
      </w:pPr>
      <w:del w:id="583" w:author="svcMRProcess" w:date="2018-08-28T11:45:00Z">
        <w:r>
          <w:rPr>
            <w:snapToGrid w:val="0"/>
            <w:vertAlign w:val="superscript"/>
          </w:rPr>
          <w:delText>6</w:delText>
        </w:r>
        <w:r>
          <w:rPr>
            <w:snapToGrid w:val="0"/>
          </w:rPr>
          <w:tab/>
          <w:delText xml:space="preserve">The </w:delText>
        </w:r>
        <w:r>
          <w:rPr>
            <w:i/>
            <w:iCs/>
            <w:snapToGrid w:val="0"/>
          </w:rPr>
          <w:delText>Courts Legislation Amendment and Repeal Act 2004</w:delText>
        </w:r>
        <w:r>
          <w:rPr>
            <w:snapToGrid w:val="0"/>
          </w:rPr>
          <w:delText xml:space="preserve"> Sch. 2 cl. 15 was repealed by the </w:delText>
        </w:r>
        <w:r>
          <w:rPr>
            <w:i/>
            <w:iCs/>
            <w:snapToGrid w:val="0"/>
          </w:rPr>
          <w:delText>Criminal Law and Evidence Amendment Act 2008</w:delText>
        </w:r>
        <w:r>
          <w:rPr>
            <w:snapToGrid w:val="0"/>
          </w:rPr>
          <w:delText xml:space="preserve"> s. 77(13).</w:delText>
        </w:r>
      </w:del>
    </w:p>
    <w:p>
      <w:pPr>
        <w:pStyle w:val="BlankClose"/>
        <w:rPr>
          <w:ins w:id="584" w:author="svcMRProcess" w:date="2018-08-28T11:45:00Z"/>
        </w:rPr>
      </w:pPr>
      <w:del w:id="585" w:author="svcMRProcess" w:date="2018-08-28T11:45:00Z">
        <w:r>
          <w:rPr>
            <w:iCs/>
            <w:vertAlign w:val="superscript"/>
          </w:rPr>
          <w:delText>7</w:delText>
        </w:r>
      </w:del>
    </w:p>
    <w:p>
      <w:pPr>
        <w:pStyle w:val="nSubsection"/>
        <w:spacing w:before="120"/>
        <w:rPr>
          <w:iCs/>
        </w:rPr>
      </w:pPr>
      <w:ins w:id="586" w:author="svcMRProcess" w:date="2018-08-28T11:45:00Z">
        <w:r>
          <w:rPr>
            <w:iCs/>
            <w:vertAlign w:val="superscript"/>
          </w:rPr>
          <w:t>6</w:t>
        </w:r>
      </w:ins>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rPr>
          <w:snapToGrid w:val="0"/>
        </w:rPr>
      </w:pPr>
    </w:p>
    <w:p>
      <w:pPr>
        <w:rPr>
          <w:snapToGrid w:val="0"/>
        </w:rPr>
      </w:pPr>
    </w:p>
    <w:p>
      <w:pPr>
        <w:rPr>
          <w:snapToGrid w:val="0"/>
        </w:rPr>
        <w:sectPr>
          <w:headerReference w:type="even" r:id="rId24"/>
          <w:headerReference w:type="default" r:id="rId25"/>
          <w:headerReference w:type="first" r:id="rId26"/>
          <w:pgSz w:w="11907" w:h="16840" w:code="9"/>
          <w:pgMar w:top="1134" w:right="2410" w:bottom="1134" w:left="2410" w:header="1134"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7" w:name="Coversheet"/>
    <w:bookmarkEnd w:id="5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14132"/>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AD8CB-1E64-4C2B-961E-A1C144D6D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27334</Words>
  <Characters>121910</Characters>
  <Application>Microsoft Office Word</Application>
  <DocSecurity>0</DocSecurity>
  <Lines>3294</Lines>
  <Paragraphs>1695</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147549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05-g0-03 - 06-a0-02</dc:title>
  <dc:subject/>
  <dc:creator/>
  <cp:keywords/>
  <dc:description/>
  <cp:lastModifiedBy>svcMRProcess</cp:lastModifiedBy>
  <cp:revision>2</cp:revision>
  <cp:lastPrinted>2014-07-08T01:48:00Z</cp:lastPrinted>
  <dcterms:created xsi:type="dcterms:W3CDTF">2018-08-28T03:45:00Z</dcterms:created>
  <dcterms:modified xsi:type="dcterms:W3CDTF">2018-08-28T03:45:00Z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20140704</vt:lpwstr>
  </property>
  <property fmtid="{D5CDD505-2E9C-101B-9397-08002B2CF9AE}" pid="4" name="DocumentType">
    <vt:lpwstr>Act</vt:lpwstr>
  </property>
  <property fmtid="{D5CDD505-2E9C-101B-9397-08002B2CF9AE}" pid="5" name="OwlsUID">
    <vt:i4>230</vt:i4>
  </property>
  <property fmtid="{D5CDD505-2E9C-101B-9397-08002B2CF9AE}" pid="6" name="ReprintNo">
    <vt:lpwstr>6</vt:lpwstr>
  </property>
  <property fmtid="{D5CDD505-2E9C-101B-9397-08002B2CF9AE}" pid="7" name="ReprintedAsAt">
    <vt:filetime>2014-07-03T16:00:00Z</vt:filetime>
  </property>
  <property fmtid="{D5CDD505-2E9C-101B-9397-08002B2CF9AE}" pid="8" name="FromSuffix">
    <vt:lpwstr>05-g0-03</vt:lpwstr>
  </property>
  <property fmtid="{D5CDD505-2E9C-101B-9397-08002B2CF9AE}" pid="9" name="FromAsAtDate">
    <vt:lpwstr>01 Nov 2013</vt:lpwstr>
  </property>
  <property fmtid="{D5CDD505-2E9C-101B-9397-08002B2CF9AE}" pid="10" name="ToSuffix">
    <vt:lpwstr>06-a0-02</vt:lpwstr>
  </property>
  <property fmtid="{D5CDD505-2E9C-101B-9397-08002B2CF9AE}" pid="11" name="ToAsAtDate">
    <vt:lpwstr>04 Jul 2014</vt:lpwstr>
  </property>
</Properties>
</file>